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7FCBBE4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3030DA">
        <w:rPr>
          <w:rFonts w:ascii="Arial" w:hAnsi="Arial"/>
          <w:color w:val="000000"/>
          <w:u w:val="single"/>
        </w:rPr>
        <w:t>62,423,601</w:t>
      </w:r>
    </w:p>
    <w:p w14:paraId="151A81AA" w14:textId="464E94B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3030DA">
        <w:rPr>
          <w:rFonts w:ascii="Arial" w:hAnsi="Arial"/>
          <w:color w:val="000000"/>
          <w:u w:val="single"/>
        </w:rPr>
        <w:t>Febr</w:t>
      </w:r>
      <w:r w:rsidR="00B8747D">
        <w:rPr>
          <w:rFonts w:ascii="Arial" w:hAnsi="Arial"/>
          <w:color w:val="000000"/>
          <w:u w:val="single"/>
        </w:rPr>
        <w:t>uary</w:t>
      </w:r>
      <w:r w:rsidR="009F5855">
        <w:rPr>
          <w:rFonts w:ascii="Arial" w:hAnsi="Arial"/>
          <w:color w:val="000000"/>
          <w:u w:val="single"/>
        </w:rPr>
        <w:t xml:space="preserve"> </w:t>
      </w:r>
      <w:r w:rsidR="00F35C39">
        <w:rPr>
          <w:rFonts w:ascii="Arial" w:hAnsi="Arial"/>
          <w:color w:val="000000"/>
          <w:u w:val="single"/>
        </w:rPr>
        <w:t>20</w:t>
      </w:r>
      <w:r w:rsidR="00B8747D">
        <w:rPr>
          <w:rFonts w:ascii="Arial" w:hAnsi="Arial"/>
          <w:color w:val="000000"/>
          <w:u w:val="single"/>
        </w:rPr>
        <w:t>20</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2879213" w14:textId="6EF4257B" w:rsidR="00805763" w:rsidRDefault="00881CC1" w:rsidP="00805763">
      <w:pPr>
        <w:pStyle w:val="List"/>
        <w:spacing w:before="120"/>
        <w:ind w:left="720" w:firstLine="0"/>
        <w:jc w:val="both"/>
        <w:rPr>
          <w:rFonts w:ascii="Arial" w:hAnsi="Arial"/>
          <w:b/>
        </w:rPr>
      </w:pPr>
      <w:r>
        <w:rPr>
          <w:rFonts w:ascii="Arial" w:hAnsi="Arial"/>
          <w:b/>
        </w:rPr>
        <w:t xml:space="preserve">The Issuer </w:t>
      </w:r>
      <w:r w:rsidR="00D90E7B">
        <w:rPr>
          <w:rFonts w:ascii="Arial" w:hAnsi="Arial"/>
          <w:b/>
        </w:rPr>
        <w:t>co</w:t>
      </w:r>
      <w:r w:rsidR="008F2683">
        <w:rPr>
          <w:rFonts w:ascii="Arial" w:hAnsi="Arial"/>
          <w:b/>
        </w:rPr>
        <w:t>ntinued</w:t>
      </w:r>
      <w:r w:rsidR="00D90E7B">
        <w:rPr>
          <w:rFonts w:ascii="Arial" w:hAnsi="Arial"/>
          <w:b/>
        </w:rPr>
        <w:t xml:space="preserve"> </w:t>
      </w:r>
      <w:r w:rsidR="003809B8">
        <w:rPr>
          <w:rFonts w:ascii="Arial" w:hAnsi="Arial"/>
          <w:b/>
        </w:rPr>
        <w:t xml:space="preserve">to expand its </w:t>
      </w:r>
      <w:r w:rsidR="00D90E7B">
        <w:rPr>
          <w:rFonts w:ascii="Arial" w:hAnsi="Arial"/>
          <w:b/>
        </w:rPr>
        <w:t xml:space="preserve">marketing and test commercialization </w:t>
      </w:r>
      <w:r w:rsidR="00320083">
        <w:rPr>
          <w:rFonts w:ascii="Arial" w:hAnsi="Arial"/>
          <w:b/>
        </w:rPr>
        <w:t xml:space="preserve">of its initial beverage brand, named CENTR, </w:t>
      </w:r>
      <w:r w:rsidR="00E60DCF">
        <w:rPr>
          <w:rFonts w:ascii="Arial" w:hAnsi="Arial"/>
          <w:b/>
        </w:rPr>
        <w:t>i</w:t>
      </w:r>
      <w:r w:rsidR="00320083">
        <w:rPr>
          <w:rFonts w:ascii="Arial" w:hAnsi="Arial"/>
          <w:b/>
        </w:rPr>
        <w:t>n the United States</w:t>
      </w:r>
      <w:r w:rsidR="009218C4">
        <w:rPr>
          <w:rFonts w:ascii="Arial" w:hAnsi="Arial"/>
          <w:b/>
        </w:rPr>
        <w:t>.</w:t>
      </w:r>
    </w:p>
    <w:p w14:paraId="25FB900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Default="009F1173" w:rsidP="009F1173">
      <w:pPr>
        <w:pStyle w:val="ListParagraph"/>
        <w:pBdr>
          <w:top w:val="nil"/>
          <w:left w:val="nil"/>
          <w:bottom w:val="nil"/>
          <w:right w:val="nil"/>
          <w:between w:val="nil"/>
        </w:pBdr>
        <w:spacing w:after="240"/>
        <w:jc w:val="both"/>
        <w:rPr>
          <w:spacing w:val="6"/>
        </w:rPr>
      </w:pPr>
    </w:p>
    <w:p w14:paraId="0AA1CA8F" w14:textId="3DF4D53F" w:rsidR="00805763" w:rsidRPr="0036670C" w:rsidRDefault="00667B4A" w:rsidP="0036670C">
      <w:pPr>
        <w:pStyle w:val="ListParagraph"/>
        <w:pBdr>
          <w:top w:val="nil"/>
          <w:left w:val="nil"/>
          <w:bottom w:val="nil"/>
          <w:right w:val="nil"/>
          <w:between w:val="nil"/>
        </w:pBdr>
        <w:spacing w:after="240"/>
        <w:jc w:val="both"/>
        <w:rPr>
          <w:rFonts w:ascii="Arial" w:hAnsi="Arial" w:cs="Arial"/>
          <w:b/>
          <w:bCs/>
          <w:spacing w:val="6"/>
          <w:sz w:val="24"/>
          <w:szCs w:val="24"/>
        </w:rPr>
      </w:pPr>
      <w:r>
        <w:rPr>
          <w:rFonts w:ascii="Arial" w:hAnsi="Arial" w:cs="Arial"/>
          <w:b/>
          <w:bCs/>
          <w:spacing w:val="6"/>
          <w:sz w:val="24"/>
          <w:szCs w:val="24"/>
        </w:rPr>
        <w:t>None.</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DCB5B6" w14:textId="6F8AE601" w:rsidR="0070688D" w:rsidRPr="004D0170" w:rsidRDefault="00667B4A" w:rsidP="00D56F0F">
      <w:pPr>
        <w:pStyle w:val="List"/>
        <w:spacing w:before="120"/>
        <w:ind w:left="720" w:firstLine="0"/>
        <w:jc w:val="both"/>
        <w:rPr>
          <w:rFonts w:ascii="Arial" w:hAnsi="Arial"/>
        </w:rPr>
      </w:pPr>
      <w:r>
        <w:rPr>
          <w:rFonts w:ascii="Arial" w:hAnsi="Arial"/>
          <w:b/>
        </w:rPr>
        <w:t>None.</w:t>
      </w:r>
    </w:p>
    <w:p w14:paraId="674732E6" w14:textId="77777777" w:rsidR="008647C8" w:rsidRDefault="00640E94" w:rsidP="00D21BD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0EFCD506" w14:textId="2D011FF0" w:rsidR="00320083" w:rsidRPr="0036670C" w:rsidRDefault="00B340B8" w:rsidP="008647C8">
      <w:pPr>
        <w:pStyle w:val="List"/>
        <w:spacing w:before="120"/>
        <w:ind w:left="720" w:firstLine="0"/>
        <w:jc w:val="both"/>
        <w:rPr>
          <w:rFonts w:ascii="Arial" w:hAnsi="Arial" w:cs="Arial"/>
          <w:b/>
          <w:szCs w:val="24"/>
        </w:rPr>
      </w:pPr>
      <w:r w:rsidRPr="0036670C">
        <w:rPr>
          <w:rFonts w:ascii="Arial" w:hAnsi="Arial" w:cs="Arial"/>
          <w:b/>
          <w:szCs w:val="24"/>
        </w:rPr>
        <w:t>The</w:t>
      </w:r>
      <w:r w:rsidR="008E20F3" w:rsidRPr="0036670C">
        <w:rPr>
          <w:rFonts w:ascii="Arial" w:hAnsi="Arial" w:cs="Arial"/>
          <w:b/>
          <w:szCs w:val="24"/>
        </w:rPr>
        <w:t xml:space="preserve"> Issuer announced that it partnered with </w:t>
      </w:r>
      <w:r w:rsidR="00667B4A">
        <w:rPr>
          <w:rFonts w:ascii="Arial" w:hAnsi="Arial" w:cs="Arial"/>
          <w:b/>
          <w:szCs w:val="24"/>
        </w:rPr>
        <w:t>firms in Colorado and Nevada</w:t>
      </w:r>
      <w:r w:rsidR="008E20F3" w:rsidRPr="0036670C">
        <w:rPr>
          <w:rFonts w:ascii="Arial" w:hAnsi="Arial" w:cs="Arial"/>
          <w:b/>
          <w:szCs w:val="24"/>
        </w:rPr>
        <w:t xml:space="preserve"> to distribute CENTR in those</w:t>
      </w:r>
      <w:r w:rsidR="00667B4A">
        <w:rPr>
          <w:rFonts w:ascii="Arial" w:hAnsi="Arial" w:cs="Arial"/>
          <w:b/>
          <w:szCs w:val="24"/>
        </w:rPr>
        <w:t xml:space="preserve"> st</w:t>
      </w:r>
      <w:r w:rsidR="008E20F3" w:rsidRPr="0036670C">
        <w:rPr>
          <w:rFonts w:ascii="Arial" w:hAnsi="Arial" w:cs="Arial"/>
          <w:b/>
          <w:szCs w:val="24"/>
        </w:rPr>
        <w:t>a</w:t>
      </w:r>
      <w:r w:rsidR="00667B4A">
        <w:rPr>
          <w:rFonts w:ascii="Arial" w:hAnsi="Arial" w:cs="Arial"/>
          <w:b/>
          <w:szCs w:val="24"/>
        </w:rPr>
        <w:t>tes</w:t>
      </w:r>
      <w:r w:rsidR="00B14600" w:rsidRPr="0036670C">
        <w:rPr>
          <w:rFonts w:ascii="Arial" w:hAnsi="Arial" w:cs="Arial"/>
          <w:b/>
          <w:szCs w:val="24"/>
        </w:rPr>
        <w:t>.</w:t>
      </w:r>
      <w:r w:rsidR="00EF1A1F" w:rsidRPr="0036670C">
        <w:rPr>
          <w:rFonts w:ascii="Arial" w:hAnsi="Arial" w:cs="Arial"/>
          <w:b/>
          <w:szCs w:val="24"/>
        </w:rPr>
        <w:t xml:space="preserve">  Please see the attached press release</w:t>
      </w:r>
      <w:r w:rsidRPr="0036670C">
        <w:rPr>
          <w:rFonts w:ascii="Arial" w:hAnsi="Arial" w:cs="Arial"/>
          <w:b/>
          <w:szCs w:val="24"/>
        </w:rPr>
        <w:t xml:space="preserve"> dated </w:t>
      </w:r>
      <w:r w:rsidR="00667B4A">
        <w:rPr>
          <w:rFonts w:ascii="Arial" w:hAnsi="Arial" w:cs="Arial"/>
          <w:b/>
          <w:szCs w:val="24"/>
        </w:rPr>
        <w:t>Febr</w:t>
      </w:r>
      <w:r w:rsidR="00667B4A" w:rsidRPr="0036670C">
        <w:rPr>
          <w:rFonts w:ascii="Arial" w:hAnsi="Arial" w:cs="Arial"/>
          <w:b/>
          <w:szCs w:val="24"/>
        </w:rPr>
        <w:t xml:space="preserve">uary </w:t>
      </w:r>
      <w:r w:rsidRPr="0036670C">
        <w:rPr>
          <w:rFonts w:ascii="Arial" w:hAnsi="Arial" w:cs="Arial"/>
          <w:b/>
          <w:szCs w:val="24"/>
        </w:rPr>
        <w:t>2</w:t>
      </w:r>
      <w:r w:rsidR="00667B4A">
        <w:rPr>
          <w:rFonts w:ascii="Arial" w:hAnsi="Arial" w:cs="Arial"/>
          <w:b/>
          <w:szCs w:val="24"/>
        </w:rPr>
        <w:t>0</w:t>
      </w:r>
      <w:r w:rsidRPr="0036670C">
        <w:rPr>
          <w:rFonts w:ascii="Arial" w:hAnsi="Arial" w:cs="Arial"/>
          <w:b/>
          <w:szCs w:val="24"/>
        </w:rPr>
        <w:t>, 2020</w:t>
      </w:r>
      <w:r w:rsidR="00EF1A1F" w:rsidRPr="0036670C">
        <w:rPr>
          <w:rFonts w:ascii="Arial" w:hAnsi="Arial" w:cs="Arial"/>
          <w:b/>
          <w:szCs w:val="24"/>
        </w:rPr>
        <w:t>.</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3D426198" w14:textId="22FD73B7" w:rsidR="00EF1A1F" w:rsidRPr="004D0170" w:rsidRDefault="00667B4A" w:rsidP="0036670C">
      <w:pPr>
        <w:pStyle w:val="List"/>
        <w:spacing w:before="120"/>
        <w:ind w:left="720" w:firstLine="0"/>
        <w:jc w:val="both"/>
        <w:rPr>
          <w:rFonts w:ascii="Arial" w:hAnsi="Arial"/>
        </w:rPr>
      </w:pPr>
      <w:r>
        <w:rPr>
          <w:rFonts w:ascii="Arial" w:hAnsi="Arial"/>
          <w:b/>
        </w:rPr>
        <w:t>N</w:t>
      </w:r>
      <w:r w:rsidR="00EF1A1F">
        <w:rPr>
          <w:rFonts w:ascii="Arial" w:hAnsi="Arial"/>
          <w:b/>
        </w:rPr>
        <w:t>o</w:t>
      </w:r>
      <w:r>
        <w:rPr>
          <w:rFonts w:ascii="Arial" w:hAnsi="Arial"/>
          <w:b/>
        </w:rPr>
        <w:t>n</w:t>
      </w:r>
      <w:r w:rsidR="00EF1A1F">
        <w:rPr>
          <w:rFonts w:ascii="Arial" w:hAnsi="Arial"/>
          <w:b/>
        </w:rPr>
        <w:t>e.</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36BB0D2C" w:rsidR="00CB6548" w:rsidRDefault="004D1EF2" w:rsidP="00CB6548">
      <w:pPr>
        <w:pStyle w:val="List"/>
        <w:spacing w:before="120"/>
        <w:ind w:left="720" w:firstLine="0"/>
        <w:jc w:val="both"/>
        <w:rPr>
          <w:rFonts w:ascii="Arial" w:hAnsi="Arial"/>
          <w:b/>
        </w:rPr>
      </w:pPr>
      <w:r>
        <w:rPr>
          <w:rFonts w:ascii="Arial" w:hAnsi="Arial"/>
          <w:b/>
        </w:rPr>
        <w:t>None</w:t>
      </w:r>
      <w:r w:rsidR="00D56F0F">
        <w:rPr>
          <w:rFonts w:ascii="Arial" w:hAnsi="Arial"/>
          <w:b/>
        </w:rPr>
        <w:t>.</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39B1680"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494D5532" w14:textId="161D0D7C"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6CA3901" w14:textId="1FBB1F25"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03E1C51" w14:textId="77777777" w:rsidR="008647C8" w:rsidRDefault="00640E94" w:rsidP="008647C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22F7D8E6" w:rsidR="00320083" w:rsidRPr="008647C8" w:rsidRDefault="00F9420C" w:rsidP="008647C8">
      <w:pPr>
        <w:pStyle w:val="List"/>
        <w:spacing w:before="120"/>
        <w:ind w:left="720" w:firstLine="0"/>
        <w:jc w:val="both"/>
        <w:rPr>
          <w:rFonts w:ascii="Arial" w:hAnsi="Arial"/>
        </w:rPr>
      </w:pPr>
      <w:r>
        <w:rPr>
          <w:rFonts w:ascii="Arial" w:hAnsi="Arial" w:cs="Arial"/>
          <w:b/>
          <w:szCs w:val="24"/>
        </w:rPr>
        <w:t>None</w:t>
      </w:r>
      <w:r w:rsidR="003F2702">
        <w:rPr>
          <w:rFonts w:ascii="Arial" w:hAnsi="Arial" w:cs="Arial"/>
          <w:b/>
          <w:szCs w:val="24"/>
        </w:rPr>
        <w:t>.</w:t>
      </w:r>
    </w:p>
    <w:p w14:paraId="181D77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6B494A" w14:textId="1B764EA4" w:rsidR="00BD26A1" w:rsidRPr="00BD26A1" w:rsidRDefault="00BD26A1" w:rsidP="00BD26A1">
      <w:pPr>
        <w:pStyle w:val="List"/>
        <w:spacing w:before="120"/>
        <w:ind w:left="720" w:firstLine="0"/>
        <w:jc w:val="both"/>
        <w:rPr>
          <w:rFonts w:ascii="Arial" w:hAnsi="Arial"/>
          <w:b/>
        </w:rPr>
      </w:pPr>
      <w:r w:rsidRPr="00805763">
        <w:rPr>
          <w:rFonts w:ascii="Arial" w:hAnsi="Arial"/>
          <w:b/>
        </w:rPr>
        <w:lastRenderedPageBreak/>
        <w:t>None</w:t>
      </w:r>
      <w:r w:rsidR="00D56F0F">
        <w:rPr>
          <w:rFonts w:ascii="Arial" w:hAnsi="Arial"/>
          <w:b/>
        </w:rPr>
        <w:t>.</w:t>
      </w:r>
    </w:p>
    <w:p w14:paraId="57E7734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19A8733E"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378CE631" w14:textId="77777777" w:rsidR="008647C8" w:rsidRDefault="00640E94" w:rsidP="008647C8">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657269F" w14:textId="77777777" w:rsidR="007E1BD3" w:rsidRDefault="007E1BD3" w:rsidP="007E1BD3">
      <w:pPr>
        <w:rPr>
          <w:rFonts w:ascii="Arial" w:hAnsi="Arial" w:cs="Arial"/>
          <w:b/>
          <w:bCs/>
          <w:sz w:val="24"/>
          <w:szCs w:val="24"/>
        </w:rPr>
      </w:pPr>
    </w:p>
    <w:p w14:paraId="39349C56" w14:textId="287154F1" w:rsidR="000A1DA0" w:rsidRPr="007E1BD3" w:rsidRDefault="00667B4A" w:rsidP="007E1BD3">
      <w:pPr>
        <w:ind w:left="720"/>
        <w:jc w:val="both"/>
        <w:rPr>
          <w:rFonts w:ascii="Arial" w:hAnsi="Arial" w:cs="Arial"/>
          <w:b/>
          <w:bCs/>
          <w:color w:val="000000"/>
          <w:sz w:val="24"/>
          <w:szCs w:val="24"/>
          <w:lang w:val="en-CA"/>
        </w:rPr>
      </w:pPr>
      <w:bookmarkStart w:id="5" w:name="_GoBack"/>
      <w:r w:rsidRPr="007E1BD3">
        <w:rPr>
          <w:rFonts w:ascii="Arial" w:hAnsi="Arial" w:cs="Arial"/>
          <w:b/>
          <w:bCs/>
          <w:sz w:val="24"/>
          <w:szCs w:val="24"/>
        </w:rPr>
        <w:t xml:space="preserve">The Company closed the non-brokered private placement financing previously announced on January 16, 2020 (the "Financing"). A total of 2,512,401 common shares of the Company were issued under the Financing at $0.50 per common share for gross proceeds of $1,256,200.50. </w:t>
      </w:r>
      <w:r w:rsidR="007E1BD3" w:rsidRPr="007E1BD3">
        <w:rPr>
          <w:rFonts w:ascii="Arial" w:hAnsi="Arial" w:cs="Arial"/>
          <w:b/>
          <w:bCs/>
          <w:color w:val="000000"/>
          <w:sz w:val="24"/>
          <w:szCs w:val="24"/>
          <w:lang w:val="en-CA"/>
        </w:rPr>
        <w:t>Total commission paid on the private placement was $53,296.04. </w:t>
      </w:r>
      <w:r w:rsidRPr="007E1BD3">
        <w:rPr>
          <w:rFonts w:ascii="Arial" w:hAnsi="Arial" w:cs="Arial"/>
          <w:b/>
          <w:sz w:val="24"/>
          <w:szCs w:val="24"/>
        </w:rPr>
        <w:t>Please see the attached press release dated February 20, 2020</w:t>
      </w:r>
      <w:r w:rsidR="00D56F0F" w:rsidRPr="007E1BD3">
        <w:rPr>
          <w:rFonts w:ascii="ArialMT" w:hAnsi="ArialMT"/>
          <w:b/>
          <w:bCs/>
          <w:sz w:val="24"/>
          <w:szCs w:val="24"/>
        </w:rPr>
        <w:t>.</w:t>
      </w:r>
      <w:r w:rsidR="000A1DA0" w:rsidRPr="007E1BD3">
        <w:rPr>
          <w:rFonts w:ascii="ArialMT" w:hAnsi="ArialMT"/>
          <w:b/>
          <w:bCs/>
          <w:sz w:val="24"/>
          <w:szCs w:val="24"/>
        </w:rPr>
        <w:t xml:space="preserve"> </w:t>
      </w:r>
    </w:p>
    <w:bookmarkEnd w:id="5"/>
    <w:p w14:paraId="1247DA47" w14:textId="77777777" w:rsidR="00F44D67" w:rsidRDefault="00F44D67" w:rsidP="00F44D67">
      <w:pPr>
        <w:ind w:firstLine="720"/>
        <w:rPr>
          <w:rFonts w:ascii="Arial" w:hAnsi="Arial" w:cs="Arial"/>
          <w:color w:val="000000"/>
          <w:sz w:val="22"/>
          <w:szCs w:val="22"/>
          <w:lang w:val="en-GB"/>
        </w:rPr>
      </w:pPr>
    </w:p>
    <w:p w14:paraId="085A4E8E" w14:textId="32DBBF5D" w:rsidR="000A1DA0" w:rsidRPr="00761672" w:rsidRDefault="00F44D67" w:rsidP="00F44D67">
      <w:pPr>
        <w:ind w:left="720"/>
        <w:jc w:val="both"/>
        <w:rPr>
          <w:sz w:val="24"/>
          <w:szCs w:val="24"/>
        </w:rPr>
      </w:pPr>
      <w:r w:rsidRPr="00761672">
        <w:rPr>
          <w:rFonts w:ascii="Arial" w:hAnsi="Arial" w:cs="Arial"/>
          <w:b/>
          <w:bCs/>
          <w:color w:val="000000"/>
          <w:sz w:val="24"/>
          <w:szCs w:val="24"/>
          <w:lang w:val="en-GB"/>
        </w:rPr>
        <w:t>The Issuer offered the </w:t>
      </w:r>
      <w:r w:rsidRPr="00761672">
        <w:rPr>
          <w:rFonts w:ascii="Arial" w:hAnsi="Arial" w:cs="Arial"/>
          <w:b/>
          <w:bCs/>
          <w:color w:val="000000"/>
          <w:sz w:val="24"/>
          <w:szCs w:val="24"/>
          <w:lang w:val="en-CA"/>
        </w:rPr>
        <w:t>directors, officers, employees and consultants </w:t>
      </w:r>
      <w:r w:rsidRPr="00761672">
        <w:rPr>
          <w:rFonts w:ascii="Arial" w:hAnsi="Arial" w:cs="Arial"/>
          <w:b/>
          <w:bCs/>
          <w:color w:val="000000"/>
          <w:sz w:val="24"/>
          <w:szCs w:val="24"/>
          <w:lang w:val="en-GB"/>
        </w:rPr>
        <w:t>of the Issuer the opportunity to exchange some or all of their outstanding stock options </w:t>
      </w:r>
      <w:r w:rsidRPr="00761672">
        <w:rPr>
          <w:rFonts w:ascii="Arial" w:hAnsi="Arial" w:cs="Arial"/>
          <w:b/>
          <w:bCs/>
          <w:color w:val="000000"/>
          <w:sz w:val="24"/>
          <w:szCs w:val="24"/>
          <w:lang w:val="en-CA"/>
        </w:rPr>
        <w:t>of the Issuer</w:t>
      </w:r>
      <w:r w:rsidRPr="00761672">
        <w:rPr>
          <w:rFonts w:ascii="Arial" w:hAnsi="Arial" w:cs="Arial"/>
          <w:b/>
          <w:bCs/>
          <w:color w:val="000000"/>
          <w:sz w:val="24"/>
          <w:szCs w:val="24"/>
          <w:lang w:val="en-GB"/>
        </w:rPr>
        <w:t>, whether vested or unvested, for</w:t>
      </w:r>
      <w:r w:rsidRPr="00761672">
        <w:rPr>
          <w:rFonts w:ascii="Arial" w:hAnsi="Arial" w:cs="Arial"/>
          <w:b/>
          <w:bCs/>
          <w:color w:val="000000"/>
          <w:sz w:val="24"/>
          <w:szCs w:val="24"/>
          <w:lang w:val="en-GB"/>
        </w:rPr>
        <w:t xml:space="preserve"> </w:t>
      </w:r>
      <w:r w:rsidRPr="00761672">
        <w:rPr>
          <w:rFonts w:ascii="Arial" w:hAnsi="Arial" w:cs="Arial"/>
          <w:b/>
          <w:bCs/>
          <w:color w:val="000000"/>
          <w:sz w:val="24"/>
          <w:szCs w:val="24"/>
          <w:lang w:val="en-CA"/>
        </w:rPr>
        <w:t>Restricted Stock Units of the Issuer (“</w:t>
      </w:r>
      <w:r w:rsidRPr="00761672">
        <w:rPr>
          <w:rFonts w:ascii="Arial" w:hAnsi="Arial" w:cs="Arial"/>
          <w:b/>
          <w:bCs/>
          <w:color w:val="000000"/>
          <w:sz w:val="24"/>
          <w:szCs w:val="24"/>
          <w:lang w:val="en-GB"/>
        </w:rPr>
        <w:t>RSUs</w:t>
      </w:r>
      <w:r w:rsidRPr="00761672">
        <w:rPr>
          <w:rFonts w:ascii="Arial" w:hAnsi="Arial" w:cs="Arial"/>
          <w:b/>
          <w:bCs/>
          <w:color w:val="000000"/>
          <w:sz w:val="24"/>
          <w:szCs w:val="24"/>
          <w:lang w:val="en-CA"/>
        </w:rPr>
        <w:t>”), which RSUs were issued in accordance with the terms of the RSU Plan adopted by the Issuer at its most recent annual and special meeting of the shareholders of the Issuer</w:t>
      </w:r>
      <w:r w:rsidRPr="00761672">
        <w:rPr>
          <w:rFonts w:ascii="Arial" w:hAnsi="Arial" w:cs="Arial"/>
          <w:b/>
          <w:bCs/>
          <w:color w:val="000000"/>
          <w:sz w:val="24"/>
          <w:szCs w:val="24"/>
          <w:lang w:val="en-GB"/>
        </w:rPr>
        <w:t>.</w:t>
      </w:r>
      <w:r w:rsidRPr="00761672">
        <w:rPr>
          <w:rFonts w:ascii="Arial" w:hAnsi="Arial" w:cs="Arial"/>
          <w:b/>
          <w:bCs/>
          <w:color w:val="000000"/>
          <w:sz w:val="24"/>
          <w:szCs w:val="24"/>
          <w:lang w:val="en-CA"/>
        </w:rPr>
        <w:t>  As of the expiry of the above-noted offer, all eligible option holders exchanged their options in the issuer for RSUs, resulting in the Issuer having 5,105,000 issued RSUs, and no issued and outstanding options to acquire common shares of the Issuer outstanding as of February 29, 2020.</w:t>
      </w: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45DCB2C" w:rsidR="00832C64" w:rsidRPr="00BD26A1" w:rsidRDefault="00832C64" w:rsidP="00832C64">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16980374" w14:textId="33BAAB22" w:rsidR="0036670C" w:rsidRPr="0036670C" w:rsidRDefault="00640E94" w:rsidP="0036670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443B08">
        <w:rPr>
          <w:rFonts w:ascii="Arial" w:hAnsi="Arial"/>
        </w:rPr>
        <w:t xml:space="preserve">  </w:t>
      </w:r>
    </w:p>
    <w:p w14:paraId="1C93BF24" w14:textId="77777777" w:rsidR="0036670C" w:rsidRDefault="0036670C" w:rsidP="00761672">
      <w:pPr>
        <w:jc w:val="both"/>
        <w:rPr>
          <w:rFonts w:ascii="Arial" w:hAnsi="Arial" w:cs="Arial"/>
          <w:b/>
          <w:bCs/>
          <w:sz w:val="24"/>
          <w:szCs w:val="24"/>
        </w:rPr>
      </w:pPr>
    </w:p>
    <w:p w14:paraId="3BCC8F3A" w14:textId="6A30C95B" w:rsidR="002B7EFA" w:rsidRPr="0036670C" w:rsidRDefault="00667B4A" w:rsidP="0036670C">
      <w:pPr>
        <w:ind w:left="720"/>
        <w:jc w:val="both"/>
        <w:rPr>
          <w:rFonts w:ascii="Arial" w:hAnsi="Arial" w:cs="Arial"/>
          <w:b/>
          <w:bCs/>
          <w:spacing w:val="6"/>
          <w:sz w:val="24"/>
          <w:szCs w:val="24"/>
        </w:rPr>
      </w:pPr>
      <w:r>
        <w:rPr>
          <w:rFonts w:ascii="Arial" w:hAnsi="Arial" w:cs="Arial"/>
          <w:b/>
          <w:bCs/>
          <w:sz w:val="24"/>
          <w:szCs w:val="24"/>
        </w:rPr>
        <w:t>None</w:t>
      </w:r>
      <w:r w:rsidR="00DB41E4" w:rsidRPr="0036670C">
        <w:rPr>
          <w:rFonts w:ascii="Arial" w:hAnsi="Arial" w:cs="Arial"/>
          <w:b/>
          <w:bCs/>
          <w:sz w:val="24"/>
          <w:szCs w:val="24"/>
        </w:rPr>
        <w:t xml:space="preserve">. </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C0ED3D" w14:textId="77777777" w:rsidR="00A97F54" w:rsidRDefault="00A97F54" w:rsidP="00A97F54">
      <w:pPr>
        <w:jc w:val="both"/>
        <w:rPr>
          <w:rFonts w:ascii="Arial" w:hAnsi="Arial" w:cs="Arial"/>
          <w:b/>
          <w:sz w:val="24"/>
          <w:szCs w:val="24"/>
        </w:rPr>
      </w:pPr>
    </w:p>
    <w:p w14:paraId="6A006AC4" w14:textId="67A8D134" w:rsidR="00B8334C" w:rsidRDefault="00F01FCC" w:rsidP="005315D8">
      <w:pPr>
        <w:ind w:left="720"/>
        <w:jc w:val="both"/>
        <w:rPr>
          <w:rFonts w:ascii="Arial" w:hAnsi="Arial" w:cs="Arial"/>
          <w:b/>
          <w:sz w:val="24"/>
          <w:szCs w:val="24"/>
          <w:shd w:val="clear" w:color="auto" w:fill="FFFFFF"/>
        </w:rPr>
      </w:pPr>
      <w:r w:rsidRPr="00026687">
        <w:rPr>
          <w:rFonts w:ascii="Arial" w:hAnsi="Arial" w:cs="Arial"/>
          <w:b/>
          <w:sz w:val="24"/>
          <w:szCs w:val="24"/>
        </w:rPr>
        <w:t xml:space="preserve">The Issuer continues to await guidance from the </w:t>
      </w:r>
      <w:r w:rsidR="00A97F54" w:rsidRPr="00026687">
        <w:rPr>
          <w:rFonts w:ascii="Arial" w:hAnsi="Arial" w:cs="Arial"/>
          <w:b/>
          <w:sz w:val="24"/>
          <w:szCs w:val="24"/>
        </w:rPr>
        <w:t>U.S. Food &amp; Drug Administration (the “FDA”)</w:t>
      </w:r>
      <w:r w:rsidRPr="00026687">
        <w:rPr>
          <w:rFonts w:ascii="Arial" w:hAnsi="Arial" w:cs="Arial"/>
          <w:b/>
          <w:sz w:val="24"/>
          <w:szCs w:val="24"/>
        </w:rPr>
        <w:t xml:space="preserve"> based on their</w:t>
      </w:r>
      <w:r w:rsidR="00A97F54" w:rsidRPr="00026687">
        <w:rPr>
          <w:rFonts w:ascii="Arial" w:hAnsi="Arial" w:cs="Arial"/>
          <w:b/>
          <w:sz w:val="24"/>
          <w:szCs w:val="24"/>
        </w:rPr>
        <w:t xml:space="preserve"> </w:t>
      </w:r>
      <w:r w:rsidRPr="00026687">
        <w:rPr>
          <w:rFonts w:ascii="Arial" w:hAnsi="Arial" w:cs="Arial"/>
          <w:b/>
          <w:sz w:val="24"/>
          <w:szCs w:val="24"/>
          <w:shd w:val="clear" w:color="auto" w:fill="FFFFFF"/>
        </w:rPr>
        <w:t>May 31, 2019</w:t>
      </w:r>
      <w:r w:rsidR="00A97F54" w:rsidRPr="00026687">
        <w:rPr>
          <w:rFonts w:ascii="Arial" w:hAnsi="Arial" w:cs="Arial"/>
          <w:b/>
          <w:sz w:val="24"/>
          <w:szCs w:val="24"/>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Pr>
          <w:rFonts w:ascii="Arial" w:hAnsi="Arial" w:cs="Arial"/>
          <w:b/>
          <w:sz w:val="24"/>
          <w:szCs w:val="24"/>
          <w:shd w:val="clear" w:color="auto" w:fill="FFFFFF"/>
        </w:rPr>
        <w:t>s</w:t>
      </w:r>
      <w:r w:rsidR="00A97F54" w:rsidRPr="00026687">
        <w:rPr>
          <w:rFonts w:ascii="Arial" w:hAnsi="Arial" w:cs="Arial"/>
          <w:b/>
          <w:sz w:val="24"/>
          <w:szCs w:val="24"/>
          <w:shd w:val="clear" w:color="auto" w:fill="FFFFFF"/>
        </w:rPr>
        <w:t xml:space="preserve"> CBD, </w:t>
      </w:r>
      <w:r w:rsidR="005A3000" w:rsidRPr="00026687">
        <w:rPr>
          <w:rFonts w:ascii="Arial" w:hAnsi="Arial" w:cs="Arial"/>
          <w:b/>
          <w:sz w:val="24"/>
          <w:szCs w:val="24"/>
          <w:shd w:val="clear" w:color="auto" w:fill="FFFFFF"/>
        </w:rPr>
        <w:t xml:space="preserve">expected </w:t>
      </w:r>
      <w:r w:rsidR="00A97F54" w:rsidRPr="00026687">
        <w:rPr>
          <w:rFonts w:ascii="Arial" w:hAnsi="Arial" w:cs="Arial"/>
          <w:b/>
          <w:sz w:val="24"/>
          <w:szCs w:val="24"/>
          <w:shd w:val="clear" w:color="auto" w:fill="FFFFFF"/>
        </w:rPr>
        <w:t>FDA regulations regarding CBD will have a significant impact on the Issuer’s business.</w:t>
      </w:r>
      <w:r w:rsidR="00247E1D" w:rsidRPr="00026687">
        <w:rPr>
          <w:rFonts w:ascii="Arial" w:hAnsi="Arial" w:cs="Arial"/>
          <w:b/>
          <w:sz w:val="24"/>
          <w:szCs w:val="24"/>
          <w:shd w:val="clear" w:color="auto" w:fill="FFFFFF"/>
        </w:rPr>
        <w:t xml:space="preserve"> </w:t>
      </w:r>
    </w:p>
    <w:p w14:paraId="526E94E0" w14:textId="77777777" w:rsidR="00ED168C" w:rsidRDefault="00ED168C" w:rsidP="005315D8">
      <w:pPr>
        <w:ind w:left="720"/>
        <w:jc w:val="both"/>
        <w:rPr>
          <w:rFonts w:ascii="Arial" w:hAnsi="Arial"/>
          <w:b/>
        </w:rPr>
      </w:pPr>
    </w:p>
    <w:p w14:paraId="7FB64E54" w14:textId="512FEAA5" w:rsidR="00B14600" w:rsidRDefault="00A97F54" w:rsidP="004D0170">
      <w:pPr>
        <w:ind w:left="720"/>
        <w:jc w:val="both"/>
        <w:sectPr w:rsidR="00B1460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34ADD">
        <w:rPr>
          <w:rFonts w:ascii="Arial" w:hAnsi="Arial"/>
          <w:b/>
          <w:sz w:val="24"/>
          <w:szCs w:val="24"/>
        </w:rPr>
        <w:t xml:space="preserve">Additional </w:t>
      </w:r>
      <w:r w:rsidR="00D27D57" w:rsidRPr="00534ADD">
        <w:rPr>
          <w:rFonts w:ascii="Arial" w:hAnsi="Arial"/>
          <w:b/>
          <w:sz w:val="24"/>
          <w:szCs w:val="24"/>
        </w:rPr>
        <w:t xml:space="preserve">trends and risks which are likely to impact the Issuer are detailed in Item 17 </w:t>
      </w:r>
      <w:r w:rsidR="00D27D57" w:rsidRPr="00534ADD">
        <w:rPr>
          <w:rFonts w:ascii="Arial" w:hAnsi="Arial"/>
          <w:b/>
          <w:i/>
          <w:sz w:val="24"/>
          <w:szCs w:val="24"/>
        </w:rPr>
        <w:t xml:space="preserve">Risk Factors </w:t>
      </w:r>
      <w:r w:rsidR="00D27D57" w:rsidRPr="00534ADD">
        <w:rPr>
          <w:rFonts w:ascii="Arial" w:hAnsi="Arial"/>
          <w:b/>
          <w:sz w:val="24"/>
          <w:szCs w:val="24"/>
        </w:rPr>
        <w:t>of the Issuer’</w:t>
      </w:r>
      <w:r w:rsidR="00F62777" w:rsidRPr="00534ADD">
        <w:rPr>
          <w:rFonts w:ascii="Arial" w:hAnsi="Arial"/>
          <w:b/>
          <w:sz w:val="24"/>
          <w:szCs w:val="24"/>
        </w:rPr>
        <w:t>s</w:t>
      </w:r>
      <w:r w:rsidR="00D27D57" w:rsidRPr="00534ADD">
        <w:rPr>
          <w:rFonts w:ascii="Arial" w:hAnsi="Arial"/>
          <w:b/>
          <w:sz w:val="24"/>
          <w:szCs w:val="24"/>
        </w:rPr>
        <w:t xml:space="preserve"> Form 2A – </w:t>
      </w:r>
      <w:r w:rsidR="00F62777" w:rsidRPr="00534ADD">
        <w:rPr>
          <w:rFonts w:ascii="Arial" w:hAnsi="Arial"/>
          <w:b/>
          <w:sz w:val="24"/>
          <w:szCs w:val="24"/>
        </w:rPr>
        <w:t xml:space="preserve">Annual Updated </w:t>
      </w:r>
      <w:r w:rsidR="00D27D57" w:rsidRPr="00534ADD">
        <w:rPr>
          <w:rFonts w:ascii="Arial" w:hAnsi="Arial"/>
          <w:b/>
          <w:sz w:val="24"/>
          <w:szCs w:val="24"/>
        </w:rPr>
        <w:t xml:space="preserve">Listing Statement dated </w:t>
      </w:r>
      <w:r w:rsidR="00D21BD0" w:rsidRPr="00534ADD">
        <w:rPr>
          <w:rFonts w:ascii="Arial" w:hAnsi="Arial"/>
          <w:b/>
          <w:sz w:val="24"/>
          <w:szCs w:val="24"/>
        </w:rPr>
        <w:t>April 1, 2019</w:t>
      </w:r>
      <w:r w:rsidR="00761672">
        <w:rPr>
          <w:rFonts w:ascii="Arial" w:hAnsi="Arial"/>
          <w:b/>
          <w:sz w:val="24"/>
          <w:szCs w:val="24"/>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65A4D6E5"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6744BF">
        <w:rPr>
          <w:rFonts w:ascii="Arial" w:hAnsi="Arial"/>
          <w:u w:val="single"/>
        </w:rPr>
        <w:t>March 5</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20</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2BB6A7A0" w:rsidR="00B4522F" w:rsidRPr="006C2C61" w:rsidRDefault="00A74854" w:rsidP="003E189C">
            <w:pPr>
              <w:pStyle w:val="BodyText"/>
              <w:spacing w:before="0"/>
              <w:rPr>
                <w:rFonts w:ascii="Arial" w:hAnsi="Arial"/>
                <w:b/>
              </w:rPr>
            </w:pPr>
            <w:r>
              <w:rPr>
                <w:rFonts w:ascii="Arial" w:hAnsi="Arial"/>
                <w:b/>
              </w:rPr>
              <w:t xml:space="preserve">February </w:t>
            </w:r>
            <w:r w:rsidR="00707B58" w:rsidRPr="006C2C61">
              <w:rPr>
                <w:rFonts w:ascii="Arial" w:hAnsi="Arial"/>
                <w:b/>
              </w:rPr>
              <w:t>20</w:t>
            </w:r>
            <w:r w:rsidR="00147A15">
              <w:rPr>
                <w:rFonts w:ascii="Arial" w:hAnsi="Arial"/>
                <w:b/>
              </w:rPr>
              <w:t>20</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2F03D02B" w:rsidR="00B4522F" w:rsidRPr="006C2C61" w:rsidRDefault="00D56F0F" w:rsidP="003E189C">
            <w:pPr>
              <w:pStyle w:val="BodyText"/>
              <w:spacing w:before="0"/>
              <w:rPr>
                <w:rFonts w:ascii="Arial" w:hAnsi="Arial"/>
                <w:b/>
              </w:rPr>
            </w:pPr>
            <w:r>
              <w:rPr>
                <w:rFonts w:ascii="Arial" w:hAnsi="Arial"/>
                <w:b/>
              </w:rPr>
              <w:t>20</w:t>
            </w:r>
            <w:r w:rsidR="00B75173" w:rsidRPr="006C2C61">
              <w:rPr>
                <w:rFonts w:ascii="Arial" w:hAnsi="Arial"/>
                <w:b/>
              </w:rPr>
              <w:t>/</w:t>
            </w:r>
            <w:r>
              <w:rPr>
                <w:rFonts w:ascii="Arial" w:hAnsi="Arial"/>
                <w:b/>
              </w:rPr>
              <w:t>0</w:t>
            </w:r>
            <w:r w:rsidR="006744BF">
              <w:rPr>
                <w:rFonts w:ascii="Arial" w:hAnsi="Arial"/>
                <w:b/>
              </w:rPr>
              <w:t>3</w:t>
            </w:r>
            <w:r w:rsidR="00D134DC" w:rsidRPr="006C2C61">
              <w:rPr>
                <w:rFonts w:ascii="Arial" w:hAnsi="Arial"/>
                <w:b/>
              </w:rPr>
              <w:t>/</w:t>
            </w:r>
            <w:r w:rsidR="00BB2A98" w:rsidRPr="006C2C61">
              <w:rPr>
                <w:rFonts w:ascii="Arial" w:hAnsi="Arial"/>
                <w:b/>
              </w:rPr>
              <w:t>0</w:t>
            </w:r>
            <w:r w:rsidR="006744BF">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39FA5EE9" w:rsidR="00640E94" w:rsidRPr="006C2C61" w:rsidRDefault="009259B1">
            <w:pPr>
              <w:pStyle w:val="BodyText"/>
              <w:spacing w:before="0"/>
              <w:rPr>
                <w:rFonts w:ascii="Arial" w:hAnsi="Arial"/>
                <w:b/>
              </w:rPr>
            </w:pPr>
            <w:r w:rsidRPr="006C2C61">
              <w:rPr>
                <w:rFonts w:ascii="Arial" w:hAnsi="Arial"/>
                <w:b/>
              </w:rPr>
              <w:t xml:space="preserve">Suite 100,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1B188FC9" w14:textId="747753C4" w:rsidR="009F1173" w:rsidRDefault="009F1173">
      <w:pPr>
        <w:rPr>
          <w:sz w:val="24"/>
          <w:szCs w:val="24"/>
        </w:rPr>
      </w:pPr>
      <w:r>
        <w:rPr>
          <w:sz w:val="24"/>
          <w:szCs w:val="24"/>
        </w:rPr>
        <w:br w:type="page"/>
      </w:r>
    </w:p>
    <w:p w14:paraId="17885DFB" w14:textId="77777777" w:rsidR="003030DA" w:rsidRPr="00F44D67" w:rsidRDefault="003030DA" w:rsidP="003030DA">
      <w:pPr>
        <w:tabs>
          <w:tab w:val="left" w:pos="2340"/>
        </w:tabs>
        <w:spacing w:after="180"/>
        <w:jc w:val="center"/>
        <w:rPr>
          <w:rFonts w:ascii="Arial" w:hAnsi="Arial" w:cs="Arial"/>
        </w:rPr>
      </w:pPr>
      <w:bookmarkStart w:id="6" w:name="DocsID"/>
      <w:bookmarkEnd w:id="6"/>
      <w:r w:rsidRPr="00F44D67">
        <w:rPr>
          <w:rFonts w:ascii="Arial" w:hAnsi="Arial" w:cs="Arial"/>
          <w:b/>
        </w:rPr>
        <w:lastRenderedPageBreak/>
        <w:t>CENTR BRANDS CORP.</w:t>
      </w:r>
      <w:r w:rsidRPr="00F44D67">
        <w:rPr>
          <w:rFonts w:ascii="Arial" w:hAnsi="Arial" w:cs="Arial"/>
          <w:b/>
        </w:rPr>
        <w:br/>
      </w:r>
      <w:r w:rsidRPr="00F44D67">
        <w:rPr>
          <w:rFonts w:ascii="Arial" w:hAnsi="Arial" w:cs="Arial"/>
        </w:rPr>
        <w:t>200-2318 Oak St.</w:t>
      </w:r>
      <w:r w:rsidRPr="00F44D67">
        <w:rPr>
          <w:rFonts w:ascii="Arial" w:hAnsi="Arial" w:cs="Arial"/>
        </w:rPr>
        <w:br/>
        <w:t>Vancouver, British Columbia</w:t>
      </w:r>
      <w:r w:rsidRPr="00F44D67">
        <w:rPr>
          <w:rFonts w:ascii="Arial" w:hAnsi="Arial" w:cs="Arial"/>
        </w:rPr>
        <w:br/>
        <w:t>V6H 4J1</w:t>
      </w:r>
    </w:p>
    <w:p w14:paraId="658A2E30" w14:textId="77777777" w:rsidR="003030DA" w:rsidRPr="00F44D67" w:rsidRDefault="003030DA" w:rsidP="003030DA">
      <w:pPr>
        <w:spacing w:after="180"/>
        <w:jc w:val="center"/>
        <w:rPr>
          <w:rFonts w:ascii="Arial" w:hAnsi="Arial" w:cs="Arial"/>
          <w:b/>
          <w:sz w:val="28"/>
          <w:szCs w:val="28"/>
        </w:rPr>
      </w:pPr>
      <w:r w:rsidRPr="00F44D67">
        <w:rPr>
          <w:rFonts w:ascii="Arial" w:hAnsi="Arial" w:cs="Arial"/>
          <w:b/>
          <w:sz w:val="28"/>
          <w:szCs w:val="28"/>
        </w:rPr>
        <w:t>NEWS RELEASE</w:t>
      </w:r>
    </w:p>
    <w:p w14:paraId="011AD6A3" w14:textId="77777777" w:rsidR="003030DA" w:rsidRPr="00F44D67" w:rsidRDefault="003030DA" w:rsidP="003030DA">
      <w:pPr>
        <w:spacing w:after="180"/>
        <w:jc w:val="center"/>
        <w:rPr>
          <w:rFonts w:ascii="Arial" w:hAnsi="Arial" w:cs="Arial"/>
          <w:b/>
        </w:rPr>
      </w:pPr>
      <w:r w:rsidRPr="00F44D67">
        <w:rPr>
          <w:rFonts w:ascii="Arial" w:hAnsi="Arial" w:cs="Arial"/>
          <w:b/>
        </w:rPr>
        <w:t>NOT FOR DISTRIBUTION TO UNITED STATES NEWSWIRE SERVICES OR FOR DISSEMINATION IN THE UNITED STATES</w:t>
      </w:r>
    </w:p>
    <w:p w14:paraId="7DA8CD9A" w14:textId="77777777" w:rsidR="003030DA" w:rsidRPr="00F44D67" w:rsidRDefault="003030DA" w:rsidP="003030DA">
      <w:pPr>
        <w:spacing w:after="180"/>
        <w:jc w:val="center"/>
        <w:rPr>
          <w:rFonts w:ascii="Arial" w:hAnsi="Arial" w:cs="Arial"/>
          <w:b/>
        </w:rPr>
      </w:pPr>
      <w:r w:rsidRPr="00F44D67">
        <w:rPr>
          <w:rFonts w:ascii="Arial" w:hAnsi="Arial" w:cs="Arial"/>
          <w:b/>
        </w:rPr>
        <w:t>CENTR BRANDS CORP. CORPORATE UPDATE</w:t>
      </w:r>
    </w:p>
    <w:p w14:paraId="4FE49B76" w14:textId="77777777" w:rsidR="003030DA" w:rsidRPr="00F44D67" w:rsidRDefault="003030DA" w:rsidP="003030DA">
      <w:pPr>
        <w:jc w:val="both"/>
        <w:rPr>
          <w:rFonts w:ascii="Arial" w:hAnsi="Arial" w:cs="Arial"/>
        </w:rPr>
      </w:pPr>
      <w:r w:rsidRPr="00F44D67">
        <w:rPr>
          <w:rFonts w:ascii="Arial" w:hAnsi="Arial" w:cs="Arial"/>
        </w:rPr>
        <w:t>February 20, 2020 – Vancouver, British Columbia – CENTR Brands Corp. (the “</w:t>
      </w:r>
      <w:r w:rsidRPr="00F44D67">
        <w:rPr>
          <w:rFonts w:ascii="Arial" w:hAnsi="Arial" w:cs="Arial"/>
          <w:b/>
        </w:rPr>
        <w:t>Company</w:t>
      </w:r>
      <w:r w:rsidRPr="00F44D67">
        <w:rPr>
          <w:rFonts w:ascii="Arial" w:hAnsi="Arial" w:cs="Arial"/>
        </w:rPr>
        <w:t>”) (CSE: CNTR, FRA: 303) is pleased to provide the following corporate update:</w:t>
      </w:r>
    </w:p>
    <w:p w14:paraId="330C089D" w14:textId="77777777" w:rsidR="003030DA" w:rsidRDefault="003030DA" w:rsidP="003030DA">
      <w:pPr>
        <w:jc w:val="both"/>
        <w:rPr>
          <w:rFonts w:ascii="Arial" w:hAnsi="Arial" w:cs="Arial"/>
          <w:b/>
          <w:bCs/>
        </w:rPr>
      </w:pPr>
    </w:p>
    <w:p w14:paraId="102CCF51" w14:textId="11E2560E" w:rsidR="003030DA" w:rsidRPr="00F44D67" w:rsidRDefault="003030DA" w:rsidP="003030DA">
      <w:pPr>
        <w:jc w:val="both"/>
        <w:rPr>
          <w:rFonts w:ascii="Arial" w:hAnsi="Arial" w:cs="Arial"/>
        </w:rPr>
      </w:pPr>
      <w:r w:rsidRPr="00F44D67">
        <w:rPr>
          <w:rFonts w:ascii="Arial" w:hAnsi="Arial" w:cs="Arial"/>
          <w:b/>
          <w:bCs/>
        </w:rPr>
        <w:t xml:space="preserve">Completion of Financing:  </w:t>
      </w:r>
      <w:r w:rsidRPr="00F44D67">
        <w:rPr>
          <w:rFonts w:ascii="Arial" w:hAnsi="Arial" w:cs="Arial"/>
        </w:rPr>
        <w:t>The Company closed the non-brokered private placement financing previously announced on January 16, 2020 (the "</w:t>
      </w:r>
      <w:r w:rsidRPr="00F44D67">
        <w:rPr>
          <w:rFonts w:ascii="Arial" w:hAnsi="Arial" w:cs="Arial"/>
          <w:b/>
        </w:rPr>
        <w:t>Financing</w:t>
      </w:r>
      <w:r w:rsidRPr="00F44D67">
        <w:rPr>
          <w:rFonts w:ascii="Arial" w:hAnsi="Arial" w:cs="Arial"/>
        </w:rPr>
        <w:t xml:space="preserve">"). A total of 2,512,401 common shares of the Company were issued under the Financing at $0.50 per common share for gross proceeds of $1,256,200.50. </w:t>
      </w:r>
    </w:p>
    <w:p w14:paraId="1315DE8A" w14:textId="77777777" w:rsidR="003030DA" w:rsidRDefault="003030DA" w:rsidP="003030DA">
      <w:pPr>
        <w:jc w:val="both"/>
        <w:rPr>
          <w:rFonts w:ascii="Arial" w:hAnsi="Arial" w:cs="Arial"/>
        </w:rPr>
      </w:pPr>
    </w:p>
    <w:p w14:paraId="221A1AEA" w14:textId="5C99CB37" w:rsidR="003030DA" w:rsidRPr="00F44D67" w:rsidRDefault="003030DA" w:rsidP="003030DA">
      <w:pPr>
        <w:jc w:val="both"/>
        <w:rPr>
          <w:rFonts w:ascii="Arial" w:hAnsi="Arial" w:cs="Arial"/>
        </w:rPr>
      </w:pPr>
      <w:r w:rsidRPr="00F44D67">
        <w:rPr>
          <w:rFonts w:ascii="Arial" w:hAnsi="Arial" w:cs="Arial"/>
        </w:rPr>
        <w:t>A corporation controlled by an insider of the Company purchased a total of 1,050,000 common shares of the Company pursuant to the Financing.  The placement to such corporation constitutes a “related party transaction” within the meaning of Multilateral Instrument 61</w:t>
      </w:r>
      <w:r w:rsidRPr="003030DA">
        <w:rPr>
          <w:rFonts w:ascii="Cambria Math" w:hAnsi="Cambria Math" w:cs="Cambria Math"/>
        </w:rPr>
        <w:t>‑</w:t>
      </w:r>
      <w:r w:rsidRPr="00F44D67">
        <w:rPr>
          <w:rFonts w:ascii="Arial" w:hAnsi="Arial" w:cs="Arial"/>
        </w:rPr>
        <w:t xml:space="preserve">101 </w:t>
      </w:r>
      <w:r w:rsidRPr="003030DA">
        <w:rPr>
          <w:rFonts w:ascii="Cambria Math" w:hAnsi="Cambria Math" w:cs="Cambria Math"/>
        </w:rPr>
        <w:t>‑</w:t>
      </w:r>
      <w:r w:rsidRPr="00F44D67">
        <w:rPr>
          <w:rFonts w:ascii="Arial" w:hAnsi="Arial" w:cs="Arial"/>
        </w:rPr>
        <w:t xml:space="preserve"> </w:t>
      </w:r>
      <w:r w:rsidRPr="00F44D67">
        <w:rPr>
          <w:rFonts w:ascii="Arial" w:hAnsi="Arial" w:cs="Arial"/>
          <w:i/>
        </w:rPr>
        <w:t>Protection of Minority Security Holders in Special Transactions</w:t>
      </w:r>
      <w:r w:rsidRPr="00F44D67">
        <w:rPr>
          <w:rFonts w:ascii="Arial" w:hAnsi="Arial" w:cs="Arial"/>
        </w:rPr>
        <w:t xml:space="preserve"> (“</w:t>
      </w:r>
      <w:r w:rsidRPr="00F44D67">
        <w:rPr>
          <w:rFonts w:ascii="Arial" w:hAnsi="Arial" w:cs="Arial"/>
          <w:b/>
        </w:rPr>
        <w:t>MI 61</w:t>
      </w:r>
      <w:r w:rsidRPr="003030DA">
        <w:rPr>
          <w:rFonts w:ascii="Cambria Math" w:hAnsi="Cambria Math" w:cs="Cambria Math"/>
          <w:b/>
        </w:rPr>
        <w:t>‑</w:t>
      </w:r>
      <w:r w:rsidRPr="00F44D67">
        <w:rPr>
          <w:rFonts w:ascii="Arial" w:hAnsi="Arial" w:cs="Arial"/>
          <w:b/>
        </w:rPr>
        <w:t>101</w:t>
      </w:r>
      <w:r w:rsidRPr="00F44D67">
        <w:rPr>
          <w:rFonts w:ascii="Arial" w:hAnsi="Arial" w:cs="Arial"/>
        </w:rPr>
        <w:t>”).  The Company has relied on exemptions from the formal valuation and minority shareholder approval requirements of MI 61</w:t>
      </w:r>
      <w:r w:rsidRPr="003030DA">
        <w:rPr>
          <w:rFonts w:ascii="Cambria Math" w:hAnsi="Cambria Math" w:cs="Cambria Math"/>
        </w:rPr>
        <w:t>‑</w:t>
      </w:r>
      <w:r w:rsidRPr="00F44D67">
        <w:rPr>
          <w:rFonts w:ascii="Arial" w:hAnsi="Arial" w:cs="Arial"/>
        </w:rPr>
        <w:t>101 contained in sections 5.5(a) and 5.7(1)(a) of MI 61</w:t>
      </w:r>
      <w:r w:rsidRPr="003030DA">
        <w:rPr>
          <w:rFonts w:ascii="Cambria Math" w:hAnsi="Cambria Math" w:cs="Cambria Math"/>
        </w:rPr>
        <w:t>‑</w:t>
      </w:r>
      <w:r w:rsidRPr="00F44D67">
        <w:rPr>
          <w:rFonts w:ascii="Arial" w:hAnsi="Arial" w:cs="Arial"/>
        </w:rPr>
        <w:t>101 in respect of related party participation in the Financing as neither the fair market value (as determined under MI 61-101) of the subject matter of, nor the fair market value of the consideration for, the transaction, insofar as it involved the related party, exceeded 25% of the Company’s market capitalization (as determined under MI 61-101).  Further details will be included in a material change report to be filed by the Company. The Company did not file a material change report at least 21 days prior to the closing of the Financing as participation of the insider had not been confirmed at that time.</w:t>
      </w:r>
    </w:p>
    <w:p w14:paraId="5E87373B" w14:textId="77777777" w:rsidR="003030DA" w:rsidRPr="00F44D67" w:rsidRDefault="003030DA" w:rsidP="003030DA">
      <w:pPr>
        <w:jc w:val="both"/>
        <w:rPr>
          <w:rFonts w:ascii="Arial" w:hAnsi="Arial" w:cs="Arial"/>
        </w:rPr>
      </w:pPr>
    </w:p>
    <w:p w14:paraId="045EC36E" w14:textId="77777777" w:rsidR="003030DA" w:rsidRPr="00F44D67" w:rsidRDefault="003030DA" w:rsidP="003030DA">
      <w:pPr>
        <w:jc w:val="both"/>
        <w:rPr>
          <w:rFonts w:ascii="Arial" w:hAnsi="Arial" w:cs="Arial"/>
        </w:rPr>
      </w:pPr>
      <w:r w:rsidRPr="00F44D67">
        <w:rPr>
          <w:rFonts w:ascii="Arial" w:hAnsi="Arial" w:cs="Arial"/>
        </w:rPr>
        <w:t xml:space="preserve">The common shares issued by the Company pursuant to the Financing are subject to a hold period that expires on June 20, 2020. </w:t>
      </w:r>
    </w:p>
    <w:p w14:paraId="427C0324" w14:textId="77777777" w:rsidR="003030DA" w:rsidRPr="00F44D67" w:rsidRDefault="003030DA" w:rsidP="003030DA">
      <w:pPr>
        <w:jc w:val="both"/>
        <w:rPr>
          <w:rFonts w:ascii="Arial" w:hAnsi="Arial" w:cs="Arial"/>
        </w:rPr>
      </w:pPr>
    </w:p>
    <w:p w14:paraId="2A914E0D" w14:textId="77777777" w:rsidR="003030DA" w:rsidRPr="00F44D67" w:rsidRDefault="003030DA" w:rsidP="003030DA">
      <w:pPr>
        <w:jc w:val="both"/>
        <w:rPr>
          <w:rFonts w:ascii="Arial" w:hAnsi="Arial" w:cs="Arial"/>
        </w:rPr>
      </w:pPr>
      <w:r w:rsidRPr="00F44D67">
        <w:rPr>
          <w:rFonts w:ascii="Arial" w:hAnsi="Arial" w:cs="Arial"/>
        </w:rPr>
        <w:t>Finder’s fees totaling $38,296.04 were paid in connection with the Financing. The net proceeds from the Financing will be used for general working capital purposes.</w:t>
      </w:r>
    </w:p>
    <w:p w14:paraId="236C17A0" w14:textId="77777777" w:rsidR="003030DA" w:rsidRPr="00F44D67" w:rsidRDefault="003030DA" w:rsidP="003030DA">
      <w:pPr>
        <w:jc w:val="both"/>
        <w:rPr>
          <w:rFonts w:ascii="Arial" w:hAnsi="Arial" w:cs="Arial"/>
        </w:rPr>
      </w:pPr>
    </w:p>
    <w:p w14:paraId="04D312DF" w14:textId="77777777" w:rsidR="003030DA" w:rsidRPr="00F44D67" w:rsidRDefault="003030DA" w:rsidP="003030DA">
      <w:pPr>
        <w:jc w:val="both"/>
        <w:rPr>
          <w:rFonts w:ascii="Arial" w:hAnsi="Arial" w:cs="Arial"/>
        </w:rPr>
      </w:pPr>
      <w:r w:rsidRPr="00F44D67">
        <w:rPr>
          <w:rFonts w:ascii="Arial" w:hAnsi="Arial" w:cs="Arial"/>
          <w:b/>
          <w:bCs/>
        </w:rPr>
        <w:t xml:space="preserve">New Distribution Partners - Colorado &amp; Nevada.  </w:t>
      </w:r>
      <w:r w:rsidRPr="00F44D67">
        <w:rPr>
          <w:rFonts w:ascii="Arial" w:hAnsi="Arial" w:cs="Arial"/>
        </w:rPr>
        <w:t xml:space="preserve">The Company continues to develop its national distribution footprint by announcing that that it has added both Good Spirits Distribution of Henderson NV, and </w:t>
      </w:r>
      <w:proofErr w:type="spellStart"/>
      <w:r w:rsidRPr="00F44D67">
        <w:rPr>
          <w:rFonts w:ascii="Arial" w:hAnsi="Arial" w:cs="Arial"/>
        </w:rPr>
        <w:t>VinMarket</w:t>
      </w:r>
      <w:proofErr w:type="spellEnd"/>
      <w:r w:rsidRPr="00F44D67">
        <w:rPr>
          <w:rFonts w:ascii="Arial" w:hAnsi="Arial" w:cs="Arial"/>
        </w:rPr>
        <w:t xml:space="preserve"> Selections of Denver CO as partners to distribute CENTR, the Company’s sparkling citrus CBD beverage, to on-premise and retail accounts in Nevada and Colorado.</w:t>
      </w:r>
    </w:p>
    <w:p w14:paraId="30879BE7" w14:textId="77777777" w:rsidR="003030DA" w:rsidRPr="00F44D67" w:rsidRDefault="003030DA" w:rsidP="003030DA">
      <w:pPr>
        <w:jc w:val="both"/>
        <w:rPr>
          <w:rFonts w:ascii="Arial" w:hAnsi="Arial" w:cs="Arial"/>
        </w:rPr>
      </w:pPr>
    </w:p>
    <w:p w14:paraId="5D74AACF" w14:textId="77777777" w:rsidR="003030DA" w:rsidRPr="00F44D67" w:rsidRDefault="003030DA" w:rsidP="003030DA">
      <w:pPr>
        <w:spacing w:after="180"/>
        <w:jc w:val="both"/>
        <w:rPr>
          <w:rFonts w:ascii="Arial" w:hAnsi="Arial" w:cs="Arial"/>
          <w:b/>
        </w:rPr>
      </w:pPr>
      <w:r w:rsidRPr="00F44D67">
        <w:rPr>
          <w:rFonts w:ascii="Arial" w:hAnsi="Arial" w:cs="Arial"/>
        </w:rPr>
        <w:t xml:space="preserve">“CENTR continues to build a national sales footprint - we are excited to have Good Spirits and </w:t>
      </w:r>
      <w:proofErr w:type="spellStart"/>
      <w:r w:rsidRPr="00F44D67">
        <w:rPr>
          <w:rFonts w:ascii="Arial" w:hAnsi="Arial" w:cs="Arial"/>
        </w:rPr>
        <w:t>VinMarket</w:t>
      </w:r>
      <w:proofErr w:type="spellEnd"/>
      <w:r w:rsidRPr="00F44D67">
        <w:rPr>
          <w:rFonts w:ascii="Arial" w:hAnsi="Arial" w:cs="Arial"/>
        </w:rPr>
        <w:t xml:space="preserve"> as distribution partners” said Company CEO Joseph Meehan. “With CENTR already selling in over 650</w:t>
      </w:r>
      <w:r w:rsidRPr="00F44D67">
        <w:rPr>
          <w:rFonts w:ascii="Arial" w:hAnsi="Arial" w:cs="Arial"/>
          <w:b/>
          <w:bCs/>
        </w:rPr>
        <w:t xml:space="preserve"> </w:t>
      </w:r>
      <w:r w:rsidRPr="00F44D67">
        <w:rPr>
          <w:rFonts w:ascii="Arial" w:hAnsi="Arial" w:cs="Arial"/>
        </w:rPr>
        <w:t xml:space="preserve">stores in the western US, Colorado and Nevada present exciting opportunities to further our goal of helping everyone </w:t>
      </w:r>
      <w:r w:rsidRPr="00F44D67">
        <w:rPr>
          <w:rFonts w:ascii="Arial" w:hAnsi="Arial" w:cs="Arial"/>
          <w:i/>
          <w:iCs/>
        </w:rPr>
        <w:t>find their CENTR</w:t>
      </w:r>
      <w:r w:rsidRPr="00F44D67">
        <w:rPr>
          <w:rFonts w:ascii="Arial" w:hAnsi="Arial" w:cs="Arial"/>
        </w:rPr>
        <w:t>”.</w:t>
      </w:r>
    </w:p>
    <w:p w14:paraId="5FC9A263" w14:textId="77777777" w:rsidR="003030DA" w:rsidRPr="00F44D67" w:rsidRDefault="003030DA" w:rsidP="003030DA">
      <w:pPr>
        <w:spacing w:after="180"/>
        <w:jc w:val="both"/>
        <w:rPr>
          <w:rFonts w:ascii="Arial" w:hAnsi="Arial" w:cs="Arial"/>
        </w:rPr>
      </w:pPr>
      <w:r w:rsidRPr="00F44D67">
        <w:rPr>
          <w:rFonts w:ascii="Arial" w:hAnsi="Arial" w:cs="Arial"/>
          <w:b/>
        </w:rPr>
        <w:t xml:space="preserve">About CENTR Brands Corp. </w:t>
      </w:r>
      <w:r w:rsidRPr="00F44D67">
        <w:rPr>
          <w:rFonts w:ascii="Arial" w:hAnsi="Arial" w:cs="Arial"/>
        </w:rPr>
        <w:t xml:space="preserve">CENTR Brands Corp. is a better beverage company, involved in the development and marketing of non-alcoholic beverages for the global market. The Company’s first product, named CENTR, is a sparkling, low-calorie, cannabidiol (CBD) infused beverage. </w:t>
      </w:r>
    </w:p>
    <w:p w14:paraId="55678BFA" w14:textId="77777777" w:rsidR="003030DA" w:rsidRPr="00F44D67" w:rsidRDefault="003030DA" w:rsidP="003030DA">
      <w:pPr>
        <w:spacing w:after="180"/>
        <w:jc w:val="both"/>
        <w:rPr>
          <w:rFonts w:ascii="Arial" w:hAnsi="Arial" w:cs="Arial"/>
        </w:rPr>
      </w:pPr>
      <w:hyperlink r:id="rId12" w:history="1">
        <w:r w:rsidRPr="00F44D67">
          <w:rPr>
            <w:rStyle w:val="Hyperlink"/>
            <w:rFonts w:ascii="Arial" w:hAnsi="Arial" w:cs="Arial"/>
          </w:rPr>
          <w:t>www.findyourcentr.com</w:t>
        </w:r>
      </w:hyperlink>
      <w:r w:rsidRPr="00F44D67">
        <w:rPr>
          <w:rFonts w:ascii="Arial" w:hAnsi="Arial" w:cs="Arial"/>
        </w:rPr>
        <w:t xml:space="preserve"> </w:t>
      </w:r>
    </w:p>
    <w:p w14:paraId="0071D1C3" w14:textId="77777777" w:rsidR="003030DA" w:rsidRPr="00F44D67" w:rsidRDefault="003030DA" w:rsidP="003030DA">
      <w:pPr>
        <w:spacing w:after="180"/>
        <w:jc w:val="both"/>
        <w:rPr>
          <w:rFonts w:ascii="Arial" w:hAnsi="Arial" w:cs="Arial"/>
        </w:rPr>
      </w:pPr>
      <w:r w:rsidRPr="00F44D67">
        <w:rPr>
          <w:rFonts w:ascii="Arial" w:hAnsi="Arial" w:cs="Arial"/>
        </w:rPr>
        <w:t>For further information, contact Joseph Meehan at 1.604.733.1514.</w:t>
      </w:r>
    </w:p>
    <w:p w14:paraId="2988D472" w14:textId="77777777" w:rsidR="003030DA" w:rsidRPr="00F44D67" w:rsidRDefault="003030DA" w:rsidP="003030DA">
      <w:pPr>
        <w:spacing w:after="180"/>
        <w:rPr>
          <w:rFonts w:ascii="Arial" w:hAnsi="Arial" w:cs="Arial"/>
        </w:rPr>
      </w:pPr>
      <w:r w:rsidRPr="00F44D67">
        <w:rPr>
          <w:rFonts w:ascii="Arial" w:hAnsi="Arial" w:cs="Arial"/>
        </w:rPr>
        <w:t>On behalf of the Board,</w:t>
      </w:r>
    </w:p>
    <w:p w14:paraId="33462315" w14:textId="4C5E66C7" w:rsidR="003030DA" w:rsidRPr="00F44D67" w:rsidRDefault="003030DA" w:rsidP="003030DA">
      <w:pPr>
        <w:spacing w:after="180"/>
        <w:rPr>
          <w:rFonts w:ascii="Arial" w:hAnsi="Arial" w:cs="Arial"/>
          <w:b/>
        </w:rPr>
      </w:pPr>
      <w:r w:rsidRPr="00F44D67">
        <w:rPr>
          <w:rFonts w:ascii="Arial" w:hAnsi="Arial" w:cs="Arial"/>
          <w:b/>
        </w:rPr>
        <w:t>CENTR BRANDS CORP.</w:t>
      </w:r>
    </w:p>
    <w:p w14:paraId="748E11AB" w14:textId="0E52EFCF" w:rsidR="009F1173" w:rsidRPr="006E05EF" w:rsidRDefault="003030DA" w:rsidP="009F1173">
      <w:pPr>
        <w:rPr>
          <w:rFonts w:ascii="Open Sans Light" w:hAnsi="Open Sans Light" w:cs="Futura Medium"/>
        </w:rPr>
      </w:pPr>
      <w:r w:rsidRPr="00F44D67">
        <w:rPr>
          <w:rFonts w:ascii="Arial" w:hAnsi="Arial" w:cs="Arial"/>
        </w:rPr>
        <w:t>Joseph Meehan, Chief Executive Officer</w:t>
      </w:r>
      <w:bookmarkStart w:id="7" w:name="_30j0zll" w:colFirst="0" w:colLast="0"/>
      <w:bookmarkEnd w:id="7"/>
    </w:p>
    <w:p w14:paraId="45F5DCFC" w14:textId="77777777" w:rsidR="00B70B7F" w:rsidRDefault="00B70B7F">
      <w:pPr>
        <w:rPr>
          <w:sz w:val="24"/>
          <w:szCs w:val="24"/>
        </w:rPr>
      </w:pPr>
    </w:p>
    <w:sectPr w:rsidR="00B70B7F" w:rsidSect="000A1AB1">
      <w:footerReference w:type="defaul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96E6" w14:textId="77777777" w:rsidR="00BC2C83" w:rsidRDefault="00BC2C83">
      <w:r>
        <w:separator/>
      </w:r>
    </w:p>
  </w:endnote>
  <w:endnote w:type="continuationSeparator" w:id="0">
    <w:p w14:paraId="696C2E9A" w14:textId="77777777" w:rsidR="00BC2C83" w:rsidRDefault="00BC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Open Sans Light">
    <w:altName w:val="Calibri"/>
    <w:panose1 w:val="020B0604020202020204"/>
    <w:charset w:val="00"/>
    <w:family w:val="auto"/>
    <w:pitch w:val="variable"/>
    <w:sig w:usb0="E00002EF" w:usb1="4000205B" w:usb2="00000028" w:usb3="00000000" w:csb0="0000019F" w:csb1="00000000"/>
  </w:font>
  <w:font w:name="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4545CCBC" w:rsidR="00640E94" w:rsidRPr="006D1A06" w:rsidRDefault="0076167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9F5855">
      <w:rPr>
        <w:rStyle w:val="PageNumber"/>
        <w:rFonts w:ascii="Arial" w:hAnsi="Arial" w:cs="Arial"/>
        <w:sz w:val="16"/>
        <w:szCs w:val="16"/>
      </w:rPr>
      <w:t xml:space="preserve"> </w:t>
    </w:r>
    <w:r w:rsidR="00E56CCA">
      <w:rPr>
        <w:rStyle w:val="PageNumber"/>
        <w:rFonts w:ascii="Arial" w:hAnsi="Arial" w:cs="Arial"/>
        <w:sz w:val="16"/>
        <w:szCs w:val="16"/>
      </w:rPr>
      <w:t>20</w:t>
    </w:r>
    <w:r w:rsidR="0036670C">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4AB7" w14:textId="77777777" w:rsidR="00BC2C83" w:rsidRDefault="00BC2C83">
      <w:r>
        <w:separator/>
      </w:r>
    </w:p>
  </w:footnote>
  <w:footnote w:type="continuationSeparator" w:id="0">
    <w:p w14:paraId="5500F98F" w14:textId="77777777" w:rsidR="00BC2C83" w:rsidRDefault="00BC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7"/>
  </w:num>
  <w:num w:numId="9">
    <w:abstractNumId w:val="20"/>
  </w:num>
  <w:num w:numId="10">
    <w:abstractNumId w:val="10"/>
  </w:num>
  <w:num w:numId="11">
    <w:abstractNumId w:val="14"/>
  </w:num>
  <w:num w:numId="12">
    <w:abstractNumId w:val="15"/>
  </w:num>
  <w:num w:numId="13">
    <w:abstractNumId w:val="29"/>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2"/>
  </w:num>
  <w:num w:numId="24">
    <w:abstractNumId w:val="19"/>
  </w:num>
  <w:num w:numId="25">
    <w:abstractNumId w:val="4"/>
  </w:num>
  <w:num w:numId="26">
    <w:abstractNumId w:val="28"/>
  </w:num>
  <w:num w:numId="27">
    <w:abstractNumId w:val="31"/>
  </w:num>
  <w:num w:numId="28">
    <w:abstractNumId w:val="5"/>
  </w:num>
  <w:num w:numId="29">
    <w:abstractNumId w:val="11"/>
  </w:num>
  <w:num w:numId="30">
    <w:abstractNumId w:val="25"/>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223C1"/>
    <w:rsid w:val="00026687"/>
    <w:rsid w:val="000337DA"/>
    <w:rsid w:val="00036E6A"/>
    <w:rsid w:val="00066BA6"/>
    <w:rsid w:val="00081A11"/>
    <w:rsid w:val="000903D9"/>
    <w:rsid w:val="00093B61"/>
    <w:rsid w:val="000A1AB1"/>
    <w:rsid w:val="000A1DA0"/>
    <w:rsid w:val="000C0B9B"/>
    <w:rsid w:val="000C2077"/>
    <w:rsid w:val="000C22AB"/>
    <w:rsid w:val="000C7663"/>
    <w:rsid w:val="000D2E12"/>
    <w:rsid w:val="000D5BD8"/>
    <w:rsid w:val="000D5E87"/>
    <w:rsid w:val="001069AD"/>
    <w:rsid w:val="00120CAC"/>
    <w:rsid w:val="00134488"/>
    <w:rsid w:val="00147A15"/>
    <w:rsid w:val="001504B2"/>
    <w:rsid w:val="00160A04"/>
    <w:rsid w:val="0016645E"/>
    <w:rsid w:val="001673C0"/>
    <w:rsid w:val="00170123"/>
    <w:rsid w:val="00171975"/>
    <w:rsid w:val="00185577"/>
    <w:rsid w:val="00185933"/>
    <w:rsid w:val="001933B6"/>
    <w:rsid w:val="001A3D61"/>
    <w:rsid w:val="001A648A"/>
    <w:rsid w:val="001C71CB"/>
    <w:rsid w:val="001E015B"/>
    <w:rsid w:val="001E4233"/>
    <w:rsid w:val="001E4B86"/>
    <w:rsid w:val="001F4BD5"/>
    <w:rsid w:val="0020186B"/>
    <w:rsid w:val="002023FE"/>
    <w:rsid w:val="00214FA1"/>
    <w:rsid w:val="00236CC7"/>
    <w:rsid w:val="00247E1D"/>
    <w:rsid w:val="00261989"/>
    <w:rsid w:val="00285613"/>
    <w:rsid w:val="002A1BEE"/>
    <w:rsid w:val="002B52DE"/>
    <w:rsid w:val="002B7EFA"/>
    <w:rsid w:val="002C281E"/>
    <w:rsid w:val="002C7760"/>
    <w:rsid w:val="002E1E2F"/>
    <w:rsid w:val="002F00EB"/>
    <w:rsid w:val="002F56AD"/>
    <w:rsid w:val="003012F4"/>
    <w:rsid w:val="00302B6F"/>
    <w:rsid w:val="003030DA"/>
    <w:rsid w:val="00320083"/>
    <w:rsid w:val="003235C0"/>
    <w:rsid w:val="0033023B"/>
    <w:rsid w:val="00331C91"/>
    <w:rsid w:val="0036670C"/>
    <w:rsid w:val="003669A9"/>
    <w:rsid w:val="00371597"/>
    <w:rsid w:val="00371A64"/>
    <w:rsid w:val="003720A0"/>
    <w:rsid w:val="0037628D"/>
    <w:rsid w:val="00377E01"/>
    <w:rsid w:val="003809B8"/>
    <w:rsid w:val="00382C89"/>
    <w:rsid w:val="00387FA8"/>
    <w:rsid w:val="00396762"/>
    <w:rsid w:val="003A3305"/>
    <w:rsid w:val="003B1E46"/>
    <w:rsid w:val="003C1CA2"/>
    <w:rsid w:val="003D7B4F"/>
    <w:rsid w:val="003D7BEB"/>
    <w:rsid w:val="003E189C"/>
    <w:rsid w:val="003F2702"/>
    <w:rsid w:val="003F337A"/>
    <w:rsid w:val="00401CC4"/>
    <w:rsid w:val="0040443F"/>
    <w:rsid w:val="00404CB4"/>
    <w:rsid w:val="0040755A"/>
    <w:rsid w:val="00414838"/>
    <w:rsid w:val="00424505"/>
    <w:rsid w:val="004301D6"/>
    <w:rsid w:val="00443B08"/>
    <w:rsid w:val="00446DA4"/>
    <w:rsid w:val="004700C5"/>
    <w:rsid w:val="004C74CC"/>
    <w:rsid w:val="004D0170"/>
    <w:rsid w:val="004D1EF2"/>
    <w:rsid w:val="004D705C"/>
    <w:rsid w:val="004E4EB9"/>
    <w:rsid w:val="004E5BF6"/>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E3940"/>
    <w:rsid w:val="005F3B9B"/>
    <w:rsid w:val="005F6D8F"/>
    <w:rsid w:val="00600A14"/>
    <w:rsid w:val="00602029"/>
    <w:rsid w:val="00604037"/>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A06FE"/>
    <w:rsid w:val="006A0C47"/>
    <w:rsid w:val="006A34A3"/>
    <w:rsid w:val="006A7FF9"/>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6267"/>
    <w:rsid w:val="00761672"/>
    <w:rsid w:val="00765561"/>
    <w:rsid w:val="00776E09"/>
    <w:rsid w:val="00791EF5"/>
    <w:rsid w:val="007C51D5"/>
    <w:rsid w:val="007C5559"/>
    <w:rsid w:val="007C7563"/>
    <w:rsid w:val="007E1BD3"/>
    <w:rsid w:val="007E715C"/>
    <w:rsid w:val="007F3722"/>
    <w:rsid w:val="007F37C3"/>
    <w:rsid w:val="00805763"/>
    <w:rsid w:val="00817A06"/>
    <w:rsid w:val="00821708"/>
    <w:rsid w:val="00823CF7"/>
    <w:rsid w:val="00826D32"/>
    <w:rsid w:val="00832C64"/>
    <w:rsid w:val="00842D64"/>
    <w:rsid w:val="00854186"/>
    <w:rsid w:val="00862DEF"/>
    <w:rsid w:val="00863498"/>
    <w:rsid w:val="008647C8"/>
    <w:rsid w:val="00867060"/>
    <w:rsid w:val="008802F9"/>
    <w:rsid w:val="00881CC1"/>
    <w:rsid w:val="00883163"/>
    <w:rsid w:val="008853BB"/>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14F17"/>
    <w:rsid w:val="009218C4"/>
    <w:rsid w:val="0092293D"/>
    <w:rsid w:val="00922A46"/>
    <w:rsid w:val="009259B1"/>
    <w:rsid w:val="00931BCA"/>
    <w:rsid w:val="00934912"/>
    <w:rsid w:val="0094186C"/>
    <w:rsid w:val="009507DB"/>
    <w:rsid w:val="00952B9E"/>
    <w:rsid w:val="0095345A"/>
    <w:rsid w:val="0096234E"/>
    <w:rsid w:val="00981656"/>
    <w:rsid w:val="009832CF"/>
    <w:rsid w:val="0098761D"/>
    <w:rsid w:val="0098784C"/>
    <w:rsid w:val="00991781"/>
    <w:rsid w:val="009922E5"/>
    <w:rsid w:val="00993923"/>
    <w:rsid w:val="009A3720"/>
    <w:rsid w:val="009B1FA2"/>
    <w:rsid w:val="009B3FE0"/>
    <w:rsid w:val="009B6A3F"/>
    <w:rsid w:val="009C3C1E"/>
    <w:rsid w:val="009C7E39"/>
    <w:rsid w:val="009D25DD"/>
    <w:rsid w:val="009E4115"/>
    <w:rsid w:val="009E5D8D"/>
    <w:rsid w:val="009F1173"/>
    <w:rsid w:val="009F469B"/>
    <w:rsid w:val="009F5855"/>
    <w:rsid w:val="009F7D8F"/>
    <w:rsid w:val="00A11A5A"/>
    <w:rsid w:val="00A21AFD"/>
    <w:rsid w:val="00A46570"/>
    <w:rsid w:val="00A47914"/>
    <w:rsid w:val="00A74854"/>
    <w:rsid w:val="00A81E8B"/>
    <w:rsid w:val="00A87979"/>
    <w:rsid w:val="00A9673D"/>
    <w:rsid w:val="00A97F54"/>
    <w:rsid w:val="00AB2C7E"/>
    <w:rsid w:val="00AB37F0"/>
    <w:rsid w:val="00AC0830"/>
    <w:rsid w:val="00AC1129"/>
    <w:rsid w:val="00AC62D2"/>
    <w:rsid w:val="00AD061D"/>
    <w:rsid w:val="00AE3D43"/>
    <w:rsid w:val="00B01260"/>
    <w:rsid w:val="00B10146"/>
    <w:rsid w:val="00B14600"/>
    <w:rsid w:val="00B21FCC"/>
    <w:rsid w:val="00B221DB"/>
    <w:rsid w:val="00B340B8"/>
    <w:rsid w:val="00B431F1"/>
    <w:rsid w:val="00B4522F"/>
    <w:rsid w:val="00B70B7F"/>
    <w:rsid w:val="00B75173"/>
    <w:rsid w:val="00B76B0A"/>
    <w:rsid w:val="00B8334C"/>
    <w:rsid w:val="00B8747D"/>
    <w:rsid w:val="00B96D6D"/>
    <w:rsid w:val="00BB2A98"/>
    <w:rsid w:val="00BC2C83"/>
    <w:rsid w:val="00BD26A1"/>
    <w:rsid w:val="00BE50B0"/>
    <w:rsid w:val="00BF6E14"/>
    <w:rsid w:val="00C042CA"/>
    <w:rsid w:val="00C27A18"/>
    <w:rsid w:val="00C325DC"/>
    <w:rsid w:val="00C35217"/>
    <w:rsid w:val="00C4267A"/>
    <w:rsid w:val="00C60CC1"/>
    <w:rsid w:val="00C6383E"/>
    <w:rsid w:val="00C83E3E"/>
    <w:rsid w:val="00CA405A"/>
    <w:rsid w:val="00CA6373"/>
    <w:rsid w:val="00CB6548"/>
    <w:rsid w:val="00CF5383"/>
    <w:rsid w:val="00D07BE1"/>
    <w:rsid w:val="00D134DC"/>
    <w:rsid w:val="00D14D0F"/>
    <w:rsid w:val="00D21BD0"/>
    <w:rsid w:val="00D2476B"/>
    <w:rsid w:val="00D270F5"/>
    <w:rsid w:val="00D27D57"/>
    <w:rsid w:val="00D32294"/>
    <w:rsid w:val="00D438F4"/>
    <w:rsid w:val="00D56F0F"/>
    <w:rsid w:val="00D758E6"/>
    <w:rsid w:val="00D87F45"/>
    <w:rsid w:val="00D90E7B"/>
    <w:rsid w:val="00DA0647"/>
    <w:rsid w:val="00DA25B2"/>
    <w:rsid w:val="00DA734B"/>
    <w:rsid w:val="00DB41E4"/>
    <w:rsid w:val="00DC0265"/>
    <w:rsid w:val="00DC3C96"/>
    <w:rsid w:val="00DD0B86"/>
    <w:rsid w:val="00DD1B47"/>
    <w:rsid w:val="00DD499C"/>
    <w:rsid w:val="00DE481D"/>
    <w:rsid w:val="00DF5213"/>
    <w:rsid w:val="00E0414F"/>
    <w:rsid w:val="00E05399"/>
    <w:rsid w:val="00E12215"/>
    <w:rsid w:val="00E13990"/>
    <w:rsid w:val="00E3298F"/>
    <w:rsid w:val="00E36141"/>
    <w:rsid w:val="00E3707C"/>
    <w:rsid w:val="00E50A7F"/>
    <w:rsid w:val="00E56CCA"/>
    <w:rsid w:val="00E60DCF"/>
    <w:rsid w:val="00E7358C"/>
    <w:rsid w:val="00E74714"/>
    <w:rsid w:val="00E80899"/>
    <w:rsid w:val="00E8106F"/>
    <w:rsid w:val="00E83E58"/>
    <w:rsid w:val="00E84803"/>
    <w:rsid w:val="00E960E3"/>
    <w:rsid w:val="00E9775E"/>
    <w:rsid w:val="00EB7312"/>
    <w:rsid w:val="00ED168C"/>
    <w:rsid w:val="00EE1857"/>
    <w:rsid w:val="00EE461C"/>
    <w:rsid w:val="00EF1A1F"/>
    <w:rsid w:val="00F00BE7"/>
    <w:rsid w:val="00F01FCC"/>
    <w:rsid w:val="00F07FFC"/>
    <w:rsid w:val="00F1406C"/>
    <w:rsid w:val="00F14944"/>
    <w:rsid w:val="00F1611A"/>
    <w:rsid w:val="00F1720E"/>
    <w:rsid w:val="00F17A96"/>
    <w:rsid w:val="00F30F67"/>
    <w:rsid w:val="00F35C39"/>
    <w:rsid w:val="00F44D67"/>
    <w:rsid w:val="00F61E80"/>
    <w:rsid w:val="00F621FD"/>
    <w:rsid w:val="00F62777"/>
    <w:rsid w:val="00F86352"/>
    <w:rsid w:val="00F902DC"/>
    <w:rsid w:val="00F934E2"/>
    <w:rsid w:val="00F9420C"/>
    <w:rsid w:val="00FA02AD"/>
    <w:rsid w:val="00FA41C0"/>
    <w:rsid w:val="00FB2034"/>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semiHidden/>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dyourcent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5</cp:revision>
  <cp:lastPrinted>2018-12-04T09:34:00Z</cp:lastPrinted>
  <dcterms:created xsi:type="dcterms:W3CDTF">2020-03-04T23:12:00Z</dcterms:created>
  <dcterms:modified xsi:type="dcterms:W3CDTF">2020-03-05T00:05:00Z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