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22A55721"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8D1C6C" w:rsidRPr="008D1C6C">
        <w:rPr>
          <w:rFonts w:ascii="Arial" w:hAnsi="Arial" w:cs="Arial"/>
          <w:color w:val="000000"/>
          <w:sz w:val="22"/>
          <w:szCs w:val="22"/>
        </w:rPr>
        <w:t>319,906,404.6238</w:t>
      </w:r>
      <w:r w:rsidR="003C4F54">
        <w:rPr>
          <w:rFonts w:ascii="Arial" w:hAnsi="Arial" w:cs="Arial"/>
          <w:color w:val="000000"/>
          <w:sz w:val="22"/>
          <w:szCs w:val="22"/>
        </w:rPr>
        <w:t xml:space="preserve"> </w:t>
      </w:r>
      <w:r w:rsidR="00BA1174" w:rsidRPr="00793E2F">
        <w:rPr>
          <w:rFonts w:ascii="Arial" w:hAnsi="Arial" w:cs="Arial"/>
          <w:color w:val="000000"/>
          <w:sz w:val="22"/>
          <w:szCs w:val="22"/>
        </w:rPr>
        <w:t>Class A subordinate voting shares</w:t>
      </w:r>
      <w:r w:rsidR="00E003CF">
        <w:rPr>
          <w:rFonts w:ascii="Arial" w:hAnsi="Arial" w:cs="Arial"/>
          <w:color w:val="000000"/>
          <w:sz w:val="22"/>
          <w:szCs w:val="22"/>
        </w:rPr>
        <w:t xml:space="preserve"> (“</w:t>
      </w:r>
      <w:r w:rsidR="00E003CF" w:rsidRPr="00E2017F">
        <w:rPr>
          <w:rFonts w:ascii="Arial" w:hAnsi="Arial" w:cs="Arial"/>
          <w:b/>
          <w:bCs/>
          <w:color w:val="000000"/>
          <w:sz w:val="22"/>
          <w:szCs w:val="22"/>
        </w:rPr>
        <w:t>SV Shares</w:t>
      </w:r>
      <w:r w:rsidR="00E003CF">
        <w:rPr>
          <w:rFonts w:ascii="Arial" w:hAnsi="Arial" w:cs="Arial"/>
          <w:color w:val="000000"/>
          <w:sz w:val="22"/>
          <w:szCs w:val="22"/>
        </w:rPr>
        <w:t>”)</w:t>
      </w:r>
      <w:r w:rsidR="00577204" w:rsidRPr="00793E2F">
        <w:rPr>
          <w:rFonts w:ascii="Arial" w:hAnsi="Arial" w:cs="Arial"/>
          <w:color w:val="000000"/>
          <w:sz w:val="22"/>
          <w:szCs w:val="22"/>
        </w:rPr>
        <w:t xml:space="preserve"> </w:t>
      </w:r>
    </w:p>
    <w:p w14:paraId="77D28D7A" w14:textId="092812DA"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A0437C">
        <w:rPr>
          <w:rFonts w:ascii="Arial" w:hAnsi="Arial" w:cs="Arial"/>
          <w:color w:val="000000"/>
          <w:sz w:val="22"/>
          <w:szCs w:val="22"/>
        </w:rPr>
        <w:t>September</w:t>
      </w:r>
      <w:r w:rsidR="00734CDC">
        <w:rPr>
          <w:rFonts w:ascii="Arial" w:hAnsi="Arial" w:cs="Arial"/>
          <w:color w:val="000000"/>
          <w:sz w:val="22"/>
          <w:szCs w:val="22"/>
        </w:rPr>
        <w:t xml:space="preserve"> </w:t>
      </w:r>
      <w:r w:rsidR="0095165D">
        <w:rPr>
          <w:rFonts w:ascii="Arial" w:hAnsi="Arial" w:cs="Arial"/>
          <w:color w:val="000000"/>
          <w:sz w:val="22"/>
          <w:szCs w:val="22"/>
        </w:rPr>
        <w:t>2</w:t>
      </w:r>
      <w:r w:rsidR="007C4F7F" w:rsidRPr="00C22493">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31A77" w:rsidRPr="00793E2F">
        <w:rPr>
          <w:rFonts w:ascii="Arial" w:hAnsi="Arial" w:cs="Arial"/>
          <w:color w:val="000000"/>
          <w:sz w:val="22"/>
          <w:szCs w:val="22"/>
        </w:rPr>
        <w:t>2</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5E9A0F5B" w14:textId="4FBA959A" w:rsidR="00865E19" w:rsidRDefault="00865E19" w:rsidP="00865E19">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August 4, 2022, the Issuer </w:t>
      </w:r>
      <w:r w:rsidRPr="00B34ED6">
        <w:rPr>
          <w:rFonts w:ascii="Arial" w:hAnsi="Arial" w:cs="Arial"/>
          <w:sz w:val="22"/>
          <w:szCs w:val="22"/>
          <w:lang w:val="en-US"/>
        </w:rPr>
        <w:t xml:space="preserve">announced the opening </w:t>
      </w:r>
      <w:r w:rsidRPr="00793E2F">
        <w:rPr>
          <w:rFonts w:ascii="Arial" w:hAnsi="Arial" w:cs="Arial"/>
          <w:sz w:val="22"/>
          <w:szCs w:val="22"/>
          <w:lang w:val="en-US"/>
        </w:rPr>
        <w:t>of</w:t>
      </w:r>
      <w:r>
        <w:rPr>
          <w:rFonts w:ascii="Arial" w:hAnsi="Arial" w:cs="Arial"/>
          <w:sz w:val="22"/>
          <w:szCs w:val="22"/>
          <w:lang w:val="en-US"/>
        </w:rPr>
        <w:t xml:space="preserve"> </w:t>
      </w:r>
      <w:r w:rsidR="00AD1078">
        <w:rPr>
          <w:rFonts w:ascii="Arial" w:hAnsi="Arial" w:cs="Arial"/>
          <w:sz w:val="22"/>
          <w:szCs w:val="22"/>
          <w:lang w:val="en-US"/>
        </w:rPr>
        <w:t>its</w:t>
      </w:r>
      <w:r w:rsidR="00AD1078" w:rsidRPr="00AD1078">
        <w:rPr>
          <w:rFonts w:ascii="Arial" w:hAnsi="Arial" w:cs="Arial"/>
          <w:sz w:val="22"/>
          <w:szCs w:val="22"/>
          <w:lang w:val="en-US"/>
        </w:rPr>
        <w:t xml:space="preserve"> new Maryland location, Zen Leaf Elkridge</w:t>
      </w:r>
      <w:r w:rsidR="00B73AD8">
        <w:rPr>
          <w:rFonts w:ascii="Arial" w:hAnsi="Arial" w:cs="Arial"/>
          <w:sz w:val="22"/>
          <w:szCs w:val="22"/>
          <w:lang w:val="en-US"/>
        </w:rPr>
        <w:t xml:space="preserve">, which is the </w:t>
      </w:r>
      <w:r w:rsidR="00B73AD8" w:rsidRPr="00B73AD8">
        <w:rPr>
          <w:rFonts w:ascii="Arial" w:hAnsi="Arial" w:cs="Arial"/>
          <w:sz w:val="22"/>
          <w:szCs w:val="22"/>
          <w:lang w:val="en-US"/>
        </w:rPr>
        <w:t>first medical cannabis dispensary</w:t>
      </w:r>
      <w:r w:rsidR="00B73AD8">
        <w:rPr>
          <w:rFonts w:ascii="Arial" w:hAnsi="Arial" w:cs="Arial"/>
          <w:sz w:val="22"/>
          <w:szCs w:val="22"/>
          <w:lang w:val="en-US"/>
        </w:rPr>
        <w:t xml:space="preserve"> to open</w:t>
      </w:r>
      <w:r w:rsidR="00B73AD8" w:rsidRPr="00B73AD8">
        <w:rPr>
          <w:rFonts w:ascii="Arial" w:hAnsi="Arial" w:cs="Arial"/>
          <w:sz w:val="22"/>
          <w:szCs w:val="22"/>
          <w:lang w:val="en-US"/>
        </w:rPr>
        <w:t xml:space="preserve"> in the city</w:t>
      </w:r>
      <w:r w:rsidR="00B73AD8">
        <w:rPr>
          <w:rFonts w:ascii="Arial" w:hAnsi="Arial" w:cs="Arial"/>
          <w:sz w:val="22"/>
          <w:szCs w:val="22"/>
          <w:lang w:val="en-US"/>
        </w:rPr>
        <w:t>.</w:t>
      </w:r>
      <w:r>
        <w:rPr>
          <w:rFonts w:ascii="Arial" w:hAnsi="Arial" w:cs="Arial"/>
          <w:sz w:val="22"/>
          <w:szCs w:val="22"/>
          <w:lang w:val="en-US"/>
        </w:rPr>
        <w:t xml:space="preserve"> </w:t>
      </w:r>
      <w:r w:rsidR="00B73AD8">
        <w:rPr>
          <w:rFonts w:ascii="Arial" w:hAnsi="Arial" w:cs="Arial"/>
          <w:sz w:val="22"/>
          <w:szCs w:val="22"/>
          <w:lang w:val="en-US"/>
        </w:rPr>
        <w:t>Zen Leaf Elkridge is the</w:t>
      </w:r>
      <w:r>
        <w:rPr>
          <w:rFonts w:ascii="Arial" w:hAnsi="Arial" w:cs="Arial"/>
          <w:sz w:val="22"/>
          <w:szCs w:val="22"/>
          <w:lang w:val="en-US"/>
        </w:rPr>
        <w:t xml:space="preserve"> 10</w:t>
      </w:r>
      <w:r w:rsidR="00B73AD8">
        <w:rPr>
          <w:rFonts w:ascii="Arial" w:hAnsi="Arial" w:cs="Arial"/>
          <w:sz w:val="22"/>
          <w:szCs w:val="22"/>
          <w:lang w:val="en-US"/>
        </w:rPr>
        <w:t>7</w:t>
      </w:r>
      <w:r w:rsidRPr="00B61161">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Pr>
          <w:rFonts w:ascii="Arial" w:hAnsi="Arial" w:cs="Arial"/>
          <w:sz w:val="22"/>
          <w:szCs w:val="22"/>
          <w:lang w:val="en-US"/>
        </w:rPr>
        <w:t xml:space="preserve">.  </w:t>
      </w:r>
      <w:r w:rsidRPr="00D21ACB">
        <w:rPr>
          <w:rFonts w:ascii="Arial" w:hAnsi="Arial" w:cs="Arial"/>
          <w:sz w:val="22"/>
          <w:szCs w:val="22"/>
          <w:lang w:val="en-US"/>
        </w:rPr>
        <w:t xml:space="preserve">Zen Leaf </w:t>
      </w:r>
      <w:r w:rsidR="00B73AD8">
        <w:rPr>
          <w:rFonts w:ascii="Arial" w:hAnsi="Arial" w:cs="Arial"/>
          <w:sz w:val="22"/>
          <w:szCs w:val="22"/>
          <w:lang w:val="en-US"/>
        </w:rPr>
        <w:t>Elkridge</w:t>
      </w:r>
      <w:r w:rsidRPr="00D21ACB">
        <w:rPr>
          <w:rFonts w:ascii="Arial" w:hAnsi="Arial" w:cs="Arial"/>
          <w:sz w:val="22"/>
          <w:szCs w:val="22"/>
          <w:lang w:val="en-US"/>
        </w:rPr>
        <w:t xml:space="preserve"> offer</w:t>
      </w:r>
      <w:r>
        <w:rPr>
          <w:rFonts w:ascii="Arial" w:hAnsi="Arial" w:cs="Arial"/>
          <w:sz w:val="22"/>
          <w:szCs w:val="22"/>
          <w:lang w:val="en-US"/>
        </w:rPr>
        <w:t>s</w:t>
      </w:r>
      <w:r w:rsidRPr="00D21ACB">
        <w:rPr>
          <w:rFonts w:ascii="Arial" w:hAnsi="Arial" w:cs="Arial"/>
          <w:sz w:val="22"/>
          <w:szCs w:val="22"/>
          <w:lang w:val="en-US"/>
        </w:rPr>
        <w:t xml:space="preserve"> a variety of cannabis therapeutics, including flower, topicals, edibles, and vapes.</w:t>
      </w:r>
    </w:p>
    <w:p w14:paraId="2947EC0F" w14:textId="2469B686" w:rsidR="00865E19" w:rsidRPr="005475FE" w:rsidRDefault="003B66EC" w:rsidP="002D563E">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w:t>
      </w:r>
      <w:r>
        <w:rPr>
          <w:rFonts w:ascii="Arial" w:hAnsi="Arial" w:cs="Arial"/>
          <w:sz w:val="22"/>
          <w:szCs w:val="22"/>
          <w:lang w:val="en-US"/>
        </w:rPr>
        <w:t>August 5</w:t>
      </w:r>
      <w:r w:rsidRPr="00B34ED6">
        <w:rPr>
          <w:rFonts w:ascii="Arial" w:hAnsi="Arial" w:cs="Arial"/>
          <w:sz w:val="22"/>
          <w:szCs w:val="22"/>
          <w:lang w:val="en-US"/>
        </w:rPr>
        <w:t xml:space="preserve">, 2022, 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Pr>
          <w:rFonts w:ascii="Arial" w:hAnsi="Arial" w:cs="Arial"/>
          <w:sz w:val="22"/>
          <w:szCs w:val="22"/>
          <w:lang w:val="en-US"/>
        </w:rPr>
        <w:t>Tampa Himes, the Issuer’s 54</w:t>
      </w:r>
      <w:r w:rsidRPr="00B34ED6">
        <w:rPr>
          <w:rFonts w:ascii="Arial" w:hAnsi="Arial" w:cs="Arial"/>
          <w:sz w:val="22"/>
          <w:szCs w:val="22"/>
          <w:vertAlign w:val="superscript"/>
          <w:lang w:val="en-US"/>
        </w:rPr>
        <w:t>th</w:t>
      </w:r>
      <w:r>
        <w:rPr>
          <w:rFonts w:ascii="Arial" w:hAnsi="Arial" w:cs="Arial"/>
          <w:sz w:val="22"/>
          <w:szCs w:val="22"/>
          <w:lang w:val="en-US"/>
        </w:rPr>
        <w:t xml:space="preserve"> Florida location and</w:t>
      </w:r>
      <w:r w:rsidRPr="00165A4A">
        <w:rPr>
          <w:rFonts w:ascii="Arial" w:hAnsi="Arial" w:cs="Arial"/>
          <w:sz w:val="22"/>
          <w:szCs w:val="22"/>
          <w:lang w:val="en-US"/>
        </w:rPr>
        <w:t xml:space="preserve"> </w:t>
      </w:r>
      <w:r w:rsidR="008229EA">
        <w:rPr>
          <w:rFonts w:ascii="Arial" w:hAnsi="Arial" w:cs="Arial"/>
          <w:sz w:val="22"/>
          <w:szCs w:val="22"/>
          <w:lang w:val="en-US"/>
        </w:rPr>
        <w:t>108</w:t>
      </w:r>
      <w:r w:rsidR="008229EA" w:rsidRPr="008229EA">
        <w:rPr>
          <w:rFonts w:ascii="Arial" w:hAnsi="Arial" w:cs="Arial"/>
          <w:sz w:val="22"/>
          <w:szCs w:val="22"/>
          <w:vertAlign w:val="superscript"/>
          <w:lang w:val="en-US"/>
        </w:rPr>
        <w:t>th</w:t>
      </w:r>
      <w:r w:rsidR="008229EA">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sidRPr="00165A4A">
        <w:rPr>
          <w:rFonts w:ascii="Arial" w:hAnsi="Arial" w:cs="Arial"/>
          <w:sz w:val="22"/>
          <w:szCs w:val="22"/>
          <w:lang w:val="en-US"/>
        </w:rPr>
        <w:t xml:space="preserve">. MÜV </w:t>
      </w:r>
      <w:r w:rsidR="008229EA">
        <w:rPr>
          <w:rFonts w:ascii="Arial" w:hAnsi="Arial" w:cs="Arial"/>
          <w:sz w:val="22"/>
          <w:szCs w:val="22"/>
          <w:lang w:val="en-US"/>
        </w:rPr>
        <w:t xml:space="preserve">Tampa Himes </w:t>
      </w:r>
      <w:r>
        <w:rPr>
          <w:rFonts w:ascii="Arial" w:hAnsi="Arial" w:cs="Arial"/>
          <w:sz w:val="22"/>
          <w:szCs w:val="22"/>
          <w:lang w:val="en-US"/>
        </w:rPr>
        <w:t xml:space="preserve">is the Issuer’s </w:t>
      </w:r>
      <w:r w:rsidR="008229EA">
        <w:rPr>
          <w:rFonts w:ascii="Arial" w:hAnsi="Arial" w:cs="Arial"/>
          <w:sz w:val="22"/>
          <w:szCs w:val="22"/>
          <w:lang w:val="en-US"/>
        </w:rPr>
        <w:t>fourth retail location in the city of Tampa, Florida</w:t>
      </w:r>
      <w:r w:rsidR="00C51881">
        <w:rPr>
          <w:rFonts w:ascii="Arial" w:hAnsi="Arial" w:cs="Arial"/>
          <w:sz w:val="22"/>
          <w:szCs w:val="22"/>
          <w:lang w:val="en-US"/>
        </w:rPr>
        <w:t xml:space="preserve">, and </w:t>
      </w:r>
      <w:r w:rsidR="00C51881" w:rsidRPr="00C51881">
        <w:rPr>
          <w:rFonts w:ascii="Arial" w:hAnsi="Arial" w:cs="Arial"/>
          <w:sz w:val="22"/>
          <w:szCs w:val="22"/>
          <w:lang w:val="en-US"/>
        </w:rPr>
        <w:t>six</w:t>
      </w:r>
      <w:r w:rsidR="00C51881">
        <w:rPr>
          <w:rFonts w:ascii="Arial" w:hAnsi="Arial" w:cs="Arial"/>
          <w:sz w:val="22"/>
          <w:szCs w:val="22"/>
          <w:lang w:val="en-US"/>
        </w:rPr>
        <w:t>th</w:t>
      </w:r>
      <w:r w:rsidR="00C51881" w:rsidRPr="00C51881">
        <w:rPr>
          <w:rFonts w:ascii="Arial" w:hAnsi="Arial" w:cs="Arial"/>
          <w:sz w:val="22"/>
          <w:szCs w:val="22"/>
          <w:lang w:val="en-US"/>
        </w:rPr>
        <w:t xml:space="preserve"> retail locations </w:t>
      </w:r>
      <w:r w:rsidR="00C51881">
        <w:rPr>
          <w:rFonts w:ascii="Arial" w:hAnsi="Arial" w:cs="Arial"/>
          <w:sz w:val="22"/>
          <w:szCs w:val="22"/>
          <w:lang w:val="en-US"/>
        </w:rPr>
        <w:t>in</w:t>
      </w:r>
      <w:r w:rsidR="00C51881" w:rsidRPr="00C51881">
        <w:rPr>
          <w:rFonts w:ascii="Arial" w:hAnsi="Arial" w:cs="Arial"/>
          <w:sz w:val="22"/>
          <w:szCs w:val="22"/>
          <w:lang w:val="en-US"/>
        </w:rPr>
        <w:t xml:space="preserve"> Hillsborough County</w:t>
      </w:r>
      <w:r>
        <w:rPr>
          <w:rFonts w:ascii="Arial" w:hAnsi="Arial" w:cs="Arial"/>
          <w:sz w:val="22"/>
          <w:szCs w:val="22"/>
          <w:lang w:val="en-US"/>
        </w:rPr>
        <w:t xml:space="preserve">.  </w:t>
      </w:r>
      <w:r w:rsidRPr="00793E2F">
        <w:rPr>
          <w:rFonts w:ascii="Arial" w:hAnsi="Arial" w:cs="Arial"/>
          <w:sz w:val="22"/>
          <w:szCs w:val="22"/>
        </w:rPr>
        <w:t xml:space="preserve">The </w:t>
      </w:r>
      <w:r w:rsidRPr="00793E2F">
        <w:rPr>
          <w:rFonts w:ascii="Arial" w:hAnsi="Arial" w:cs="Arial"/>
          <w:color w:val="000000"/>
          <w:sz w:val="22"/>
          <w:szCs w:val="22"/>
        </w:rPr>
        <w:t>comprehensive product selection includes edibles, chocolates and lozenges, flower, pre-rolls, an array of vaporizer pens, concentrates, metered-</w:t>
      </w:r>
      <w:r w:rsidRPr="00793E2F">
        <w:rPr>
          <w:rFonts w:ascii="Arial" w:hAnsi="Arial" w:cs="Arial"/>
          <w:color w:val="000000"/>
          <w:sz w:val="22"/>
          <w:szCs w:val="22"/>
        </w:rPr>
        <w:lastRenderedPageBreak/>
        <w:t>dose inhalers, topicals and oral sprays, along with patented encapsulation formulations in EnCaps™ capsules, tinctures, 72-hour transdermal patches and transdermal gels</w:t>
      </w:r>
      <w:r>
        <w:rPr>
          <w:rFonts w:ascii="Arial" w:hAnsi="Arial" w:cs="Arial"/>
          <w:color w:val="000000"/>
          <w:sz w:val="22"/>
          <w:szCs w:val="22"/>
        </w:rPr>
        <w:t>.</w:t>
      </w:r>
    </w:p>
    <w:p w14:paraId="633C2382" w14:textId="068C0A80" w:rsidR="005475FE" w:rsidRPr="00CF505D" w:rsidRDefault="005475FE" w:rsidP="002D563E">
      <w:pPr>
        <w:pStyle w:val="List"/>
        <w:numPr>
          <w:ilvl w:val="0"/>
          <w:numId w:val="33"/>
        </w:numPr>
        <w:ind w:left="1800"/>
        <w:jc w:val="both"/>
        <w:rPr>
          <w:rFonts w:ascii="Arial" w:hAnsi="Arial" w:cs="Arial"/>
          <w:sz w:val="22"/>
          <w:szCs w:val="22"/>
          <w:lang w:val="en-US"/>
        </w:rPr>
      </w:pPr>
      <w:r>
        <w:rPr>
          <w:rFonts w:ascii="Arial" w:hAnsi="Arial" w:cs="Arial"/>
          <w:color w:val="000000"/>
          <w:sz w:val="22"/>
          <w:szCs w:val="22"/>
        </w:rPr>
        <w:t>On August 10, 2022, the Issuer announced</w:t>
      </w:r>
      <w:r w:rsidR="00293A94">
        <w:rPr>
          <w:rFonts w:ascii="Arial" w:hAnsi="Arial" w:cs="Arial"/>
          <w:color w:val="000000"/>
          <w:sz w:val="22"/>
          <w:szCs w:val="22"/>
        </w:rPr>
        <w:t xml:space="preserve"> that the Issuer </w:t>
      </w:r>
      <w:r w:rsidR="005C1FE2">
        <w:rPr>
          <w:rFonts w:ascii="Arial" w:hAnsi="Arial" w:cs="Arial"/>
          <w:color w:val="000000"/>
          <w:sz w:val="22"/>
          <w:szCs w:val="22"/>
        </w:rPr>
        <w:t>commenced offering</w:t>
      </w:r>
      <w:r w:rsidR="00293A94" w:rsidRPr="00293A94">
        <w:rPr>
          <w:rFonts w:ascii="Arial" w:hAnsi="Arial" w:cs="Arial"/>
          <w:color w:val="000000"/>
          <w:sz w:val="22"/>
          <w:szCs w:val="22"/>
        </w:rPr>
        <w:t xml:space="preserve"> its namesake Verano signature flower branded products in four new core markets: Arizona, Florida, Massachusetts and Pennsylvania</w:t>
      </w:r>
      <w:r>
        <w:rPr>
          <w:rFonts w:ascii="Arial" w:hAnsi="Arial" w:cs="Arial"/>
          <w:color w:val="000000"/>
          <w:sz w:val="22"/>
          <w:szCs w:val="22"/>
        </w:rPr>
        <w:t xml:space="preserve">. </w:t>
      </w:r>
      <w:r w:rsidR="002A4464" w:rsidRPr="002A4464">
        <w:rPr>
          <w:rFonts w:ascii="Arial" w:hAnsi="Arial" w:cs="Arial"/>
          <w:color w:val="000000"/>
          <w:sz w:val="22"/>
          <w:szCs w:val="22"/>
        </w:rPr>
        <w:t xml:space="preserve">The Verano flower line features Reserve and Essence flower, Swift Lift mini pre-rolled joints, extracts and vaporizer products from the </w:t>
      </w:r>
      <w:r w:rsidR="000513DC">
        <w:rPr>
          <w:rFonts w:ascii="Arial" w:hAnsi="Arial" w:cs="Arial"/>
          <w:color w:val="000000"/>
          <w:sz w:val="22"/>
          <w:szCs w:val="22"/>
        </w:rPr>
        <w:t>Issuer</w:t>
      </w:r>
      <w:r w:rsidR="002A4464" w:rsidRPr="002A4464">
        <w:rPr>
          <w:rFonts w:ascii="Arial" w:hAnsi="Arial" w:cs="Arial"/>
          <w:color w:val="000000"/>
          <w:sz w:val="22"/>
          <w:szCs w:val="22"/>
        </w:rPr>
        <w:t>’s premium cannabis strains</w:t>
      </w:r>
      <w:r w:rsidR="002A4464">
        <w:rPr>
          <w:rFonts w:ascii="Arial" w:hAnsi="Arial" w:cs="Arial"/>
          <w:color w:val="000000"/>
          <w:sz w:val="22"/>
          <w:szCs w:val="22"/>
        </w:rPr>
        <w:t xml:space="preserve">, which are </w:t>
      </w:r>
      <w:r w:rsidR="00CF505D" w:rsidRPr="00CF505D">
        <w:rPr>
          <w:rFonts w:ascii="Arial" w:hAnsi="Arial" w:cs="Arial"/>
          <w:color w:val="000000"/>
          <w:sz w:val="22"/>
          <w:szCs w:val="22"/>
        </w:rPr>
        <w:t xml:space="preserve">distributed to more than 500 dispensaries across nine states, including the </w:t>
      </w:r>
      <w:r w:rsidR="000513DC">
        <w:rPr>
          <w:rFonts w:ascii="Arial" w:hAnsi="Arial" w:cs="Arial"/>
          <w:color w:val="000000"/>
          <w:sz w:val="22"/>
          <w:szCs w:val="22"/>
        </w:rPr>
        <w:t>Issuer</w:t>
      </w:r>
      <w:r w:rsidR="00CF505D" w:rsidRPr="00CF505D">
        <w:rPr>
          <w:rFonts w:ascii="Arial" w:hAnsi="Arial" w:cs="Arial"/>
          <w:color w:val="000000"/>
          <w:sz w:val="22"/>
          <w:szCs w:val="22"/>
        </w:rPr>
        <w:t>’s 47 Zen Leaf medical and adult use dispensaries in Arizona, Illinois, Maryland, Massachusetts, New Jersey, Nevada, Ohio and Pennsylvania, and 54 MÜV medical dispensaries in Florida.</w:t>
      </w:r>
    </w:p>
    <w:p w14:paraId="6F927FCF" w14:textId="457B7F7B" w:rsidR="00CF505D" w:rsidRPr="00B318FC" w:rsidRDefault="000C6420" w:rsidP="002D563E">
      <w:pPr>
        <w:pStyle w:val="List"/>
        <w:numPr>
          <w:ilvl w:val="0"/>
          <w:numId w:val="33"/>
        </w:numPr>
        <w:ind w:left="1800"/>
        <w:jc w:val="both"/>
        <w:rPr>
          <w:rFonts w:ascii="Arial" w:hAnsi="Arial" w:cs="Arial"/>
          <w:sz w:val="22"/>
          <w:szCs w:val="22"/>
          <w:lang w:val="en-US"/>
        </w:rPr>
      </w:pPr>
      <w:r w:rsidRPr="00B34ED6">
        <w:rPr>
          <w:rFonts w:ascii="Arial" w:hAnsi="Arial" w:cs="Arial"/>
          <w:sz w:val="22"/>
          <w:szCs w:val="22"/>
          <w:lang w:val="en-US"/>
        </w:rPr>
        <w:t xml:space="preserve">On </w:t>
      </w:r>
      <w:r>
        <w:rPr>
          <w:rFonts w:ascii="Arial" w:hAnsi="Arial" w:cs="Arial"/>
          <w:sz w:val="22"/>
          <w:szCs w:val="22"/>
          <w:lang w:val="en-US"/>
        </w:rPr>
        <w:t>August 11</w:t>
      </w:r>
      <w:r w:rsidRPr="00B34ED6">
        <w:rPr>
          <w:rFonts w:ascii="Arial" w:hAnsi="Arial" w:cs="Arial"/>
          <w:sz w:val="22"/>
          <w:szCs w:val="22"/>
          <w:lang w:val="en-US"/>
        </w:rPr>
        <w:t xml:space="preserve">, 2022, the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sidRPr="000C6420">
        <w:rPr>
          <w:rFonts w:ascii="Arial" w:hAnsi="Arial" w:cs="Arial"/>
          <w:sz w:val="22"/>
          <w:szCs w:val="22"/>
          <w:lang w:val="en-US"/>
        </w:rPr>
        <w:t>Palatka</w:t>
      </w:r>
      <w:r>
        <w:rPr>
          <w:rFonts w:ascii="Arial" w:hAnsi="Arial" w:cs="Arial"/>
          <w:sz w:val="22"/>
          <w:szCs w:val="22"/>
          <w:lang w:val="en-US"/>
        </w:rPr>
        <w:t>, the Issuer’s 5</w:t>
      </w:r>
      <w:r w:rsidR="00554C17">
        <w:rPr>
          <w:rFonts w:ascii="Arial" w:hAnsi="Arial" w:cs="Arial"/>
          <w:sz w:val="22"/>
          <w:szCs w:val="22"/>
          <w:lang w:val="en-US"/>
        </w:rPr>
        <w:t>5</w:t>
      </w:r>
      <w:r w:rsidRPr="00B34ED6">
        <w:rPr>
          <w:rFonts w:ascii="Arial" w:hAnsi="Arial" w:cs="Arial"/>
          <w:sz w:val="22"/>
          <w:szCs w:val="22"/>
          <w:vertAlign w:val="superscript"/>
          <w:lang w:val="en-US"/>
        </w:rPr>
        <w:t>th</w:t>
      </w:r>
      <w:r>
        <w:rPr>
          <w:rFonts w:ascii="Arial" w:hAnsi="Arial" w:cs="Arial"/>
          <w:sz w:val="22"/>
          <w:szCs w:val="22"/>
          <w:lang w:val="en-US"/>
        </w:rPr>
        <w:t xml:space="preserve"> Florida location and</w:t>
      </w:r>
      <w:r w:rsidRPr="00165A4A">
        <w:rPr>
          <w:rFonts w:ascii="Arial" w:hAnsi="Arial" w:cs="Arial"/>
          <w:sz w:val="22"/>
          <w:szCs w:val="22"/>
          <w:lang w:val="en-US"/>
        </w:rPr>
        <w:t xml:space="preserve"> </w:t>
      </w:r>
      <w:r>
        <w:rPr>
          <w:rFonts w:ascii="Arial" w:hAnsi="Arial" w:cs="Arial"/>
          <w:sz w:val="22"/>
          <w:szCs w:val="22"/>
          <w:lang w:val="en-US"/>
        </w:rPr>
        <w:t>10</w:t>
      </w:r>
      <w:r w:rsidR="00554C17">
        <w:rPr>
          <w:rFonts w:ascii="Arial" w:hAnsi="Arial" w:cs="Arial"/>
          <w:sz w:val="22"/>
          <w:szCs w:val="22"/>
          <w:lang w:val="en-US"/>
        </w:rPr>
        <w:t>9</w:t>
      </w:r>
      <w:r w:rsidRPr="008229EA">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sidRPr="00165A4A">
        <w:rPr>
          <w:rFonts w:ascii="Arial" w:hAnsi="Arial" w:cs="Arial"/>
          <w:sz w:val="22"/>
          <w:szCs w:val="22"/>
          <w:lang w:val="en-US"/>
        </w:rPr>
        <w:t xml:space="preserve">. MÜV </w:t>
      </w:r>
      <w:r w:rsidR="003B4073" w:rsidRPr="000C6420">
        <w:rPr>
          <w:rFonts w:ascii="Arial" w:hAnsi="Arial" w:cs="Arial"/>
          <w:sz w:val="22"/>
          <w:szCs w:val="22"/>
          <w:lang w:val="en-US"/>
        </w:rPr>
        <w:t>Palatka</w:t>
      </w:r>
      <w:r w:rsidR="003B4073">
        <w:rPr>
          <w:rFonts w:ascii="Arial" w:hAnsi="Arial" w:cs="Arial"/>
          <w:sz w:val="22"/>
          <w:szCs w:val="22"/>
          <w:lang w:val="en-US"/>
        </w:rPr>
        <w:t xml:space="preserve"> </w:t>
      </w:r>
      <w:r>
        <w:rPr>
          <w:rFonts w:ascii="Arial" w:hAnsi="Arial" w:cs="Arial"/>
          <w:sz w:val="22"/>
          <w:szCs w:val="22"/>
          <w:lang w:val="en-US"/>
        </w:rPr>
        <w:t xml:space="preserve">is the Issuer’s </w:t>
      </w:r>
      <w:r w:rsidR="003B4073">
        <w:rPr>
          <w:rFonts w:ascii="Arial" w:hAnsi="Arial" w:cs="Arial"/>
          <w:sz w:val="22"/>
          <w:szCs w:val="22"/>
          <w:lang w:val="en-US"/>
        </w:rPr>
        <w:t xml:space="preserve">first retail location to open in </w:t>
      </w:r>
      <w:r w:rsidR="003B4073" w:rsidRPr="003B4073">
        <w:rPr>
          <w:rFonts w:ascii="Arial" w:hAnsi="Arial" w:cs="Arial"/>
          <w:sz w:val="22"/>
          <w:szCs w:val="22"/>
          <w:lang w:val="en-US"/>
        </w:rPr>
        <w:t>Palatka</w:t>
      </w:r>
      <w:r>
        <w:rPr>
          <w:rFonts w:ascii="Arial" w:hAnsi="Arial" w:cs="Arial"/>
          <w:sz w:val="22"/>
          <w:szCs w:val="22"/>
          <w:lang w:val="en-US"/>
        </w:rPr>
        <w:t xml:space="preserve">.  </w:t>
      </w:r>
      <w:r w:rsidRPr="003B4073">
        <w:rPr>
          <w:rFonts w:ascii="Arial" w:hAnsi="Arial" w:cs="Arial"/>
          <w:sz w:val="22"/>
          <w:szCs w:val="22"/>
          <w:lang w:val="en-US"/>
        </w:rPr>
        <w:t>The comprehensive product selection includes edibles, chocolates and lozenges, flower,</w:t>
      </w:r>
      <w:r w:rsidRPr="00793E2F">
        <w:rPr>
          <w:rFonts w:ascii="Arial" w:hAnsi="Arial" w:cs="Arial"/>
          <w:color w:val="000000"/>
          <w:sz w:val="22"/>
          <w:szCs w:val="22"/>
        </w:rPr>
        <w:t xml:space="preserve"> pre-rolls, an array of vaporizer pens, concentrates, metered-dose inhalers, topicals and oral sprays, along with patented encapsulation formulations in EnCaps™ capsules, tinctures, 72-hour transdermal patches and transdermal gels</w:t>
      </w:r>
      <w:r>
        <w:rPr>
          <w:rFonts w:ascii="Arial" w:hAnsi="Arial" w:cs="Arial"/>
          <w:color w:val="000000"/>
          <w:sz w:val="22"/>
          <w:szCs w:val="22"/>
        </w:rPr>
        <w:t>.</w:t>
      </w:r>
    </w:p>
    <w:p w14:paraId="21661F02" w14:textId="17A3B126" w:rsidR="00B318FC" w:rsidRPr="00D764D4" w:rsidRDefault="00A06518" w:rsidP="002D563E">
      <w:pPr>
        <w:pStyle w:val="List"/>
        <w:numPr>
          <w:ilvl w:val="0"/>
          <w:numId w:val="33"/>
        </w:numPr>
        <w:ind w:left="1800"/>
        <w:jc w:val="both"/>
        <w:rPr>
          <w:rFonts w:ascii="Arial" w:hAnsi="Arial" w:cs="Arial"/>
          <w:sz w:val="22"/>
          <w:szCs w:val="22"/>
          <w:lang w:val="en-US"/>
        </w:rPr>
      </w:pPr>
      <w:r>
        <w:rPr>
          <w:rFonts w:ascii="Arial" w:hAnsi="Arial" w:cs="Arial"/>
          <w:color w:val="000000"/>
          <w:sz w:val="22"/>
          <w:szCs w:val="22"/>
        </w:rPr>
        <w:t xml:space="preserve">On August 15, 2022, the Issuer </w:t>
      </w:r>
      <w:r w:rsidRPr="00A06518">
        <w:rPr>
          <w:rFonts w:ascii="Arial" w:hAnsi="Arial" w:cs="Arial"/>
          <w:color w:val="000000"/>
          <w:sz w:val="22"/>
          <w:szCs w:val="22"/>
          <w:lang w:val="en-US"/>
        </w:rPr>
        <w:t xml:space="preserve">announced the launch of Savvy, a new brand featuring larger-format cannabis products, catering to more value-oriented patients and consumers. Savvy will be available in </w:t>
      </w:r>
      <w:r>
        <w:rPr>
          <w:rFonts w:ascii="Arial" w:hAnsi="Arial" w:cs="Arial"/>
          <w:color w:val="000000"/>
          <w:sz w:val="22"/>
          <w:szCs w:val="22"/>
          <w:lang w:val="en-US"/>
        </w:rPr>
        <w:t xml:space="preserve">the Issuer’s </w:t>
      </w:r>
      <w:r w:rsidRPr="00A06518">
        <w:rPr>
          <w:rFonts w:ascii="Arial" w:hAnsi="Arial" w:cs="Arial"/>
          <w:color w:val="000000"/>
          <w:sz w:val="22"/>
          <w:szCs w:val="22"/>
          <w:lang w:val="en-US"/>
        </w:rPr>
        <w:t>MÜV and Zen Leaf dispensaries beginning September 2022 followed by additional third-party retail locations across six core markets</w:t>
      </w:r>
      <w:r>
        <w:rPr>
          <w:rFonts w:ascii="Arial" w:hAnsi="Arial" w:cs="Arial"/>
          <w:color w:val="000000"/>
          <w:sz w:val="22"/>
          <w:szCs w:val="22"/>
          <w:lang w:val="en-US"/>
        </w:rPr>
        <w:t>:</w:t>
      </w:r>
      <w:r w:rsidRPr="00A06518">
        <w:rPr>
          <w:rFonts w:ascii="Arial" w:hAnsi="Arial" w:cs="Arial"/>
          <w:color w:val="000000"/>
          <w:sz w:val="22"/>
          <w:szCs w:val="22"/>
          <w:lang w:val="en-US"/>
        </w:rPr>
        <w:t xml:space="preserve"> Arizona, Illinois, Massachusetts, Maryland, Nevada and Ohio</w:t>
      </w:r>
      <w:r w:rsidR="00501201">
        <w:rPr>
          <w:rFonts w:ascii="Arial" w:hAnsi="Arial" w:cs="Arial"/>
          <w:color w:val="000000"/>
          <w:sz w:val="22"/>
          <w:szCs w:val="22"/>
          <w:lang w:val="en-US"/>
        </w:rPr>
        <w:t>.</w:t>
      </w:r>
    </w:p>
    <w:p w14:paraId="2D8FC114" w14:textId="23012E3B" w:rsidR="00D764D4" w:rsidRPr="0046153D" w:rsidRDefault="00D764D4" w:rsidP="002D563E">
      <w:pPr>
        <w:pStyle w:val="List"/>
        <w:numPr>
          <w:ilvl w:val="0"/>
          <w:numId w:val="33"/>
        </w:numPr>
        <w:ind w:left="1800"/>
        <w:jc w:val="both"/>
        <w:rPr>
          <w:rFonts w:ascii="Arial" w:hAnsi="Arial" w:cs="Arial"/>
          <w:sz w:val="22"/>
          <w:szCs w:val="22"/>
          <w:lang w:val="en-US"/>
        </w:rPr>
      </w:pPr>
      <w:r>
        <w:rPr>
          <w:rFonts w:ascii="Arial" w:hAnsi="Arial" w:cs="Arial"/>
          <w:color w:val="000000"/>
          <w:sz w:val="22"/>
          <w:szCs w:val="22"/>
          <w:lang w:val="en-US"/>
        </w:rPr>
        <w:t xml:space="preserve">On August 16, 2022, the Issuer announced </w:t>
      </w:r>
      <w:r w:rsidR="002255DE">
        <w:rPr>
          <w:rFonts w:ascii="Arial" w:hAnsi="Arial" w:cs="Arial"/>
          <w:color w:val="000000"/>
          <w:sz w:val="22"/>
          <w:szCs w:val="22"/>
          <w:lang w:val="en-US"/>
        </w:rPr>
        <w:t>preliminary, unaudited</w:t>
      </w:r>
      <w:r w:rsidR="002255DE" w:rsidRPr="002255DE">
        <w:rPr>
          <w:rFonts w:ascii="Arial" w:hAnsi="Arial" w:cs="Arial"/>
          <w:color w:val="000000"/>
          <w:sz w:val="22"/>
          <w:szCs w:val="22"/>
          <w:lang w:val="en-US"/>
        </w:rPr>
        <w:t xml:space="preserve"> financial results for the second quarter ended June 30, 2022</w:t>
      </w:r>
      <w:r w:rsidR="002255DE">
        <w:rPr>
          <w:rFonts w:ascii="Arial" w:hAnsi="Arial" w:cs="Arial"/>
          <w:color w:val="000000"/>
          <w:sz w:val="22"/>
          <w:szCs w:val="22"/>
          <w:lang w:val="en-US"/>
        </w:rPr>
        <w:t>.</w:t>
      </w:r>
      <w:r w:rsidR="0046153D">
        <w:rPr>
          <w:rFonts w:ascii="Arial" w:hAnsi="Arial" w:cs="Arial"/>
          <w:color w:val="000000"/>
          <w:sz w:val="22"/>
          <w:szCs w:val="22"/>
          <w:lang w:val="en-US"/>
        </w:rPr>
        <w:t xml:space="preserve">  </w:t>
      </w:r>
      <w:r w:rsidR="0046153D" w:rsidRPr="00501201">
        <w:rPr>
          <w:rFonts w:ascii="Arial" w:hAnsi="Arial" w:cs="Arial"/>
          <w:color w:val="000000"/>
          <w:sz w:val="22"/>
          <w:szCs w:val="22"/>
        </w:rPr>
        <w:t>A conference call and audio webcast with analysts and investors was held on August 16, 2022 at 8:30 a.m. ET / 7:30 a.m. CT to discuss the results and answer investor and participant questions.</w:t>
      </w:r>
    </w:p>
    <w:p w14:paraId="3C0D7A60" w14:textId="2DD66741" w:rsidR="0046153D" w:rsidRPr="00CB0FAA" w:rsidRDefault="00DB2F32" w:rsidP="002D563E">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On August 18, 2022, t</w:t>
      </w:r>
      <w:r w:rsidRPr="00B34ED6">
        <w:rPr>
          <w:rFonts w:ascii="Arial" w:hAnsi="Arial" w:cs="Arial"/>
          <w:sz w:val="22"/>
          <w:szCs w:val="22"/>
          <w:lang w:val="en-US"/>
        </w:rPr>
        <w:t xml:space="preserve">he Issuer announced the opening </w:t>
      </w:r>
      <w:r w:rsidRPr="00793E2F">
        <w:rPr>
          <w:rFonts w:ascii="Arial" w:hAnsi="Arial" w:cs="Arial"/>
          <w:sz w:val="22"/>
          <w:szCs w:val="22"/>
          <w:lang w:val="en-US"/>
        </w:rPr>
        <w:t xml:space="preserve">of </w:t>
      </w:r>
      <w:r w:rsidRPr="00165A4A">
        <w:rPr>
          <w:rFonts w:ascii="Arial" w:hAnsi="Arial" w:cs="Arial"/>
          <w:sz w:val="22"/>
          <w:szCs w:val="22"/>
          <w:lang w:val="en-US"/>
        </w:rPr>
        <w:t xml:space="preserve">MÜV </w:t>
      </w:r>
      <w:r w:rsidRPr="00DB2F32">
        <w:rPr>
          <w:rFonts w:ascii="Arial" w:hAnsi="Arial" w:cs="Arial"/>
          <w:sz w:val="22"/>
          <w:szCs w:val="22"/>
          <w:lang w:val="en-US"/>
        </w:rPr>
        <w:t>Hollywood</w:t>
      </w:r>
      <w:r>
        <w:rPr>
          <w:rFonts w:ascii="Arial" w:hAnsi="Arial" w:cs="Arial"/>
          <w:sz w:val="22"/>
          <w:szCs w:val="22"/>
          <w:lang w:val="en-US"/>
        </w:rPr>
        <w:t>, the Issuer’s 5</w:t>
      </w:r>
      <w:r w:rsidR="00D6392B">
        <w:rPr>
          <w:rFonts w:ascii="Arial" w:hAnsi="Arial" w:cs="Arial"/>
          <w:sz w:val="22"/>
          <w:szCs w:val="22"/>
          <w:lang w:val="en-US"/>
        </w:rPr>
        <w:t>6</w:t>
      </w:r>
      <w:r w:rsidRPr="00B34ED6">
        <w:rPr>
          <w:rFonts w:ascii="Arial" w:hAnsi="Arial" w:cs="Arial"/>
          <w:sz w:val="22"/>
          <w:szCs w:val="22"/>
          <w:vertAlign w:val="superscript"/>
          <w:lang w:val="en-US"/>
        </w:rPr>
        <w:t>th</w:t>
      </w:r>
      <w:r>
        <w:rPr>
          <w:rFonts w:ascii="Arial" w:hAnsi="Arial" w:cs="Arial"/>
          <w:sz w:val="22"/>
          <w:szCs w:val="22"/>
          <w:lang w:val="en-US"/>
        </w:rPr>
        <w:t xml:space="preserve"> Florida location and</w:t>
      </w:r>
      <w:r w:rsidRPr="00165A4A">
        <w:rPr>
          <w:rFonts w:ascii="Arial" w:hAnsi="Arial" w:cs="Arial"/>
          <w:sz w:val="22"/>
          <w:szCs w:val="22"/>
          <w:lang w:val="en-US"/>
        </w:rPr>
        <w:t xml:space="preserve"> </w:t>
      </w:r>
      <w:r>
        <w:rPr>
          <w:rFonts w:ascii="Arial" w:hAnsi="Arial" w:cs="Arial"/>
          <w:sz w:val="22"/>
          <w:szCs w:val="22"/>
          <w:lang w:val="en-US"/>
        </w:rPr>
        <w:t>1</w:t>
      </w:r>
      <w:r w:rsidR="00D6392B">
        <w:rPr>
          <w:rFonts w:ascii="Arial" w:hAnsi="Arial" w:cs="Arial"/>
          <w:sz w:val="22"/>
          <w:szCs w:val="22"/>
          <w:lang w:val="en-US"/>
        </w:rPr>
        <w:t>10</w:t>
      </w:r>
      <w:r w:rsidRPr="008229EA">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sidRPr="00165A4A">
        <w:rPr>
          <w:rFonts w:ascii="Arial" w:hAnsi="Arial" w:cs="Arial"/>
          <w:sz w:val="22"/>
          <w:szCs w:val="22"/>
          <w:lang w:val="en-US"/>
        </w:rPr>
        <w:t>. </w:t>
      </w:r>
      <w:r w:rsidR="00D6392B">
        <w:rPr>
          <w:rFonts w:ascii="Arial" w:hAnsi="Arial" w:cs="Arial"/>
          <w:sz w:val="22"/>
          <w:szCs w:val="22"/>
          <w:lang w:val="en-US"/>
        </w:rPr>
        <w:t>M</w:t>
      </w:r>
      <w:r w:rsidR="00D6392B" w:rsidRPr="00D6392B">
        <w:rPr>
          <w:rFonts w:ascii="Arial" w:hAnsi="Arial" w:cs="Arial"/>
          <w:sz w:val="22"/>
          <w:szCs w:val="22"/>
          <w:lang w:val="en-US"/>
        </w:rPr>
        <w:t>ÜV Hollywood is the third MÜV dispensary location in Broward County</w:t>
      </w:r>
      <w:r w:rsidR="00D6392B">
        <w:rPr>
          <w:rFonts w:ascii="Arial" w:hAnsi="Arial" w:cs="Arial"/>
          <w:sz w:val="22"/>
          <w:szCs w:val="22"/>
          <w:lang w:val="en-US"/>
        </w:rPr>
        <w:t>.</w:t>
      </w:r>
      <w:r>
        <w:rPr>
          <w:rFonts w:ascii="Arial" w:hAnsi="Arial" w:cs="Arial"/>
          <w:sz w:val="22"/>
          <w:szCs w:val="22"/>
          <w:lang w:val="en-US"/>
        </w:rPr>
        <w:t xml:space="preserve">  </w:t>
      </w:r>
      <w:r w:rsidRPr="003B4073">
        <w:rPr>
          <w:rFonts w:ascii="Arial" w:hAnsi="Arial" w:cs="Arial"/>
          <w:sz w:val="22"/>
          <w:szCs w:val="22"/>
          <w:lang w:val="en-US"/>
        </w:rPr>
        <w:t>The comprehensive product selection includes edibles, chocolates and lozenges, flower,</w:t>
      </w:r>
      <w:r w:rsidRPr="00793E2F">
        <w:rPr>
          <w:rFonts w:ascii="Arial" w:hAnsi="Arial" w:cs="Arial"/>
          <w:color w:val="000000"/>
          <w:sz w:val="22"/>
          <w:szCs w:val="22"/>
        </w:rPr>
        <w:t xml:space="preserve"> pre-rolls, an array of vaporizer pens, concentrates, metered-dose inhalers, topicals and oral sprays, along with patented encapsulation formulations in EnCaps™ capsules, tinctures, 72-hour transdermal patches and transdermal gels</w:t>
      </w:r>
      <w:r>
        <w:rPr>
          <w:rFonts w:ascii="Arial" w:hAnsi="Arial" w:cs="Arial"/>
          <w:color w:val="000000"/>
          <w:sz w:val="22"/>
          <w:szCs w:val="22"/>
        </w:rPr>
        <w:t>.</w:t>
      </w:r>
    </w:p>
    <w:p w14:paraId="08AADE13" w14:textId="1B5179E1" w:rsidR="00CB0FAA" w:rsidRPr="00886F0F" w:rsidRDefault="00EE5308" w:rsidP="002D563E">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On August 19, 2022, t</w:t>
      </w:r>
      <w:r w:rsidRPr="00B34ED6">
        <w:rPr>
          <w:rFonts w:ascii="Arial" w:hAnsi="Arial" w:cs="Arial"/>
          <w:sz w:val="22"/>
          <w:szCs w:val="22"/>
          <w:lang w:val="en-US"/>
        </w:rPr>
        <w:t xml:space="preserve">he Issuer announced </w:t>
      </w:r>
      <w:r>
        <w:rPr>
          <w:rFonts w:ascii="Arial" w:hAnsi="Arial" w:cs="Arial"/>
          <w:sz w:val="22"/>
          <w:szCs w:val="22"/>
          <w:lang w:val="en-US"/>
        </w:rPr>
        <w:t>that it had</w:t>
      </w:r>
      <w:r w:rsidRPr="00B34ED6">
        <w:rPr>
          <w:rFonts w:ascii="Arial" w:hAnsi="Arial" w:cs="Arial"/>
          <w:sz w:val="22"/>
          <w:szCs w:val="22"/>
          <w:lang w:val="en-US"/>
        </w:rPr>
        <w:t xml:space="preserve"> </w:t>
      </w:r>
      <w:r w:rsidRPr="00EE5308">
        <w:rPr>
          <w:rFonts w:ascii="Arial" w:hAnsi="Arial" w:cs="Arial"/>
          <w:sz w:val="22"/>
          <w:szCs w:val="22"/>
          <w:lang w:val="en-US"/>
        </w:rPr>
        <w:t>filed its Quarterly Report on Form 10-Q for the second quarter ended June 30, 2022 (the “Form 10-Q”) with the U.S. Securities and Exchange Commission (the “SEC”) and in Canada on the System for Electronic Document Analysis and Retrieval (“SEDAR”). The Company also has completed the filing of the restat</w:t>
      </w:r>
      <w:r w:rsidR="00753578">
        <w:rPr>
          <w:rFonts w:ascii="Arial" w:hAnsi="Arial" w:cs="Arial"/>
          <w:sz w:val="22"/>
          <w:szCs w:val="22"/>
          <w:lang w:val="en-US"/>
        </w:rPr>
        <w:t>e</w:t>
      </w:r>
      <w:r w:rsidRPr="00EE5308">
        <w:rPr>
          <w:rFonts w:ascii="Arial" w:hAnsi="Arial" w:cs="Arial"/>
          <w:sz w:val="22"/>
          <w:szCs w:val="22"/>
          <w:lang w:val="en-US"/>
        </w:rPr>
        <w:t xml:space="preserve">ments of its financial statements and associated management discussion and analysis as previously announced on July 27, 2022. The Company’s restated financial statements are </w:t>
      </w:r>
      <w:r w:rsidRPr="00886F0F">
        <w:rPr>
          <w:rFonts w:ascii="Arial" w:hAnsi="Arial" w:cs="Arial"/>
          <w:sz w:val="22"/>
          <w:szCs w:val="22"/>
          <w:lang w:val="en-US"/>
        </w:rPr>
        <w:t>set forth below.</w:t>
      </w:r>
    </w:p>
    <w:tbl>
      <w:tblPr>
        <w:tblW w:w="7380" w:type="dxa"/>
        <w:tblInd w:w="1980" w:type="dxa"/>
        <w:tblCellMar>
          <w:left w:w="0" w:type="dxa"/>
          <w:right w:w="0" w:type="dxa"/>
        </w:tblCellMar>
        <w:tblLook w:val="04A0" w:firstRow="1" w:lastRow="0" w:firstColumn="1" w:lastColumn="0" w:noHBand="0" w:noVBand="1"/>
      </w:tblPr>
      <w:tblGrid>
        <w:gridCol w:w="62"/>
        <w:gridCol w:w="473"/>
        <w:gridCol w:w="6845"/>
      </w:tblGrid>
      <w:tr w:rsidR="00886F0F" w:rsidRPr="00886F0F" w14:paraId="089FB83C" w14:textId="77777777" w:rsidTr="00886F0F">
        <w:tc>
          <w:tcPr>
            <w:tcW w:w="0" w:type="auto"/>
            <w:tcBorders>
              <w:top w:val="nil"/>
              <w:left w:val="nil"/>
              <w:bottom w:val="nil"/>
              <w:right w:val="nil"/>
            </w:tcBorders>
            <w:hideMark/>
          </w:tcPr>
          <w:p w14:paraId="519FC167"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lastRenderedPageBreak/>
              <w:t> </w:t>
            </w:r>
          </w:p>
        </w:tc>
        <w:tc>
          <w:tcPr>
            <w:tcW w:w="473" w:type="dxa"/>
            <w:tcBorders>
              <w:top w:val="nil"/>
              <w:left w:val="nil"/>
              <w:bottom w:val="nil"/>
              <w:right w:val="nil"/>
            </w:tcBorders>
            <w:hideMark/>
          </w:tcPr>
          <w:p w14:paraId="78CB6ECC"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1.</w:t>
            </w:r>
          </w:p>
        </w:tc>
        <w:tc>
          <w:tcPr>
            <w:tcW w:w="6845" w:type="dxa"/>
            <w:tcBorders>
              <w:top w:val="nil"/>
              <w:left w:val="nil"/>
              <w:bottom w:val="nil"/>
              <w:right w:val="nil"/>
            </w:tcBorders>
            <w:hideMark/>
          </w:tcPr>
          <w:p w14:paraId="2F6674E8" w14:textId="77777777" w:rsidR="00886F0F" w:rsidRPr="00886F0F" w:rsidRDefault="00886F0F" w:rsidP="00886F0F">
            <w:pPr>
              <w:jc w:val="both"/>
              <w:rPr>
                <w:rFonts w:ascii="Arial" w:hAnsi="Arial" w:cs="Arial"/>
                <w:color w:val="000000"/>
                <w:sz w:val="22"/>
                <w:szCs w:val="22"/>
              </w:rPr>
            </w:pPr>
            <w:r w:rsidRPr="00886F0F">
              <w:rPr>
                <w:rFonts w:ascii="Arial" w:hAnsi="Arial" w:cs="Arial"/>
                <w:color w:val="000000"/>
                <w:sz w:val="22"/>
                <w:szCs w:val="22"/>
              </w:rPr>
              <w:t>Amended and Restated Unaudited Condensed Interim Consolidated Financial Statements for the Quarter Ended March 31, 2021, filed on SEDAR;</w:t>
            </w:r>
          </w:p>
        </w:tc>
      </w:tr>
      <w:tr w:rsidR="00886F0F" w:rsidRPr="00886F0F" w14:paraId="4250162B" w14:textId="77777777" w:rsidTr="00886F0F">
        <w:tc>
          <w:tcPr>
            <w:tcW w:w="0" w:type="auto"/>
            <w:tcBorders>
              <w:top w:val="nil"/>
              <w:left w:val="nil"/>
              <w:bottom w:val="nil"/>
              <w:right w:val="nil"/>
            </w:tcBorders>
            <w:hideMark/>
          </w:tcPr>
          <w:p w14:paraId="726B8200"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 </w:t>
            </w:r>
          </w:p>
        </w:tc>
        <w:tc>
          <w:tcPr>
            <w:tcW w:w="473" w:type="dxa"/>
            <w:tcBorders>
              <w:top w:val="nil"/>
              <w:left w:val="nil"/>
              <w:bottom w:val="nil"/>
              <w:right w:val="nil"/>
            </w:tcBorders>
            <w:hideMark/>
          </w:tcPr>
          <w:p w14:paraId="216740A6"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2.</w:t>
            </w:r>
          </w:p>
        </w:tc>
        <w:tc>
          <w:tcPr>
            <w:tcW w:w="6845" w:type="dxa"/>
            <w:tcBorders>
              <w:top w:val="nil"/>
              <w:left w:val="nil"/>
              <w:bottom w:val="nil"/>
              <w:right w:val="nil"/>
            </w:tcBorders>
            <w:hideMark/>
          </w:tcPr>
          <w:p w14:paraId="1127E385" w14:textId="77777777" w:rsidR="00886F0F" w:rsidRPr="00886F0F" w:rsidRDefault="00886F0F" w:rsidP="00886F0F">
            <w:pPr>
              <w:jc w:val="both"/>
              <w:rPr>
                <w:rFonts w:ascii="Arial" w:hAnsi="Arial" w:cs="Arial"/>
                <w:color w:val="000000"/>
                <w:sz w:val="22"/>
                <w:szCs w:val="22"/>
              </w:rPr>
            </w:pPr>
            <w:r w:rsidRPr="00886F0F">
              <w:rPr>
                <w:rFonts w:ascii="Arial" w:hAnsi="Arial" w:cs="Arial"/>
                <w:color w:val="000000"/>
                <w:sz w:val="22"/>
                <w:szCs w:val="22"/>
              </w:rPr>
              <w:t>Amended and Restated Unaudited Condensed Interim Consolidated Financial Statements for the Quarter Ended June 30, 2021, filed on SEDAR;</w:t>
            </w:r>
          </w:p>
        </w:tc>
      </w:tr>
      <w:tr w:rsidR="00886F0F" w:rsidRPr="00886F0F" w14:paraId="1C94C797" w14:textId="77777777" w:rsidTr="00886F0F">
        <w:tc>
          <w:tcPr>
            <w:tcW w:w="0" w:type="auto"/>
            <w:tcBorders>
              <w:top w:val="nil"/>
              <w:left w:val="nil"/>
              <w:bottom w:val="nil"/>
              <w:right w:val="nil"/>
            </w:tcBorders>
            <w:hideMark/>
          </w:tcPr>
          <w:p w14:paraId="156F59F2"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 </w:t>
            </w:r>
          </w:p>
        </w:tc>
        <w:tc>
          <w:tcPr>
            <w:tcW w:w="473" w:type="dxa"/>
            <w:tcBorders>
              <w:top w:val="nil"/>
              <w:left w:val="nil"/>
              <w:bottom w:val="nil"/>
              <w:right w:val="nil"/>
            </w:tcBorders>
            <w:hideMark/>
          </w:tcPr>
          <w:p w14:paraId="6BDA6916"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3.</w:t>
            </w:r>
          </w:p>
        </w:tc>
        <w:tc>
          <w:tcPr>
            <w:tcW w:w="6845" w:type="dxa"/>
            <w:tcBorders>
              <w:top w:val="nil"/>
              <w:left w:val="nil"/>
              <w:bottom w:val="nil"/>
              <w:right w:val="nil"/>
            </w:tcBorders>
            <w:hideMark/>
          </w:tcPr>
          <w:p w14:paraId="34FE5878" w14:textId="77777777" w:rsidR="00886F0F" w:rsidRPr="00886F0F" w:rsidRDefault="00886F0F" w:rsidP="00886F0F">
            <w:pPr>
              <w:jc w:val="both"/>
              <w:rPr>
                <w:rFonts w:ascii="Arial" w:hAnsi="Arial" w:cs="Arial"/>
                <w:color w:val="000000"/>
                <w:sz w:val="22"/>
                <w:szCs w:val="22"/>
              </w:rPr>
            </w:pPr>
            <w:r w:rsidRPr="00886F0F">
              <w:rPr>
                <w:rFonts w:ascii="Arial" w:hAnsi="Arial" w:cs="Arial"/>
                <w:color w:val="000000"/>
                <w:sz w:val="22"/>
                <w:szCs w:val="22"/>
              </w:rPr>
              <w:t>Amended and Restated Unaudited Condensed Interim Consolidated Financial Statements for the Quarter Ended September 30, 2021, filed on SEDAR;</w:t>
            </w:r>
          </w:p>
        </w:tc>
      </w:tr>
      <w:tr w:rsidR="00886F0F" w:rsidRPr="00886F0F" w14:paraId="1CD610B1" w14:textId="77777777" w:rsidTr="00886F0F">
        <w:tc>
          <w:tcPr>
            <w:tcW w:w="0" w:type="auto"/>
            <w:tcBorders>
              <w:top w:val="nil"/>
              <w:left w:val="nil"/>
              <w:bottom w:val="nil"/>
              <w:right w:val="nil"/>
            </w:tcBorders>
            <w:hideMark/>
          </w:tcPr>
          <w:p w14:paraId="12B9B716"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 </w:t>
            </w:r>
          </w:p>
        </w:tc>
        <w:tc>
          <w:tcPr>
            <w:tcW w:w="473" w:type="dxa"/>
            <w:tcBorders>
              <w:top w:val="nil"/>
              <w:left w:val="nil"/>
              <w:bottom w:val="nil"/>
              <w:right w:val="nil"/>
            </w:tcBorders>
            <w:hideMark/>
          </w:tcPr>
          <w:p w14:paraId="79B1888D"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4.</w:t>
            </w:r>
          </w:p>
        </w:tc>
        <w:tc>
          <w:tcPr>
            <w:tcW w:w="6845" w:type="dxa"/>
            <w:tcBorders>
              <w:top w:val="nil"/>
              <w:left w:val="nil"/>
              <w:bottom w:val="nil"/>
              <w:right w:val="nil"/>
            </w:tcBorders>
            <w:hideMark/>
          </w:tcPr>
          <w:p w14:paraId="2AD086F4" w14:textId="74D68834" w:rsidR="00886F0F" w:rsidRPr="00886F0F" w:rsidRDefault="00886F0F" w:rsidP="00886F0F">
            <w:pPr>
              <w:jc w:val="both"/>
              <w:rPr>
                <w:rFonts w:ascii="Arial" w:hAnsi="Arial" w:cs="Arial"/>
                <w:color w:val="000000"/>
                <w:sz w:val="22"/>
                <w:szCs w:val="22"/>
              </w:rPr>
            </w:pPr>
            <w:r w:rsidRPr="00886F0F">
              <w:rPr>
                <w:rFonts w:ascii="Arial" w:hAnsi="Arial" w:cs="Arial"/>
                <w:color w:val="000000"/>
                <w:sz w:val="22"/>
                <w:szCs w:val="22"/>
              </w:rPr>
              <w:t>Amended and Restated Unaudited Condensed Interim Consolidated Financial Statements for the Quarter Ended March 31, 2022, set forth in the Company’s Amendment No. 2 to Registration Statement on Form 10</w:t>
            </w:r>
            <w:r w:rsidR="00352C01">
              <w:rPr>
                <w:rFonts w:ascii="Arial" w:hAnsi="Arial" w:cs="Arial"/>
                <w:color w:val="000000"/>
                <w:sz w:val="22"/>
                <w:szCs w:val="22"/>
              </w:rPr>
              <w:t xml:space="preserve"> (“Amended Form 10”)</w:t>
            </w:r>
            <w:r w:rsidRPr="00886F0F">
              <w:rPr>
                <w:rFonts w:ascii="Arial" w:hAnsi="Arial" w:cs="Arial"/>
                <w:color w:val="000000"/>
                <w:sz w:val="22"/>
                <w:szCs w:val="22"/>
              </w:rPr>
              <w:t xml:space="preserve"> filed with the SEC and filed on SEDAR; and</w:t>
            </w:r>
          </w:p>
        </w:tc>
      </w:tr>
      <w:tr w:rsidR="00886F0F" w:rsidRPr="00886F0F" w14:paraId="728049BD" w14:textId="77777777" w:rsidTr="00886F0F">
        <w:tc>
          <w:tcPr>
            <w:tcW w:w="0" w:type="auto"/>
            <w:tcBorders>
              <w:top w:val="nil"/>
              <w:left w:val="nil"/>
              <w:bottom w:val="nil"/>
              <w:right w:val="nil"/>
            </w:tcBorders>
            <w:hideMark/>
          </w:tcPr>
          <w:p w14:paraId="5B4B05CE"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 </w:t>
            </w:r>
          </w:p>
        </w:tc>
        <w:tc>
          <w:tcPr>
            <w:tcW w:w="473" w:type="dxa"/>
            <w:tcBorders>
              <w:top w:val="nil"/>
              <w:left w:val="nil"/>
              <w:bottom w:val="nil"/>
              <w:right w:val="nil"/>
            </w:tcBorders>
            <w:hideMark/>
          </w:tcPr>
          <w:p w14:paraId="682A8FD1" w14:textId="77777777" w:rsidR="00886F0F" w:rsidRPr="00886F0F" w:rsidRDefault="00886F0F" w:rsidP="00886F0F">
            <w:pPr>
              <w:rPr>
                <w:rFonts w:ascii="Arial" w:hAnsi="Arial" w:cs="Arial"/>
                <w:color w:val="000000"/>
                <w:sz w:val="22"/>
                <w:szCs w:val="22"/>
              </w:rPr>
            </w:pPr>
            <w:r w:rsidRPr="00886F0F">
              <w:rPr>
                <w:rFonts w:ascii="Arial" w:hAnsi="Arial" w:cs="Arial"/>
                <w:color w:val="000000"/>
                <w:sz w:val="22"/>
                <w:szCs w:val="22"/>
              </w:rPr>
              <w:t>5.</w:t>
            </w:r>
          </w:p>
        </w:tc>
        <w:tc>
          <w:tcPr>
            <w:tcW w:w="6845" w:type="dxa"/>
            <w:tcBorders>
              <w:top w:val="nil"/>
              <w:left w:val="nil"/>
              <w:bottom w:val="nil"/>
              <w:right w:val="nil"/>
            </w:tcBorders>
            <w:hideMark/>
          </w:tcPr>
          <w:p w14:paraId="43DC38EA" w14:textId="279F67B1" w:rsidR="00886F0F" w:rsidRPr="00886F0F" w:rsidRDefault="00886F0F" w:rsidP="00886F0F">
            <w:pPr>
              <w:jc w:val="both"/>
              <w:rPr>
                <w:rFonts w:ascii="Arial" w:hAnsi="Arial" w:cs="Arial"/>
                <w:color w:val="000000"/>
                <w:sz w:val="22"/>
                <w:szCs w:val="22"/>
              </w:rPr>
            </w:pPr>
            <w:r w:rsidRPr="00886F0F">
              <w:rPr>
                <w:rFonts w:ascii="Arial" w:hAnsi="Arial" w:cs="Arial"/>
                <w:color w:val="000000"/>
                <w:sz w:val="22"/>
                <w:szCs w:val="22"/>
              </w:rPr>
              <w:t>Audited Consolidated Financial Statements for the Year Ended December 31, 2021, set forth in the Amended Form 10 and filed</w:t>
            </w:r>
            <w:r w:rsidR="00352C01">
              <w:rPr>
                <w:rFonts w:ascii="Arial" w:hAnsi="Arial" w:cs="Arial"/>
                <w:color w:val="000000"/>
                <w:sz w:val="22"/>
                <w:szCs w:val="22"/>
              </w:rPr>
              <w:t xml:space="preserve"> with the SEC and filed</w:t>
            </w:r>
            <w:r w:rsidRPr="00886F0F">
              <w:rPr>
                <w:rFonts w:ascii="Arial" w:hAnsi="Arial" w:cs="Arial"/>
                <w:color w:val="000000"/>
                <w:sz w:val="22"/>
                <w:szCs w:val="22"/>
              </w:rPr>
              <w:t xml:space="preserve"> on SEDAR.</w:t>
            </w:r>
          </w:p>
        </w:tc>
      </w:tr>
    </w:tbl>
    <w:p w14:paraId="6B93C64F" w14:textId="57CC4DEC" w:rsidR="00886F0F" w:rsidRDefault="007E4BE0" w:rsidP="002D563E">
      <w:pPr>
        <w:pStyle w:val="List"/>
        <w:numPr>
          <w:ilvl w:val="0"/>
          <w:numId w:val="33"/>
        </w:numPr>
        <w:ind w:left="1800"/>
        <w:jc w:val="both"/>
        <w:rPr>
          <w:rFonts w:ascii="Arial" w:hAnsi="Arial" w:cs="Arial"/>
          <w:sz w:val="22"/>
          <w:szCs w:val="22"/>
          <w:lang w:val="en-US"/>
        </w:rPr>
      </w:pPr>
      <w:r>
        <w:rPr>
          <w:rFonts w:ascii="Arial" w:hAnsi="Arial" w:cs="Arial"/>
          <w:sz w:val="22"/>
          <w:szCs w:val="22"/>
          <w:lang w:val="en-US"/>
        </w:rPr>
        <w:t xml:space="preserve">On August 19, 2022, the Issuer </w:t>
      </w:r>
      <w:r w:rsidRPr="00B34ED6">
        <w:rPr>
          <w:rFonts w:ascii="Arial" w:hAnsi="Arial" w:cs="Arial"/>
          <w:sz w:val="22"/>
          <w:szCs w:val="22"/>
          <w:lang w:val="en-US"/>
        </w:rPr>
        <w:t xml:space="preserve">announced the opening </w:t>
      </w:r>
      <w:r w:rsidRPr="00793E2F">
        <w:rPr>
          <w:rFonts w:ascii="Arial" w:hAnsi="Arial" w:cs="Arial"/>
          <w:sz w:val="22"/>
          <w:szCs w:val="22"/>
          <w:lang w:val="en-US"/>
        </w:rPr>
        <w:t>of</w:t>
      </w:r>
      <w:r>
        <w:rPr>
          <w:rFonts w:ascii="Arial" w:hAnsi="Arial" w:cs="Arial"/>
          <w:sz w:val="22"/>
          <w:szCs w:val="22"/>
          <w:lang w:val="en-US"/>
        </w:rPr>
        <w:t xml:space="preserve"> Zen Leaf </w:t>
      </w:r>
      <w:r w:rsidR="005D6235" w:rsidRPr="005D6235">
        <w:rPr>
          <w:rFonts w:ascii="Arial" w:hAnsi="Arial" w:cs="Arial"/>
          <w:sz w:val="22"/>
          <w:szCs w:val="22"/>
          <w:lang w:val="en-US"/>
        </w:rPr>
        <w:t>Clarksburg</w:t>
      </w:r>
      <w:r>
        <w:rPr>
          <w:rFonts w:ascii="Arial" w:hAnsi="Arial" w:cs="Arial"/>
          <w:sz w:val="22"/>
          <w:szCs w:val="22"/>
          <w:lang w:val="en-US"/>
        </w:rPr>
        <w:t xml:space="preserve">, the Issuer’s </w:t>
      </w:r>
      <w:r w:rsidR="003E3204">
        <w:rPr>
          <w:rFonts w:ascii="Arial" w:hAnsi="Arial" w:cs="Arial"/>
          <w:sz w:val="22"/>
          <w:szCs w:val="22"/>
          <w:lang w:val="en-US"/>
        </w:rPr>
        <w:t>fourth</w:t>
      </w:r>
      <w:r>
        <w:rPr>
          <w:rFonts w:ascii="Arial" w:hAnsi="Arial" w:cs="Arial"/>
          <w:sz w:val="22"/>
          <w:szCs w:val="22"/>
          <w:lang w:val="en-US"/>
        </w:rPr>
        <w:t xml:space="preserve"> dispensary in West Virginia and 1</w:t>
      </w:r>
      <w:r w:rsidR="005D6235">
        <w:rPr>
          <w:rFonts w:ascii="Arial" w:hAnsi="Arial" w:cs="Arial"/>
          <w:sz w:val="22"/>
          <w:szCs w:val="22"/>
          <w:lang w:val="en-US"/>
        </w:rPr>
        <w:t>11</w:t>
      </w:r>
      <w:r w:rsidRPr="00B61161">
        <w:rPr>
          <w:rFonts w:ascii="Arial" w:hAnsi="Arial" w:cs="Arial"/>
          <w:sz w:val="22"/>
          <w:szCs w:val="22"/>
          <w:vertAlign w:val="superscript"/>
          <w:lang w:val="en-US"/>
        </w:rPr>
        <w:t>th</w:t>
      </w:r>
      <w:r>
        <w:rPr>
          <w:rFonts w:ascii="Arial" w:hAnsi="Arial" w:cs="Arial"/>
          <w:sz w:val="22"/>
          <w:szCs w:val="22"/>
          <w:lang w:val="en-US"/>
        </w:rPr>
        <w:t xml:space="preserve"> </w:t>
      </w:r>
      <w:r w:rsidRPr="00541ACF">
        <w:rPr>
          <w:rFonts w:ascii="Arial" w:hAnsi="Arial" w:cs="Arial"/>
          <w:sz w:val="22"/>
          <w:szCs w:val="22"/>
          <w:lang w:val="en-US"/>
        </w:rPr>
        <w:t>dispensary location affiliated with the Issuer nationwide</w:t>
      </w:r>
      <w:r>
        <w:rPr>
          <w:rFonts w:ascii="Arial" w:hAnsi="Arial" w:cs="Arial"/>
          <w:sz w:val="22"/>
          <w:szCs w:val="22"/>
          <w:lang w:val="en-US"/>
        </w:rPr>
        <w:t xml:space="preserve">.  </w:t>
      </w:r>
      <w:r w:rsidRPr="00D21ACB">
        <w:rPr>
          <w:rFonts w:ascii="Arial" w:hAnsi="Arial" w:cs="Arial"/>
          <w:sz w:val="22"/>
          <w:szCs w:val="22"/>
          <w:lang w:val="en-US"/>
        </w:rPr>
        <w:t xml:space="preserve">Zen Leaf </w:t>
      </w:r>
      <w:r w:rsidR="005D6235" w:rsidRPr="005D6235">
        <w:rPr>
          <w:rFonts w:ascii="Arial" w:hAnsi="Arial" w:cs="Arial"/>
          <w:sz w:val="22"/>
          <w:szCs w:val="22"/>
          <w:lang w:val="en-US"/>
        </w:rPr>
        <w:t>Clarksburg</w:t>
      </w:r>
      <w:r w:rsidR="005D6235" w:rsidRPr="00D21ACB">
        <w:rPr>
          <w:rFonts w:ascii="Arial" w:hAnsi="Arial" w:cs="Arial"/>
          <w:sz w:val="22"/>
          <w:szCs w:val="22"/>
          <w:lang w:val="en-US"/>
        </w:rPr>
        <w:t xml:space="preserve"> </w:t>
      </w:r>
      <w:r w:rsidRPr="00D21ACB">
        <w:rPr>
          <w:rFonts w:ascii="Arial" w:hAnsi="Arial" w:cs="Arial"/>
          <w:sz w:val="22"/>
          <w:szCs w:val="22"/>
          <w:lang w:val="en-US"/>
        </w:rPr>
        <w:t>offer</w:t>
      </w:r>
      <w:r>
        <w:rPr>
          <w:rFonts w:ascii="Arial" w:hAnsi="Arial" w:cs="Arial"/>
          <w:sz w:val="22"/>
          <w:szCs w:val="22"/>
          <w:lang w:val="en-US"/>
        </w:rPr>
        <w:t>s</w:t>
      </w:r>
      <w:r w:rsidRPr="00D21ACB">
        <w:rPr>
          <w:rFonts w:ascii="Arial" w:hAnsi="Arial" w:cs="Arial"/>
          <w:sz w:val="22"/>
          <w:szCs w:val="22"/>
          <w:lang w:val="en-US"/>
        </w:rPr>
        <w:t xml:space="preserve"> a variety of cannabis therapeutics, including flower, topicals, edibles, and vapes</w:t>
      </w:r>
      <w:r>
        <w:rPr>
          <w:rFonts w:ascii="Arial" w:hAnsi="Arial" w:cs="Arial"/>
          <w:sz w:val="22"/>
          <w:szCs w:val="22"/>
          <w:lang w:val="en-US"/>
        </w:rPr>
        <w:t>.</w:t>
      </w:r>
    </w:p>
    <w:p w14:paraId="7BF90A7A" w14:textId="77777777" w:rsidR="00490F11" w:rsidRPr="00793E2F" w:rsidRDefault="00490F11" w:rsidP="00490F11">
      <w:pPr>
        <w:pStyle w:val="ListParagraph"/>
        <w:rPr>
          <w:rFonts w:ascii="Arial" w:hAnsi="Arial" w:cs="Arial"/>
          <w:sz w:val="22"/>
          <w:szCs w:val="22"/>
        </w:rPr>
      </w:pP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3F764FE5"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The Issuer is a vertically</w:t>
      </w:r>
      <w:r w:rsidR="001D42ED">
        <w:rPr>
          <w:rFonts w:ascii="Arial" w:hAnsi="Arial" w:cs="Arial"/>
          <w:sz w:val="22"/>
          <w:szCs w:val="22"/>
          <w:lang w:val="en-US"/>
        </w:rPr>
        <w:t xml:space="preserve"> </w:t>
      </w:r>
      <w:r w:rsidRPr="00793E2F">
        <w:rPr>
          <w:rFonts w:ascii="Arial" w:hAnsi="Arial" w:cs="Arial"/>
          <w:sz w:val="22"/>
          <w:szCs w:val="22"/>
          <w:lang w:val="en-US"/>
        </w:rPr>
        <w:t xml:space="preserve">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and MÜV</w:t>
      </w:r>
      <w:r w:rsidR="00E40B49" w:rsidRPr="00793E2F">
        <w:rPr>
          <w:rFonts w:ascii="Arial" w:hAnsi="Arial" w:cs="Arial"/>
          <w:sz w:val="22"/>
          <w:szCs w:val="22"/>
        </w:rPr>
        <w:t>™</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States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w:t>
      </w:r>
      <w:r w:rsidR="00563AD3">
        <w:rPr>
          <w:rFonts w:ascii="Arial" w:hAnsi="Arial" w:cs="Arial"/>
          <w:sz w:val="22"/>
          <w:szCs w:val="22"/>
          <w:lang w:val="en-US"/>
        </w:rPr>
        <w:t>1</w:t>
      </w:r>
      <w:r w:rsidR="00FE3575">
        <w:rPr>
          <w:rFonts w:ascii="Arial" w:hAnsi="Arial" w:cs="Arial"/>
          <w:sz w:val="22"/>
          <w:szCs w:val="22"/>
          <w:lang w:val="en-US"/>
        </w:rPr>
        <w:t>11</w:t>
      </w:r>
      <w:r w:rsidR="00E67615" w:rsidRPr="00793E2F">
        <w:rPr>
          <w:rFonts w:ascii="Arial" w:hAnsi="Arial" w:cs="Arial"/>
          <w:sz w:val="22"/>
          <w:szCs w:val="22"/>
          <w:lang w:val="en-US"/>
        </w:rPr>
        <w:t xml:space="preserve"> retail dispensaries and 13 cultivation and </w:t>
      </w:r>
      <w:r w:rsidRPr="00793E2F">
        <w:rPr>
          <w:rFonts w:ascii="Arial" w:hAnsi="Arial" w:cs="Arial"/>
          <w:sz w:val="22"/>
          <w:szCs w:val="22"/>
          <w:lang w:val="en-US"/>
        </w:rPr>
        <w:t xml:space="preserve">production facilities comprising </w:t>
      </w:r>
      <w:r w:rsidR="00037809" w:rsidRPr="00793E2F">
        <w:rPr>
          <w:rFonts w:ascii="Arial" w:hAnsi="Arial" w:cs="Arial"/>
          <w:sz w:val="22"/>
          <w:szCs w:val="22"/>
          <w:lang w:val="en-US"/>
        </w:rPr>
        <w:t xml:space="preserve">over 1,000,000 </w:t>
      </w:r>
      <w:r w:rsidRPr="00793E2F">
        <w:rPr>
          <w:rFonts w:ascii="Arial" w:hAnsi="Arial" w:cs="Arial"/>
          <w:sz w:val="22"/>
          <w:szCs w:val="22"/>
          <w:lang w:val="en-US"/>
        </w:rPr>
        <w:t>square feet</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0BBEA49F" w:rsidR="00640E94" w:rsidRPr="00793E2F" w:rsidRDefault="00CE3CFE" w:rsidP="00CE3CFE">
      <w:pPr>
        <w:pStyle w:val="List"/>
        <w:spacing w:before="120"/>
        <w:ind w:left="720" w:firstLine="0"/>
        <w:jc w:val="both"/>
        <w:rPr>
          <w:rFonts w:ascii="Arial" w:hAnsi="Arial" w:cs="Arial"/>
          <w:sz w:val="22"/>
          <w:szCs w:val="22"/>
        </w:rPr>
      </w:pPr>
      <w:r w:rsidRPr="00793E2F">
        <w:rPr>
          <w:rFonts w:ascii="Arial" w:hAnsi="Arial" w:cs="Arial"/>
          <w:sz w:val="22"/>
          <w:szCs w:val="22"/>
        </w:rPr>
        <w:tab/>
        <w:t>Not applicable.</w:t>
      </w:r>
      <w:r w:rsidR="003F54D0" w:rsidRPr="00793E2F">
        <w:rPr>
          <w:rFonts w:ascii="Arial" w:hAnsi="Arial" w:cs="Arial"/>
          <w:sz w:val="22"/>
          <w:szCs w:val="22"/>
        </w:rPr>
        <w:t xml:space="preserve"> </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41D11D4F"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BB3CEC" w:rsidRPr="00793E2F">
        <w:rPr>
          <w:rFonts w:ascii="Arial" w:hAnsi="Arial" w:cs="Arial"/>
          <w:sz w:val="22"/>
          <w:szCs w:val="22"/>
        </w:rPr>
        <w:t>Not applicable.</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lastRenderedPageBreak/>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5C3ECDC" w14:textId="0A3B8CC0" w:rsidR="0037175D" w:rsidRDefault="002A5B20" w:rsidP="00CE3CFE">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r>
      <w:r w:rsidR="00BB58A1" w:rsidRPr="00BB58A1">
        <w:rPr>
          <w:rFonts w:ascii="Arial" w:hAnsi="Arial" w:cs="Arial"/>
          <w:sz w:val="22"/>
          <w:szCs w:val="22"/>
        </w:rPr>
        <w:t xml:space="preserve"> </w:t>
      </w:r>
      <w:r w:rsidR="00352C01">
        <w:rPr>
          <w:rFonts w:ascii="Arial" w:hAnsi="Arial" w:cs="Arial"/>
          <w:sz w:val="22"/>
          <w:szCs w:val="22"/>
        </w:rPr>
        <w:t>Not applicable</w:t>
      </w:r>
      <w:r w:rsidR="00501201">
        <w:rPr>
          <w:rFonts w:ascii="Arial" w:hAnsi="Arial" w:cs="Arial"/>
          <w:sz w:val="22"/>
          <w:szCs w:val="22"/>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5B758105" w:rsidR="0037175D" w:rsidRDefault="0041544A" w:rsidP="0014545B">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59A59731" w:rsidR="00C44022" w:rsidRDefault="00E67615" w:rsidP="00C44022">
      <w:pPr>
        <w:pStyle w:val="List"/>
        <w:spacing w:before="120"/>
        <w:ind w:left="1440" w:firstLine="0"/>
        <w:jc w:val="both"/>
        <w:rPr>
          <w:rFonts w:ascii="Arial" w:hAnsi="Arial" w:cs="Arial"/>
          <w:sz w:val="22"/>
          <w:szCs w:val="22"/>
          <w:lang w:val="en-US"/>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sidR="00A560FD">
        <w:rPr>
          <w:rFonts w:ascii="Arial" w:hAnsi="Arial" w:cs="Arial"/>
          <w:sz w:val="22"/>
          <w:szCs w:val="22"/>
          <w:lang w:val="en-US"/>
        </w:rPr>
        <w:t>July</w:t>
      </w:r>
      <w:r w:rsidRPr="00793E2F">
        <w:rPr>
          <w:rFonts w:ascii="Arial" w:hAnsi="Arial" w:cs="Arial"/>
          <w:sz w:val="22"/>
          <w:szCs w:val="22"/>
          <w:lang w:val="en-US"/>
        </w:rPr>
        <w:t xml:space="preserve"> 2022 the Issuer </w:t>
      </w:r>
      <w:r w:rsidR="00203D4C" w:rsidRPr="00793E2F">
        <w:rPr>
          <w:rFonts w:ascii="Arial" w:hAnsi="Arial" w:cs="Arial"/>
          <w:sz w:val="22"/>
          <w:szCs w:val="22"/>
          <w:lang w:val="en-US"/>
        </w:rPr>
        <w:t>opened medical dispensar</w:t>
      </w:r>
      <w:r w:rsidR="00B210DD">
        <w:rPr>
          <w:rFonts w:ascii="Arial" w:hAnsi="Arial" w:cs="Arial"/>
          <w:sz w:val="22"/>
          <w:szCs w:val="22"/>
          <w:lang w:val="en-US"/>
        </w:rPr>
        <w:t>ies</w:t>
      </w:r>
      <w:r w:rsidR="00203D4C" w:rsidRPr="00793E2F">
        <w:rPr>
          <w:rFonts w:ascii="Arial" w:hAnsi="Arial" w:cs="Arial"/>
          <w:sz w:val="22"/>
          <w:szCs w:val="22"/>
          <w:lang w:val="en-US"/>
        </w:rPr>
        <w:t xml:space="preserve"> in</w:t>
      </w:r>
      <w:r w:rsidR="00A560FD">
        <w:rPr>
          <w:rFonts w:ascii="Arial" w:hAnsi="Arial" w:cs="Arial"/>
          <w:sz w:val="22"/>
          <w:szCs w:val="22"/>
          <w:lang w:val="en-US"/>
        </w:rPr>
        <w:t xml:space="preserve"> </w:t>
      </w:r>
      <w:r w:rsidR="00E67AB2" w:rsidRPr="00AD1078">
        <w:rPr>
          <w:rFonts w:ascii="Arial" w:hAnsi="Arial" w:cs="Arial"/>
          <w:sz w:val="22"/>
          <w:szCs w:val="22"/>
          <w:lang w:val="en-US"/>
        </w:rPr>
        <w:t>Elkridge</w:t>
      </w:r>
      <w:r w:rsidR="00E67AB2">
        <w:rPr>
          <w:rFonts w:ascii="Arial" w:hAnsi="Arial" w:cs="Arial"/>
          <w:sz w:val="22"/>
          <w:szCs w:val="22"/>
          <w:lang w:val="en-US"/>
        </w:rPr>
        <w:t xml:space="preserve">, Maryland; Tampa, </w:t>
      </w:r>
      <w:r w:rsidR="00E67AB2" w:rsidRPr="000C6420">
        <w:rPr>
          <w:rFonts w:ascii="Arial" w:hAnsi="Arial" w:cs="Arial"/>
          <w:sz w:val="22"/>
          <w:szCs w:val="22"/>
          <w:lang w:val="en-US"/>
        </w:rPr>
        <w:t>Palatka</w:t>
      </w:r>
      <w:r w:rsidR="00E67AB2">
        <w:rPr>
          <w:rFonts w:ascii="Arial" w:hAnsi="Arial" w:cs="Arial"/>
          <w:sz w:val="22"/>
          <w:szCs w:val="22"/>
          <w:lang w:val="en-US"/>
        </w:rPr>
        <w:t>, and Hollywood Florida; and Clarksburg, West Virginia</w:t>
      </w:r>
      <w:r w:rsidR="00C44022" w:rsidRPr="00793E2F">
        <w:rPr>
          <w:rFonts w:ascii="Arial" w:hAnsi="Arial" w:cs="Arial"/>
          <w:sz w:val="22"/>
          <w:szCs w:val="22"/>
          <w:lang w:val="en-US"/>
        </w:rPr>
        <w:t>.</w:t>
      </w:r>
      <w:r w:rsidR="00203D4C" w:rsidRPr="00793E2F">
        <w:rPr>
          <w:rFonts w:ascii="Arial" w:hAnsi="Arial" w:cs="Arial"/>
          <w:sz w:val="22"/>
          <w:szCs w:val="22"/>
          <w:lang w:val="en-US"/>
        </w:rPr>
        <w:t xml:space="preserve">  The Issuer expects to attract new customers at these </w:t>
      </w:r>
      <w:r w:rsidR="00E67AB2">
        <w:rPr>
          <w:rFonts w:ascii="Arial" w:hAnsi="Arial" w:cs="Arial"/>
          <w:sz w:val="22"/>
          <w:szCs w:val="22"/>
          <w:lang w:val="en-US"/>
        </w:rPr>
        <w:t>five</w:t>
      </w:r>
      <w:r w:rsidR="007C0D91">
        <w:rPr>
          <w:rFonts w:ascii="Arial" w:hAnsi="Arial" w:cs="Arial"/>
          <w:sz w:val="22"/>
          <w:szCs w:val="22"/>
          <w:lang w:val="en-US"/>
        </w:rPr>
        <w:t xml:space="preserve"> </w:t>
      </w:r>
      <w:r w:rsidR="00203D4C" w:rsidRPr="00793E2F">
        <w:rPr>
          <w:rFonts w:ascii="Arial" w:hAnsi="Arial" w:cs="Arial"/>
          <w:sz w:val="22"/>
          <w:szCs w:val="22"/>
          <w:lang w:val="en-US"/>
        </w:rPr>
        <w:t>new locations.</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334F960F" w:rsidR="002A5B20" w:rsidRPr="00793E2F" w:rsidRDefault="002A5B20" w:rsidP="002A5B20">
      <w:pPr>
        <w:pStyle w:val="List"/>
        <w:spacing w:before="120"/>
        <w:ind w:left="720" w:firstLine="0"/>
        <w:jc w:val="both"/>
        <w:rPr>
          <w:rFonts w:ascii="Arial" w:hAnsi="Arial" w:cs="Arial"/>
          <w:sz w:val="22"/>
          <w:szCs w:val="22"/>
        </w:rPr>
      </w:pPr>
      <w:r w:rsidRPr="00793E2F">
        <w:rPr>
          <w:rFonts w:ascii="Arial" w:hAnsi="Arial" w:cs="Arial"/>
          <w:sz w:val="22"/>
          <w:szCs w:val="22"/>
        </w:rPr>
        <w:tab/>
      </w:r>
      <w:r w:rsidR="00D330A6" w:rsidRPr="00793E2F">
        <w:rPr>
          <w:rFonts w:ascii="Arial" w:hAnsi="Arial" w:cs="Arial"/>
          <w:sz w:val="22"/>
          <w:szCs w:val="22"/>
        </w:rPr>
        <w:t>Not applicable.</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05018A9E" w:rsidR="00432A5E" w:rsidRPr="00793E2F" w:rsidRDefault="00B251AB" w:rsidP="00017057">
      <w:pPr>
        <w:pStyle w:val="List"/>
        <w:keepNext/>
        <w:keepLines/>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017057">
        <w:rPr>
          <w:rFonts w:ascii="Arial" w:hAnsi="Arial" w:cs="Arial"/>
          <w:color w:val="000000"/>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3D824ECA" w:rsidR="00432A5E" w:rsidRPr="00793E2F" w:rsidRDefault="002A5B20" w:rsidP="00D17DB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4531222" w14:textId="3FDBE225" w:rsidR="00BF1FF5" w:rsidRPr="00793E2F" w:rsidRDefault="008D5FA3" w:rsidP="001A13E4">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p>
    <w:p w14:paraId="6CD56CCF" w14:textId="6944000C" w:rsidR="00E83127"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1C6BAF88" w:rsidR="00C44022" w:rsidRPr="00793E2F" w:rsidRDefault="00C44022" w:rsidP="00C44022">
      <w:pPr>
        <w:pStyle w:val="List"/>
        <w:spacing w:before="120"/>
        <w:ind w:left="720" w:firstLine="0"/>
        <w:jc w:val="both"/>
        <w:rPr>
          <w:rFonts w:ascii="Arial" w:hAnsi="Arial" w:cs="Arial"/>
          <w:sz w:val="22"/>
          <w:szCs w:val="22"/>
        </w:rPr>
      </w:pPr>
      <w:r w:rsidRPr="00793E2F">
        <w:rPr>
          <w:rFonts w:ascii="Arial" w:hAnsi="Arial" w:cs="Arial"/>
          <w:sz w:val="22"/>
          <w:szCs w:val="22"/>
        </w:rPr>
        <w:tab/>
      </w:r>
      <w:r w:rsidR="005003A4" w:rsidRPr="00793E2F">
        <w:rPr>
          <w:rFonts w:ascii="Arial" w:hAnsi="Arial" w:cs="Arial"/>
          <w:sz w:val="22"/>
          <w:szCs w:val="22"/>
        </w:rPr>
        <w:t>Not applicable</w:t>
      </w:r>
      <w:r w:rsidRPr="00793E2F">
        <w:rPr>
          <w:rFonts w:ascii="Arial" w:hAnsi="Arial" w:cs="Arial"/>
          <w:sz w:val="22"/>
          <w:szCs w:val="22"/>
        </w:rPr>
        <w:t>.</w:t>
      </w:r>
    </w:p>
    <w:p w14:paraId="7FE6C343" w14:textId="07E75C97" w:rsidR="002D191B"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7E0E546C" w14:textId="00CB8AC5" w:rsidR="007B6071" w:rsidRDefault="0072107E" w:rsidP="007C4F7F">
      <w:pPr>
        <w:pStyle w:val="List"/>
        <w:spacing w:before="120"/>
        <w:ind w:left="1440" w:hanging="720"/>
        <w:jc w:val="both"/>
        <w:rPr>
          <w:rFonts w:ascii="Arial" w:hAnsi="Arial" w:cs="Arial"/>
          <w:sz w:val="22"/>
          <w:szCs w:val="22"/>
        </w:rPr>
      </w:pPr>
      <w:r>
        <w:rPr>
          <w:rFonts w:ascii="Arial" w:hAnsi="Arial" w:cs="Arial"/>
          <w:sz w:val="22"/>
          <w:szCs w:val="22"/>
        </w:rPr>
        <w:tab/>
      </w:r>
    </w:p>
    <w:tbl>
      <w:tblPr>
        <w:tblpPr w:leftFromText="180" w:rightFromText="180" w:vertAnchor="text" w:horzAnchor="margin" w:tblpXSpec="right" w:tblpY="186"/>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80"/>
        <w:gridCol w:w="2520"/>
        <w:gridCol w:w="2340"/>
      </w:tblGrid>
      <w:tr w:rsidR="00E003CF" w:rsidRPr="00793E2F" w14:paraId="13F609EE" w14:textId="77777777" w:rsidTr="006F5948">
        <w:tc>
          <w:tcPr>
            <w:tcW w:w="1795" w:type="dxa"/>
          </w:tcPr>
          <w:p w14:paraId="6C961C41"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Security</w:t>
            </w:r>
          </w:p>
        </w:tc>
        <w:tc>
          <w:tcPr>
            <w:tcW w:w="1980" w:type="dxa"/>
          </w:tcPr>
          <w:p w14:paraId="55C6EE03"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Number Issued</w:t>
            </w:r>
          </w:p>
        </w:tc>
        <w:tc>
          <w:tcPr>
            <w:tcW w:w="2520" w:type="dxa"/>
          </w:tcPr>
          <w:p w14:paraId="4BA5C16E"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Details of Issuance</w:t>
            </w:r>
          </w:p>
        </w:tc>
        <w:tc>
          <w:tcPr>
            <w:tcW w:w="2340" w:type="dxa"/>
          </w:tcPr>
          <w:p w14:paraId="30FA78B8" w14:textId="77777777" w:rsidR="00E003CF" w:rsidRPr="00793E2F" w:rsidRDefault="00E003CF" w:rsidP="006F5948">
            <w:pPr>
              <w:pStyle w:val="List"/>
              <w:tabs>
                <w:tab w:val="left" w:pos="360"/>
              </w:tabs>
              <w:spacing w:before="0" w:line="280" w:lineRule="exact"/>
              <w:ind w:left="0" w:firstLine="0"/>
              <w:jc w:val="both"/>
              <w:rPr>
                <w:rFonts w:ascii="Arial" w:hAnsi="Arial" w:cs="Arial"/>
                <w:b/>
                <w:sz w:val="22"/>
                <w:szCs w:val="22"/>
              </w:rPr>
            </w:pPr>
            <w:r w:rsidRPr="00793E2F">
              <w:rPr>
                <w:rFonts w:ascii="Arial" w:hAnsi="Arial" w:cs="Arial"/>
                <w:b/>
                <w:sz w:val="22"/>
                <w:szCs w:val="22"/>
              </w:rPr>
              <w:t>Use of Proceeds</w:t>
            </w:r>
            <w:r w:rsidRPr="00793E2F">
              <w:rPr>
                <w:rFonts w:ascii="Arial" w:hAnsi="Arial" w:cs="Arial"/>
                <w:b/>
                <w:sz w:val="22"/>
                <w:szCs w:val="22"/>
                <w:vertAlign w:val="superscript"/>
              </w:rPr>
              <w:t>(1)</w:t>
            </w:r>
          </w:p>
        </w:tc>
      </w:tr>
      <w:tr w:rsidR="00F0371B" w:rsidRPr="00793E2F" w14:paraId="2F3BFA3F" w14:textId="77777777" w:rsidTr="006F5948">
        <w:tc>
          <w:tcPr>
            <w:tcW w:w="1795" w:type="dxa"/>
          </w:tcPr>
          <w:p w14:paraId="0D3F3827" w14:textId="2B5AD620" w:rsidR="00F0371B" w:rsidRPr="00E2017F" w:rsidRDefault="00F0371B" w:rsidP="00F0371B">
            <w:pPr>
              <w:pStyle w:val="List"/>
              <w:tabs>
                <w:tab w:val="left" w:pos="360"/>
              </w:tabs>
              <w:spacing w:before="0" w:line="280" w:lineRule="exact"/>
              <w:ind w:left="0" w:firstLine="0"/>
              <w:rPr>
                <w:rFonts w:ascii="Arial" w:hAnsi="Arial" w:cs="Arial"/>
                <w:sz w:val="20"/>
              </w:rPr>
            </w:pPr>
            <w:r>
              <w:rPr>
                <w:rFonts w:ascii="Arial" w:hAnsi="Arial" w:cs="Arial"/>
                <w:sz w:val="20"/>
              </w:rPr>
              <w:t>SV Shares</w:t>
            </w:r>
          </w:p>
        </w:tc>
        <w:tc>
          <w:tcPr>
            <w:tcW w:w="1980" w:type="dxa"/>
          </w:tcPr>
          <w:p w14:paraId="4D59D974" w14:textId="56D54651" w:rsidR="00F0371B" w:rsidRPr="00E2017F" w:rsidRDefault="00F0371B" w:rsidP="00F0371B">
            <w:pPr>
              <w:pStyle w:val="List"/>
              <w:tabs>
                <w:tab w:val="left" w:pos="360"/>
              </w:tabs>
              <w:spacing w:before="0" w:line="280" w:lineRule="exact"/>
              <w:ind w:left="0" w:firstLine="0"/>
              <w:rPr>
                <w:rFonts w:ascii="Arial" w:hAnsi="Arial" w:cs="Arial"/>
                <w:sz w:val="20"/>
              </w:rPr>
            </w:pPr>
            <w:r w:rsidRPr="00BF67F9">
              <w:rPr>
                <w:rFonts w:ascii="Arial" w:hAnsi="Arial" w:cs="Arial"/>
                <w:sz w:val="20"/>
                <w:lang w:val="en-US"/>
              </w:rPr>
              <w:t>600,743</w:t>
            </w:r>
          </w:p>
        </w:tc>
        <w:tc>
          <w:tcPr>
            <w:tcW w:w="2520" w:type="dxa"/>
          </w:tcPr>
          <w:p w14:paraId="0AF81435" w14:textId="2DEF57DA" w:rsidR="00F0371B" w:rsidRPr="00501201" w:rsidRDefault="001B45B6" w:rsidP="00F0371B">
            <w:pPr>
              <w:pStyle w:val="List"/>
              <w:tabs>
                <w:tab w:val="left" w:pos="360"/>
              </w:tabs>
              <w:spacing w:before="0" w:line="280" w:lineRule="exact"/>
              <w:ind w:left="0" w:firstLine="0"/>
              <w:rPr>
                <w:rFonts w:ascii="Arial" w:hAnsi="Arial" w:cs="Arial"/>
                <w:sz w:val="20"/>
                <w:lang w:val="en-US"/>
              </w:rPr>
            </w:pPr>
            <w:r w:rsidRPr="00501201">
              <w:rPr>
                <w:rFonts w:ascii="Arial" w:hAnsi="Arial" w:cs="Arial"/>
                <w:sz w:val="20"/>
                <w:lang w:val="en-US"/>
              </w:rPr>
              <w:t>Issued to the sellers of AK and AHI that were acquired by the Issuer on July 12, 2021. The SV Shares were issued as additional consideration payable to such sellers</w:t>
            </w:r>
            <w:r w:rsidR="00061137" w:rsidRPr="00501201">
              <w:rPr>
                <w:rFonts w:ascii="Arial" w:hAnsi="Arial" w:cs="Arial"/>
                <w:sz w:val="20"/>
                <w:lang w:val="en-US"/>
              </w:rPr>
              <w:t xml:space="preserve"> on August 11, 2022</w:t>
            </w:r>
            <w:r w:rsidRPr="00501201">
              <w:rPr>
                <w:rFonts w:ascii="Arial" w:hAnsi="Arial" w:cs="Arial"/>
                <w:sz w:val="20"/>
                <w:lang w:val="en-US"/>
              </w:rPr>
              <w:t xml:space="preserve">. The </w:t>
            </w:r>
            <w:r w:rsidRPr="00501201">
              <w:rPr>
                <w:rFonts w:ascii="Arial" w:hAnsi="Arial" w:cs="Arial"/>
                <w:sz w:val="20"/>
                <w:lang w:val="en-US"/>
              </w:rPr>
              <w:lastRenderedPageBreak/>
              <w:t>SV Shares were valued at CDN$</w:t>
            </w:r>
            <w:r w:rsidR="00502806">
              <w:rPr>
                <w:rFonts w:ascii="Arial" w:hAnsi="Arial" w:cs="Arial"/>
                <w:sz w:val="20"/>
                <w:lang w:val="en-US"/>
              </w:rPr>
              <w:t>7.70</w:t>
            </w:r>
            <w:r w:rsidRPr="00501201">
              <w:rPr>
                <w:rFonts w:ascii="Arial" w:hAnsi="Arial" w:cs="Arial"/>
                <w:sz w:val="20"/>
                <w:lang w:val="en-US"/>
              </w:rPr>
              <w:t xml:space="preserve"> per share.</w:t>
            </w:r>
          </w:p>
        </w:tc>
        <w:tc>
          <w:tcPr>
            <w:tcW w:w="2340" w:type="dxa"/>
          </w:tcPr>
          <w:p w14:paraId="6A2BD94B" w14:textId="30664160" w:rsidR="00F0371B" w:rsidRPr="00E2017F" w:rsidRDefault="00426960" w:rsidP="00F0371B">
            <w:pPr>
              <w:pStyle w:val="List"/>
              <w:tabs>
                <w:tab w:val="left" w:pos="360"/>
              </w:tabs>
              <w:spacing w:before="0" w:line="280" w:lineRule="exact"/>
              <w:ind w:left="0" w:firstLine="0"/>
              <w:rPr>
                <w:rFonts w:ascii="Arial" w:hAnsi="Arial" w:cs="Arial"/>
                <w:sz w:val="20"/>
              </w:rPr>
            </w:pPr>
            <w:r>
              <w:rPr>
                <w:rFonts w:ascii="Arial" w:hAnsi="Arial" w:cs="Arial"/>
                <w:sz w:val="20"/>
              </w:rPr>
              <w:lastRenderedPageBreak/>
              <w:t>Not applicable.</w:t>
            </w:r>
          </w:p>
        </w:tc>
      </w:tr>
      <w:tr w:rsidR="00F0371B" w:rsidRPr="00793E2F" w14:paraId="4B001221" w14:textId="77777777" w:rsidTr="006F5948">
        <w:tc>
          <w:tcPr>
            <w:tcW w:w="1795" w:type="dxa"/>
          </w:tcPr>
          <w:p w14:paraId="72BFFC24" w14:textId="059898D8" w:rsidR="00F0371B" w:rsidRPr="00E2017F" w:rsidRDefault="00F0371B" w:rsidP="00F0371B">
            <w:pPr>
              <w:pStyle w:val="List"/>
              <w:tabs>
                <w:tab w:val="left" w:pos="360"/>
              </w:tabs>
              <w:spacing w:before="0" w:line="280" w:lineRule="exact"/>
              <w:ind w:left="0" w:firstLine="0"/>
              <w:rPr>
                <w:rFonts w:ascii="Arial" w:hAnsi="Arial" w:cs="Arial"/>
                <w:sz w:val="20"/>
              </w:rPr>
            </w:pPr>
            <w:r>
              <w:rPr>
                <w:rFonts w:ascii="Arial" w:hAnsi="Arial" w:cs="Arial"/>
                <w:sz w:val="20"/>
              </w:rPr>
              <w:t>SV Shares</w:t>
            </w:r>
          </w:p>
        </w:tc>
        <w:tc>
          <w:tcPr>
            <w:tcW w:w="1980" w:type="dxa"/>
          </w:tcPr>
          <w:p w14:paraId="4A38E1D8" w14:textId="4A2C460C" w:rsidR="00F0371B" w:rsidRPr="00E2017F" w:rsidRDefault="00F0371B" w:rsidP="00F0371B">
            <w:pPr>
              <w:pStyle w:val="List"/>
              <w:tabs>
                <w:tab w:val="left" w:pos="360"/>
              </w:tabs>
              <w:spacing w:before="0" w:line="280" w:lineRule="exact"/>
              <w:ind w:left="0" w:firstLine="0"/>
              <w:rPr>
                <w:rFonts w:ascii="Arial" w:hAnsi="Arial" w:cs="Arial"/>
                <w:sz w:val="20"/>
              </w:rPr>
            </w:pPr>
            <w:r w:rsidRPr="00BF67F9">
              <w:rPr>
                <w:rFonts w:ascii="Arial" w:hAnsi="Arial" w:cs="Arial"/>
                <w:sz w:val="20"/>
                <w:lang w:val="en-US"/>
              </w:rPr>
              <w:t>594,736</w:t>
            </w:r>
          </w:p>
        </w:tc>
        <w:tc>
          <w:tcPr>
            <w:tcW w:w="2520" w:type="dxa"/>
          </w:tcPr>
          <w:p w14:paraId="033D038C" w14:textId="019F5A17" w:rsidR="00F0371B" w:rsidRPr="00501201" w:rsidRDefault="004B3893" w:rsidP="00F0371B">
            <w:pPr>
              <w:pStyle w:val="List"/>
              <w:tabs>
                <w:tab w:val="left" w:pos="360"/>
              </w:tabs>
              <w:spacing w:before="0" w:line="280" w:lineRule="exact"/>
              <w:ind w:left="0" w:firstLine="0"/>
              <w:rPr>
                <w:rFonts w:ascii="Arial" w:hAnsi="Arial" w:cs="Arial"/>
                <w:sz w:val="20"/>
                <w:lang w:val="en-US"/>
              </w:rPr>
            </w:pPr>
            <w:r w:rsidRPr="00501201">
              <w:rPr>
                <w:rFonts w:ascii="Arial" w:hAnsi="Arial" w:cs="Arial"/>
                <w:sz w:val="20"/>
                <w:lang w:val="en-US"/>
              </w:rPr>
              <w:t>Issued to the sellers of AB that was acquired by the Issuer on July 12, 2021. The SV Shares were issued as additional consideration payable to such sellers</w:t>
            </w:r>
            <w:r w:rsidR="00061137" w:rsidRPr="00501201">
              <w:rPr>
                <w:rFonts w:ascii="Arial" w:hAnsi="Arial" w:cs="Arial"/>
                <w:sz w:val="20"/>
                <w:lang w:val="en-US"/>
              </w:rPr>
              <w:t xml:space="preserve"> on August 11, 2022</w:t>
            </w:r>
            <w:r w:rsidRPr="00501201">
              <w:rPr>
                <w:rFonts w:ascii="Arial" w:hAnsi="Arial" w:cs="Arial"/>
                <w:sz w:val="20"/>
                <w:lang w:val="en-US"/>
              </w:rPr>
              <w:t>. The SV Shares were valued at CDN$</w:t>
            </w:r>
            <w:r w:rsidR="00502806">
              <w:rPr>
                <w:rFonts w:ascii="Arial" w:hAnsi="Arial" w:cs="Arial"/>
                <w:sz w:val="20"/>
                <w:lang w:val="en-US"/>
              </w:rPr>
              <w:t>7.70</w:t>
            </w:r>
            <w:r w:rsidRPr="00501201">
              <w:rPr>
                <w:rFonts w:ascii="Arial" w:hAnsi="Arial" w:cs="Arial"/>
                <w:sz w:val="20"/>
                <w:lang w:val="en-US"/>
              </w:rPr>
              <w:t xml:space="preserve"> per share.</w:t>
            </w:r>
          </w:p>
        </w:tc>
        <w:tc>
          <w:tcPr>
            <w:tcW w:w="2340" w:type="dxa"/>
          </w:tcPr>
          <w:p w14:paraId="56BDD0CC" w14:textId="16FF4E1F" w:rsidR="00F0371B" w:rsidRPr="00E2017F" w:rsidRDefault="00426960" w:rsidP="00F0371B">
            <w:pPr>
              <w:pStyle w:val="List"/>
              <w:tabs>
                <w:tab w:val="left" w:pos="360"/>
              </w:tabs>
              <w:spacing w:before="0" w:line="280" w:lineRule="exact"/>
              <w:ind w:left="0" w:firstLine="0"/>
              <w:rPr>
                <w:rFonts w:ascii="Arial" w:hAnsi="Arial" w:cs="Arial"/>
                <w:sz w:val="20"/>
              </w:rPr>
            </w:pPr>
            <w:r>
              <w:rPr>
                <w:rFonts w:ascii="Arial" w:hAnsi="Arial" w:cs="Arial"/>
                <w:sz w:val="20"/>
              </w:rPr>
              <w:t>Not applicable.</w:t>
            </w:r>
          </w:p>
        </w:tc>
      </w:tr>
      <w:tr w:rsidR="00D53160" w:rsidRPr="00793E2F" w14:paraId="47920E81" w14:textId="77777777" w:rsidTr="006F5948">
        <w:tc>
          <w:tcPr>
            <w:tcW w:w="1795" w:type="dxa"/>
          </w:tcPr>
          <w:p w14:paraId="72CFB901" w14:textId="3369F86D" w:rsidR="00D53160" w:rsidRDefault="00D53160" w:rsidP="00F0371B">
            <w:pPr>
              <w:pStyle w:val="List"/>
              <w:tabs>
                <w:tab w:val="left" w:pos="360"/>
              </w:tabs>
              <w:spacing w:before="0" w:line="280" w:lineRule="exact"/>
              <w:ind w:left="0" w:firstLine="0"/>
              <w:rPr>
                <w:rFonts w:ascii="Arial" w:hAnsi="Arial" w:cs="Arial"/>
                <w:sz w:val="20"/>
              </w:rPr>
            </w:pPr>
            <w:r>
              <w:rPr>
                <w:rFonts w:ascii="Arial" w:hAnsi="Arial" w:cs="Arial"/>
                <w:sz w:val="20"/>
              </w:rPr>
              <w:t>SV Shares</w:t>
            </w:r>
          </w:p>
        </w:tc>
        <w:tc>
          <w:tcPr>
            <w:tcW w:w="1980" w:type="dxa"/>
          </w:tcPr>
          <w:p w14:paraId="25F942EB" w14:textId="1B071B1A" w:rsidR="00D53160" w:rsidRPr="00BF67F9" w:rsidRDefault="002B16EE" w:rsidP="00F0371B">
            <w:pPr>
              <w:pStyle w:val="List"/>
              <w:tabs>
                <w:tab w:val="left" w:pos="360"/>
              </w:tabs>
              <w:spacing w:before="0" w:line="280" w:lineRule="exact"/>
              <w:ind w:left="0" w:firstLine="0"/>
              <w:rPr>
                <w:rFonts w:ascii="Arial" w:hAnsi="Arial" w:cs="Arial"/>
                <w:sz w:val="20"/>
                <w:lang w:val="en-US"/>
              </w:rPr>
            </w:pPr>
            <w:r w:rsidRPr="002B16EE">
              <w:rPr>
                <w:rFonts w:ascii="Arial" w:hAnsi="Arial" w:cs="Arial"/>
                <w:sz w:val="20"/>
                <w:lang w:val="en-US"/>
              </w:rPr>
              <w:t>710</w:t>
            </w:r>
            <w:r>
              <w:rPr>
                <w:rFonts w:ascii="Arial" w:hAnsi="Arial" w:cs="Arial"/>
                <w:sz w:val="20"/>
                <w:lang w:val="en-US"/>
              </w:rPr>
              <w:t>,</w:t>
            </w:r>
            <w:r w:rsidRPr="002B16EE">
              <w:rPr>
                <w:rFonts w:ascii="Arial" w:hAnsi="Arial" w:cs="Arial"/>
                <w:sz w:val="20"/>
                <w:lang w:val="en-US"/>
              </w:rPr>
              <w:t>635</w:t>
            </w:r>
          </w:p>
        </w:tc>
        <w:tc>
          <w:tcPr>
            <w:tcW w:w="2520" w:type="dxa"/>
          </w:tcPr>
          <w:p w14:paraId="6688E60B" w14:textId="2911ACF4" w:rsidR="00D53160" w:rsidRPr="00D53160" w:rsidRDefault="00D53160" w:rsidP="00F0371B">
            <w:pPr>
              <w:pStyle w:val="List"/>
              <w:tabs>
                <w:tab w:val="left" w:pos="360"/>
              </w:tabs>
              <w:spacing w:before="0" w:line="280" w:lineRule="exact"/>
              <w:ind w:left="0" w:firstLine="0"/>
              <w:rPr>
                <w:rFonts w:ascii="Arial" w:hAnsi="Arial" w:cs="Arial"/>
                <w:sz w:val="20"/>
                <w:lang w:val="en-US"/>
              </w:rPr>
            </w:pPr>
            <w:r w:rsidRPr="00D53160">
              <w:rPr>
                <w:rFonts w:ascii="Arial" w:hAnsi="Arial" w:cs="Arial"/>
                <w:sz w:val="20"/>
                <w:lang w:val="en-US"/>
              </w:rPr>
              <w:t>Issued to</w:t>
            </w:r>
            <w:r w:rsidR="006D3BFA">
              <w:rPr>
                <w:rFonts w:ascii="Arial" w:hAnsi="Arial" w:cs="Arial"/>
                <w:sz w:val="20"/>
                <w:lang w:val="en-US"/>
              </w:rPr>
              <w:t xml:space="preserve"> 100</w:t>
            </w:r>
            <w:r w:rsidRPr="00D53160">
              <w:rPr>
                <w:rFonts w:ascii="Arial" w:hAnsi="Arial" w:cs="Arial"/>
                <w:sz w:val="20"/>
                <w:lang w:val="en-US"/>
              </w:rPr>
              <w:t xml:space="preserve"> participants in the Issuer’s 2021 Equity Incentive Plan comprised of employees, officers and directors </w:t>
            </w:r>
            <w:r w:rsidR="007651E9">
              <w:rPr>
                <w:rFonts w:ascii="Arial" w:hAnsi="Arial" w:cs="Arial"/>
                <w:sz w:val="20"/>
                <w:lang w:val="en-US"/>
              </w:rPr>
              <w:t>on</w:t>
            </w:r>
            <w:r w:rsidRPr="00D53160">
              <w:rPr>
                <w:rFonts w:ascii="Arial" w:hAnsi="Arial" w:cs="Arial"/>
                <w:sz w:val="20"/>
                <w:lang w:val="en-US"/>
              </w:rPr>
              <w:t xml:space="preserve"> </w:t>
            </w:r>
            <w:r>
              <w:rPr>
                <w:rFonts w:ascii="Arial" w:hAnsi="Arial" w:cs="Arial"/>
                <w:sz w:val="20"/>
                <w:lang w:val="en-US"/>
              </w:rPr>
              <w:t>August</w:t>
            </w:r>
            <w:r w:rsidRPr="00D53160">
              <w:rPr>
                <w:rFonts w:ascii="Arial" w:hAnsi="Arial" w:cs="Arial"/>
                <w:sz w:val="20"/>
                <w:lang w:val="en-US"/>
              </w:rPr>
              <w:t xml:space="preserve"> 23, 2022, </w:t>
            </w:r>
            <w:r>
              <w:rPr>
                <w:rFonts w:ascii="Arial" w:hAnsi="Arial" w:cs="Arial"/>
                <w:sz w:val="20"/>
                <w:lang w:val="en-US"/>
              </w:rPr>
              <w:t>in respect of restricted stock units</w:t>
            </w:r>
            <w:r w:rsidR="007651E9">
              <w:rPr>
                <w:rFonts w:ascii="Arial" w:hAnsi="Arial" w:cs="Arial"/>
                <w:sz w:val="20"/>
                <w:lang w:val="en-US"/>
              </w:rPr>
              <w:t xml:space="preserve"> that vested August 18 and August 23, 2022. </w:t>
            </w:r>
          </w:p>
        </w:tc>
        <w:tc>
          <w:tcPr>
            <w:tcW w:w="2340" w:type="dxa"/>
          </w:tcPr>
          <w:p w14:paraId="2CEE2870" w14:textId="7233B23F" w:rsidR="00D53160" w:rsidRDefault="006426DA" w:rsidP="00F0371B">
            <w:pPr>
              <w:pStyle w:val="List"/>
              <w:tabs>
                <w:tab w:val="left" w:pos="360"/>
              </w:tabs>
              <w:spacing w:before="0" w:line="280" w:lineRule="exact"/>
              <w:ind w:left="0" w:firstLine="0"/>
              <w:rPr>
                <w:rFonts w:ascii="Arial" w:hAnsi="Arial" w:cs="Arial"/>
                <w:sz w:val="20"/>
              </w:rPr>
            </w:pPr>
            <w:r>
              <w:rPr>
                <w:rFonts w:ascii="Arial" w:hAnsi="Arial" w:cs="Arial"/>
                <w:sz w:val="20"/>
              </w:rPr>
              <w:t>Not applicable.</w:t>
            </w:r>
          </w:p>
        </w:tc>
      </w:tr>
    </w:tbl>
    <w:p w14:paraId="3DD06F6E" w14:textId="36338D21" w:rsidR="00C43025" w:rsidRPr="00793E2F" w:rsidRDefault="00C43025" w:rsidP="007C4F7F">
      <w:pPr>
        <w:pStyle w:val="List"/>
        <w:spacing w:before="120"/>
        <w:ind w:left="1440" w:hanging="720"/>
        <w:jc w:val="both"/>
        <w:rPr>
          <w:rFonts w:ascii="Arial" w:hAnsi="Arial" w:cs="Arial"/>
          <w:sz w:val="22"/>
          <w:szCs w:val="22"/>
        </w:rPr>
      </w:pPr>
    </w:p>
    <w:p w14:paraId="2D0CC7BD" w14:textId="49E99FA5" w:rsidR="00640E94" w:rsidRPr="00793E2F" w:rsidRDefault="00D17DB0" w:rsidP="00D17DB0">
      <w:pPr>
        <w:pStyle w:val="List"/>
        <w:tabs>
          <w:tab w:val="left" w:pos="630"/>
        </w:tabs>
        <w:spacing w:before="120"/>
        <w:ind w:left="0" w:firstLine="0"/>
        <w:jc w:val="both"/>
        <w:rPr>
          <w:rFonts w:ascii="Arial" w:hAnsi="Arial" w:cs="Arial"/>
          <w:i/>
          <w:sz w:val="22"/>
          <w:szCs w:val="22"/>
        </w:rPr>
      </w:pPr>
      <w:r w:rsidRPr="00793E2F">
        <w:rPr>
          <w:rFonts w:ascii="Arial" w:hAnsi="Arial" w:cs="Arial"/>
          <w:i/>
          <w:sz w:val="22"/>
          <w:szCs w:val="22"/>
        </w:rPr>
        <w:tab/>
      </w:r>
      <w:r w:rsidRPr="00793E2F">
        <w:rPr>
          <w:rFonts w:ascii="Arial" w:hAnsi="Arial" w:cs="Arial"/>
          <w:i/>
          <w:sz w:val="22"/>
          <w:szCs w:val="22"/>
        </w:rPr>
        <w:tab/>
      </w:r>
      <w:r w:rsidR="00640E94" w:rsidRPr="00793E2F">
        <w:rPr>
          <w:rFonts w:ascii="Arial" w:hAnsi="Arial" w:cs="Arial"/>
          <w:i/>
          <w:sz w:val="22"/>
          <w:szCs w:val="22"/>
        </w:rPr>
        <w:tab/>
      </w:r>
      <w:r w:rsidRPr="00793E2F">
        <w:rPr>
          <w:rFonts w:ascii="Arial" w:hAnsi="Arial" w:cs="Arial"/>
          <w:i/>
          <w:sz w:val="22"/>
          <w:szCs w:val="22"/>
        </w:rPr>
        <w:t xml:space="preserve">(1)  </w:t>
      </w:r>
      <w:r w:rsidR="00640E94" w:rsidRPr="00793E2F">
        <w:rPr>
          <w:rFonts w:ascii="Arial" w:hAnsi="Arial" w:cs="Arial"/>
          <w:i/>
          <w:sz w:val="22"/>
          <w:szCs w:val="22"/>
        </w:rPr>
        <w:t>State aggregate proceeds and intended allocation of proceeds.</w:t>
      </w:r>
    </w:p>
    <w:p w14:paraId="229E4DF1" w14:textId="465D376C" w:rsidR="00CA7C47" w:rsidRPr="00793E2F" w:rsidRDefault="00047DD4" w:rsidP="0003129E">
      <w:pPr>
        <w:pStyle w:val="List"/>
        <w:spacing w:before="120"/>
        <w:ind w:left="1440" w:firstLine="0"/>
        <w:jc w:val="both"/>
        <w:rPr>
          <w:rFonts w:ascii="Arial" w:hAnsi="Arial" w:cs="Arial"/>
          <w:i/>
          <w:sz w:val="22"/>
          <w:szCs w:val="22"/>
        </w:rPr>
      </w:pPr>
      <w:r>
        <w:rPr>
          <w:rFonts w:ascii="Arial" w:hAnsi="Arial" w:cs="Arial"/>
          <w:i/>
          <w:sz w:val="22"/>
          <w:szCs w:val="22"/>
        </w:rPr>
        <w:t>Not applicable.</w:t>
      </w: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39F25BAF"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sidR="00C24188">
        <w:rPr>
          <w:rFonts w:ascii="Arial" w:hAnsi="Arial" w:cs="Arial"/>
          <w:sz w:val="22"/>
          <w:szCs w:val="22"/>
        </w:rPr>
        <w:t>.</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66D52E58" w14:textId="20ED2FA3" w:rsidR="002D0065" w:rsidRDefault="00C6650B" w:rsidP="000B706F">
      <w:pPr>
        <w:pStyle w:val="List"/>
        <w:keepNext/>
        <w:keepLines/>
        <w:spacing w:before="120"/>
        <w:ind w:left="1440" w:firstLine="0"/>
        <w:jc w:val="both"/>
        <w:rPr>
          <w:rFonts w:ascii="Arial" w:hAnsi="Arial" w:cs="Arial"/>
          <w:sz w:val="22"/>
          <w:szCs w:val="22"/>
        </w:rPr>
      </w:pPr>
      <w:r w:rsidRPr="00C6650B">
        <w:rPr>
          <w:rFonts w:ascii="Arial" w:hAnsi="Arial" w:cs="Arial"/>
          <w:sz w:val="22"/>
          <w:szCs w:val="22"/>
        </w:rPr>
        <w:t xml:space="preserve">On August 29, 2022, the Board of Directors (the “Board”) of </w:t>
      </w:r>
      <w:r>
        <w:rPr>
          <w:rFonts w:ascii="Arial" w:hAnsi="Arial" w:cs="Arial"/>
          <w:sz w:val="22"/>
          <w:szCs w:val="22"/>
        </w:rPr>
        <w:t>the Issuer</w:t>
      </w:r>
      <w:r w:rsidRPr="00C6650B">
        <w:rPr>
          <w:rFonts w:ascii="Arial" w:hAnsi="Arial" w:cs="Arial"/>
          <w:sz w:val="22"/>
          <w:szCs w:val="22"/>
        </w:rPr>
        <w:t xml:space="preserve"> approved an increase of the Board size from four to five members, appointed Lawrence Randall Hirsh to serve as a member of the Board, and appointed Mr. Hirsh to serve as the Chairman of the Audit Committee of the Board, in each case, effective immediately.</w:t>
      </w:r>
    </w:p>
    <w:p w14:paraId="1DC42672" w14:textId="77777777" w:rsidR="0072107E" w:rsidRPr="0072107E" w:rsidRDefault="0072107E" w:rsidP="0072107E"/>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7D071A5C" w14:textId="11AD6C23" w:rsidR="00793E2F" w:rsidRPr="00793E2F" w:rsidRDefault="00E83127"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The Issuer continues to </w:t>
      </w:r>
      <w:r w:rsidR="00F31984" w:rsidRPr="00793E2F">
        <w:rPr>
          <w:rFonts w:ascii="Arial" w:hAnsi="Arial" w:cs="Arial"/>
          <w:sz w:val="22"/>
          <w:szCs w:val="22"/>
        </w:rPr>
        <w:t>monitor the COVID-19 situation in the U.S.</w:t>
      </w:r>
      <w:r w:rsidR="00621D8B" w:rsidRPr="00793E2F">
        <w:rPr>
          <w:rFonts w:ascii="Arial" w:hAnsi="Arial" w:cs="Arial"/>
          <w:sz w:val="22"/>
          <w:szCs w:val="22"/>
        </w:rPr>
        <w:t xml:space="preserve"> </w:t>
      </w:r>
      <w:r w:rsidR="00120331" w:rsidRPr="00793E2F">
        <w:rPr>
          <w:rFonts w:ascii="Arial" w:hAnsi="Arial" w:cs="Arial"/>
          <w:sz w:val="22"/>
          <w:szCs w:val="22"/>
        </w:rPr>
        <w:t xml:space="preserve">The Issuer </w:t>
      </w:r>
      <w:r w:rsidR="00F31984" w:rsidRPr="00793E2F">
        <w:rPr>
          <w:rFonts w:ascii="Arial" w:hAnsi="Arial" w:cs="Arial"/>
          <w:sz w:val="22"/>
          <w:szCs w:val="22"/>
        </w:rPr>
        <w:t xml:space="preserve">proactively </w:t>
      </w:r>
      <w:r w:rsidRPr="00793E2F">
        <w:rPr>
          <w:rFonts w:ascii="Arial" w:hAnsi="Arial" w:cs="Arial"/>
          <w:sz w:val="22"/>
          <w:szCs w:val="22"/>
        </w:rPr>
        <w:t>modifi</w:t>
      </w:r>
      <w:r w:rsidR="00120331" w:rsidRPr="00793E2F">
        <w:rPr>
          <w:rFonts w:ascii="Arial" w:hAnsi="Arial" w:cs="Arial"/>
          <w:sz w:val="22"/>
          <w:szCs w:val="22"/>
        </w:rPr>
        <w:t>es</w:t>
      </w:r>
      <w:r w:rsidRPr="00793E2F">
        <w:rPr>
          <w:rFonts w:ascii="Arial" w:hAnsi="Arial" w:cs="Arial"/>
          <w:sz w:val="22"/>
          <w:szCs w:val="22"/>
        </w:rPr>
        <w:t xml:space="preserve"> and implement</w:t>
      </w:r>
      <w:r w:rsidR="00120331" w:rsidRPr="00793E2F">
        <w:rPr>
          <w:rFonts w:ascii="Arial" w:hAnsi="Arial" w:cs="Arial"/>
          <w:sz w:val="22"/>
          <w:szCs w:val="22"/>
        </w:rPr>
        <w:t>s</w:t>
      </w:r>
      <w:r w:rsidRPr="00793E2F">
        <w:rPr>
          <w:rFonts w:ascii="Arial" w:hAnsi="Arial" w:cs="Arial"/>
          <w:sz w:val="22"/>
          <w:szCs w:val="22"/>
        </w:rPr>
        <w:t xml:space="preserve"> </w:t>
      </w:r>
      <w:r w:rsidR="00F31984" w:rsidRPr="00793E2F">
        <w:rPr>
          <w:rFonts w:ascii="Arial" w:hAnsi="Arial" w:cs="Arial"/>
          <w:sz w:val="22"/>
          <w:szCs w:val="22"/>
        </w:rPr>
        <w:t xml:space="preserve">precautions </w:t>
      </w:r>
      <w:r w:rsidRPr="00793E2F">
        <w:rPr>
          <w:rFonts w:ascii="Arial" w:hAnsi="Arial" w:cs="Arial"/>
          <w:sz w:val="22"/>
          <w:szCs w:val="22"/>
        </w:rPr>
        <w:t xml:space="preserve">and mandates </w:t>
      </w:r>
      <w:r w:rsidR="00F31984" w:rsidRPr="00793E2F">
        <w:rPr>
          <w:rFonts w:ascii="Arial" w:hAnsi="Arial" w:cs="Arial"/>
          <w:sz w:val="22"/>
          <w:szCs w:val="22"/>
        </w:rPr>
        <w:t>to adher</w:t>
      </w:r>
      <w:r w:rsidRPr="00793E2F">
        <w:rPr>
          <w:rFonts w:ascii="Arial" w:hAnsi="Arial" w:cs="Arial"/>
          <w:sz w:val="22"/>
          <w:szCs w:val="22"/>
        </w:rPr>
        <w:t>e</w:t>
      </w:r>
      <w:r w:rsidR="00F31984" w:rsidRPr="00793E2F">
        <w:rPr>
          <w:rFonts w:ascii="Arial" w:hAnsi="Arial" w:cs="Arial"/>
          <w:sz w:val="22"/>
          <w:szCs w:val="22"/>
        </w:rPr>
        <w:t xml:space="preserve"> to </w:t>
      </w:r>
      <w:r w:rsidRPr="00793E2F">
        <w:rPr>
          <w:rFonts w:ascii="Arial" w:hAnsi="Arial" w:cs="Arial"/>
          <w:sz w:val="22"/>
          <w:szCs w:val="22"/>
        </w:rPr>
        <w:t xml:space="preserve">applicable laws </w:t>
      </w:r>
      <w:r w:rsidR="00120331" w:rsidRPr="00793E2F">
        <w:rPr>
          <w:rFonts w:ascii="Arial" w:hAnsi="Arial" w:cs="Arial"/>
          <w:sz w:val="22"/>
          <w:szCs w:val="22"/>
        </w:rPr>
        <w:t>in the geographic areas in which it</w:t>
      </w:r>
      <w:r w:rsidR="00EE396E" w:rsidRPr="00793E2F">
        <w:rPr>
          <w:rFonts w:ascii="Arial" w:hAnsi="Arial" w:cs="Arial"/>
          <w:sz w:val="22"/>
          <w:szCs w:val="22"/>
        </w:rPr>
        <w:t xml:space="preserve"> </w:t>
      </w:r>
      <w:r w:rsidR="00120331" w:rsidRPr="00793E2F">
        <w:rPr>
          <w:rFonts w:ascii="Arial" w:hAnsi="Arial" w:cs="Arial"/>
          <w:sz w:val="22"/>
          <w:szCs w:val="22"/>
        </w:rPr>
        <w:t>operate</w:t>
      </w:r>
      <w:r w:rsidR="007C0D91">
        <w:rPr>
          <w:rFonts w:ascii="Arial" w:hAnsi="Arial" w:cs="Arial"/>
          <w:sz w:val="22"/>
          <w:szCs w:val="22"/>
        </w:rPr>
        <w:t>s</w:t>
      </w:r>
      <w:r w:rsidR="00EE396E" w:rsidRPr="00793E2F">
        <w:rPr>
          <w:rFonts w:ascii="Arial" w:hAnsi="Arial" w:cs="Arial"/>
          <w:sz w:val="22"/>
          <w:szCs w:val="22"/>
        </w:rPr>
        <w:t>,</w:t>
      </w:r>
      <w:r w:rsidR="00120331" w:rsidRPr="00793E2F">
        <w:rPr>
          <w:rFonts w:ascii="Arial" w:hAnsi="Arial" w:cs="Arial"/>
          <w:sz w:val="22"/>
          <w:szCs w:val="22"/>
        </w:rPr>
        <w:t xml:space="preserve"> </w:t>
      </w:r>
      <w:r w:rsidRPr="00793E2F">
        <w:rPr>
          <w:rFonts w:ascii="Arial" w:hAnsi="Arial" w:cs="Arial"/>
          <w:sz w:val="22"/>
          <w:szCs w:val="22"/>
        </w:rPr>
        <w:t>tak</w:t>
      </w:r>
      <w:r w:rsidR="007C0D91">
        <w:rPr>
          <w:rFonts w:ascii="Arial" w:hAnsi="Arial" w:cs="Arial"/>
          <w:sz w:val="22"/>
          <w:szCs w:val="22"/>
        </w:rPr>
        <w:t>ing</w:t>
      </w:r>
      <w:r w:rsidRPr="00793E2F">
        <w:rPr>
          <w:rFonts w:ascii="Arial" w:hAnsi="Arial" w:cs="Arial"/>
          <w:sz w:val="22"/>
          <w:szCs w:val="22"/>
        </w:rPr>
        <w:t xml:space="preserve"> into account </w:t>
      </w:r>
      <w:r w:rsidR="00F31984" w:rsidRPr="00793E2F">
        <w:rPr>
          <w:rFonts w:ascii="Arial" w:hAnsi="Arial" w:cs="Arial"/>
          <w:sz w:val="22"/>
          <w:szCs w:val="22"/>
        </w:rPr>
        <w:t>public health guidance.</w:t>
      </w:r>
      <w:r w:rsidR="00723FDB" w:rsidRPr="00793E2F">
        <w:rPr>
          <w:rFonts w:ascii="Arial" w:hAnsi="Arial" w:cs="Arial"/>
          <w:sz w:val="22"/>
          <w:szCs w:val="22"/>
        </w:rPr>
        <w:t xml:space="preserve">  </w:t>
      </w:r>
    </w:p>
    <w:p w14:paraId="52341FE4" w14:textId="07F31B5E" w:rsidR="00EA0820" w:rsidRPr="00793E2F" w:rsidRDefault="00723FDB" w:rsidP="00EA0820">
      <w:pPr>
        <w:pStyle w:val="List"/>
        <w:spacing w:before="120"/>
        <w:ind w:left="1440" w:firstLine="0"/>
        <w:jc w:val="both"/>
        <w:rPr>
          <w:rFonts w:ascii="Arial" w:hAnsi="Arial" w:cs="Arial"/>
          <w:sz w:val="22"/>
          <w:szCs w:val="22"/>
        </w:rPr>
      </w:pPr>
      <w:r w:rsidRPr="00793E2F">
        <w:rPr>
          <w:rFonts w:ascii="Arial" w:hAnsi="Arial" w:cs="Arial"/>
          <w:sz w:val="22"/>
          <w:szCs w:val="22"/>
        </w:rPr>
        <w:t xml:space="preserve">In addition, the Issuer is </w:t>
      </w:r>
      <w:r w:rsidR="00425683">
        <w:rPr>
          <w:rFonts w:ascii="Arial" w:hAnsi="Arial" w:cs="Arial"/>
          <w:sz w:val="22"/>
          <w:szCs w:val="22"/>
        </w:rPr>
        <w:t xml:space="preserve">actively </w:t>
      </w:r>
      <w:r w:rsidRPr="00793E2F">
        <w:rPr>
          <w:rFonts w:ascii="Arial" w:hAnsi="Arial" w:cs="Arial"/>
          <w:sz w:val="22"/>
          <w:szCs w:val="22"/>
        </w:rPr>
        <w:t xml:space="preserve">monitoring economic changes </w:t>
      </w:r>
      <w:r w:rsidR="00793E2F" w:rsidRPr="00793E2F">
        <w:rPr>
          <w:rFonts w:ascii="Arial" w:hAnsi="Arial" w:cs="Arial"/>
          <w:sz w:val="22"/>
          <w:szCs w:val="22"/>
        </w:rPr>
        <w:t xml:space="preserve">that may impact </w:t>
      </w:r>
      <w:r w:rsidRPr="00793E2F">
        <w:rPr>
          <w:rFonts w:ascii="Arial" w:hAnsi="Arial" w:cs="Arial"/>
          <w:sz w:val="22"/>
          <w:szCs w:val="22"/>
        </w:rPr>
        <w:t>its markets</w:t>
      </w:r>
      <w:r w:rsidR="004F34C8">
        <w:rPr>
          <w:rFonts w:ascii="Arial" w:hAnsi="Arial" w:cs="Arial"/>
          <w:sz w:val="22"/>
          <w:szCs w:val="22"/>
        </w:rPr>
        <w:t xml:space="preserve"> and financial performance</w:t>
      </w:r>
      <w:r w:rsidR="00793E2F" w:rsidRPr="00793E2F">
        <w:rPr>
          <w:rFonts w:ascii="Arial" w:hAnsi="Arial" w:cs="Arial"/>
          <w:sz w:val="22"/>
          <w:szCs w:val="22"/>
        </w:rPr>
        <w:t>,</w:t>
      </w:r>
      <w:r w:rsidRPr="00793E2F">
        <w:rPr>
          <w:rFonts w:ascii="Arial" w:hAnsi="Arial" w:cs="Arial"/>
          <w:sz w:val="22"/>
          <w:szCs w:val="22"/>
        </w:rPr>
        <w:t xml:space="preserve"> including inflation</w:t>
      </w:r>
      <w:r w:rsidR="00793E2F" w:rsidRPr="00793E2F">
        <w:rPr>
          <w:rFonts w:ascii="Arial" w:hAnsi="Arial" w:cs="Arial"/>
          <w:sz w:val="22"/>
          <w:szCs w:val="22"/>
        </w:rPr>
        <w:t xml:space="preserve">, rising interest rates, </w:t>
      </w:r>
      <w:r w:rsidR="004F34C8">
        <w:rPr>
          <w:rFonts w:ascii="Arial" w:hAnsi="Arial" w:cs="Arial"/>
          <w:sz w:val="22"/>
          <w:szCs w:val="22"/>
        </w:rPr>
        <w:t xml:space="preserve">supply shortages, </w:t>
      </w:r>
      <w:r w:rsidR="00793E2F" w:rsidRPr="00793E2F">
        <w:rPr>
          <w:rFonts w:ascii="Arial" w:hAnsi="Arial" w:cs="Arial"/>
          <w:sz w:val="22"/>
          <w:szCs w:val="22"/>
        </w:rPr>
        <w:t>global disruptions and volatility</w:t>
      </w:r>
      <w:r w:rsidR="00D3173F">
        <w:rPr>
          <w:rFonts w:ascii="Arial" w:hAnsi="Arial" w:cs="Arial"/>
          <w:sz w:val="22"/>
          <w:szCs w:val="22"/>
        </w:rPr>
        <w:t>,</w:t>
      </w:r>
      <w:r w:rsidR="00425683">
        <w:rPr>
          <w:rFonts w:ascii="Arial" w:hAnsi="Arial" w:cs="Arial"/>
          <w:sz w:val="22"/>
          <w:szCs w:val="22"/>
        </w:rPr>
        <w:t xml:space="preserve"> and </w:t>
      </w:r>
      <w:r w:rsidRPr="00793E2F">
        <w:rPr>
          <w:rFonts w:ascii="Arial" w:hAnsi="Arial" w:cs="Arial"/>
          <w:sz w:val="22"/>
          <w:szCs w:val="22"/>
        </w:rPr>
        <w:t>declining consumer and business confidence</w:t>
      </w:r>
      <w:r w:rsidR="00793E2F" w:rsidRPr="00793E2F">
        <w:rPr>
          <w:rFonts w:ascii="Arial" w:hAnsi="Arial" w:cs="Arial"/>
          <w:sz w:val="22"/>
          <w:szCs w:val="22"/>
        </w:rPr>
        <w:t xml:space="preserve">, all of which </w:t>
      </w:r>
      <w:r w:rsidRPr="00793E2F">
        <w:rPr>
          <w:rFonts w:ascii="Arial" w:hAnsi="Arial" w:cs="Arial"/>
          <w:sz w:val="22"/>
          <w:szCs w:val="22"/>
        </w:rPr>
        <w:t xml:space="preserve">could lead to decreased levels of consumer spending and higher costs. </w:t>
      </w:r>
      <w:r w:rsidR="00425683">
        <w:rPr>
          <w:rFonts w:ascii="Arial" w:hAnsi="Arial" w:cs="Arial"/>
          <w:sz w:val="22"/>
          <w:szCs w:val="22"/>
        </w:rPr>
        <w:t>The Issuer is taking these economic changes into account in its planning processes.</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lastRenderedPageBreak/>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78AD83D7"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7837DD">
        <w:rPr>
          <w:rFonts w:ascii="Arial" w:hAnsi="Arial" w:cs="Arial"/>
          <w:sz w:val="22"/>
          <w:szCs w:val="22"/>
        </w:rPr>
        <w:t>September</w:t>
      </w:r>
      <w:r w:rsidR="00E156DC">
        <w:rPr>
          <w:rFonts w:ascii="Arial" w:hAnsi="Arial" w:cs="Arial"/>
          <w:sz w:val="22"/>
          <w:szCs w:val="22"/>
        </w:rPr>
        <w:t xml:space="preserve"> </w:t>
      </w:r>
      <w:r w:rsidR="0095165D">
        <w:rPr>
          <w:rFonts w:ascii="Arial" w:hAnsi="Arial" w:cs="Arial"/>
          <w:sz w:val="22"/>
          <w:szCs w:val="22"/>
        </w:rPr>
        <w:t>2</w:t>
      </w:r>
      <w:r w:rsidR="00F93BC7">
        <w:rPr>
          <w:rFonts w:ascii="Arial" w:hAnsi="Arial" w:cs="Arial"/>
          <w:sz w:val="22"/>
          <w:szCs w:val="22"/>
        </w:rPr>
        <w:t>,</w:t>
      </w:r>
      <w:r w:rsidR="00AB15BE" w:rsidRPr="00793E2F">
        <w:rPr>
          <w:rFonts w:ascii="Arial" w:hAnsi="Arial" w:cs="Arial"/>
          <w:sz w:val="22"/>
          <w:szCs w:val="22"/>
        </w:rPr>
        <w:t xml:space="preserve"> </w:t>
      </w:r>
      <w:r w:rsidR="00DF0EFC" w:rsidRPr="00793E2F">
        <w:rPr>
          <w:rFonts w:ascii="Arial" w:hAnsi="Arial" w:cs="Arial"/>
          <w:sz w:val="22"/>
          <w:szCs w:val="22"/>
        </w:rPr>
        <w:t>202</w:t>
      </w:r>
      <w:r w:rsidR="00C12F91" w:rsidRPr="00793E2F">
        <w:rPr>
          <w:rFonts w:ascii="Arial" w:hAnsi="Arial" w:cs="Arial"/>
          <w:sz w:val="22"/>
          <w:szCs w:val="22"/>
        </w:rPr>
        <w:t>2</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0162B5BA"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 xml:space="preserve">/s/ Darren Weiss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0D8166B1"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06CA122" w:rsidR="00897675" w:rsidRPr="00793E2F" w:rsidRDefault="00897675" w:rsidP="0005475F">
            <w:pPr>
              <w:pStyle w:val="BodyText"/>
              <w:spacing w:before="0"/>
              <w:jc w:val="both"/>
              <w:rPr>
                <w:rFonts w:ascii="Arial" w:hAnsi="Arial" w:cs="Arial"/>
                <w:sz w:val="22"/>
                <w:szCs w:val="22"/>
              </w:rPr>
            </w:pPr>
          </w:p>
          <w:p w14:paraId="113EF13D" w14:textId="16CD335B" w:rsidR="00AE49E7" w:rsidRPr="00793E2F" w:rsidRDefault="007837DD" w:rsidP="0005475F">
            <w:pPr>
              <w:pStyle w:val="BodyText"/>
              <w:spacing w:before="0"/>
              <w:jc w:val="both"/>
              <w:rPr>
                <w:rFonts w:ascii="Arial" w:hAnsi="Arial" w:cs="Arial"/>
                <w:sz w:val="22"/>
                <w:szCs w:val="22"/>
              </w:rPr>
            </w:pPr>
            <w:r>
              <w:rPr>
                <w:rFonts w:ascii="Arial" w:hAnsi="Arial" w:cs="Arial"/>
                <w:sz w:val="22"/>
                <w:szCs w:val="22"/>
              </w:rPr>
              <w:t>August</w:t>
            </w:r>
            <w:r w:rsidR="00E156DC">
              <w:rPr>
                <w:rFonts w:ascii="Arial" w:hAnsi="Arial" w:cs="Arial"/>
                <w:sz w:val="22"/>
                <w:szCs w:val="22"/>
              </w:rPr>
              <w:t xml:space="preserve"> </w:t>
            </w:r>
            <w:r w:rsidR="00577AAB">
              <w:rPr>
                <w:rFonts w:ascii="Arial" w:hAnsi="Arial" w:cs="Arial"/>
                <w:sz w:val="22"/>
                <w:szCs w:val="22"/>
              </w:rPr>
              <w:t>3</w:t>
            </w:r>
            <w:r w:rsidR="00E156DC">
              <w:rPr>
                <w:rFonts w:ascii="Arial" w:hAnsi="Arial" w:cs="Arial"/>
                <w:sz w:val="22"/>
                <w:szCs w:val="22"/>
              </w:rPr>
              <w:t>1</w:t>
            </w:r>
            <w:r w:rsidR="00F45393" w:rsidRPr="00793E2F">
              <w:rPr>
                <w:rFonts w:ascii="Arial" w:hAnsi="Arial" w:cs="Arial"/>
                <w:sz w:val="22"/>
                <w:szCs w:val="22"/>
              </w:rPr>
              <w:t>, 2022</w:t>
            </w:r>
          </w:p>
          <w:p w14:paraId="0B5369A3" w14:textId="347BECFA" w:rsidR="00F45393" w:rsidRPr="00793E2F" w:rsidRDefault="00F45393" w:rsidP="0005475F">
            <w:pPr>
              <w:pStyle w:val="BodyText"/>
              <w:spacing w:before="0"/>
              <w:jc w:val="both"/>
              <w:rPr>
                <w:rFonts w:ascii="Arial" w:hAnsi="Arial" w:cs="Arial"/>
                <w:sz w:val="22"/>
                <w:szCs w:val="22"/>
              </w:rPr>
            </w:pP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638A1DCD" w14:textId="101D3992" w:rsidR="00AE49E7" w:rsidRDefault="00AE49E7" w:rsidP="0005475F">
            <w:pPr>
              <w:pStyle w:val="BodyText"/>
              <w:spacing w:before="0"/>
              <w:jc w:val="both"/>
              <w:rPr>
                <w:rFonts w:ascii="Arial" w:hAnsi="Arial" w:cs="Arial"/>
                <w:sz w:val="22"/>
                <w:szCs w:val="22"/>
              </w:rPr>
            </w:pPr>
          </w:p>
          <w:p w14:paraId="4C3646E4" w14:textId="77777777" w:rsidR="000645E8" w:rsidRPr="00793E2F" w:rsidRDefault="000645E8" w:rsidP="0005475F">
            <w:pPr>
              <w:pStyle w:val="BodyText"/>
              <w:spacing w:before="0"/>
              <w:jc w:val="both"/>
              <w:rPr>
                <w:rFonts w:ascii="Arial" w:hAnsi="Arial" w:cs="Arial"/>
                <w:sz w:val="22"/>
                <w:szCs w:val="22"/>
              </w:rPr>
            </w:pPr>
          </w:p>
          <w:p w14:paraId="48A5FD26" w14:textId="4D7EDF24"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22</w:t>
            </w:r>
            <w:r w:rsidR="00BE4852" w:rsidRPr="00793E2F">
              <w:rPr>
                <w:rFonts w:ascii="Arial" w:hAnsi="Arial" w:cs="Arial"/>
                <w:sz w:val="22"/>
                <w:szCs w:val="22"/>
              </w:rPr>
              <w:t>/</w:t>
            </w:r>
            <w:r w:rsidR="00F52FDC" w:rsidRPr="00793E2F">
              <w:rPr>
                <w:rFonts w:ascii="Arial" w:hAnsi="Arial" w:cs="Arial"/>
                <w:sz w:val="22"/>
                <w:szCs w:val="22"/>
              </w:rPr>
              <w:t>0</w:t>
            </w:r>
            <w:r w:rsidR="00CC7FA7">
              <w:rPr>
                <w:rFonts w:ascii="Arial" w:hAnsi="Arial" w:cs="Arial"/>
                <w:sz w:val="22"/>
                <w:szCs w:val="22"/>
              </w:rPr>
              <w:t>9</w:t>
            </w:r>
            <w:r w:rsidR="00BE4852" w:rsidRPr="00793E2F">
              <w:rPr>
                <w:rFonts w:ascii="Arial" w:hAnsi="Arial" w:cs="Arial"/>
                <w:sz w:val="22"/>
                <w:szCs w:val="22"/>
              </w:rPr>
              <w:t>/</w:t>
            </w:r>
            <w:r w:rsidR="0095165D">
              <w:rPr>
                <w:rFonts w:ascii="Arial" w:hAnsi="Arial" w:cs="Arial"/>
                <w:sz w:val="22"/>
                <w:szCs w:val="22"/>
              </w:rPr>
              <w:t>2</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F93BC7"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F93BC7"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E2017F">
      <w:headerReference w:type="even" r:id="rId13"/>
      <w:footerReference w:type="even" r:id="rId14"/>
      <w:footerReference w:type="default" r:id="rId15"/>
      <w:footerReference w:type="first" r:id="rId16"/>
      <w:pgSz w:w="12240" w:h="15840" w:code="1"/>
      <w:pgMar w:top="864" w:right="1440" w:bottom="864" w:left="1440"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97EA" w14:textId="77777777" w:rsidR="00CB5DE1" w:rsidRDefault="00CB5DE1">
      <w:r>
        <w:separator/>
      </w:r>
    </w:p>
  </w:endnote>
  <w:endnote w:type="continuationSeparator" w:id="0">
    <w:p w14:paraId="3F3E373A" w14:textId="77777777" w:rsidR="00CB5DE1" w:rsidRDefault="00CB5DE1">
      <w:r>
        <w:continuationSeparator/>
      </w:r>
    </w:p>
  </w:endnote>
  <w:endnote w:type="continuationNotice" w:id="1">
    <w:p w14:paraId="41CE0605" w14:textId="77777777" w:rsidR="00CB5DE1" w:rsidRDefault="00CB5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DC39"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F33DF3" w14:textId="0FC76B82" w:rsidR="00462BA5" w:rsidRPr="005F54F1" w:rsidRDefault="006D1A06" w:rsidP="00DF4F5F">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0EA15"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54A6" w14:textId="77777777" w:rsidR="00CB5DE1" w:rsidRDefault="00CB5DE1">
      <w:r>
        <w:separator/>
      </w:r>
    </w:p>
  </w:footnote>
  <w:footnote w:type="continuationSeparator" w:id="0">
    <w:p w14:paraId="3A3A8B01" w14:textId="77777777" w:rsidR="00CB5DE1" w:rsidRDefault="00CB5DE1">
      <w:r>
        <w:continuationSeparator/>
      </w:r>
    </w:p>
  </w:footnote>
  <w:footnote w:type="continuationNotice" w:id="1">
    <w:p w14:paraId="7FC03DF3" w14:textId="77777777" w:rsidR="00CB5DE1" w:rsidRDefault="00CB5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5C7942"/>
    <w:multiLevelType w:val="hybridMultilevel"/>
    <w:tmpl w:val="3BE66C7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8"/>
  </w:num>
  <w:num w:numId="2" w16cid:durableId="508720568">
    <w:abstractNumId w:val="22"/>
  </w:num>
  <w:num w:numId="3" w16cid:durableId="235172145">
    <w:abstractNumId w:val="17"/>
  </w:num>
  <w:num w:numId="4" w16cid:durableId="1885630813">
    <w:abstractNumId w:val="14"/>
  </w:num>
  <w:num w:numId="5" w16cid:durableId="1224561941">
    <w:abstractNumId w:val="5"/>
  </w:num>
  <w:num w:numId="6" w16cid:durableId="1127966020">
    <w:abstractNumId w:val="24"/>
  </w:num>
  <w:num w:numId="7" w16cid:durableId="1180125983">
    <w:abstractNumId w:val="10"/>
  </w:num>
  <w:num w:numId="8" w16cid:durableId="2132431380">
    <w:abstractNumId w:val="29"/>
  </w:num>
  <w:num w:numId="9" w16cid:durableId="928544875">
    <w:abstractNumId w:val="21"/>
  </w:num>
  <w:num w:numId="10" w16cid:durableId="1585459687">
    <w:abstractNumId w:val="12"/>
  </w:num>
  <w:num w:numId="11" w16cid:durableId="2047296259">
    <w:abstractNumId w:val="15"/>
  </w:num>
  <w:num w:numId="12" w16cid:durableId="750202971">
    <w:abstractNumId w:val="16"/>
  </w:num>
  <w:num w:numId="13" w16cid:durableId="1056203637">
    <w:abstractNumId w:val="32"/>
  </w:num>
  <w:num w:numId="14" w16cid:durableId="852257229">
    <w:abstractNumId w:val="8"/>
  </w:num>
  <w:num w:numId="15" w16cid:durableId="684594410">
    <w:abstractNumId w:val="11"/>
  </w:num>
  <w:num w:numId="16" w16cid:durableId="633414816">
    <w:abstractNumId w:val="13"/>
  </w:num>
  <w:num w:numId="17" w16cid:durableId="1400515124">
    <w:abstractNumId w:val="19"/>
  </w:num>
  <w:num w:numId="18" w16cid:durableId="1502163792">
    <w:abstractNumId w:val="3"/>
  </w:num>
  <w:num w:numId="19" w16cid:durableId="228032297">
    <w:abstractNumId w:val="9"/>
  </w:num>
  <w:num w:numId="20" w16cid:durableId="465972464">
    <w:abstractNumId w:val="27"/>
  </w:num>
  <w:num w:numId="21" w16cid:durableId="1286696238">
    <w:abstractNumId w:val="1"/>
  </w:num>
  <w:num w:numId="22" w16cid:durableId="1401975397">
    <w:abstractNumId w:val="0"/>
  </w:num>
  <w:num w:numId="23" w16cid:durableId="1243837248">
    <w:abstractNumId w:val="23"/>
  </w:num>
  <w:num w:numId="24" w16cid:durableId="2083214790">
    <w:abstractNumId w:val="20"/>
  </w:num>
  <w:num w:numId="25" w16cid:durableId="768431128">
    <w:abstractNumId w:val="6"/>
  </w:num>
  <w:num w:numId="26" w16cid:durableId="2135168667">
    <w:abstractNumId w:val="30"/>
  </w:num>
  <w:num w:numId="27" w16cid:durableId="2010522533">
    <w:abstractNumId w:val="33"/>
  </w:num>
  <w:num w:numId="28" w16cid:durableId="1395004964">
    <w:abstractNumId w:val="7"/>
  </w:num>
  <w:num w:numId="29" w16cid:durableId="1425764094">
    <w:abstractNumId w:val="4"/>
  </w:num>
  <w:num w:numId="30" w16cid:durableId="1595824497">
    <w:abstractNumId w:val="2"/>
  </w:num>
  <w:num w:numId="31" w16cid:durableId="2038115433">
    <w:abstractNumId w:val="25"/>
  </w:num>
  <w:num w:numId="32" w16cid:durableId="877350550">
    <w:abstractNumId w:val="28"/>
  </w:num>
  <w:num w:numId="33" w16cid:durableId="1254438498">
    <w:abstractNumId w:val="26"/>
  </w:num>
  <w:num w:numId="34" w16cid:durableId="487744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8-3592-9895, v. 1"/>
    <w:docVar w:name="ndGeneratedStampLocation" w:val="EachPage"/>
  </w:docVars>
  <w:rsids>
    <w:rsidRoot w:val="00A47914"/>
    <w:rsid w:val="00017057"/>
    <w:rsid w:val="0001741C"/>
    <w:rsid w:val="0002366F"/>
    <w:rsid w:val="00025C8E"/>
    <w:rsid w:val="00030684"/>
    <w:rsid w:val="0003129E"/>
    <w:rsid w:val="00031A77"/>
    <w:rsid w:val="00037809"/>
    <w:rsid w:val="000400C9"/>
    <w:rsid w:val="00040162"/>
    <w:rsid w:val="000453F2"/>
    <w:rsid w:val="00047DD4"/>
    <w:rsid w:val="00050C8D"/>
    <w:rsid w:val="000513DC"/>
    <w:rsid w:val="000544EB"/>
    <w:rsid w:val="0005475F"/>
    <w:rsid w:val="00054A58"/>
    <w:rsid w:val="00057160"/>
    <w:rsid w:val="00061137"/>
    <w:rsid w:val="00061B46"/>
    <w:rsid w:val="00063814"/>
    <w:rsid w:val="000645E8"/>
    <w:rsid w:val="00067999"/>
    <w:rsid w:val="00084B44"/>
    <w:rsid w:val="0008558B"/>
    <w:rsid w:val="00094201"/>
    <w:rsid w:val="00096B06"/>
    <w:rsid w:val="00096DAA"/>
    <w:rsid w:val="000A1931"/>
    <w:rsid w:val="000A1AB1"/>
    <w:rsid w:val="000A3859"/>
    <w:rsid w:val="000A59B9"/>
    <w:rsid w:val="000B706F"/>
    <w:rsid w:val="000B739A"/>
    <w:rsid w:val="000C62CD"/>
    <w:rsid w:val="000C6420"/>
    <w:rsid w:val="000D24BA"/>
    <w:rsid w:val="000D3801"/>
    <w:rsid w:val="000D3A4F"/>
    <w:rsid w:val="000D479B"/>
    <w:rsid w:val="000E2CC9"/>
    <w:rsid w:val="000F0CD0"/>
    <w:rsid w:val="000F105B"/>
    <w:rsid w:val="000F4142"/>
    <w:rsid w:val="00101007"/>
    <w:rsid w:val="001058F6"/>
    <w:rsid w:val="001122A0"/>
    <w:rsid w:val="00113277"/>
    <w:rsid w:val="00113597"/>
    <w:rsid w:val="00120331"/>
    <w:rsid w:val="00127EAA"/>
    <w:rsid w:val="001313A3"/>
    <w:rsid w:val="00133FE1"/>
    <w:rsid w:val="001415EB"/>
    <w:rsid w:val="00144D5F"/>
    <w:rsid w:val="0014545B"/>
    <w:rsid w:val="00146D06"/>
    <w:rsid w:val="00147FE6"/>
    <w:rsid w:val="00163CED"/>
    <w:rsid w:val="00165A4A"/>
    <w:rsid w:val="00166178"/>
    <w:rsid w:val="00185910"/>
    <w:rsid w:val="00186E65"/>
    <w:rsid w:val="00192D9D"/>
    <w:rsid w:val="001952CC"/>
    <w:rsid w:val="00195415"/>
    <w:rsid w:val="001A0F3B"/>
    <w:rsid w:val="001A13E4"/>
    <w:rsid w:val="001A2F20"/>
    <w:rsid w:val="001B45B6"/>
    <w:rsid w:val="001B5ADB"/>
    <w:rsid w:val="001D1ADE"/>
    <w:rsid w:val="001D2C35"/>
    <w:rsid w:val="001D42ED"/>
    <w:rsid w:val="001D5FC4"/>
    <w:rsid w:val="001E13A6"/>
    <w:rsid w:val="001E3D79"/>
    <w:rsid w:val="001E3FEA"/>
    <w:rsid w:val="001E475F"/>
    <w:rsid w:val="001E5FF1"/>
    <w:rsid w:val="001F1BA4"/>
    <w:rsid w:val="002005EB"/>
    <w:rsid w:val="002022B8"/>
    <w:rsid w:val="00202448"/>
    <w:rsid w:val="0020320E"/>
    <w:rsid w:val="00203D4C"/>
    <w:rsid w:val="00213C7C"/>
    <w:rsid w:val="00216EE2"/>
    <w:rsid w:val="00222320"/>
    <w:rsid w:val="002229C4"/>
    <w:rsid w:val="00222B6D"/>
    <w:rsid w:val="002255DE"/>
    <w:rsid w:val="00230872"/>
    <w:rsid w:val="00233C70"/>
    <w:rsid w:val="002345C8"/>
    <w:rsid w:val="00243B75"/>
    <w:rsid w:val="0025387E"/>
    <w:rsid w:val="00257129"/>
    <w:rsid w:val="00257C9B"/>
    <w:rsid w:val="002624E2"/>
    <w:rsid w:val="002632E9"/>
    <w:rsid w:val="00264109"/>
    <w:rsid w:val="00277AD6"/>
    <w:rsid w:val="0028406E"/>
    <w:rsid w:val="00285441"/>
    <w:rsid w:val="002909D5"/>
    <w:rsid w:val="00290C79"/>
    <w:rsid w:val="00293A94"/>
    <w:rsid w:val="00294672"/>
    <w:rsid w:val="002A0D63"/>
    <w:rsid w:val="002A1044"/>
    <w:rsid w:val="002A1580"/>
    <w:rsid w:val="002A21F5"/>
    <w:rsid w:val="002A3BBA"/>
    <w:rsid w:val="002A4464"/>
    <w:rsid w:val="002A5B20"/>
    <w:rsid w:val="002B16EE"/>
    <w:rsid w:val="002C1DC3"/>
    <w:rsid w:val="002C234B"/>
    <w:rsid w:val="002C263E"/>
    <w:rsid w:val="002C281E"/>
    <w:rsid w:val="002C300C"/>
    <w:rsid w:val="002C6AE2"/>
    <w:rsid w:val="002C6B9C"/>
    <w:rsid w:val="002D0065"/>
    <w:rsid w:val="002D153C"/>
    <w:rsid w:val="002D191B"/>
    <w:rsid w:val="002E09C4"/>
    <w:rsid w:val="002E310E"/>
    <w:rsid w:val="002F00EB"/>
    <w:rsid w:val="002F10E1"/>
    <w:rsid w:val="002F46DA"/>
    <w:rsid w:val="002F58F0"/>
    <w:rsid w:val="002F5BF6"/>
    <w:rsid w:val="00300C81"/>
    <w:rsid w:val="00302FA2"/>
    <w:rsid w:val="0030394D"/>
    <w:rsid w:val="00303EA0"/>
    <w:rsid w:val="00305399"/>
    <w:rsid w:val="00311436"/>
    <w:rsid w:val="003129DD"/>
    <w:rsid w:val="00314EA7"/>
    <w:rsid w:val="00317D2F"/>
    <w:rsid w:val="00326802"/>
    <w:rsid w:val="00330206"/>
    <w:rsid w:val="00333B20"/>
    <w:rsid w:val="0034045D"/>
    <w:rsid w:val="003410C6"/>
    <w:rsid w:val="00344AFC"/>
    <w:rsid w:val="00345484"/>
    <w:rsid w:val="00352C01"/>
    <w:rsid w:val="00354E7E"/>
    <w:rsid w:val="00357F23"/>
    <w:rsid w:val="0036240F"/>
    <w:rsid w:val="00362D6E"/>
    <w:rsid w:val="0036374C"/>
    <w:rsid w:val="003669A9"/>
    <w:rsid w:val="0036711B"/>
    <w:rsid w:val="0037175D"/>
    <w:rsid w:val="00371A64"/>
    <w:rsid w:val="003728C1"/>
    <w:rsid w:val="0037719F"/>
    <w:rsid w:val="00380E00"/>
    <w:rsid w:val="00382E78"/>
    <w:rsid w:val="00387FA8"/>
    <w:rsid w:val="0039124D"/>
    <w:rsid w:val="00391CB3"/>
    <w:rsid w:val="003945E5"/>
    <w:rsid w:val="0039490F"/>
    <w:rsid w:val="00397874"/>
    <w:rsid w:val="003A0CDC"/>
    <w:rsid w:val="003A2569"/>
    <w:rsid w:val="003B3766"/>
    <w:rsid w:val="003B4073"/>
    <w:rsid w:val="003B4FB0"/>
    <w:rsid w:val="003B66EC"/>
    <w:rsid w:val="003B7393"/>
    <w:rsid w:val="003C4F54"/>
    <w:rsid w:val="003C5270"/>
    <w:rsid w:val="003C7340"/>
    <w:rsid w:val="003D5047"/>
    <w:rsid w:val="003D5FD0"/>
    <w:rsid w:val="003E0101"/>
    <w:rsid w:val="003E18C7"/>
    <w:rsid w:val="003E3204"/>
    <w:rsid w:val="003E66AC"/>
    <w:rsid w:val="003F03B6"/>
    <w:rsid w:val="003F0E38"/>
    <w:rsid w:val="003F54D0"/>
    <w:rsid w:val="00404E42"/>
    <w:rsid w:val="00410F8B"/>
    <w:rsid w:val="00414057"/>
    <w:rsid w:val="0041544A"/>
    <w:rsid w:val="00417052"/>
    <w:rsid w:val="00425683"/>
    <w:rsid w:val="00426960"/>
    <w:rsid w:val="00431197"/>
    <w:rsid w:val="00432A5E"/>
    <w:rsid w:val="00442E05"/>
    <w:rsid w:val="0044315C"/>
    <w:rsid w:val="00444EC7"/>
    <w:rsid w:val="00454209"/>
    <w:rsid w:val="0046113C"/>
    <w:rsid w:val="0046153D"/>
    <w:rsid w:val="00461A11"/>
    <w:rsid w:val="00462BA5"/>
    <w:rsid w:val="00472B0B"/>
    <w:rsid w:val="004748EF"/>
    <w:rsid w:val="00477996"/>
    <w:rsid w:val="004805F3"/>
    <w:rsid w:val="00481978"/>
    <w:rsid w:val="0048372B"/>
    <w:rsid w:val="00483FAD"/>
    <w:rsid w:val="00486F75"/>
    <w:rsid w:val="00490F11"/>
    <w:rsid w:val="00493652"/>
    <w:rsid w:val="004940C3"/>
    <w:rsid w:val="004A3976"/>
    <w:rsid w:val="004A6AB9"/>
    <w:rsid w:val="004B06BB"/>
    <w:rsid w:val="004B2B5D"/>
    <w:rsid w:val="004B2CAC"/>
    <w:rsid w:val="004B349E"/>
    <w:rsid w:val="004B3759"/>
    <w:rsid w:val="004B3893"/>
    <w:rsid w:val="004B61CC"/>
    <w:rsid w:val="004B7863"/>
    <w:rsid w:val="004B7878"/>
    <w:rsid w:val="004C35FC"/>
    <w:rsid w:val="004C5469"/>
    <w:rsid w:val="004C7B89"/>
    <w:rsid w:val="004D0944"/>
    <w:rsid w:val="004D18A9"/>
    <w:rsid w:val="004D7CD7"/>
    <w:rsid w:val="004E1DE0"/>
    <w:rsid w:val="004F34C8"/>
    <w:rsid w:val="004F4C72"/>
    <w:rsid w:val="004F6FFA"/>
    <w:rsid w:val="005003A4"/>
    <w:rsid w:val="00500AE1"/>
    <w:rsid w:val="00500D2F"/>
    <w:rsid w:val="00501201"/>
    <w:rsid w:val="00502806"/>
    <w:rsid w:val="00506755"/>
    <w:rsid w:val="00512CC6"/>
    <w:rsid w:val="0052544A"/>
    <w:rsid w:val="00526337"/>
    <w:rsid w:val="00531B70"/>
    <w:rsid w:val="00534CAA"/>
    <w:rsid w:val="005357AF"/>
    <w:rsid w:val="0053676D"/>
    <w:rsid w:val="00536834"/>
    <w:rsid w:val="00537744"/>
    <w:rsid w:val="00540083"/>
    <w:rsid w:val="00541ACF"/>
    <w:rsid w:val="005453C8"/>
    <w:rsid w:val="005475FE"/>
    <w:rsid w:val="00554C17"/>
    <w:rsid w:val="00563AD3"/>
    <w:rsid w:val="00563F39"/>
    <w:rsid w:val="00565367"/>
    <w:rsid w:val="00570ABE"/>
    <w:rsid w:val="00571135"/>
    <w:rsid w:val="00577204"/>
    <w:rsid w:val="00577AAB"/>
    <w:rsid w:val="00582F92"/>
    <w:rsid w:val="005840B8"/>
    <w:rsid w:val="00587D6B"/>
    <w:rsid w:val="00590779"/>
    <w:rsid w:val="00594C11"/>
    <w:rsid w:val="00596D92"/>
    <w:rsid w:val="005A51DD"/>
    <w:rsid w:val="005A646A"/>
    <w:rsid w:val="005B6D93"/>
    <w:rsid w:val="005C1F7F"/>
    <w:rsid w:val="005C1FC7"/>
    <w:rsid w:val="005C1FE2"/>
    <w:rsid w:val="005D0441"/>
    <w:rsid w:val="005D0B7B"/>
    <w:rsid w:val="005D1B1C"/>
    <w:rsid w:val="005D24C0"/>
    <w:rsid w:val="005D6235"/>
    <w:rsid w:val="005E70DE"/>
    <w:rsid w:val="005E72E0"/>
    <w:rsid w:val="005F38D7"/>
    <w:rsid w:val="005F402B"/>
    <w:rsid w:val="005F54F1"/>
    <w:rsid w:val="005F6070"/>
    <w:rsid w:val="005F6D8F"/>
    <w:rsid w:val="006057FB"/>
    <w:rsid w:val="006133B4"/>
    <w:rsid w:val="00614B71"/>
    <w:rsid w:val="00615A73"/>
    <w:rsid w:val="00615B6E"/>
    <w:rsid w:val="00615FCC"/>
    <w:rsid w:val="006174E6"/>
    <w:rsid w:val="00620E7F"/>
    <w:rsid w:val="00621D8B"/>
    <w:rsid w:val="00621F98"/>
    <w:rsid w:val="00623881"/>
    <w:rsid w:val="00626E8D"/>
    <w:rsid w:val="00627D59"/>
    <w:rsid w:val="00633ED3"/>
    <w:rsid w:val="00635E9A"/>
    <w:rsid w:val="00640E94"/>
    <w:rsid w:val="006412A1"/>
    <w:rsid w:val="006426DA"/>
    <w:rsid w:val="00642D3F"/>
    <w:rsid w:val="00644F42"/>
    <w:rsid w:val="00645569"/>
    <w:rsid w:val="00650AD5"/>
    <w:rsid w:val="00654900"/>
    <w:rsid w:val="00662700"/>
    <w:rsid w:val="00663591"/>
    <w:rsid w:val="00665577"/>
    <w:rsid w:val="00666125"/>
    <w:rsid w:val="006664BD"/>
    <w:rsid w:val="00666C57"/>
    <w:rsid w:val="00667281"/>
    <w:rsid w:val="0066AD9E"/>
    <w:rsid w:val="006704EB"/>
    <w:rsid w:val="00674813"/>
    <w:rsid w:val="00676249"/>
    <w:rsid w:val="00680DD0"/>
    <w:rsid w:val="00681997"/>
    <w:rsid w:val="00683848"/>
    <w:rsid w:val="006841E1"/>
    <w:rsid w:val="00686BEE"/>
    <w:rsid w:val="00692529"/>
    <w:rsid w:val="006A4AE0"/>
    <w:rsid w:val="006B0AF3"/>
    <w:rsid w:val="006B13C3"/>
    <w:rsid w:val="006B3A68"/>
    <w:rsid w:val="006B3B8F"/>
    <w:rsid w:val="006B7034"/>
    <w:rsid w:val="006D1A06"/>
    <w:rsid w:val="006D3BFA"/>
    <w:rsid w:val="006D44D0"/>
    <w:rsid w:val="006D5006"/>
    <w:rsid w:val="006D6881"/>
    <w:rsid w:val="006D6AD8"/>
    <w:rsid w:val="006E7311"/>
    <w:rsid w:val="006E7F3B"/>
    <w:rsid w:val="006F0086"/>
    <w:rsid w:val="006F107A"/>
    <w:rsid w:val="006F59E2"/>
    <w:rsid w:val="007046E5"/>
    <w:rsid w:val="00707E17"/>
    <w:rsid w:val="0071029E"/>
    <w:rsid w:val="0071110C"/>
    <w:rsid w:val="00712704"/>
    <w:rsid w:val="00717B13"/>
    <w:rsid w:val="0072107E"/>
    <w:rsid w:val="00721932"/>
    <w:rsid w:val="007221BA"/>
    <w:rsid w:val="00723FDB"/>
    <w:rsid w:val="00731561"/>
    <w:rsid w:val="0073246A"/>
    <w:rsid w:val="007333BC"/>
    <w:rsid w:val="00734CDC"/>
    <w:rsid w:val="00735567"/>
    <w:rsid w:val="0073799C"/>
    <w:rsid w:val="00740EEE"/>
    <w:rsid w:val="00741D61"/>
    <w:rsid w:val="00750626"/>
    <w:rsid w:val="00752D67"/>
    <w:rsid w:val="00753578"/>
    <w:rsid w:val="00760BF3"/>
    <w:rsid w:val="007651E9"/>
    <w:rsid w:val="00770B3B"/>
    <w:rsid w:val="00772535"/>
    <w:rsid w:val="00772BBC"/>
    <w:rsid w:val="00774F96"/>
    <w:rsid w:val="007837DD"/>
    <w:rsid w:val="00783937"/>
    <w:rsid w:val="00786C81"/>
    <w:rsid w:val="00791F2E"/>
    <w:rsid w:val="00793E2F"/>
    <w:rsid w:val="007A07CF"/>
    <w:rsid w:val="007A399E"/>
    <w:rsid w:val="007B067F"/>
    <w:rsid w:val="007B0979"/>
    <w:rsid w:val="007B1358"/>
    <w:rsid w:val="007B2CF5"/>
    <w:rsid w:val="007B6071"/>
    <w:rsid w:val="007C0BDF"/>
    <w:rsid w:val="007C0D91"/>
    <w:rsid w:val="007C4F7F"/>
    <w:rsid w:val="007C61CF"/>
    <w:rsid w:val="007D1A4A"/>
    <w:rsid w:val="007D238A"/>
    <w:rsid w:val="007D5582"/>
    <w:rsid w:val="007D5689"/>
    <w:rsid w:val="007D5D47"/>
    <w:rsid w:val="007E3CE7"/>
    <w:rsid w:val="007E4BE0"/>
    <w:rsid w:val="007F05AF"/>
    <w:rsid w:val="007F10EF"/>
    <w:rsid w:val="007F3525"/>
    <w:rsid w:val="007F38F5"/>
    <w:rsid w:val="008010A8"/>
    <w:rsid w:val="00804DB3"/>
    <w:rsid w:val="008075B4"/>
    <w:rsid w:val="0080789A"/>
    <w:rsid w:val="008151FA"/>
    <w:rsid w:val="00815E83"/>
    <w:rsid w:val="008229EA"/>
    <w:rsid w:val="00831FB2"/>
    <w:rsid w:val="00843BC0"/>
    <w:rsid w:val="008458CE"/>
    <w:rsid w:val="00846BCF"/>
    <w:rsid w:val="00847BE1"/>
    <w:rsid w:val="008500ED"/>
    <w:rsid w:val="008502E3"/>
    <w:rsid w:val="00852B13"/>
    <w:rsid w:val="008533C6"/>
    <w:rsid w:val="0085697F"/>
    <w:rsid w:val="00863487"/>
    <w:rsid w:val="00865E19"/>
    <w:rsid w:val="008665AC"/>
    <w:rsid w:val="00867593"/>
    <w:rsid w:val="00870D38"/>
    <w:rsid w:val="00872A7F"/>
    <w:rsid w:val="008849CF"/>
    <w:rsid w:val="00886D71"/>
    <w:rsid w:val="00886F0F"/>
    <w:rsid w:val="0088735F"/>
    <w:rsid w:val="00887884"/>
    <w:rsid w:val="00897675"/>
    <w:rsid w:val="008B0E73"/>
    <w:rsid w:val="008B4E8F"/>
    <w:rsid w:val="008B7E92"/>
    <w:rsid w:val="008C0CEC"/>
    <w:rsid w:val="008C26AB"/>
    <w:rsid w:val="008C2852"/>
    <w:rsid w:val="008D021E"/>
    <w:rsid w:val="008D1C6C"/>
    <w:rsid w:val="008D5FA3"/>
    <w:rsid w:val="008E046B"/>
    <w:rsid w:val="008F1BD5"/>
    <w:rsid w:val="008F3A42"/>
    <w:rsid w:val="008F3D8C"/>
    <w:rsid w:val="008F6E3F"/>
    <w:rsid w:val="008F78EE"/>
    <w:rsid w:val="0090147E"/>
    <w:rsid w:val="00901D54"/>
    <w:rsid w:val="00907B69"/>
    <w:rsid w:val="00910F5B"/>
    <w:rsid w:val="00922A46"/>
    <w:rsid w:val="00925120"/>
    <w:rsid w:val="00930D4D"/>
    <w:rsid w:val="00931A4D"/>
    <w:rsid w:val="009408AC"/>
    <w:rsid w:val="00943130"/>
    <w:rsid w:val="00943EDD"/>
    <w:rsid w:val="00945A31"/>
    <w:rsid w:val="009502CD"/>
    <w:rsid w:val="0095165D"/>
    <w:rsid w:val="009533D1"/>
    <w:rsid w:val="00954014"/>
    <w:rsid w:val="009547E8"/>
    <w:rsid w:val="00957930"/>
    <w:rsid w:val="009619AB"/>
    <w:rsid w:val="00961F72"/>
    <w:rsid w:val="00970763"/>
    <w:rsid w:val="0097176B"/>
    <w:rsid w:val="009730DE"/>
    <w:rsid w:val="00975DB7"/>
    <w:rsid w:val="00976876"/>
    <w:rsid w:val="00976FFA"/>
    <w:rsid w:val="0098526C"/>
    <w:rsid w:val="009A0FCB"/>
    <w:rsid w:val="009A35B9"/>
    <w:rsid w:val="009B1E6C"/>
    <w:rsid w:val="009C1B62"/>
    <w:rsid w:val="009D2A0A"/>
    <w:rsid w:val="009D3294"/>
    <w:rsid w:val="009D4DC0"/>
    <w:rsid w:val="009D69B6"/>
    <w:rsid w:val="009E0546"/>
    <w:rsid w:val="009E6699"/>
    <w:rsid w:val="009F3107"/>
    <w:rsid w:val="009F46A4"/>
    <w:rsid w:val="009F59B1"/>
    <w:rsid w:val="009F6284"/>
    <w:rsid w:val="00A0437C"/>
    <w:rsid w:val="00A047CB"/>
    <w:rsid w:val="00A06518"/>
    <w:rsid w:val="00A06D90"/>
    <w:rsid w:val="00A07BB1"/>
    <w:rsid w:val="00A11082"/>
    <w:rsid w:val="00A15457"/>
    <w:rsid w:val="00A17458"/>
    <w:rsid w:val="00A17CD1"/>
    <w:rsid w:val="00A2058A"/>
    <w:rsid w:val="00A2287C"/>
    <w:rsid w:val="00A23F26"/>
    <w:rsid w:val="00A24285"/>
    <w:rsid w:val="00A26E91"/>
    <w:rsid w:val="00A32B83"/>
    <w:rsid w:val="00A47914"/>
    <w:rsid w:val="00A54556"/>
    <w:rsid w:val="00A560FD"/>
    <w:rsid w:val="00A61354"/>
    <w:rsid w:val="00A61AEA"/>
    <w:rsid w:val="00A62DE2"/>
    <w:rsid w:val="00A64573"/>
    <w:rsid w:val="00A64E14"/>
    <w:rsid w:val="00A657F6"/>
    <w:rsid w:val="00A728BC"/>
    <w:rsid w:val="00A7733A"/>
    <w:rsid w:val="00A80B45"/>
    <w:rsid w:val="00A822A4"/>
    <w:rsid w:val="00A95228"/>
    <w:rsid w:val="00AA24C0"/>
    <w:rsid w:val="00AA35FC"/>
    <w:rsid w:val="00AA3BB1"/>
    <w:rsid w:val="00AA3C0C"/>
    <w:rsid w:val="00AA43EB"/>
    <w:rsid w:val="00AB064B"/>
    <w:rsid w:val="00AB15BE"/>
    <w:rsid w:val="00AC2AE5"/>
    <w:rsid w:val="00AC4D02"/>
    <w:rsid w:val="00AD1078"/>
    <w:rsid w:val="00AD45C0"/>
    <w:rsid w:val="00AD7659"/>
    <w:rsid w:val="00AE12CD"/>
    <w:rsid w:val="00AE3BDF"/>
    <w:rsid w:val="00AE3C65"/>
    <w:rsid w:val="00AE49E7"/>
    <w:rsid w:val="00AF0809"/>
    <w:rsid w:val="00AF2252"/>
    <w:rsid w:val="00AF6022"/>
    <w:rsid w:val="00AF725C"/>
    <w:rsid w:val="00AF7388"/>
    <w:rsid w:val="00AF7CCD"/>
    <w:rsid w:val="00B002FB"/>
    <w:rsid w:val="00B00822"/>
    <w:rsid w:val="00B036F8"/>
    <w:rsid w:val="00B04FD7"/>
    <w:rsid w:val="00B06961"/>
    <w:rsid w:val="00B10520"/>
    <w:rsid w:val="00B13476"/>
    <w:rsid w:val="00B151C4"/>
    <w:rsid w:val="00B210DD"/>
    <w:rsid w:val="00B23BB8"/>
    <w:rsid w:val="00B251AB"/>
    <w:rsid w:val="00B318FC"/>
    <w:rsid w:val="00B3332B"/>
    <w:rsid w:val="00B342AE"/>
    <w:rsid w:val="00B34ED6"/>
    <w:rsid w:val="00B41F6D"/>
    <w:rsid w:val="00B43E43"/>
    <w:rsid w:val="00B449B3"/>
    <w:rsid w:val="00B51643"/>
    <w:rsid w:val="00B519F1"/>
    <w:rsid w:val="00B61161"/>
    <w:rsid w:val="00B61EBC"/>
    <w:rsid w:val="00B63292"/>
    <w:rsid w:val="00B6462C"/>
    <w:rsid w:val="00B679EA"/>
    <w:rsid w:val="00B73AD8"/>
    <w:rsid w:val="00B74779"/>
    <w:rsid w:val="00B75521"/>
    <w:rsid w:val="00B81D90"/>
    <w:rsid w:val="00B82DC1"/>
    <w:rsid w:val="00B831D5"/>
    <w:rsid w:val="00B83D60"/>
    <w:rsid w:val="00B83E13"/>
    <w:rsid w:val="00B8484A"/>
    <w:rsid w:val="00B856A3"/>
    <w:rsid w:val="00B90563"/>
    <w:rsid w:val="00B961A6"/>
    <w:rsid w:val="00B973F4"/>
    <w:rsid w:val="00BA0C3F"/>
    <w:rsid w:val="00BA1174"/>
    <w:rsid w:val="00BA219A"/>
    <w:rsid w:val="00BA51FE"/>
    <w:rsid w:val="00BA7A0E"/>
    <w:rsid w:val="00BB0F89"/>
    <w:rsid w:val="00BB33A2"/>
    <w:rsid w:val="00BB3CEC"/>
    <w:rsid w:val="00BB58A1"/>
    <w:rsid w:val="00BB6E09"/>
    <w:rsid w:val="00BC1615"/>
    <w:rsid w:val="00BC31F2"/>
    <w:rsid w:val="00BC3419"/>
    <w:rsid w:val="00BC48D5"/>
    <w:rsid w:val="00BD351C"/>
    <w:rsid w:val="00BD60DD"/>
    <w:rsid w:val="00BD7397"/>
    <w:rsid w:val="00BE10C0"/>
    <w:rsid w:val="00BE2557"/>
    <w:rsid w:val="00BE2676"/>
    <w:rsid w:val="00BE4852"/>
    <w:rsid w:val="00BE5328"/>
    <w:rsid w:val="00BE6FB3"/>
    <w:rsid w:val="00BF1FF5"/>
    <w:rsid w:val="00C0550E"/>
    <w:rsid w:val="00C05AF3"/>
    <w:rsid w:val="00C068F2"/>
    <w:rsid w:val="00C12F91"/>
    <w:rsid w:val="00C14CA4"/>
    <w:rsid w:val="00C16A12"/>
    <w:rsid w:val="00C17501"/>
    <w:rsid w:val="00C20A21"/>
    <w:rsid w:val="00C22493"/>
    <w:rsid w:val="00C2332E"/>
    <w:rsid w:val="00C24188"/>
    <w:rsid w:val="00C26679"/>
    <w:rsid w:val="00C2698B"/>
    <w:rsid w:val="00C27A18"/>
    <w:rsid w:val="00C30213"/>
    <w:rsid w:val="00C30FB6"/>
    <w:rsid w:val="00C35155"/>
    <w:rsid w:val="00C43025"/>
    <w:rsid w:val="00C44022"/>
    <w:rsid w:val="00C446F4"/>
    <w:rsid w:val="00C51881"/>
    <w:rsid w:val="00C51F38"/>
    <w:rsid w:val="00C5231D"/>
    <w:rsid w:val="00C61140"/>
    <w:rsid w:val="00C62509"/>
    <w:rsid w:val="00C6383E"/>
    <w:rsid w:val="00C6650B"/>
    <w:rsid w:val="00C7002E"/>
    <w:rsid w:val="00C744DD"/>
    <w:rsid w:val="00C7450A"/>
    <w:rsid w:val="00C775BD"/>
    <w:rsid w:val="00C82E4A"/>
    <w:rsid w:val="00C8729B"/>
    <w:rsid w:val="00C903A8"/>
    <w:rsid w:val="00C91387"/>
    <w:rsid w:val="00C919E8"/>
    <w:rsid w:val="00C91AA4"/>
    <w:rsid w:val="00C93A1B"/>
    <w:rsid w:val="00C95A63"/>
    <w:rsid w:val="00C95A87"/>
    <w:rsid w:val="00C95AF0"/>
    <w:rsid w:val="00CA4A62"/>
    <w:rsid w:val="00CA66AA"/>
    <w:rsid w:val="00CA7C47"/>
    <w:rsid w:val="00CB0FAA"/>
    <w:rsid w:val="00CB29E5"/>
    <w:rsid w:val="00CB5DE1"/>
    <w:rsid w:val="00CB7CFA"/>
    <w:rsid w:val="00CB7DCE"/>
    <w:rsid w:val="00CC1ABE"/>
    <w:rsid w:val="00CC35F4"/>
    <w:rsid w:val="00CC361B"/>
    <w:rsid w:val="00CC7FA7"/>
    <w:rsid w:val="00CD354D"/>
    <w:rsid w:val="00CE3360"/>
    <w:rsid w:val="00CE3CFE"/>
    <w:rsid w:val="00CE736F"/>
    <w:rsid w:val="00CF38BF"/>
    <w:rsid w:val="00CF505D"/>
    <w:rsid w:val="00CF64BF"/>
    <w:rsid w:val="00CF681F"/>
    <w:rsid w:val="00D00272"/>
    <w:rsid w:val="00D01EB3"/>
    <w:rsid w:val="00D02741"/>
    <w:rsid w:val="00D02D57"/>
    <w:rsid w:val="00D047B9"/>
    <w:rsid w:val="00D10ACC"/>
    <w:rsid w:val="00D10AEE"/>
    <w:rsid w:val="00D1449F"/>
    <w:rsid w:val="00D16FC1"/>
    <w:rsid w:val="00D17DB0"/>
    <w:rsid w:val="00D21ACB"/>
    <w:rsid w:val="00D26435"/>
    <w:rsid w:val="00D277B0"/>
    <w:rsid w:val="00D30023"/>
    <w:rsid w:val="00D3173F"/>
    <w:rsid w:val="00D330A6"/>
    <w:rsid w:val="00D33505"/>
    <w:rsid w:val="00D43714"/>
    <w:rsid w:val="00D4425E"/>
    <w:rsid w:val="00D4575D"/>
    <w:rsid w:val="00D500DE"/>
    <w:rsid w:val="00D51450"/>
    <w:rsid w:val="00D53160"/>
    <w:rsid w:val="00D541E8"/>
    <w:rsid w:val="00D570A7"/>
    <w:rsid w:val="00D60D1A"/>
    <w:rsid w:val="00D6392B"/>
    <w:rsid w:val="00D65B4F"/>
    <w:rsid w:val="00D764D4"/>
    <w:rsid w:val="00D90178"/>
    <w:rsid w:val="00D92644"/>
    <w:rsid w:val="00D95C3A"/>
    <w:rsid w:val="00D95FEC"/>
    <w:rsid w:val="00D962AB"/>
    <w:rsid w:val="00D9787B"/>
    <w:rsid w:val="00DA02F2"/>
    <w:rsid w:val="00DA130F"/>
    <w:rsid w:val="00DA5E24"/>
    <w:rsid w:val="00DB0160"/>
    <w:rsid w:val="00DB0BEB"/>
    <w:rsid w:val="00DB2F32"/>
    <w:rsid w:val="00DB6A3D"/>
    <w:rsid w:val="00DB77B2"/>
    <w:rsid w:val="00DC28A5"/>
    <w:rsid w:val="00DC60D4"/>
    <w:rsid w:val="00DD254F"/>
    <w:rsid w:val="00DD4DBB"/>
    <w:rsid w:val="00DE01DA"/>
    <w:rsid w:val="00DE0FB8"/>
    <w:rsid w:val="00DE367F"/>
    <w:rsid w:val="00DE4A1C"/>
    <w:rsid w:val="00DE5EA2"/>
    <w:rsid w:val="00DE6733"/>
    <w:rsid w:val="00DF0C4D"/>
    <w:rsid w:val="00DF0EFC"/>
    <w:rsid w:val="00DF12C8"/>
    <w:rsid w:val="00DF4F5F"/>
    <w:rsid w:val="00DF6492"/>
    <w:rsid w:val="00E003CF"/>
    <w:rsid w:val="00E033CC"/>
    <w:rsid w:val="00E0780B"/>
    <w:rsid w:val="00E07CD1"/>
    <w:rsid w:val="00E144B9"/>
    <w:rsid w:val="00E156DC"/>
    <w:rsid w:val="00E168F9"/>
    <w:rsid w:val="00E2017F"/>
    <w:rsid w:val="00E213E7"/>
    <w:rsid w:val="00E22A03"/>
    <w:rsid w:val="00E22C75"/>
    <w:rsid w:val="00E36141"/>
    <w:rsid w:val="00E402BE"/>
    <w:rsid w:val="00E40B49"/>
    <w:rsid w:val="00E40FC6"/>
    <w:rsid w:val="00E418D2"/>
    <w:rsid w:val="00E440C2"/>
    <w:rsid w:val="00E45C54"/>
    <w:rsid w:val="00E46CDA"/>
    <w:rsid w:val="00E5257C"/>
    <w:rsid w:val="00E540FF"/>
    <w:rsid w:val="00E67615"/>
    <w:rsid w:val="00E67AB2"/>
    <w:rsid w:val="00E7231A"/>
    <w:rsid w:val="00E74782"/>
    <w:rsid w:val="00E76699"/>
    <w:rsid w:val="00E76CE9"/>
    <w:rsid w:val="00E804CF"/>
    <w:rsid w:val="00E81AB8"/>
    <w:rsid w:val="00E82045"/>
    <w:rsid w:val="00E83127"/>
    <w:rsid w:val="00E83AF0"/>
    <w:rsid w:val="00E83E58"/>
    <w:rsid w:val="00E8418B"/>
    <w:rsid w:val="00E84D81"/>
    <w:rsid w:val="00E90EA5"/>
    <w:rsid w:val="00E95AE8"/>
    <w:rsid w:val="00EA0820"/>
    <w:rsid w:val="00EA2D8C"/>
    <w:rsid w:val="00EA7A67"/>
    <w:rsid w:val="00EC04EA"/>
    <w:rsid w:val="00ED03B7"/>
    <w:rsid w:val="00ED1869"/>
    <w:rsid w:val="00ED38C3"/>
    <w:rsid w:val="00EE02ED"/>
    <w:rsid w:val="00EE247E"/>
    <w:rsid w:val="00EE396E"/>
    <w:rsid w:val="00EE5308"/>
    <w:rsid w:val="00EE6B65"/>
    <w:rsid w:val="00EF203D"/>
    <w:rsid w:val="00EF4DB5"/>
    <w:rsid w:val="00F03448"/>
    <w:rsid w:val="00F0371B"/>
    <w:rsid w:val="00F149EF"/>
    <w:rsid w:val="00F2308E"/>
    <w:rsid w:val="00F318CB"/>
    <w:rsid w:val="00F31984"/>
    <w:rsid w:val="00F40B8D"/>
    <w:rsid w:val="00F45393"/>
    <w:rsid w:val="00F47FE6"/>
    <w:rsid w:val="00F52FDC"/>
    <w:rsid w:val="00F572A3"/>
    <w:rsid w:val="00F578FF"/>
    <w:rsid w:val="00F60362"/>
    <w:rsid w:val="00F67566"/>
    <w:rsid w:val="00F70827"/>
    <w:rsid w:val="00F70BA6"/>
    <w:rsid w:val="00F71B28"/>
    <w:rsid w:val="00F741F5"/>
    <w:rsid w:val="00F76CF2"/>
    <w:rsid w:val="00F833BD"/>
    <w:rsid w:val="00F84373"/>
    <w:rsid w:val="00F85F53"/>
    <w:rsid w:val="00F90E86"/>
    <w:rsid w:val="00F93BC7"/>
    <w:rsid w:val="00F95A02"/>
    <w:rsid w:val="00F95C47"/>
    <w:rsid w:val="00FA2284"/>
    <w:rsid w:val="00FA2ECB"/>
    <w:rsid w:val="00FA2EFD"/>
    <w:rsid w:val="00FB0B62"/>
    <w:rsid w:val="00FB0C8C"/>
    <w:rsid w:val="00FB38C2"/>
    <w:rsid w:val="00FB51F8"/>
    <w:rsid w:val="00FB77B6"/>
    <w:rsid w:val="00FC1210"/>
    <w:rsid w:val="00FD0537"/>
    <w:rsid w:val="00FD4110"/>
    <w:rsid w:val="00FD5A50"/>
    <w:rsid w:val="00FE3575"/>
    <w:rsid w:val="00FE65B8"/>
    <w:rsid w:val="00FE6E2C"/>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320">
      <w:bodyDiv w:val="1"/>
      <w:marLeft w:val="0"/>
      <w:marRight w:val="0"/>
      <w:marTop w:val="0"/>
      <w:marBottom w:val="0"/>
      <w:divBdr>
        <w:top w:val="none" w:sz="0" w:space="0" w:color="auto"/>
        <w:left w:val="none" w:sz="0" w:space="0" w:color="auto"/>
        <w:bottom w:val="none" w:sz="0" w:space="0" w:color="auto"/>
        <w:right w:val="none" w:sz="0" w:space="0" w:color="auto"/>
      </w:divBdr>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470562148">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03707529">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22406571">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E1FA7-18B8-4B08-8801-6819E70C87E8}">
  <ds:schemaRefs>
    <ds:schemaRef ds:uri="http://schemas.microsoft.com/sharepoint/v3/contenttype/forms"/>
  </ds:schemaRefs>
</ds:datastoreItem>
</file>

<file path=customXml/itemProps2.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4.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2205</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25</cp:revision>
  <cp:lastPrinted>2022-02-04T15:12:00Z</cp:lastPrinted>
  <dcterms:created xsi:type="dcterms:W3CDTF">2022-08-22T14:44:00Z</dcterms:created>
  <dcterms:modified xsi:type="dcterms:W3CDTF">2022-09-02T21:02:00Z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4868-3592-9895</vt:lpwstr>
  </property>
</Properties>
</file>