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0FF3D30C"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6B13C3" w:rsidRPr="00793E2F">
        <w:rPr>
          <w:rFonts w:ascii="Arial" w:hAnsi="Arial" w:cs="Arial"/>
          <w:color w:val="000000"/>
          <w:sz w:val="22"/>
          <w:szCs w:val="22"/>
        </w:rPr>
        <w:t>30</w:t>
      </w:r>
      <w:r w:rsidR="002632E9" w:rsidRPr="00793E2F">
        <w:rPr>
          <w:rFonts w:ascii="Arial" w:hAnsi="Arial" w:cs="Arial"/>
          <w:color w:val="000000"/>
          <w:sz w:val="22"/>
          <w:szCs w:val="22"/>
        </w:rPr>
        <w:t>5</w:t>
      </w:r>
      <w:r w:rsidR="006B13C3" w:rsidRPr="00793E2F">
        <w:rPr>
          <w:rFonts w:ascii="Arial" w:hAnsi="Arial" w:cs="Arial"/>
          <w:color w:val="000000"/>
          <w:sz w:val="22"/>
          <w:szCs w:val="22"/>
        </w:rPr>
        <w:t>,</w:t>
      </w:r>
      <w:r w:rsidR="002632E9" w:rsidRPr="00793E2F">
        <w:rPr>
          <w:rFonts w:ascii="Arial" w:hAnsi="Arial" w:cs="Arial"/>
          <w:color w:val="000000"/>
          <w:sz w:val="22"/>
          <w:szCs w:val="22"/>
        </w:rPr>
        <w:t>037</w:t>
      </w:r>
      <w:r w:rsidR="006B13C3" w:rsidRPr="00793E2F">
        <w:rPr>
          <w:rFonts w:ascii="Arial" w:hAnsi="Arial" w:cs="Arial"/>
          <w:color w:val="000000"/>
          <w:sz w:val="22"/>
          <w:szCs w:val="22"/>
        </w:rPr>
        <w:t>,</w:t>
      </w:r>
      <w:r w:rsidR="002632E9" w:rsidRPr="00793E2F">
        <w:rPr>
          <w:rFonts w:ascii="Arial" w:hAnsi="Arial" w:cs="Arial"/>
          <w:color w:val="000000"/>
          <w:sz w:val="22"/>
          <w:szCs w:val="22"/>
        </w:rPr>
        <w:t>009</w:t>
      </w:r>
      <w:r w:rsidR="006B13C3" w:rsidRPr="00793E2F">
        <w:rPr>
          <w:rFonts w:ascii="Arial" w:hAnsi="Arial" w:cs="Arial"/>
          <w:color w:val="000000"/>
          <w:sz w:val="22"/>
          <w:szCs w:val="22"/>
        </w:rPr>
        <w:t xml:space="preserve"> </w:t>
      </w:r>
      <w:r w:rsidR="00BA1174" w:rsidRPr="00793E2F">
        <w:rPr>
          <w:rFonts w:ascii="Arial" w:hAnsi="Arial" w:cs="Arial"/>
          <w:color w:val="000000"/>
          <w:sz w:val="22"/>
          <w:szCs w:val="22"/>
        </w:rPr>
        <w:t>Class A subordinate voting shares</w:t>
      </w:r>
      <w:r w:rsidR="00577204" w:rsidRPr="00793E2F">
        <w:rPr>
          <w:rFonts w:ascii="Arial" w:hAnsi="Arial" w:cs="Arial"/>
          <w:color w:val="000000"/>
          <w:sz w:val="22"/>
          <w:szCs w:val="22"/>
        </w:rPr>
        <w:t xml:space="preserve"> </w:t>
      </w:r>
    </w:p>
    <w:p w14:paraId="77D28D7A" w14:textId="5ABE04CE"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2632E9" w:rsidRPr="00793E2F">
        <w:rPr>
          <w:rFonts w:ascii="Arial" w:hAnsi="Arial" w:cs="Arial"/>
          <w:color w:val="000000"/>
          <w:sz w:val="22"/>
          <w:szCs w:val="22"/>
        </w:rPr>
        <w:t xml:space="preserve">May </w:t>
      </w:r>
      <w:r w:rsidR="00330206">
        <w:rPr>
          <w:rFonts w:ascii="Arial" w:hAnsi="Arial" w:cs="Arial"/>
          <w:color w:val="000000"/>
          <w:sz w:val="22"/>
          <w:szCs w:val="22"/>
        </w:rPr>
        <w:t>4</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31A77" w:rsidRPr="00793E2F">
        <w:rPr>
          <w:rFonts w:ascii="Arial" w:hAnsi="Arial" w:cs="Arial"/>
          <w:color w:val="000000"/>
          <w:sz w:val="22"/>
          <w:szCs w:val="22"/>
        </w:rPr>
        <w:t>2</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The sequence of questions must not be altered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0D5426C0" w14:textId="77777777" w:rsidR="00AA24C0" w:rsidRPr="00793E2F" w:rsidRDefault="00AA24C0" w:rsidP="00AA24C0">
      <w:pPr>
        <w:pStyle w:val="List"/>
        <w:tabs>
          <w:tab w:val="left" w:pos="9180"/>
        </w:tabs>
        <w:spacing w:before="0"/>
        <w:ind w:firstLine="0"/>
        <w:jc w:val="both"/>
        <w:rPr>
          <w:rFonts w:ascii="Arial" w:hAnsi="Arial" w:cs="Arial"/>
          <w:sz w:val="22"/>
          <w:szCs w:val="22"/>
          <w:lang w:val="en-US"/>
        </w:rPr>
      </w:pPr>
    </w:p>
    <w:p w14:paraId="7DC7418C" w14:textId="34A98513" w:rsidR="00500D2F" w:rsidRPr="00793E2F" w:rsidRDefault="00B06961"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On April 1, 2022, the Issuer announced the opening of a MÜV</w:t>
      </w:r>
      <w:r w:rsidRPr="00793E2F">
        <w:rPr>
          <w:rFonts w:ascii="Arial" w:hAnsi="Arial" w:cs="Arial"/>
          <w:sz w:val="22"/>
          <w:szCs w:val="22"/>
        </w:rPr>
        <w:t xml:space="preserve">™ medical cannabis dispensary in Marco, Island, Florida.  The dispensary is the first cannabis dispensary </w:t>
      </w:r>
      <w:r w:rsidR="00C446F4" w:rsidRPr="00793E2F">
        <w:rPr>
          <w:rFonts w:ascii="Arial" w:hAnsi="Arial" w:cs="Arial"/>
          <w:sz w:val="22"/>
          <w:szCs w:val="22"/>
        </w:rPr>
        <w:t xml:space="preserve">to open </w:t>
      </w:r>
      <w:r w:rsidRPr="00793E2F">
        <w:rPr>
          <w:rFonts w:ascii="Arial" w:hAnsi="Arial" w:cs="Arial"/>
          <w:sz w:val="22"/>
          <w:szCs w:val="22"/>
        </w:rPr>
        <w:t>in Marco Island and is the Issuer’s 44</w:t>
      </w:r>
      <w:r w:rsidRPr="00793E2F">
        <w:rPr>
          <w:rFonts w:ascii="Arial" w:hAnsi="Arial" w:cs="Arial"/>
          <w:sz w:val="22"/>
          <w:szCs w:val="22"/>
          <w:vertAlign w:val="superscript"/>
        </w:rPr>
        <w:t>th</w:t>
      </w:r>
      <w:r w:rsidRPr="00793E2F">
        <w:rPr>
          <w:rFonts w:ascii="Arial" w:hAnsi="Arial" w:cs="Arial"/>
          <w:sz w:val="22"/>
          <w:szCs w:val="22"/>
        </w:rPr>
        <w:t xml:space="preserve"> retail location in Florida. </w:t>
      </w:r>
      <w:r w:rsidR="002C263E" w:rsidRPr="00793E2F">
        <w:rPr>
          <w:rFonts w:ascii="Arial" w:hAnsi="Arial" w:cs="Arial"/>
          <w:sz w:val="22"/>
          <w:szCs w:val="22"/>
        </w:rPr>
        <w:t xml:space="preserve">The </w:t>
      </w:r>
      <w:r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w:t>
      </w:r>
      <w:r w:rsidR="002C263E" w:rsidRPr="00793E2F">
        <w:rPr>
          <w:rFonts w:ascii="Arial" w:hAnsi="Arial" w:cs="Arial"/>
          <w:color w:val="000000"/>
          <w:sz w:val="22"/>
          <w:szCs w:val="22"/>
        </w:rPr>
        <w:t>,</w:t>
      </w:r>
      <w:r w:rsidRPr="00793E2F">
        <w:rPr>
          <w:rFonts w:ascii="Arial" w:hAnsi="Arial" w:cs="Arial"/>
          <w:color w:val="000000"/>
          <w:sz w:val="22"/>
          <w:szCs w:val="22"/>
        </w:rPr>
        <w:t xml:space="preserve"> along with patented encapsulation formulations in EnCaps™ capsules, tinctures, 72-hour transdermal patches and transdermal gels.</w:t>
      </w:r>
    </w:p>
    <w:p w14:paraId="60C817D1" w14:textId="22D7E5F6" w:rsidR="002C263E" w:rsidRPr="00793E2F" w:rsidRDefault="002C263E" w:rsidP="00EE396E">
      <w:pPr>
        <w:pStyle w:val="List"/>
        <w:numPr>
          <w:ilvl w:val="0"/>
          <w:numId w:val="33"/>
        </w:numPr>
        <w:ind w:left="1800"/>
        <w:jc w:val="both"/>
        <w:rPr>
          <w:rFonts w:ascii="Arial" w:hAnsi="Arial" w:cs="Arial"/>
          <w:sz w:val="22"/>
          <w:szCs w:val="22"/>
          <w:lang w:val="en-US"/>
        </w:rPr>
      </w:pPr>
      <w:r w:rsidRPr="00793E2F">
        <w:rPr>
          <w:rFonts w:ascii="Arial" w:hAnsi="Arial" w:cs="Arial"/>
          <w:color w:val="000000"/>
          <w:sz w:val="22"/>
          <w:szCs w:val="22"/>
        </w:rPr>
        <w:lastRenderedPageBreak/>
        <w:t xml:space="preserve">On April 4, 2022, the Issuer announced the relocation of its </w:t>
      </w:r>
      <w:r w:rsidRPr="00793E2F">
        <w:rPr>
          <w:rFonts w:ascii="Arial" w:hAnsi="Arial" w:cs="Arial"/>
          <w:sz w:val="22"/>
          <w:szCs w:val="22"/>
          <w:lang w:val="en-US"/>
        </w:rPr>
        <w:t xml:space="preserve">Zen Leaf™ medical dispensary in Canton, Ohio.  </w:t>
      </w:r>
      <w:r w:rsidR="003129DD" w:rsidRPr="00793E2F">
        <w:rPr>
          <w:rFonts w:ascii="Arial" w:hAnsi="Arial" w:cs="Arial"/>
          <w:sz w:val="22"/>
          <w:szCs w:val="22"/>
          <w:lang w:val="en-US"/>
        </w:rPr>
        <w:t xml:space="preserve">The new location offers enhanced amenities including a larger store space, additional registers, and more customer parking.  The dispensary is one of five </w:t>
      </w:r>
      <w:r w:rsidR="00C5231D" w:rsidRPr="00793E2F">
        <w:rPr>
          <w:rFonts w:ascii="Arial" w:hAnsi="Arial" w:cs="Arial"/>
          <w:sz w:val="22"/>
          <w:szCs w:val="22"/>
          <w:lang w:val="en-US"/>
        </w:rPr>
        <w:t xml:space="preserve">medical </w:t>
      </w:r>
      <w:r w:rsidR="003129DD" w:rsidRPr="00793E2F">
        <w:rPr>
          <w:rFonts w:ascii="Arial" w:hAnsi="Arial" w:cs="Arial"/>
          <w:sz w:val="22"/>
          <w:szCs w:val="22"/>
          <w:lang w:val="en-US"/>
        </w:rPr>
        <w:t>cannabis dispensaries the Issuer operates in Ohio</w:t>
      </w:r>
      <w:r w:rsidR="00C5231D" w:rsidRPr="00793E2F">
        <w:rPr>
          <w:rFonts w:ascii="Arial" w:hAnsi="Arial" w:cs="Arial"/>
          <w:sz w:val="22"/>
          <w:szCs w:val="22"/>
          <w:lang w:val="en-US"/>
        </w:rPr>
        <w:t>, each of which has a</w:t>
      </w:r>
      <w:r w:rsidR="00C5231D" w:rsidRPr="00793E2F">
        <w:rPr>
          <w:rFonts w:ascii="Arial" w:hAnsi="Arial" w:cs="Arial"/>
          <w:color w:val="000000"/>
          <w:sz w:val="22"/>
          <w:szCs w:val="22"/>
        </w:rPr>
        <w:t xml:space="preserve"> comprehensive offering of premium medical cannabis products</w:t>
      </w:r>
      <w:r w:rsidR="00C446F4" w:rsidRPr="00793E2F">
        <w:rPr>
          <w:rFonts w:ascii="Arial" w:hAnsi="Arial" w:cs="Arial"/>
          <w:color w:val="000000"/>
          <w:sz w:val="22"/>
          <w:szCs w:val="22"/>
        </w:rPr>
        <w:t xml:space="preserve"> </w:t>
      </w:r>
      <w:r w:rsidR="00C5231D" w:rsidRPr="00793E2F">
        <w:rPr>
          <w:rFonts w:ascii="Arial" w:hAnsi="Arial" w:cs="Arial"/>
          <w:color w:val="000000"/>
          <w:sz w:val="22"/>
          <w:szCs w:val="22"/>
        </w:rPr>
        <w:t>sold under the Verano</w:t>
      </w:r>
      <w:r w:rsidR="00C5231D" w:rsidRPr="00793E2F">
        <w:rPr>
          <w:rFonts w:ascii="Arial" w:hAnsi="Arial" w:cs="Arial"/>
          <w:color w:val="000000"/>
          <w:sz w:val="22"/>
          <w:szCs w:val="22"/>
          <w:bdr w:val="none" w:sz="0" w:space="0" w:color="auto" w:frame="1"/>
          <w:vertAlign w:val="superscript"/>
        </w:rPr>
        <w:t>™</w:t>
      </w:r>
      <w:r w:rsidR="00C5231D" w:rsidRPr="00793E2F">
        <w:rPr>
          <w:rFonts w:ascii="Arial" w:hAnsi="Arial" w:cs="Arial"/>
          <w:color w:val="000000"/>
          <w:sz w:val="22"/>
          <w:szCs w:val="22"/>
        </w:rPr>
        <w:t>, Avexia</w:t>
      </w:r>
      <w:r w:rsidR="00C5231D" w:rsidRPr="00793E2F">
        <w:rPr>
          <w:rFonts w:ascii="Arial" w:hAnsi="Arial" w:cs="Arial"/>
          <w:color w:val="000000"/>
          <w:sz w:val="22"/>
          <w:szCs w:val="22"/>
          <w:bdr w:val="none" w:sz="0" w:space="0" w:color="auto" w:frame="1"/>
          <w:vertAlign w:val="superscript"/>
        </w:rPr>
        <w:t>™</w:t>
      </w:r>
      <w:r w:rsidR="00C5231D" w:rsidRPr="00793E2F">
        <w:rPr>
          <w:rFonts w:ascii="Arial" w:hAnsi="Arial" w:cs="Arial"/>
          <w:color w:val="000000"/>
          <w:sz w:val="22"/>
          <w:szCs w:val="22"/>
        </w:rPr>
        <w:t>, and Encore</w:t>
      </w:r>
      <w:r w:rsidR="00C5231D" w:rsidRPr="00793E2F">
        <w:rPr>
          <w:rFonts w:ascii="Arial" w:hAnsi="Arial" w:cs="Arial"/>
          <w:color w:val="000000"/>
          <w:sz w:val="22"/>
          <w:szCs w:val="22"/>
          <w:bdr w:val="none" w:sz="0" w:space="0" w:color="auto" w:frame="1"/>
          <w:vertAlign w:val="superscript"/>
        </w:rPr>
        <w:t>™</w:t>
      </w:r>
      <w:r w:rsidR="00C5231D" w:rsidRPr="00793E2F">
        <w:rPr>
          <w:rFonts w:ascii="Arial" w:hAnsi="Arial" w:cs="Arial"/>
          <w:color w:val="000000"/>
          <w:sz w:val="22"/>
          <w:szCs w:val="22"/>
        </w:rPr>
        <w:t> brands, that are available to registered Ohio patients</w:t>
      </w:r>
      <w:r w:rsidR="003129DD" w:rsidRPr="00793E2F">
        <w:rPr>
          <w:rFonts w:ascii="Arial" w:hAnsi="Arial" w:cs="Arial"/>
          <w:sz w:val="22"/>
          <w:szCs w:val="22"/>
          <w:lang w:val="en-US"/>
        </w:rPr>
        <w:t xml:space="preserve">.  </w:t>
      </w:r>
    </w:p>
    <w:p w14:paraId="38631D4E" w14:textId="70837268" w:rsidR="00C5231D" w:rsidRPr="00793E2F" w:rsidRDefault="00C5231D"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 xml:space="preserve">On April 15, 2022, the Issuer announced the </w:t>
      </w:r>
      <w:r w:rsidRPr="00793E2F">
        <w:rPr>
          <w:rFonts w:ascii="Arial" w:hAnsi="Arial" w:cs="Arial"/>
          <w:color w:val="000000"/>
          <w:sz w:val="22"/>
          <w:szCs w:val="22"/>
        </w:rPr>
        <w:t>New Jersey Cannabis Regulatory Commission’</w:t>
      </w:r>
      <w:r w:rsidR="001D1ADE">
        <w:rPr>
          <w:rFonts w:ascii="Arial" w:hAnsi="Arial" w:cs="Arial"/>
          <w:color w:val="000000"/>
          <w:sz w:val="22"/>
          <w:szCs w:val="22"/>
        </w:rPr>
        <w:t>s</w:t>
      </w:r>
      <w:r w:rsidRPr="00793E2F">
        <w:rPr>
          <w:rFonts w:ascii="Arial" w:hAnsi="Arial" w:cs="Arial"/>
          <w:color w:val="000000"/>
          <w:sz w:val="22"/>
          <w:szCs w:val="22"/>
        </w:rPr>
        <w:t xml:space="preserve"> approval of personal use cannabis sales</w:t>
      </w:r>
      <w:r w:rsidR="001D1ADE">
        <w:rPr>
          <w:rFonts w:ascii="Arial" w:hAnsi="Arial" w:cs="Arial"/>
          <w:color w:val="000000"/>
          <w:sz w:val="22"/>
          <w:szCs w:val="22"/>
        </w:rPr>
        <w:t xml:space="preserve"> </w:t>
      </w:r>
      <w:r w:rsidRPr="00793E2F">
        <w:rPr>
          <w:rFonts w:ascii="Arial" w:hAnsi="Arial" w:cs="Arial"/>
          <w:color w:val="000000"/>
          <w:sz w:val="22"/>
          <w:szCs w:val="22"/>
        </w:rPr>
        <w:t>commenc</w:t>
      </w:r>
      <w:r w:rsidR="001D1ADE">
        <w:rPr>
          <w:rFonts w:ascii="Arial" w:hAnsi="Arial" w:cs="Arial"/>
          <w:color w:val="000000"/>
          <w:sz w:val="22"/>
          <w:szCs w:val="22"/>
        </w:rPr>
        <w:t>ing</w:t>
      </w:r>
      <w:r w:rsidRPr="00793E2F">
        <w:rPr>
          <w:rFonts w:ascii="Arial" w:hAnsi="Arial" w:cs="Arial"/>
          <w:color w:val="000000"/>
          <w:sz w:val="22"/>
          <w:szCs w:val="22"/>
        </w:rPr>
        <w:t xml:space="preserve"> in </w:t>
      </w:r>
      <w:r w:rsidR="0037175D">
        <w:rPr>
          <w:rFonts w:ascii="Arial" w:hAnsi="Arial" w:cs="Arial"/>
          <w:color w:val="000000"/>
          <w:sz w:val="22"/>
          <w:szCs w:val="22"/>
        </w:rPr>
        <w:t xml:space="preserve">New Jersey </w:t>
      </w:r>
      <w:r w:rsidRPr="00793E2F">
        <w:rPr>
          <w:rFonts w:ascii="Arial" w:hAnsi="Arial" w:cs="Arial"/>
          <w:color w:val="000000"/>
          <w:sz w:val="22"/>
          <w:szCs w:val="22"/>
        </w:rPr>
        <w:t>on April 21, 2022</w:t>
      </w:r>
      <w:r w:rsidR="00512CC6" w:rsidRPr="00793E2F">
        <w:rPr>
          <w:rFonts w:ascii="Arial" w:hAnsi="Arial" w:cs="Arial"/>
          <w:color w:val="000000"/>
          <w:sz w:val="22"/>
          <w:szCs w:val="22"/>
        </w:rPr>
        <w:t xml:space="preserve">.  The Issuer </w:t>
      </w:r>
      <w:r w:rsidR="001D1ADE">
        <w:rPr>
          <w:rFonts w:ascii="Arial" w:hAnsi="Arial" w:cs="Arial"/>
          <w:color w:val="000000"/>
          <w:sz w:val="22"/>
          <w:szCs w:val="22"/>
        </w:rPr>
        <w:t>wa</w:t>
      </w:r>
      <w:r w:rsidR="00512CC6" w:rsidRPr="00793E2F">
        <w:rPr>
          <w:rFonts w:ascii="Arial" w:hAnsi="Arial" w:cs="Arial"/>
          <w:color w:val="000000"/>
          <w:sz w:val="22"/>
          <w:szCs w:val="22"/>
        </w:rPr>
        <w:t>s the sole cannabis company permitted to initiate personal use sales in New Jersey’s central region on April 21</w:t>
      </w:r>
      <w:r w:rsidR="00512CC6" w:rsidRPr="00793E2F">
        <w:rPr>
          <w:rFonts w:ascii="Arial" w:hAnsi="Arial" w:cs="Arial"/>
          <w:color w:val="000000"/>
          <w:sz w:val="22"/>
          <w:szCs w:val="22"/>
          <w:bdr w:val="none" w:sz="0" w:space="0" w:color="auto" w:frame="1"/>
          <w:vertAlign w:val="superscript"/>
        </w:rPr>
        <w:t>st</w:t>
      </w:r>
      <w:r w:rsidR="00512CC6" w:rsidRPr="00793E2F">
        <w:rPr>
          <w:rFonts w:ascii="Arial" w:hAnsi="Arial" w:cs="Arial"/>
          <w:color w:val="000000"/>
          <w:sz w:val="22"/>
          <w:szCs w:val="22"/>
        </w:rPr>
        <w:t> at its Zen Leaf</w:t>
      </w:r>
      <w:r w:rsidR="00512CC6" w:rsidRPr="00793E2F">
        <w:rPr>
          <w:rFonts w:ascii="Arial" w:hAnsi="Arial" w:cs="Arial"/>
          <w:color w:val="000000"/>
          <w:sz w:val="22"/>
          <w:szCs w:val="22"/>
          <w:bdr w:val="none" w:sz="0" w:space="0" w:color="auto" w:frame="1"/>
          <w:vertAlign w:val="superscript"/>
        </w:rPr>
        <w:t>™</w:t>
      </w:r>
      <w:r w:rsidR="00512CC6" w:rsidRPr="00793E2F">
        <w:rPr>
          <w:rFonts w:ascii="Arial" w:hAnsi="Arial" w:cs="Arial"/>
          <w:color w:val="000000"/>
          <w:sz w:val="22"/>
          <w:szCs w:val="22"/>
        </w:rPr>
        <w:t xml:space="preserve"> Elizabeth and Lawrence Township dispensary locations.</w:t>
      </w:r>
      <w:r w:rsidR="00C446F4" w:rsidRPr="00793E2F">
        <w:rPr>
          <w:rFonts w:ascii="Arial" w:hAnsi="Arial" w:cs="Arial"/>
          <w:color w:val="000000"/>
          <w:sz w:val="22"/>
          <w:szCs w:val="22"/>
        </w:rPr>
        <w:t xml:space="preserve">  On April 21, 2022</w:t>
      </w:r>
      <w:r w:rsidR="001D1ADE">
        <w:rPr>
          <w:rFonts w:ascii="Arial" w:hAnsi="Arial" w:cs="Arial"/>
          <w:color w:val="000000"/>
          <w:sz w:val="22"/>
          <w:szCs w:val="22"/>
        </w:rPr>
        <w:t>,</w:t>
      </w:r>
      <w:r w:rsidR="00C446F4" w:rsidRPr="00793E2F">
        <w:rPr>
          <w:rFonts w:ascii="Arial" w:hAnsi="Arial" w:cs="Arial"/>
          <w:color w:val="000000"/>
          <w:sz w:val="22"/>
          <w:szCs w:val="22"/>
        </w:rPr>
        <w:t xml:space="preserve"> </w:t>
      </w:r>
      <w:r w:rsidR="001D1ADE">
        <w:rPr>
          <w:rFonts w:ascii="Arial" w:hAnsi="Arial" w:cs="Arial"/>
          <w:color w:val="000000"/>
          <w:sz w:val="22"/>
          <w:szCs w:val="22"/>
        </w:rPr>
        <w:t xml:space="preserve">in addition to medical sales </w:t>
      </w:r>
      <w:r w:rsidR="00C446F4" w:rsidRPr="00793E2F">
        <w:rPr>
          <w:rFonts w:ascii="Arial" w:hAnsi="Arial" w:cs="Arial"/>
          <w:color w:val="000000"/>
          <w:sz w:val="22"/>
          <w:szCs w:val="22"/>
        </w:rPr>
        <w:t>the Issuer commenced personal use cannabis sales at those two retail dispensary locations.</w:t>
      </w:r>
    </w:p>
    <w:p w14:paraId="6A1EC9A9" w14:textId="3367E0A4" w:rsidR="00063814" w:rsidRPr="00793E2F" w:rsidRDefault="007D238A"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 xml:space="preserve">On April 18, 2022, </w:t>
      </w:r>
      <w:r w:rsidR="00D10ACC" w:rsidRPr="00793E2F">
        <w:rPr>
          <w:rFonts w:ascii="Arial" w:hAnsi="Arial" w:cs="Arial"/>
          <w:sz w:val="22"/>
          <w:szCs w:val="22"/>
          <w:lang w:val="en-US"/>
        </w:rPr>
        <w:t xml:space="preserve">the Issuer entered into a settlement agreement </w:t>
      </w:r>
      <w:r w:rsidR="00F70BA6" w:rsidRPr="00793E2F">
        <w:rPr>
          <w:rFonts w:ascii="Arial" w:hAnsi="Arial" w:cs="Arial"/>
          <w:sz w:val="22"/>
          <w:szCs w:val="22"/>
          <w:lang w:val="en-US"/>
        </w:rPr>
        <w:t>with Prospiant, Inc., formerly known as Nexus Corporation (“</w:t>
      </w:r>
      <w:r w:rsidR="00F70BA6" w:rsidRPr="00793E2F">
        <w:rPr>
          <w:rFonts w:ascii="Arial" w:hAnsi="Arial" w:cs="Arial"/>
          <w:b/>
          <w:bCs/>
          <w:sz w:val="22"/>
          <w:szCs w:val="22"/>
          <w:lang w:val="en-US"/>
        </w:rPr>
        <w:t>Prospiant</w:t>
      </w:r>
      <w:r w:rsidR="00F70BA6" w:rsidRPr="00793E2F">
        <w:rPr>
          <w:rFonts w:ascii="Arial" w:hAnsi="Arial" w:cs="Arial"/>
          <w:sz w:val="22"/>
          <w:szCs w:val="22"/>
          <w:lang w:val="en-US"/>
        </w:rPr>
        <w:t>”)</w:t>
      </w:r>
      <w:r w:rsidR="00500D2F" w:rsidRPr="00793E2F">
        <w:rPr>
          <w:rFonts w:ascii="Arial" w:hAnsi="Arial" w:cs="Arial"/>
          <w:sz w:val="22"/>
          <w:szCs w:val="22"/>
          <w:lang w:val="en-US"/>
        </w:rPr>
        <w:t>,</w:t>
      </w:r>
      <w:r w:rsidR="00F70BA6" w:rsidRPr="00793E2F">
        <w:rPr>
          <w:rFonts w:ascii="Arial" w:hAnsi="Arial" w:cs="Arial"/>
          <w:sz w:val="22"/>
          <w:szCs w:val="22"/>
          <w:lang w:val="en-US"/>
        </w:rPr>
        <w:t xml:space="preserve"> </w:t>
      </w:r>
      <w:r w:rsidR="00D10ACC" w:rsidRPr="00793E2F">
        <w:rPr>
          <w:rFonts w:ascii="Arial" w:hAnsi="Arial" w:cs="Arial"/>
          <w:sz w:val="22"/>
          <w:szCs w:val="22"/>
          <w:lang w:val="en-US"/>
        </w:rPr>
        <w:t xml:space="preserve">pursuant to which </w:t>
      </w:r>
      <w:r w:rsidR="00F70BA6" w:rsidRPr="00793E2F">
        <w:rPr>
          <w:rFonts w:ascii="Arial" w:hAnsi="Arial" w:cs="Arial"/>
          <w:sz w:val="22"/>
          <w:szCs w:val="22"/>
          <w:lang w:val="en-US"/>
        </w:rPr>
        <w:t xml:space="preserve">the Issuer and Prospiant released all claims against each other and Prospiant agreed to release the </w:t>
      </w:r>
      <w:r w:rsidR="00D10ACC" w:rsidRPr="00793E2F">
        <w:rPr>
          <w:rFonts w:ascii="Arial" w:hAnsi="Arial" w:cs="Arial"/>
          <w:sz w:val="22"/>
          <w:szCs w:val="22"/>
          <w:lang w:val="en-US"/>
        </w:rPr>
        <w:t xml:space="preserve">mechanic’s lien </w:t>
      </w:r>
      <w:r w:rsidR="00F70BA6" w:rsidRPr="00793E2F">
        <w:rPr>
          <w:rFonts w:ascii="Arial" w:hAnsi="Arial" w:cs="Arial"/>
          <w:sz w:val="22"/>
          <w:szCs w:val="22"/>
          <w:lang w:val="en-US"/>
        </w:rPr>
        <w:t xml:space="preserve">it </w:t>
      </w:r>
      <w:r w:rsidR="00D10ACC" w:rsidRPr="00793E2F">
        <w:rPr>
          <w:rFonts w:ascii="Arial" w:hAnsi="Arial" w:cs="Arial"/>
          <w:sz w:val="22"/>
          <w:szCs w:val="22"/>
          <w:lang w:val="en-US"/>
        </w:rPr>
        <w:t>r</w:t>
      </w:r>
      <w:r w:rsidR="00F70BA6" w:rsidRPr="00793E2F">
        <w:rPr>
          <w:rFonts w:ascii="Arial" w:hAnsi="Arial" w:cs="Arial"/>
          <w:sz w:val="22"/>
          <w:szCs w:val="22"/>
          <w:lang w:val="en-US"/>
        </w:rPr>
        <w:t>e</w:t>
      </w:r>
      <w:r w:rsidR="00D10ACC" w:rsidRPr="00793E2F">
        <w:rPr>
          <w:rFonts w:ascii="Arial" w:hAnsi="Arial" w:cs="Arial"/>
          <w:sz w:val="22"/>
          <w:szCs w:val="22"/>
          <w:lang w:val="en-US"/>
        </w:rPr>
        <w:t xml:space="preserve">corded </w:t>
      </w:r>
      <w:r w:rsidR="00F70BA6" w:rsidRPr="00793E2F">
        <w:rPr>
          <w:rFonts w:ascii="Arial" w:hAnsi="Arial" w:cs="Arial"/>
          <w:sz w:val="22"/>
          <w:szCs w:val="22"/>
          <w:lang w:val="en-US"/>
        </w:rPr>
        <w:t xml:space="preserve">on the real property located at 884 Industrial Street, Albion, Illinois </w:t>
      </w:r>
      <w:r w:rsidR="00D10ACC" w:rsidRPr="00793E2F">
        <w:rPr>
          <w:rFonts w:ascii="Arial" w:hAnsi="Arial" w:cs="Arial"/>
          <w:sz w:val="22"/>
          <w:szCs w:val="22"/>
          <w:lang w:val="en-US"/>
        </w:rPr>
        <w:t xml:space="preserve">in the amount </w:t>
      </w:r>
      <w:r w:rsidR="00F70BA6" w:rsidRPr="00793E2F">
        <w:rPr>
          <w:rFonts w:ascii="Arial" w:hAnsi="Arial" w:cs="Arial"/>
          <w:sz w:val="22"/>
          <w:szCs w:val="22"/>
          <w:lang w:val="en-US"/>
        </w:rPr>
        <w:t>of $1,650,804</w:t>
      </w:r>
      <w:r w:rsidR="00B41F6D" w:rsidRPr="00793E2F">
        <w:rPr>
          <w:rFonts w:ascii="Arial" w:hAnsi="Arial" w:cs="Arial"/>
          <w:sz w:val="22"/>
          <w:szCs w:val="22"/>
          <w:lang w:val="en-US"/>
        </w:rPr>
        <w:t>.</w:t>
      </w:r>
      <w:r w:rsidR="00500D2F" w:rsidRPr="00793E2F">
        <w:rPr>
          <w:rFonts w:ascii="Arial" w:hAnsi="Arial" w:cs="Arial"/>
          <w:sz w:val="22"/>
          <w:szCs w:val="22"/>
          <w:lang w:val="en-US"/>
        </w:rPr>
        <w:t xml:space="preserve">  A full waiver and release of the mechanic’s lien was subsequently recorded on May 2, 2022.</w:t>
      </w:r>
    </w:p>
    <w:p w14:paraId="730A5204" w14:textId="1278E686" w:rsidR="00512CC6" w:rsidRPr="00793E2F" w:rsidRDefault="00512CC6" w:rsidP="00EE396E">
      <w:pPr>
        <w:pStyle w:val="List"/>
        <w:numPr>
          <w:ilvl w:val="0"/>
          <w:numId w:val="33"/>
        </w:numPr>
        <w:ind w:left="1800"/>
        <w:jc w:val="both"/>
        <w:rPr>
          <w:rFonts w:ascii="Arial" w:hAnsi="Arial" w:cs="Arial"/>
          <w:sz w:val="22"/>
          <w:szCs w:val="22"/>
          <w:lang w:val="en-US"/>
        </w:rPr>
      </w:pPr>
      <w:r w:rsidRPr="00793E2F">
        <w:rPr>
          <w:rFonts w:ascii="Arial" w:hAnsi="Arial" w:cs="Arial"/>
          <w:sz w:val="22"/>
          <w:szCs w:val="22"/>
          <w:lang w:val="en-US"/>
        </w:rPr>
        <w:t>On April 29, 2022, the Issuer announced the opening of a MÜV</w:t>
      </w:r>
      <w:r w:rsidRPr="00793E2F">
        <w:rPr>
          <w:rFonts w:ascii="Arial" w:hAnsi="Arial" w:cs="Arial"/>
          <w:sz w:val="22"/>
          <w:szCs w:val="22"/>
        </w:rPr>
        <w:t>™ medical cannabis dispensary in Hobe Sound, Florida.  The dispensary is the Issuer’s 4</w:t>
      </w:r>
      <w:r w:rsidR="00290C79" w:rsidRPr="00793E2F">
        <w:rPr>
          <w:rFonts w:ascii="Arial" w:hAnsi="Arial" w:cs="Arial"/>
          <w:sz w:val="22"/>
          <w:szCs w:val="22"/>
        </w:rPr>
        <w:t>5</w:t>
      </w:r>
      <w:r w:rsidRPr="00793E2F">
        <w:rPr>
          <w:rFonts w:ascii="Arial" w:hAnsi="Arial" w:cs="Arial"/>
          <w:sz w:val="22"/>
          <w:szCs w:val="22"/>
          <w:vertAlign w:val="superscript"/>
        </w:rPr>
        <w:t>th</w:t>
      </w:r>
      <w:r w:rsidRPr="00793E2F">
        <w:rPr>
          <w:rFonts w:ascii="Arial" w:hAnsi="Arial" w:cs="Arial"/>
          <w:sz w:val="22"/>
          <w:szCs w:val="22"/>
        </w:rPr>
        <w:t xml:space="preserve"> retail location in Florida</w:t>
      </w:r>
      <w:r w:rsidR="00290C79" w:rsidRPr="00793E2F">
        <w:rPr>
          <w:rFonts w:ascii="Arial" w:hAnsi="Arial" w:cs="Arial"/>
          <w:sz w:val="22"/>
          <w:szCs w:val="22"/>
        </w:rPr>
        <w:t xml:space="preserve"> and its 96</w:t>
      </w:r>
      <w:r w:rsidR="00290C79" w:rsidRPr="00793E2F">
        <w:rPr>
          <w:rFonts w:ascii="Arial" w:hAnsi="Arial" w:cs="Arial"/>
          <w:sz w:val="22"/>
          <w:szCs w:val="22"/>
          <w:vertAlign w:val="superscript"/>
        </w:rPr>
        <w:t>th</w:t>
      </w:r>
      <w:r w:rsidR="00290C79" w:rsidRPr="00793E2F">
        <w:rPr>
          <w:rFonts w:ascii="Arial" w:hAnsi="Arial" w:cs="Arial"/>
          <w:sz w:val="22"/>
          <w:szCs w:val="22"/>
        </w:rPr>
        <w:t xml:space="preserve"> retail location nationwide</w:t>
      </w:r>
      <w:r w:rsidRPr="00793E2F">
        <w:rPr>
          <w:rFonts w:ascii="Arial" w:hAnsi="Arial" w:cs="Arial"/>
          <w:sz w:val="22"/>
          <w:szCs w:val="22"/>
        </w:rPr>
        <w:t xml:space="preserve">. The </w:t>
      </w:r>
      <w:r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 formulations in EnCaps™ capsules, tinctures, 72-hour transdermal patches and transdermal gels.</w:t>
      </w:r>
    </w:p>
    <w:p w14:paraId="7BF90A7A" w14:textId="77777777" w:rsidR="00490F11" w:rsidRPr="00793E2F" w:rsidRDefault="00490F11" w:rsidP="00490F11">
      <w:pPr>
        <w:pStyle w:val="ListParagraph"/>
        <w:rPr>
          <w:rFonts w:ascii="Arial" w:hAnsi="Arial" w:cs="Arial"/>
          <w:sz w:val="22"/>
          <w:szCs w:val="22"/>
        </w:rPr>
      </w:pP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7BC3B652"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t xml:space="preserve">The Issuer is a vertically-integrated,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and MÜV</w:t>
      </w:r>
      <w:r w:rsidR="00E40B49" w:rsidRPr="00793E2F">
        <w:rPr>
          <w:rFonts w:ascii="Arial" w:hAnsi="Arial" w:cs="Arial"/>
          <w:sz w:val="22"/>
          <w:szCs w:val="22"/>
        </w:rPr>
        <w:t>™</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Zen Leaf™ and MÜV™, among others, delivering a superior cannabis shopping experience in both medical and adult-use markets. </w:t>
      </w:r>
      <w:r w:rsidRPr="00793E2F">
        <w:rPr>
          <w:rFonts w:ascii="Arial" w:hAnsi="Arial" w:cs="Arial"/>
          <w:sz w:val="22"/>
          <w:szCs w:val="22"/>
          <w:lang w:val="en-US"/>
        </w:rPr>
        <w:t>The Issuer’s portfolio encompasses 1</w:t>
      </w:r>
      <w:r w:rsidR="00037809" w:rsidRPr="00793E2F">
        <w:rPr>
          <w:rFonts w:ascii="Arial" w:hAnsi="Arial" w:cs="Arial"/>
          <w:sz w:val="22"/>
          <w:szCs w:val="22"/>
          <w:lang w:val="en-US"/>
        </w:rPr>
        <w:t>5</w:t>
      </w:r>
      <w:r w:rsidRPr="00793E2F">
        <w:rPr>
          <w:rFonts w:ascii="Arial" w:hAnsi="Arial" w:cs="Arial"/>
          <w:sz w:val="22"/>
          <w:szCs w:val="22"/>
          <w:lang w:val="en-US"/>
        </w:rPr>
        <w:t xml:space="preserve"> U.S. States</w:t>
      </w:r>
      <w:r w:rsidR="0037175D">
        <w:rPr>
          <w:rFonts w:ascii="Arial" w:hAnsi="Arial" w:cs="Arial"/>
          <w:sz w:val="22"/>
          <w:szCs w:val="22"/>
          <w:lang w:val="en-US"/>
        </w:rPr>
        <w:t>,</w:t>
      </w:r>
      <w:r w:rsidR="00E67615" w:rsidRPr="00793E2F">
        <w:rPr>
          <w:rFonts w:ascii="Arial" w:hAnsi="Arial" w:cs="Arial"/>
          <w:sz w:val="22"/>
          <w:szCs w:val="22"/>
          <w:lang w:val="en-US"/>
        </w:rPr>
        <w:t xml:space="preserve"> with 96 retail dispensaries and 13 cultivation and </w:t>
      </w:r>
      <w:r w:rsidRPr="00793E2F">
        <w:rPr>
          <w:rFonts w:ascii="Arial" w:hAnsi="Arial" w:cs="Arial"/>
          <w:sz w:val="22"/>
          <w:szCs w:val="22"/>
          <w:lang w:val="en-US"/>
        </w:rPr>
        <w:t xml:space="preserve">production facilities comprising </w:t>
      </w:r>
      <w:r w:rsidR="00037809" w:rsidRPr="00793E2F">
        <w:rPr>
          <w:rFonts w:ascii="Arial" w:hAnsi="Arial" w:cs="Arial"/>
          <w:sz w:val="22"/>
          <w:szCs w:val="22"/>
          <w:lang w:val="en-US"/>
        </w:rPr>
        <w:t xml:space="preserve">over 1,000,000 </w:t>
      </w:r>
      <w:r w:rsidRPr="00793E2F">
        <w:rPr>
          <w:rFonts w:ascii="Arial" w:hAnsi="Arial" w:cs="Arial"/>
          <w:sz w:val="22"/>
          <w:szCs w:val="22"/>
          <w:lang w:val="en-US"/>
        </w:rPr>
        <w:t>square feet</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433862" w14:textId="0BBEA49F" w:rsidR="00640E94" w:rsidRPr="00793E2F" w:rsidRDefault="00CE3CFE" w:rsidP="00CE3CFE">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r w:rsidR="003F54D0" w:rsidRPr="00793E2F">
        <w:rPr>
          <w:rFonts w:ascii="Arial" w:hAnsi="Arial" w:cs="Arial"/>
          <w:sz w:val="22"/>
          <w:szCs w:val="22"/>
        </w:rPr>
        <w:t xml:space="preserve"> </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lastRenderedPageBreak/>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641CD5E3"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F833BD" w:rsidRPr="00793E2F">
        <w:rPr>
          <w:rFonts w:ascii="Arial" w:hAnsi="Arial" w:cs="Arial"/>
          <w:sz w:val="22"/>
          <w:szCs w:val="22"/>
        </w:rPr>
        <w:t>Not applicable</w:t>
      </w:r>
      <w:r w:rsidRPr="00793E2F">
        <w:rPr>
          <w:rFonts w:ascii="Arial" w:hAnsi="Arial" w:cs="Arial"/>
          <w:sz w:val="22"/>
          <w:szCs w:val="22"/>
          <w:lang w:val="en-US"/>
        </w:rPr>
        <w:t>.</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5C3ECDC" w14:textId="77777777" w:rsidR="0037175D" w:rsidRDefault="002A5B20" w:rsidP="00CE3CFE">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r>
      <w:r w:rsidR="004748EF" w:rsidRPr="00793E2F">
        <w:rPr>
          <w:rFonts w:ascii="Arial" w:hAnsi="Arial" w:cs="Arial"/>
          <w:sz w:val="22"/>
          <w:szCs w:val="22"/>
        </w:rPr>
        <w:t>Not applicable</w:t>
      </w:r>
      <w:r w:rsidR="00CE3CFE" w:rsidRPr="00793E2F">
        <w:rPr>
          <w:rFonts w:ascii="Arial" w:hAnsi="Arial" w:cs="Arial"/>
          <w:sz w:val="22"/>
          <w:szCs w:val="22"/>
        </w:rPr>
        <w:t>.</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37B13C" w14:textId="77777777" w:rsidR="0037175D" w:rsidRDefault="0037175D" w:rsidP="0037175D">
      <w:pPr>
        <w:pStyle w:val="List"/>
        <w:spacing w:before="120"/>
        <w:ind w:left="360" w:firstLine="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93E2F">
        <w:rPr>
          <w:rFonts w:ascii="Arial" w:hAnsi="Arial" w:cs="Arial"/>
          <w:sz w:val="22"/>
          <w:szCs w:val="22"/>
        </w:rPr>
        <w:t>Not applicable.</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52AEE2F7" w:rsidR="00C44022" w:rsidRPr="00793E2F" w:rsidRDefault="00E67615" w:rsidP="00C44022">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April 2022 the Issuer </w:t>
      </w:r>
      <w:r w:rsidR="00203D4C" w:rsidRPr="00793E2F">
        <w:rPr>
          <w:rFonts w:ascii="Arial" w:hAnsi="Arial" w:cs="Arial"/>
          <w:sz w:val="22"/>
          <w:szCs w:val="22"/>
          <w:lang w:val="en-US"/>
        </w:rPr>
        <w:t xml:space="preserve">opened two </w:t>
      </w:r>
      <w:r w:rsidR="007C0D91">
        <w:rPr>
          <w:rFonts w:ascii="Arial" w:hAnsi="Arial" w:cs="Arial"/>
          <w:sz w:val="22"/>
          <w:szCs w:val="22"/>
          <w:lang w:val="en-US"/>
        </w:rPr>
        <w:t xml:space="preserve">Florida </w:t>
      </w:r>
      <w:r w:rsidR="00203D4C" w:rsidRPr="00793E2F">
        <w:rPr>
          <w:rFonts w:ascii="Arial" w:hAnsi="Arial" w:cs="Arial"/>
          <w:sz w:val="22"/>
          <w:szCs w:val="22"/>
          <w:lang w:val="en-US"/>
        </w:rPr>
        <w:t>medical dispensaries in Marco Island and Hobe Sound,</w:t>
      </w:r>
      <w:r w:rsidR="007C0D91">
        <w:rPr>
          <w:rFonts w:ascii="Arial" w:hAnsi="Arial" w:cs="Arial"/>
          <w:sz w:val="22"/>
          <w:szCs w:val="22"/>
          <w:lang w:val="en-US"/>
        </w:rPr>
        <w:t xml:space="preserve"> </w:t>
      </w:r>
      <w:r w:rsidR="00203D4C" w:rsidRPr="00793E2F">
        <w:rPr>
          <w:rFonts w:ascii="Arial" w:hAnsi="Arial" w:cs="Arial"/>
          <w:sz w:val="22"/>
          <w:szCs w:val="22"/>
          <w:lang w:val="en-US"/>
        </w:rPr>
        <w:t>and relocated a retail dispensary in Canton, Ohio</w:t>
      </w:r>
      <w:r w:rsidR="00C44022" w:rsidRPr="00793E2F">
        <w:rPr>
          <w:rFonts w:ascii="Arial" w:hAnsi="Arial" w:cs="Arial"/>
          <w:sz w:val="22"/>
          <w:szCs w:val="22"/>
          <w:lang w:val="en-US"/>
        </w:rPr>
        <w:t>.</w:t>
      </w:r>
      <w:r w:rsidR="00203D4C" w:rsidRPr="00793E2F">
        <w:rPr>
          <w:rFonts w:ascii="Arial" w:hAnsi="Arial" w:cs="Arial"/>
          <w:sz w:val="22"/>
          <w:szCs w:val="22"/>
          <w:lang w:val="en-US"/>
        </w:rPr>
        <w:t xml:space="preserve">  The Issuer expects to attract new medical customers at these </w:t>
      </w:r>
      <w:r w:rsidR="007C0D91">
        <w:rPr>
          <w:rFonts w:ascii="Arial" w:hAnsi="Arial" w:cs="Arial"/>
          <w:sz w:val="22"/>
          <w:szCs w:val="22"/>
          <w:lang w:val="en-US"/>
        </w:rPr>
        <w:t xml:space="preserve">three </w:t>
      </w:r>
      <w:r w:rsidR="00203D4C" w:rsidRPr="00793E2F">
        <w:rPr>
          <w:rFonts w:ascii="Arial" w:hAnsi="Arial" w:cs="Arial"/>
          <w:sz w:val="22"/>
          <w:szCs w:val="22"/>
          <w:lang w:val="en-US"/>
        </w:rPr>
        <w:t>new locations.</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59872AF6" w:rsidR="002A5B20" w:rsidRPr="00793E2F" w:rsidRDefault="002A5B20" w:rsidP="002A5B20">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7F1EE3C8" w:rsidR="00432A5E" w:rsidRPr="00793E2F" w:rsidRDefault="00C91387" w:rsidP="00D17DB0">
      <w:pPr>
        <w:pStyle w:val="List"/>
        <w:spacing w:before="120"/>
        <w:ind w:left="1440" w:firstLine="0"/>
        <w:jc w:val="both"/>
        <w:rPr>
          <w:rFonts w:ascii="Arial" w:hAnsi="Arial" w:cs="Arial"/>
          <w:sz w:val="22"/>
          <w:szCs w:val="22"/>
        </w:rPr>
      </w:pPr>
      <w:bookmarkStart w:id="5" w:name="_Hlk68532297"/>
      <w:r w:rsidRPr="00793E2F">
        <w:rPr>
          <w:rFonts w:ascii="Arial" w:hAnsi="Arial" w:cs="Arial"/>
          <w:sz w:val="22"/>
          <w:szCs w:val="22"/>
        </w:rPr>
        <w:t>Not applicable</w:t>
      </w:r>
      <w:r w:rsidR="002A5B20" w:rsidRPr="00793E2F">
        <w:rPr>
          <w:rFonts w:ascii="Arial" w:hAnsi="Arial" w:cs="Arial"/>
          <w:sz w:val="22"/>
          <w:szCs w:val="22"/>
        </w:rPr>
        <w:t>.</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3D824ECA" w:rsidR="00432A5E" w:rsidRPr="00793E2F" w:rsidRDefault="002A5B20" w:rsidP="00D17DB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531222" w14:textId="5D830435" w:rsidR="00BF1FF5" w:rsidRPr="00793E2F" w:rsidRDefault="00203D4C" w:rsidP="001A13E4">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April 2022 the Issuer</w:t>
      </w:r>
      <w:r w:rsidR="005D1B1C" w:rsidRPr="00793E2F">
        <w:rPr>
          <w:rFonts w:ascii="Arial" w:hAnsi="Arial" w:cs="Arial"/>
          <w:sz w:val="22"/>
          <w:szCs w:val="22"/>
        </w:rPr>
        <w:t xml:space="preserve"> </w:t>
      </w:r>
      <w:r w:rsidRPr="00793E2F">
        <w:rPr>
          <w:rFonts w:ascii="Arial" w:hAnsi="Arial" w:cs="Arial"/>
          <w:sz w:val="22"/>
          <w:szCs w:val="22"/>
        </w:rPr>
        <w:t xml:space="preserve">entered into a settlement agreement with </w:t>
      </w:r>
      <w:r w:rsidRPr="00793E2F">
        <w:rPr>
          <w:rFonts w:ascii="Arial" w:hAnsi="Arial" w:cs="Arial"/>
          <w:sz w:val="22"/>
          <w:szCs w:val="22"/>
          <w:lang w:val="en-US"/>
        </w:rPr>
        <w:t>Prospiant pursuant to which the Issuer and Prospiant released all claims against each other and Prospiant agreed to release a $1,650,804 mechanic’s lien on real property located in Albion, Illinois.</w:t>
      </w:r>
    </w:p>
    <w:p w14:paraId="6CD56CCF" w14:textId="6944000C" w:rsidR="00E83127"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lastRenderedPageBreak/>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020436B5" w:rsidR="00C44022" w:rsidRPr="00793E2F" w:rsidRDefault="00C44022" w:rsidP="00C44022">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p>
    <w:p w14:paraId="7FE6C343" w14:textId="07E75C97" w:rsidR="002D191B"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p w14:paraId="3DD06F6E" w14:textId="585FBE2A" w:rsidR="00C43025" w:rsidRPr="00793E2F" w:rsidRDefault="0072107E" w:rsidP="00C43025">
      <w:pPr>
        <w:pStyle w:val="List"/>
        <w:spacing w:before="120"/>
        <w:ind w:left="720" w:firstLine="0"/>
        <w:jc w:val="both"/>
        <w:rPr>
          <w:rFonts w:ascii="Arial" w:hAnsi="Arial" w:cs="Arial"/>
          <w:sz w:val="22"/>
          <w:szCs w:val="22"/>
        </w:rPr>
      </w:pPr>
      <w:r>
        <w:rPr>
          <w:rFonts w:ascii="Arial" w:hAnsi="Arial" w:cs="Arial"/>
          <w:sz w:val="22"/>
          <w:szCs w:val="22"/>
        </w:rPr>
        <w:tab/>
        <w:t>Not applicable.</w:t>
      </w:r>
      <w:r w:rsidR="00712704" w:rsidRPr="00793E2F">
        <w:rPr>
          <w:rFonts w:ascii="Arial" w:hAnsi="Arial" w:cs="Arial"/>
          <w:sz w:val="22"/>
          <w:szCs w:val="22"/>
        </w:rPr>
        <w:tab/>
      </w: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AE3C65" w:rsidRPr="00793E2F" w14:paraId="5073EEC4" w14:textId="77777777" w:rsidTr="00783937">
        <w:tc>
          <w:tcPr>
            <w:tcW w:w="1795" w:type="dxa"/>
          </w:tcPr>
          <w:p w14:paraId="6C127768"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Security</w:t>
            </w:r>
          </w:p>
        </w:tc>
        <w:tc>
          <w:tcPr>
            <w:tcW w:w="1980" w:type="dxa"/>
          </w:tcPr>
          <w:p w14:paraId="1B7BC0CD"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Number Issued</w:t>
            </w:r>
          </w:p>
        </w:tc>
        <w:tc>
          <w:tcPr>
            <w:tcW w:w="2520" w:type="dxa"/>
          </w:tcPr>
          <w:p w14:paraId="75A0413A"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Details of Issuance</w:t>
            </w:r>
          </w:p>
        </w:tc>
        <w:tc>
          <w:tcPr>
            <w:tcW w:w="2340" w:type="dxa"/>
          </w:tcPr>
          <w:p w14:paraId="1FF33639" w14:textId="77777777" w:rsidR="002A5B20" w:rsidRPr="00793E2F" w:rsidRDefault="002A5B20" w:rsidP="00783937">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Use of Proceeds</w:t>
            </w:r>
            <w:r w:rsidRPr="00793E2F">
              <w:rPr>
                <w:rFonts w:ascii="Arial" w:hAnsi="Arial" w:cs="Arial"/>
                <w:b/>
                <w:sz w:val="22"/>
                <w:szCs w:val="22"/>
                <w:vertAlign w:val="superscript"/>
              </w:rPr>
              <w:t>(1)</w:t>
            </w:r>
          </w:p>
        </w:tc>
      </w:tr>
      <w:tr w:rsidR="00094201" w:rsidRPr="00793E2F" w14:paraId="5110DDC9" w14:textId="77777777" w:rsidTr="00783937">
        <w:tc>
          <w:tcPr>
            <w:tcW w:w="1795" w:type="dxa"/>
          </w:tcPr>
          <w:p w14:paraId="56F39027" w14:textId="77777777" w:rsidR="00094201" w:rsidRPr="00793E2F" w:rsidRDefault="00094201" w:rsidP="00783937">
            <w:pPr>
              <w:pStyle w:val="List"/>
              <w:tabs>
                <w:tab w:val="left" w:pos="360"/>
              </w:tabs>
              <w:spacing w:before="0" w:line="280" w:lineRule="exact"/>
              <w:ind w:left="0" w:firstLine="0"/>
              <w:rPr>
                <w:rFonts w:ascii="Arial" w:hAnsi="Arial" w:cs="Arial"/>
                <w:sz w:val="22"/>
                <w:szCs w:val="22"/>
              </w:rPr>
            </w:pPr>
          </w:p>
        </w:tc>
        <w:tc>
          <w:tcPr>
            <w:tcW w:w="1980" w:type="dxa"/>
          </w:tcPr>
          <w:p w14:paraId="58EE10D7" w14:textId="77777777" w:rsidR="00094201" w:rsidRPr="00793E2F" w:rsidRDefault="00094201" w:rsidP="00783937">
            <w:pPr>
              <w:pStyle w:val="List"/>
              <w:tabs>
                <w:tab w:val="left" w:pos="360"/>
              </w:tabs>
              <w:spacing w:before="0" w:line="280" w:lineRule="exact"/>
              <w:ind w:left="0" w:firstLine="0"/>
              <w:rPr>
                <w:rFonts w:ascii="Arial" w:hAnsi="Arial" w:cs="Arial"/>
                <w:sz w:val="22"/>
                <w:szCs w:val="22"/>
              </w:rPr>
            </w:pPr>
          </w:p>
        </w:tc>
        <w:tc>
          <w:tcPr>
            <w:tcW w:w="2520" w:type="dxa"/>
          </w:tcPr>
          <w:p w14:paraId="4008FECB" w14:textId="77777777" w:rsidR="00094201" w:rsidRPr="00793E2F" w:rsidRDefault="00094201" w:rsidP="00783937">
            <w:pPr>
              <w:pStyle w:val="List"/>
              <w:tabs>
                <w:tab w:val="left" w:pos="360"/>
              </w:tabs>
              <w:spacing w:before="0" w:line="280" w:lineRule="exact"/>
              <w:ind w:left="0" w:firstLine="0"/>
              <w:rPr>
                <w:rFonts w:ascii="Arial" w:hAnsi="Arial" w:cs="Arial"/>
                <w:sz w:val="22"/>
                <w:szCs w:val="22"/>
              </w:rPr>
            </w:pPr>
          </w:p>
        </w:tc>
        <w:tc>
          <w:tcPr>
            <w:tcW w:w="2340" w:type="dxa"/>
          </w:tcPr>
          <w:p w14:paraId="342380CC" w14:textId="77777777" w:rsidR="00094201" w:rsidRPr="00793E2F" w:rsidRDefault="00094201" w:rsidP="00783937">
            <w:pPr>
              <w:pStyle w:val="List"/>
              <w:tabs>
                <w:tab w:val="left" w:pos="360"/>
              </w:tabs>
              <w:spacing w:before="0" w:line="280" w:lineRule="exact"/>
              <w:ind w:left="0" w:firstLine="0"/>
              <w:rPr>
                <w:rFonts w:ascii="Arial" w:hAnsi="Arial" w:cs="Arial"/>
                <w:sz w:val="22"/>
                <w:szCs w:val="22"/>
              </w:rPr>
            </w:pPr>
          </w:p>
        </w:tc>
      </w:tr>
      <w:tr w:rsidR="00C2698B" w:rsidRPr="00793E2F" w14:paraId="1C8C51AB" w14:textId="77777777" w:rsidTr="00783937">
        <w:tc>
          <w:tcPr>
            <w:tcW w:w="1795" w:type="dxa"/>
          </w:tcPr>
          <w:p w14:paraId="703168B9" w14:textId="71552D7E" w:rsidR="00C2698B" w:rsidRPr="00793E2F" w:rsidRDefault="00C2698B" w:rsidP="00C2698B">
            <w:pPr>
              <w:pStyle w:val="List"/>
              <w:tabs>
                <w:tab w:val="left" w:pos="360"/>
              </w:tabs>
              <w:spacing w:before="0" w:line="280" w:lineRule="exact"/>
              <w:ind w:left="0" w:firstLine="0"/>
              <w:rPr>
                <w:rFonts w:ascii="Arial" w:hAnsi="Arial" w:cs="Arial"/>
                <w:sz w:val="22"/>
                <w:szCs w:val="22"/>
              </w:rPr>
            </w:pPr>
          </w:p>
        </w:tc>
        <w:tc>
          <w:tcPr>
            <w:tcW w:w="1980" w:type="dxa"/>
          </w:tcPr>
          <w:p w14:paraId="328B7486" w14:textId="46CB49F9" w:rsidR="00C2698B" w:rsidRPr="00793E2F" w:rsidRDefault="00C2698B" w:rsidP="00C2698B">
            <w:pPr>
              <w:pStyle w:val="List"/>
              <w:tabs>
                <w:tab w:val="left" w:pos="360"/>
              </w:tabs>
              <w:spacing w:before="0" w:line="280" w:lineRule="exact"/>
              <w:ind w:left="0" w:firstLine="0"/>
              <w:rPr>
                <w:rFonts w:ascii="Arial" w:hAnsi="Arial" w:cs="Arial"/>
                <w:sz w:val="22"/>
                <w:szCs w:val="22"/>
              </w:rPr>
            </w:pPr>
          </w:p>
        </w:tc>
        <w:tc>
          <w:tcPr>
            <w:tcW w:w="2520" w:type="dxa"/>
          </w:tcPr>
          <w:p w14:paraId="2B020123" w14:textId="77777777" w:rsidR="00C2698B" w:rsidRPr="00793E2F" w:rsidRDefault="00C2698B" w:rsidP="00C2698B">
            <w:pPr>
              <w:pStyle w:val="List"/>
              <w:tabs>
                <w:tab w:val="left" w:pos="360"/>
              </w:tabs>
              <w:spacing w:before="0" w:line="280" w:lineRule="exact"/>
              <w:ind w:left="0" w:firstLine="0"/>
              <w:rPr>
                <w:rFonts w:ascii="Arial" w:hAnsi="Arial" w:cs="Arial"/>
                <w:sz w:val="22"/>
                <w:szCs w:val="22"/>
              </w:rPr>
            </w:pPr>
          </w:p>
        </w:tc>
        <w:tc>
          <w:tcPr>
            <w:tcW w:w="2340" w:type="dxa"/>
          </w:tcPr>
          <w:p w14:paraId="06F267FF" w14:textId="2245F859" w:rsidR="00C2698B" w:rsidRPr="00793E2F" w:rsidRDefault="00C2698B" w:rsidP="00C2698B">
            <w:pPr>
              <w:pStyle w:val="List"/>
              <w:tabs>
                <w:tab w:val="left" w:pos="360"/>
              </w:tabs>
              <w:spacing w:before="0" w:line="280" w:lineRule="exact"/>
              <w:ind w:left="0" w:firstLine="0"/>
              <w:rPr>
                <w:rFonts w:ascii="Arial" w:hAnsi="Arial" w:cs="Arial"/>
                <w:sz w:val="22"/>
                <w:szCs w:val="22"/>
              </w:rPr>
            </w:pPr>
          </w:p>
        </w:tc>
      </w:tr>
      <w:tr w:rsidR="00E81AB8" w:rsidRPr="00793E2F" w14:paraId="218E1AF9" w14:textId="77777777" w:rsidTr="00783937">
        <w:tc>
          <w:tcPr>
            <w:tcW w:w="1795" w:type="dxa"/>
          </w:tcPr>
          <w:p w14:paraId="04886ACF" w14:textId="22FB727F"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1980" w:type="dxa"/>
          </w:tcPr>
          <w:p w14:paraId="007648EA" w14:textId="7FE1A7F3" w:rsidR="00E81AB8" w:rsidRPr="00793E2F" w:rsidRDefault="00E81AB8" w:rsidP="00E81AB8">
            <w:pPr>
              <w:pStyle w:val="List"/>
              <w:tabs>
                <w:tab w:val="left" w:pos="360"/>
              </w:tabs>
              <w:spacing w:before="0" w:line="280" w:lineRule="exact"/>
              <w:ind w:left="0" w:firstLine="0"/>
              <w:rPr>
                <w:rFonts w:ascii="Arial" w:hAnsi="Arial" w:cs="Arial"/>
                <w:sz w:val="22"/>
                <w:szCs w:val="22"/>
                <w:highlight w:val="yellow"/>
              </w:rPr>
            </w:pPr>
          </w:p>
        </w:tc>
        <w:tc>
          <w:tcPr>
            <w:tcW w:w="2520" w:type="dxa"/>
          </w:tcPr>
          <w:p w14:paraId="54D7F7F2" w14:textId="77777777" w:rsidR="00E81AB8" w:rsidRPr="00793E2F" w:rsidRDefault="00E81AB8" w:rsidP="00E81AB8">
            <w:pPr>
              <w:pStyle w:val="List"/>
              <w:tabs>
                <w:tab w:val="left" w:pos="360"/>
              </w:tabs>
              <w:spacing w:before="0" w:line="280" w:lineRule="exact"/>
              <w:ind w:left="0" w:firstLine="0"/>
              <w:rPr>
                <w:rFonts w:ascii="Arial" w:hAnsi="Arial" w:cs="Arial"/>
                <w:sz w:val="22"/>
                <w:szCs w:val="22"/>
                <w:highlight w:val="yellow"/>
              </w:rPr>
            </w:pPr>
          </w:p>
        </w:tc>
        <w:tc>
          <w:tcPr>
            <w:tcW w:w="2340" w:type="dxa"/>
          </w:tcPr>
          <w:p w14:paraId="7C4FEEEE" w14:textId="6BBF3FB2"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r>
      <w:tr w:rsidR="00E81AB8" w:rsidRPr="00793E2F" w14:paraId="345A61F6" w14:textId="77777777" w:rsidTr="00783937">
        <w:tc>
          <w:tcPr>
            <w:tcW w:w="1795" w:type="dxa"/>
          </w:tcPr>
          <w:p w14:paraId="2838547A" w14:textId="23643C18"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1980" w:type="dxa"/>
          </w:tcPr>
          <w:p w14:paraId="140D9A2C" w14:textId="77777777" w:rsidR="00E81AB8" w:rsidRPr="00793E2F" w:rsidRDefault="00E81AB8" w:rsidP="00E81AB8">
            <w:pPr>
              <w:pStyle w:val="List"/>
              <w:tabs>
                <w:tab w:val="left" w:pos="360"/>
              </w:tabs>
              <w:spacing w:before="0" w:line="280" w:lineRule="exact"/>
              <w:ind w:left="0" w:firstLine="0"/>
              <w:rPr>
                <w:rFonts w:ascii="Arial" w:hAnsi="Arial" w:cs="Arial"/>
                <w:sz w:val="22"/>
                <w:szCs w:val="22"/>
                <w:highlight w:val="yellow"/>
              </w:rPr>
            </w:pPr>
          </w:p>
        </w:tc>
        <w:tc>
          <w:tcPr>
            <w:tcW w:w="2520" w:type="dxa"/>
          </w:tcPr>
          <w:p w14:paraId="68E05942" w14:textId="77777777" w:rsidR="00E81AB8" w:rsidRPr="00793E2F" w:rsidRDefault="00E81AB8" w:rsidP="00E81AB8">
            <w:pPr>
              <w:pStyle w:val="List"/>
              <w:tabs>
                <w:tab w:val="left" w:pos="360"/>
              </w:tabs>
              <w:spacing w:before="0" w:line="280" w:lineRule="exact"/>
              <w:ind w:left="0" w:firstLine="0"/>
              <w:rPr>
                <w:rFonts w:ascii="Arial" w:hAnsi="Arial" w:cs="Arial"/>
                <w:sz w:val="22"/>
                <w:szCs w:val="22"/>
                <w:highlight w:val="yellow"/>
              </w:rPr>
            </w:pPr>
          </w:p>
        </w:tc>
        <w:tc>
          <w:tcPr>
            <w:tcW w:w="2340" w:type="dxa"/>
          </w:tcPr>
          <w:p w14:paraId="01CD1990" w14:textId="77777777"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r>
      <w:tr w:rsidR="00E81AB8" w:rsidRPr="00793E2F" w14:paraId="6D42E434" w14:textId="77777777" w:rsidTr="00783937">
        <w:tc>
          <w:tcPr>
            <w:tcW w:w="1795" w:type="dxa"/>
          </w:tcPr>
          <w:p w14:paraId="14F90A05" w14:textId="6AE21557"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1980" w:type="dxa"/>
          </w:tcPr>
          <w:p w14:paraId="3102294D" w14:textId="0EF514F5"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2520" w:type="dxa"/>
          </w:tcPr>
          <w:p w14:paraId="3AF72D63" w14:textId="77777777"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2340" w:type="dxa"/>
          </w:tcPr>
          <w:p w14:paraId="37951492" w14:textId="576222E8"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r>
      <w:tr w:rsidR="00E81AB8" w:rsidRPr="00793E2F" w14:paraId="38859D90" w14:textId="77777777" w:rsidTr="00783937">
        <w:tc>
          <w:tcPr>
            <w:tcW w:w="1795" w:type="dxa"/>
          </w:tcPr>
          <w:p w14:paraId="12B82A5F" w14:textId="6BBA6B1C"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1980" w:type="dxa"/>
          </w:tcPr>
          <w:p w14:paraId="3E3E37E8" w14:textId="7886F037" w:rsidR="00E81AB8" w:rsidRPr="00793E2F" w:rsidRDefault="00E81AB8" w:rsidP="00E81AB8">
            <w:pPr>
              <w:pStyle w:val="List"/>
              <w:tabs>
                <w:tab w:val="left" w:pos="360"/>
              </w:tabs>
              <w:spacing w:before="0" w:line="280" w:lineRule="exact"/>
              <w:ind w:left="0" w:firstLine="0"/>
              <w:rPr>
                <w:rFonts w:ascii="Arial" w:hAnsi="Arial" w:cs="Arial"/>
                <w:sz w:val="22"/>
                <w:szCs w:val="22"/>
                <w:highlight w:val="yellow"/>
              </w:rPr>
            </w:pPr>
          </w:p>
        </w:tc>
        <w:tc>
          <w:tcPr>
            <w:tcW w:w="2520" w:type="dxa"/>
          </w:tcPr>
          <w:p w14:paraId="73F39E5D" w14:textId="678A6A33"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c>
          <w:tcPr>
            <w:tcW w:w="2340" w:type="dxa"/>
          </w:tcPr>
          <w:p w14:paraId="640F42E1" w14:textId="055D8D14" w:rsidR="00E81AB8" w:rsidRPr="00793E2F" w:rsidRDefault="00E81AB8" w:rsidP="00E81AB8">
            <w:pPr>
              <w:pStyle w:val="List"/>
              <w:tabs>
                <w:tab w:val="left" w:pos="360"/>
              </w:tabs>
              <w:spacing w:before="0" w:line="280" w:lineRule="exact"/>
              <w:ind w:left="0" w:firstLine="0"/>
              <w:rPr>
                <w:rFonts w:ascii="Arial" w:hAnsi="Arial" w:cs="Arial"/>
                <w:sz w:val="22"/>
                <w:szCs w:val="22"/>
              </w:rPr>
            </w:pPr>
          </w:p>
        </w:tc>
      </w:tr>
    </w:tbl>
    <w:p w14:paraId="2D0CC7BD" w14:textId="49E99FA5" w:rsidR="00640E94" w:rsidRPr="00793E2F" w:rsidRDefault="00D17DB0" w:rsidP="00D17DB0">
      <w:pPr>
        <w:pStyle w:val="List"/>
        <w:tabs>
          <w:tab w:val="left" w:pos="630"/>
        </w:tabs>
        <w:spacing w:before="120"/>
        <w:ind w:left="0" w:firstLine="0"/>
        <w:jc w:val="both"/>
        <w:rPr>
          <w:rFonts w:ascii="Arial" w:hAnsi="Arial" w:cs="Arial"/>
          <w:i/>
          <w:sz w:val="22"/>
          <w:szCs w:val="22"/>
        </w:rPr>
      </w:pPr>
      <w:r w:rsidRPr="00793E2F">
        <w:rPr>
          <w:rFonts w:ascii="Arial" w:hAnsi="Arial" w:cs="Arial"/>
          <w:i/>
          <w:sz w:val="22"/>
          <w:szCs w:val="22"/>
        </w:rPr>
        <w:tab/>
      </w:r>
      <w:r w:rsidRPr="00793E2F">
        <w:rPr>
          <w:rFonts w:ascii="Arial" w:hAnsi="Arial" w:cs="Arial"/>
          <w:i/>
          <w:sz w:val="22"/>
          <w:szCs w:val="22"/>
        </w:rPr>
        <w:tab/>
      </w:r>
      <w:r w:rsidR="00640E94" w:rsidRPr="00793E2F">
        <w:rPr>
          <w:rFonts w:ascii="Arial" w:hAnsi="Arial" w:cs="Arial"/>
          <w:i/>
          <w:sz w:val="22"/>
          <w:szCs w:val="22"/>
        </w:rPr>
        <w:tab/>
      </w:r>
      <w:r w:rsidRPr="00793E2F">
        <w:rPr>
          <w:rFonts w:ascii="Arial" w:hAnsi="Arial" w:cs="Arial"/>
          <w:i/>
          <w:sz w:val="22"/>
          <w:szCs w:val="22"/>
        </w:rPr>
        <w:t xml:space="preserve">(1)  </w:t>
      </w:r>
      <w:r w:rsidR="00640E94" w:rsidRPr="00793E2F">
        <w:rPr>
          <w:rFonts w:ascii="Arial" w:hAnsi="Arial" w:cs="Arial"/>
          <w:i/>
          <w:sz w:val="22"/>
          <w:szCs w:val="22"/>
        </w:rPr>
        <w:t>State aggregate proceeds and intended allocation of proceeds.</w:t>
      </w:r>
    </w:p>
    <w:p w14:paraId="229E4DF1" w14:textId="77777777" w:rsidR="00CA7C47" w:rsidRPr="00793E2F" w:rsidRDefault="00CA7C47" w:rsidP="00D17DB0">
      <w:pPr>
        <w:pStyle w:val="List"/>
        <w:tabs>
          <w:tab w:val="left" w:pos="630"/>
        </w:tabs>
        <w:spacing w:before="120"/>
        <w:ind w:left="0" w:firstLine="0"/>
        <w:jc w:val="both"/>
        <w:rPr>
          <w:rFonts w:ascii="Arial" w:hAnsi="Arial" w:cs="Arial"/>
          <w:i/>
          <w:sz w:val="22"/>
          <w:szCs w:val="22"/>
        </w:rPr>
      </w:pPr>
    </w:p>
    <w:p w14:paraId="2EAB7C44" w14:textId="174095ED" w:rsidR="001E3FEA" w:rsidRPr="00793E2F" w:rsidRDefault="0037175D" w:rsidP="001A13E4">
      <w:pPr>
        <w:pStyle w:val="List"/>
        <w:keepNext/>
        <w:keepLine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p>
    <w:p w14:paraId="1D41B025" w14:textId="7A59E08A"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57EC9283" w14:textId="77777777" w:rsidR="0037175D" w:rsidRDefault="0037175D" w:rsidP="00C16A12">
      <w:pPr>
        <w:pStyle w:val="Heading1"/>
        <w:spacing w:before="0" w:after="60"/>
        <w:ind w:left="720"/>
        <w:jc w:val="both"/>
        <w:rPr>
          <w:rFonts w:ascii="Arial" w:hAnsi="Arial" w:cs="Arial"/>
          <w:color w:val="auto"/>
          <w:sz w:val="22"/>
          <w:szCs w:val="22"/>
        </w:rPr>
      </w:pPr>
    </w:p>
    <w:p w14:paraId="66D52E58" w14:textId="6C0F307D" w:rsidR="002D0065" w:rsidRDefault="00E81AB8" w:rsidP="001A13E4">
      <w:pPr>
        <w:pStyle w:val="Heading1"/>
        <w:spacing w:before="0" w:after="60"/>
        <w:ind w:left="1440"/>
        <w:jc w:val="both"/>
        <w:rPr>
          <w:rFonts w:ascii="Arial" w:hAnsi="Arial" w:cs="Arial"/>
          <w:color w:val="auto"/>
          <w:sz w:val="22"/>
          <w:szCs w:val="22"/>
        </w:rPr>
      </w:pPr>
      <w:r w:rsidRPr="00793E2F">
        <w:rPr>
          <w:rFonts w:ascii="Arial" w:hAnsi="Arial" w:cs="Arial"/>
          <w:color w:val="auto"/>
          <w:sz w:val="22"/>
          <w:szCs w:val="22"/>
        </w:rPr>
        <w:t>On April 25, 2022, the Issuer’s Board of Directors confirmed and ratified that (i) the members of the Audit Committee are George Archos, Edward Brown and</w:t>
      </w:r>
      <w:r w:rsidR="00C16A12" w:rsidRPr="00793E2F">
        <w:rPr>
          <w:rFonts w:ascii="Arial" w:hAnsi="Arial" w:cs="Arial"/>
          <w:color w:val="auto"/>
          <w:sz w:val="22"/>
          <w:szCs w:val="22"/>
        </w:rPr>
        <w:t xml:space="preserve"> Cristina Nuñez; (ii) the members of the Compensation Committee are Edward Brown and Cristina Nuñez; (iii) the Chair of the Audit Committee is Mr. Brown; and (iv) the Chair of the Compensation Committee is Ms. Nuñez</w:t>
      </w:r>
      <w:r w:rsidR="002D0065" w:rsidRPr="00793E2F">
        <w:rPr>
          <w:rFonts w:ascii="Arial" w:hAnsi="Arial" w:cs="Arial"/>
          <w:color w:val="auto"/>
          <w:sz w:val="22"/>
          <w:szCs w:val="22"/>
        </w:rPr>
        <w:t>.</w:t>
      </w:r>
    </w:p>
    <w:p w14:paraId="1DC42672" w14:textId="77777777" w:rsidR="0072107E" w:rsidRPr="0072107E" w:rsidRDefault="0072107E" w:rsidP="0072107E"/>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7D071A5C" w14:textId="7E51C24B" w:rsidR="00793E2F" w:rsidRPr="00793E2F" w:rsidRDefault="00F31984"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The safety of </w:t>
      </w:r>
      <w:r w:rsidR="00E83127" w:rsidRPr="00793E2F">
        <w:rPr>
          <w:rFonts w:ascii="Arial" w:hAnsi="Arial" w:cs="Arial"/>
          <w:sz w:val="22"/>
          <w:szCs w:val="22"/>
        </w:rPr>
        <w:t>the Issuer</w:t>
      </w:r>
      <w:r w:rsidR="00712704" w:rsidRPr="00793E2F">
        <w:rPr>
          <w:rFonts w:ascii="Arial" w:hAnsi="Arial" w:cs="Arial"/>
          <w:sz w:val="22"/>
          <w:szCs w:val="22"/>
        </w:rPr>
        <w:t>’</w:t>
      </w:r>
      <w:r w:rsidR="00E83127" w:rsidRPr="00793E2F">
        <w:rPr>
          <w:rFonts w:ascii="Arial" w:hAnsi="Arial" w:cs="Arial"/>
          <w:sz w:val="22"/>
          <w:szCs w:val="22"/>
        </w:rPr>
        <w:t>s</w:t>
      </w:r>
      <w:r w:rsidRPr="00793E2F">
        <w:rPr>
          <w:rFonts w:ascii="Arial" w:hAnsi="Arial" w:cs="Arial"/>
          <w:sz w:val="22"/>
          <w:szCs w:val="22"/>
        </w:rPr>
        <w:t xml:space="preserve"> customers and employees is </w:t>
      </w:r>
      <w:r w:rsidR="00E83127" w:rsidRPr="00793E2F">
        <w:rPr>
          <w:rFonts w:ascii="Arial" w:hAnsi="Arial" w:cs="Arial"/>
          <w:sz w:val="22"/>
          <w:szCs w:val="22"/>
        </w:rPr>
        <w:t>its</w:t>
      </w:r>
      <w:r w:rsidRPr="00793E2F">
        <w:rPr>
          <w:rFonts w:ascii="Arial" w:hAnsi="Arial" w:cs="Arial"/>
          <w:sz w:val="22"/>
          <w:szCs w:val="22"/>
        </w:rPr>
        <w:t xml:space="preserve"> highest priority. </w:t>
      </w:r>
      <w:r w:rsidR="00E83127" w:rsidRPr="00793E2F">
        <w:rPr>
          <w:rFonts w:ascii="Arial" w:hAnsi="Arial" w:cs="Arial"/>
          <w:sz w:val="22"/>
          <w:szCs w:val="22"/>
        </w:rPr>
        <w:t xml:space="preserve">The Issuer continues to </w:t>
      </w:r>
      <w:r w:rsidRPr="00793E2F">
        <w:rPr>
          <w:rFonts w:ascii="Arial" w:hAnsi="Arial" w:cs="Arial"/>
          <w:sz w:val="22"/>
          <w:szCs w:val="22"/>
        </w:rPr>
        <w:t>monitor the COVID-19 situation in the U.S.</w:t>
      </w:r>
      <w:r w:rsidR="00621D8B" w:rsidRPr="00793E2F">
        <w:rPr>
          <w:rFonts w:ascii="Arial" w:hAnsi="Arial" w:cs="Arial"/>
          <w:sz w:val="22"/>
          <w:szCs w:val="22"/>
        </w:rPr>
        <w:t xml:space="preserve"> </w:t>
      </w:r>
      <w:r w:rsidR="00120331" w:rsidRPr="00793E2F">
        <w:rPr>
          <w:rFonts w:ascii="Arial" w:hAnsi="Arial" w:cs="Arial"/>
          <w:sz w:val="22"/>
          <w:szCs w:val="22"/>
        </w:rPr>
        <w:t xml:space="preserve">The Issuer </w:t>
      </w:r>
      <w:r w:rsidRPr="00793E2F">
        <w:rPr>
          <w:rFonts w:ascii="Arial" w:hAnsi="Arial" w:cs="Arial"/>
          <w:sz w:val="22"/>
          <w:szCs w:val="22"/>
        </w:rPr>
        <w:t xml:space="preserve">proactively </w:t>
      </w:r>
      <w:r w:rsidR="00E83127" w:rsidRPr="00793E2F">
        <w:rPr>
          <w:rFonts w:ascii="Arial" w:hAnsi="Arial" w:cs="Arial"/>
          <w:sz w:val="22"/>
          <w:szCs w:val="22"/>
        </w:rPr>
        <w:t>modifi</w:t>
      </w:r>
      <w:r w:rsidR="00120331" w:rsidRPr="00793E2F">
        <w:rPr>
          <w:rFonts w:ascii="Arial" w:hAnsi="Arial" w:cs="Arial"/>
          <w:sz w:val="22"/>
          <w:szCs w:val="22"/>
        </w:rPr>
        <w:t>es</w:t>
      </w:r>
      <w:r w:rsidR="00E83127" w:rsidRPr="00793E2F">
        <w:rPr>
          <w:rFonts w:ascii="Arial" w:hAnsi="Arial" w:cs="Arial"/>
          <w:sz w:val="22"/>
          <w:szCs w:val="22"/>
        </w:rPr>
        <w:t xml:space="preserve"> and implement</w:t>
      </w:r>
      <w:r w:rsidR="00120331" w:rsidRPr="00793E2F">
        <w:rPr>
          <w:rFonts w:ascii="Arial" w:hAnsi="Arial" w:cs="Arial"/>
          <w:sz w:val="22"/>
          <w:szCs w:val="22"/>
        </w:rPr>
        <w:t>s</w:t>
      </w:r>
      <w:r w:rsidR="00E83127" w:rsidRPr="00793E2F">
        <w:rPr>
          <w:rFonts w:ascii="Arial" w:hAnsi="Arial" w:cs="Arial"/>
          <w:sz w:val="22"/>
          <w:szCs w:val="22"/>
        </w:rPr>
        <w:t xml:space="preserve"> </w:t>
      </w:r>
      <w:r w:rsidRPr="00793E2F">
        <w:rPr>
          <w:rFonts w:ascii="Arial" w:hAnsi="Arial" w:cs="Arial"/>
          <w:sz w:val="22"/>
          <w:szCs w:val="22"/>
        </w:rPr>
        <w:t xml:space="preserve">precautions </w:t>
      </w:r>
      <w:r w:rsidR="00E83127" w:rsidRPr="00793E2F">
        <w:rPr>
          <w:rFonts w:ascii="Arial" w:hAnsi="Arial" w:cs="Arial"/>
          <w:sz w:val="22"/>
          <w:szCs w:val="22"/>
        </w:rPr>
        <w:t xml:space="preserve">and mandates </w:t>
      </w:r>
      <w:r w:rsidRPr="00793E2F">
        <w:rPr>
          <w:rFonts w:ascii="Arial" w:hAnsi="Arial" w:cs="Arial"/>
          <w:sz w:val="22"/>
          <w:szCs w:val="22"/>
        </w:rPr>
        <w:t>to adher</w:t>
      </w:r>
      <w:r w:rsidR="00E83127" w:rsidRPr="00793E2F">
        <w:rPr>
          <w:rFonts w:ascii="Arial" w:hAnsi="Arial" w:cs="Arial"/>
          <w:sz w:val="22"/>
          <w:szCs w:val="22"/>
        </w:rPr>
        <w:t>e</w:t>
      </w:r>
      <w:r w:rsidRPr="00793E2F">
        <w:rPr>
          <w:rFonts w:ascii="Arial" w:hAnsi="Arial" w:cs="Arial"/>
          <w:sz w:val="22"/>
          <w:szCs w:val="22"/>
        </w:rPr>
        <w:t xml:space="preserve"> to </w:t>
      </w:r>
      <w:r w:rsidR="00E83127" w:rsidRPr="00793E2F">
        <w:rPr>
          <w:rFonts w:ascii="Arial" w:hAnsi="Arial" w:cs="Arial"/>
          <w:sz w:val="22"/>
          <w:szCs w:val="22"/>
        </w:rPr>
        <w:t xml:space="preserve">applicable laws </w:t>
      </w:r>
      <w:r w:rsidR="00120331" w:rsidRPr="00793E2F">
        <w:rPr>
          <w:rFonts w:ascii="Arial" w:hAnsi="Arial" w:cs="Arial"/>
          <w:sz w:val="22"/>
          <w:szCs w:val="22"/>
        </w:rPr>
        <w:t>in the geographic areas in which it</w:t>
      </w:r>
      <w:r w:rsidR="00EE396E" w:rsidRPr="00793E2F">
        <w:rPr>
          <w:rFonts w:ascii="Arial" w:hAnsi="Arial" w:cs="Arial"/>
          <w:sz w:val="22"/>
          <w:szCs w:val="22"/>
        </w:rPr>
        <w:t xml:space="preserve"> </w:t>
      </w:r>
      <w:r w:rsidR="00120331" w:rsidRPr="00793E2F">
        <w:rPr>
          <w:rFonts w:ascii="Arial" w:hAnsi="Arial" w:cs="Arial"/>
          <w:sz w:val="22"/>
          <w:szCs w:val="22"/>
        </w:rPr>
        <w:t>operate</w:t>
      </w:r>
      <w:r w:rsidR="007C0D91">
        <w:rPr>
          <w:rFonts w:ascii="Arial" w:hAnsi="Arial" w:cs="Arial"/>
          <w:sz w:val="22"/>
          <w:szCs w:val="22"/>
        </w:rPr>
        <w:t>s</w:t>
      </w:r>
      <w:r w:rsidR="00EE396E" w:rsidRPr="00793E2F">
        <w:rPr>
          <w:rFonts w:ascii="Arial" w:hAnsi="Arial" w:cs="Arial"/>
          <w:sz w:val="22"/>
          <w:szCs w:val="22"/>
        </w:rPr>
        <w:t>,</w:t>
      </w:r>
      <w:r w:rsidR="00120331" w:rsidRPr="00793E2F">
        <w:rPr>
          <w:rFonts w:ascii="Arial" w:hAnsi="Arial" w:cs="Arial"/>
          <w:sz w:val="22"/>
          <w:szCs w:val="22"/>
        </w:rPr>
        <w:t xml:space="preserve"> </w:t>
      </w:r>
      <w:r w:rsidR="00E83127" w:rsidRPr="00793E2F">
        <w:rPr>
          <w:rFonts w:ascii="Arial" w:hAnsi="Arial" w:cs="Arial"/>
          <w:sz w:val="22"/>
          <w:szCs w:val="22"/>
        </w:rPr>
        <w:t>tak</w:t>
      </w:r>
      <w:r w:rsidR="007C0D91">
        <w:rPr>
          <w:rFonts w:ascii="Arial" w:hAnsi="Arial" w:cs="Arial"/>
          <w:sz w:val="22"/>
          <w:szCs w:val="22"/>
        </w:rPr>
        <w:t>ing</w:t>
      </w:r>
      <w:r w:rsidR="00E83127" w:rsidRPr="00793E2F">
        <w:rPr>
          <w:rFonts w:ascii="Arial" w:hAnsi="Arial" w:cs="Arial"/>
          <w:sz w:val="22"/>
          <w:szCs w:val="22"/>
        </w:rPr>
        <w:t xml:space="preserve"> into account </w:t>
      </w:r>
      <w:r w:rsidRPr="00793E2F">
        <w:rPr>
          <w:rFonts w:ascii="Arial" w:hAnsi="Arial" w:cs="Arial"/>
          <w:sz w:val="22"/>
          <w:szCs w:val="22"/>
        </w:rPr>
        <w:t>public health guidance.</w:t>
      </w:r>
      <w:r w:rsidR="00723FDB" w:rsidRPr="00793E2F">
        <w:rPr>
          <w:rFonts w:ascii="Arial" w:hAnsi="Arial" w:cs="Arial"/>
          <w:sz w:val="22"/>
          <w:szCs w:val="22"/>
        </w:rPr>
        <w:t xml:space="preserve">  </w:t>
      </w:r>
    </w:p>
    <w:p w14:paraId="52341FE4" w14:textId="1E7D26C1" w:rsidR="00EA0820" w:rsidRPr="00793E2F" w:rsidRDefault="00723FDB"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In addition, the Issuer is </w:t>
      </w:r>
      <w:r w:rsidR="00425683">
        <w:rPr>
          <w:rFonts w:ascii="Arial" w:hAnsi="Arial" w:cs="Arial"/>
          <w:sz w:val="22"/>
          <w:szCs w:val="22"/>
        </w:rPr>
        <w:t xml:space="preserve">actively </w:t>
      </w:r>
      <w:r w:rsidRPr="00793E2F">
        <w:rPr>
          <w:rFonts w:ascii="Arial" w:hAnsi="Arial" w:cs="Arial"/>
          <w:sz w:val="22"/>
          <w:szCs w:val="22"/>
        </w:rPr>
        <w:t xml:space="preserve">monitoring economic changes </w:t>
      </w:r>
      <w:r w:rsidR="00793E2F" w:rsidRPr="00793E2F">
        <w:rPr>
          <w:rFonts w:ascii="Arial" w:hAnsi="Arial" w:cs="Arial"/>
          <w:sz w:val="22"/>
          <w:szCs w:val="22"/>
        </w:rPr>
        <w:t xml:space="preserve">that may impact </w:t>
      </w:r>
      <w:r w:rsidRPr="00793E2F">
        <w:rPr>
          <w:rFonts w:ascii="Arial" w:hAnsi="Arial" w:cs="Arial"/>
          <w:sz w:val="22"/>
          <w:szCs w:val="22"/>
        </w:rPr>
        <w:t>its markets</w:t>
      </w:r>
      <w:r w:rsidR="00793E2F" w:rsidRPr="00793E2F">
        <w:rPr>
          <w:rFonts w:ascii="Arial" w:hAnsi="Arial" w:cs="Arial"/>
          <w:sz w:val="22"/>
          <w:szCs w:val="22"/>
        </w:rPr>
        <w:t>,</w:t>
      </w:r>
      <w:r w:rsidRPr="00793E2F">
        <w:rPr>
          <w:rFonts w:ascii="Arial" w:hAnsi="Arial" w:cs="Arial"/>
          <w:sz w:val="22"/>
          <w:szCs w:val="22"/>
        </w:rPr>
        <w:t xml:space="preserve"> including inflation</w:t>
      </w:r>
      <w:r w:rsidR="00793E2F" w:rsidRPr="00793E2F">
        <w:rPr>
          <w:rFonts w:ascii="Arial" w:hAnsi="Arial" w:cs="Arial"/>
          <w:sz w:val="22"/>
          <w:szCs w:val="22"/>
        </w:rPr>
        <w:t>, rising interest rates, global disruptions and volatility</w:t>
      </w:r>
      <w:r w:rsidR="00425683">
        <w:rPr>
          <w:rFonts w:ascii="Arial" w:hAnsi="Arial" w:cs="Arial"/>
          <w:sz w:val="22"/>
          <w:szCs w:val="22"/>
        </w:rPr>
        <w:t xml:space="preserve"> and </w:t>
      </w:r>
      <w:r w:rsidRPr="00793E2F">
        <w:rPr>
          <w:rFonts w:ascii="Arial" w:hAnsi="Arial" w:cs="Arial"/>
          <w:sz w:val="22"/>
          <w:szCs w:val="22"/>
        </w:rPr>
        <w:t>declining consumer and business confidence</w:t>
      </w:r>
      <w:r w:rsidR="00793E2F" w:rsidRPr="00793E2F">
        <w:rPr>
          <w:rFonts w:ascii="Arial" w:hAnsi="Arial" w:cs="Arial"/>
          <w:sz w:val="22"/>
          <w:szCs w:val="22"/>
        </w:rPr>
        <w:t xml:space="preserve">, all of which </w:t>
      </w:r>
      <w:r w:rsidRPr="00793E2F">
        <w:rPr>
          <w:rFonts w:ascii="Arial" w:hAnsi="Arial" w:cs="Arial"/>
          <w:sz w:val="22"/>
          <w:szCs w:val="22"/>
        </w:rPr>
        <w:t xml:space="preserve">could lead to decreased levels of consumer spending and higher costs. </w:t>
      </w:r>
      <w:r w:rsidR="00425683">
        <w:rPr>
          <w:rFonts w:ascii="Arial" w:hAnsi="Arial" w:cs="Arial"/>
          <w:sz w:val="22"/>
          <w:szCs w:val="22"/>
        </w:rPr>
        <w:t>The Issuer is taking these economic changes into account in its planning processes.</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699E8E94" w:rsidR="00BC3419" w:rsidRPr="00793E2F" w:rsidRDefault="00640E94" w:rsidP="00F45393">
      <w:pPr>
        <w:pStyle w:val="BodyText"/>
        <w:tabs>
          <w:tab w:val="left" w:pos="468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793E2F" w:rsidRPr="00793E2F">
        <w:rPr>
          <w:rFonts w:ascii="Arial" w:hAnsi="Arial" w:cs="Arial"/>
          <w:sz w:val="22"/>
          <w:szCs w:val="22"/>
        </w:rPr>
        <w:t xml:space="preserve">May </w:t>
      </w:r>
      <w:r w:rsidR="0072107E">
        <w:rPr>
          <w:rFonts w:ascii="Arial" w:hAnsi="Arial" w:cs="Arial"/>
          <w:sz w:val="22"/>
          <w:szCs w:val="22"/>
        </w:rPr>
        <w:t>4</w:t>
      </w:r>
      <w:r w:rsidR="00AB15BE" w:rsidRPr="00793E2F">
        <w:rPr>
          <w:rFonts w:ascii="Arial" w:hAnsi="Arial" w:cs="Arial"/>
          <w:sz w:val="22"/>
          <w:szCs w:val="22"/>
        </w:rPr>
        <w:t xml:space="preserve">, </w:t>
      </w:r>
      <w:r w:rsidR="00DF0EFC" w:rsidRPr="00793E2F">
        <w:rPr>
          <w:rFonts w:ascii="Arial" w:hAnsi="Arial" w:cs="Arial"/>
          <w:sz w:val="22"/>
          <w:szCs w:val="22"/>
        </w:rPr>
        <w:t>202</w:t>
      </w:r>
      <w:r w:rsidR="00C12F91" w:rsidRPr="00793E2F">
        <w:rPr>
          <w:rFonts w:ascii="Arial" w:hAnsi="Arial" w:cs="Arial"/>
          <w:sz w:val="22"/>
          <w:szCs w:val="22"/>
        </w:rPr>
        <w:t>2</w:t>
      </w:r>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0162B5BA"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 xml:space="preserve">/s/ Darren Weiss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0D8166B1"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7777777" w:rsidR="00897675" w:rsidRPr="00793E2F" w:rsidRDefault="00897675" w:rsidP="0005475F">
            <w:pPr>
              <w:pStyle w:val="BodyText"/>
              <w:spacing w:before="0"/>
              <w:jc w:val="both"/>
              <w:rPr>
                <w:rFonts w:ascii="Arial" w:hAnsi="Arial" w:cs="Arial"/>
                <w:sz w:val="22"/>
                <w:szCs w:val="22"/>
              </w:rPr>
            </w:pPr>
          </w:p>
          <w:p w14:paraId="113EF13D" w14:textId="52E170F1" w:rsidR="00AE49E7" w:rsidRPr="00793E2F" w:rsidRDefault="00793E2F" w:rsidP="0005475F">
            <w:pPr>
              <w:pStyle w:val="BodyText"/>
              <w:spacing w:before="0"/>
              <w:jc w:val="both"/>
              <w:rPr>
                <w:rFonts w:ascii="Arial" w:hAnsi="Arial" w:cs="Arial"/>
                <w:sz w:val="22"/>
                <w:szCs w:val="22"/>
              </w:rPr>
            </w:pPr>
            <w:r w:rsidRPr="00793E2F">
              <w:rPr>
                <w:rFonts w:ascii="Arial" w:hAnsi="Arial" w:cs="Arial"/>
                <w:sz w:val="22"/>
                <w:szCs w:val="22"/>
              </w:rPr>
              <w:t>April 30</w:t>
            </w:r>
            <w:r w:rsidR="00F45393" w:rsidRPr="00793E2F">
              <w:rPr>
                <w:rFonts w:ascii="Arial" w:hAnsi="Arial" w:cs="Arial"/>
                <w:sz w:val="22"/>
                <w:szCs w:val="22"/>
              </w:rPr>
              <w:t>, 2022</w:t>
            </w:r>
          </w:p>
          <w:p w14:paraId="0B5369A3" w14:textId="347BECFA" w:rsidR="00F45393" w:rsidRPr="00793E2F" w:rsidRDefault="00F45393" w:rsidP="0005475F">
            <w:pPr>
              <w:pStyle w:val="BodyText"/>
              <w:spacing w:before="0"/>
              <w:jc w:val="both"/>
              <w:rPr>
                <w:rFonts w:ascii="Arial" w:hAnsi="Arial" w:cs="Arial"/>
                <w:sz w:val="22"/>
                <w:szCs w:val="22"/>
              </w:rPr>
            </w:pP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1B27B4E5"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YY/MM/D</w:t>
            </w:r>
          </w:p>
          <w:p w14:paraId="638A1DCD" w14:textId="77777777" w:rsidR="00AE49E7" w:rsidRPr="00793E2F" w:rsidRDefault="00AE49E7" w:rsidP="0005475F">
            <w:pPr>
              <w:pStyle w:val="BodyText"/>
              <w:spacing w:before="0"/>
              <w:jc w:val="both"/>
              <w:rPr>
                <w:rFonts w:ascii="Arial" w:hAnsi="Arial" w:cs="Arial"/>
                <w:sz w:val="22"/>
                <w:szCs w:val="22"/>
              </w:rPr>
            </w:pPr>
          </w:p>
          <w:p w14:paraId="48A5FD26" w14:textId="19DEC21A" w:rsidR="00AE49E7" w:rsidRPr="00793E2F" w:rsidRDefault="00BE4852" w:rsidP="0005475F">
            <w:pPr>
              <w:pStyle w:val="BodyText"/>
              <w:spacing w:before="0"/>
              <w:jc w:val="both"/>
              <w:rPr>
                <w:rFonts w:ascii="Arial" w:hAnsi="Arial" w:cs="Arial"/>
                <w:sz w:val="22"/>
                <w:szCs w:val="22"/>
              </w:rPr>
            </w:pPr>
            <w:r w:rsidRPr="00793E2F">
              <w:rPr>
                <w:rFonts w:ascii="Arial" w:hAnsi="Arial" w:cs="Arial"/>
                <w:sz w:val="22"/>
                <w:szCs w:val="22"/>
              </w:rPr>
              <w:t>2</w:t>
            </w:r>
            <w:r w:rsidR="00F52FDC" w:rsidRPr="00793E2F">
              <w:rPr>
                <w:rFonts w:ascii="Arial" w:hAnsi="Arial" w:cs="Arial"/>
                <w:sz w:val="22"/>
                <w:szCs w:val="22"/>
              </w:rPr>
              <w:t>2</w:t>
            </w:r>
            <w:r w:rsidRPr="00793E2F">
              <w:rPr>
                <w:rFonts w:ascii="Arial" w:hAnsi="Arial" w:cs="Arial"/>
                <w:sz w:val="22"/>
                <w:szCs w:val="22"/>
              </w:rPr>
              <w:t>/</w:t>
            </w:r>
            <w:r w:rsidR="00F52FDC" w:rsidRPr="00793E2F">
              <w:rPr>
                <w:rFonts w:ascii="Arial" w:hAnsi="Arial" w:cs="Arial"/>
                <w:sz w:val="22"/>
                <w:szCs w:val="22"/>
              </w:rPr>
              <w:t>0</w:t>
            </w:r>
            <w:r w:rsidR="00793E2F" w:rsidRPr="00793E2F">
              <w:rPr>
                <w:rFonts w:ascii="Arial" w:hAnsi="Arial" w:cs="Arial"/>
                <w:sz w:val="22"/>
                <w:szCs w:val="22"/>
              </w:rPr>
              <w:t>5</w:t>
            </w:r>
            <w:r w:rsidRPr="00793E2F">
              <w:rPr>
                <w:rFonts w:ascii="Arial" w:hAnsi="Arial" w:cs="Arial"/>
                <w:sz w:val="22"/>
                <w:szCs w:val="22"/>
              </w:rPr>
              <w:t>/</w:t>
            </w:r>
            <w:r w:rsidR="0072107E">
              <w:rPr>
                <w:rFonts w:ascii="Arial" w:hAnsi="Arial" w:cs="Arial"/>
                <w:sz w:val="22"/>
                <w:szCs w:val="22"/>
              </w:rPr>
              <w:t>4</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CD121E"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CD121E"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5F402B">
      <w:headerReference w:type="even" r:id="rId13"/>
      <w:headerReference w:type="default" r:id="rId14"/>
      <w:footerReference w:type="even" r:id="rId15"/>
      <w:footerReference w:type="default" r:id="rId16"/>
      <w:headerReference w:type="first" r:id="rId17"/>
      <w:footerReference w:type="first" r:id="rId18"/>
      <w:pgSz w:w="12240" w:h="15840" w:code="1"/>
      <w:pgMar w:top="864" w:right="1440" w:bottom="864" w:left="1440" w:header="720" w:footer="69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4CCD" w14:textId="77777777" w:rsidR="00CD121E" w:rsidRDefault="00CD121E">
      <w:r>
        <w:separator/>
      </w:r>
    </w:p>
  </w:endnote>
  <w:endnote w:type="continuationSeparator" w:id="0">
    <w:p w14:paraId="0B149A68" w14:textId="77777777" w:rsidR="00CD121E" w:rsidRDefault="00CD121E">
      <w:r>
        <w:continuationSeparator/>
      </w:r>
    </w:p>
  </w:endnote>
  <w:endnote w:type="continuationNotice" w:id="1">
    <w:p w14:paraId="79569F03" w14:textId="77777777" w:rsidR="00CD121E" w:rsidRDefault="00CD1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DF2A"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EA47A7B" w14:textId="73E19EE0" w:rsidR="00640E94"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p w14:paraId="3198FE19" w14:textId="45291E99" w:rsidR="00380E00" w:rsidRDefault="00380E00" w:rsidP="00380E00">
    <w:pPr>
      <w:pStyle w:val="DocID"/>
    </w:pPr>
  </w:p>
  <w:p w14:paraId="26118E9C" w14:textId="6218938F" w:rsidR="00DF12C8" w:rsidRPr="006D1A06" w:rsidRDefault="00DF12C8" w:rsidP="00DF12C8">
    <w:pPr>
      <w:pStyle w:val="DocID"/>
      <w:spacing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72107E">
      <w:rPr>
        <w:rFonts w:ascii="Arial" w:hAnsi="Arial" w:cs="Arial"/>
      </w:rPr>
      <w:t>4893-1848-1182, v. 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9E9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1492" w14:textId="77777777" w:rsidR="00CD121E" w:rsidRDefault="00CD121E">
      <w:r>
        <w:separator/>
      </w:r>
    </w:p>
  </w:footnote>
  <w:footnote w:type="continuationSeparator" w:id="0">
    <w:p w14:paraId="6A005F80" w14:textId="77777777" w:rsidR="00CD121E" w:rsidRDefault="00CD121E">
      <w:r>
        <w:continuationSeparator/>
      </w:r>
    </w:p>
  </w:footnote>
  <w:footnote w:type="continuationNotice" w:id="1">
    <w:p w14:paraId="1CCF86F0" w14:textId="77777777" w:rsidR="00CD121E" w:rsidRDefault="00CD1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2C46" w14:textId="77777777" w:rsidR="00621D8B" w:rsidRDefault="00621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527" w14:textId="77777777" w:rsidR="00621D8B" w:rsidRDefault="00621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8"/>
  </w:num>
  <w:num w:numId="2" w16cid:durableId="508720568">
    <w:abstractNumId w:val="22"/>
  </w:num>
  <w:num w:numId="3" w16cid:durableId="235172145">
    <w:abstractNumId w:val="17"/>
  </w:num>
  <w:num w:numId="4" w16cid:durableId="1885630813">
    <w:abstractNumId w:val="14"/>
  </w:num>
  <w:num w:numId="5" w16cid:durableId="1224561941">
    <w:abstractNumId w:val="5"/>
  </w:num>
  <w:num w:numId="6" w16cid:durableId="1127966020">
    <w:abstractNumId w:val="24"/>
  </w:num>
  <w:num w:numId="7" w16cid:durableId="1180125983">
    <w:abstractNumId w:val="10"/>
  </w:num>
  <w:num w:numId="8" w16cid:durableId="2132431380">
    <w:abstractNumId w:val="29"/>
  </w:num>
  <w:num w:numId="9" w16cid:durableId="928544875">
    <w:abstractNumId w:val="21"/>
  </w:num>
  <w:num w:numId="10" w16cid:durableId="1585459687">
    <w:abstractNumId w:val="12"/>
  </w:num>
  <w:num w:numId="11" w16cid:durableId="2047296259">
    <w:abstractNumId w:val="15"/>
  </w:num>
  <w:num w:numId="12" w16cid:durableId="750202971">
    <w:abstractNumId w:val="16"/>
  </w:num>
  <w:num w:numId="13" w16cid:durableId="1056203637">
    <w:abstractNumId w:val="31"/>
  </w:num>
  <w:num w:numId="14" w16cid:durableId="852257229">
    <w:abstractNumId w:val="8"/>
  </w:num>
  <w:num w:numId="15" w16cid:durableId="684594410">
    <w:abstractNumId w:val="11"/>
  </w:num>
  <w:num w:numId="16" w16cid:durableId="633414816">
    <w:abstractNumId w:val="13"/>
  </w:num>
  <w:num w:numId="17" w16cid:durableId="1400515124">
    <w:abstractNumId w:val="19"/>
  </w:num>
  <w:num w:numId="18" w16cid:durableId="1502163792">
    <w:abstractNumId w:val="3"/>
  </w:num>
  <w:num w:numId="19" w16cid:durableId="228032297">
    <w:abstractNumId w:val="9"/>
  </w:num>
  <w:num w:numId="20" w16cid:durableId="465972464">
    <w:abstractNumId w:val="27"/>
  </w:num>
  <w:num w:numId="21" w16cid:durableId="1286696238">
    <w:abstractNumId w:val="1"/>
  </w:num>
  <w:num w:numId="22" w16cid:durableId="1401975397">
    <w:abstractNumId w:val="0"/>
  </w:num>
  <w:num w:numId="23" w16cid:durableId="1243837248">
    <w:abstractNumId w:val="23"/>
  </w:num>
  <w:num w:numId="24" w16cid:durableId="2083214790">
    <w:abstractNumId w:val="20"/>
  </w:num>
  <w:num w:numId="25" w16cid:durableId="768431128">
    <w:abstractNumId w:val="6"/>
  </w:num>
  <w:num w:numId="26" w16cid:durableId="2135168667">
    <w:abstractNumId w:val="30"/>
  </w:num>
  <w:num w:numId="27" w16cid:durableId="2010522533">
    <w:abstractNumId w:val="32"/>
  </w:num>
  <w:num w:numId="28" w16cid:durableId="1395004964">
    <w:abstractNumId w:val="7"/>
  </w:num>
  <w:num w:numId="29" w16cid:durableId="1425764094">
    <w:abstractNumId w:val="4"/>
  </w:num>
  <w:num w:numId="30" w16cid:durableId="1595824497">
    <w:abstractNumId w:val="2"/>
  </w:num>
  <w:num w:numId="31" w16cid:durableId="2038115433">
    <w:abstractNumId w:val="25"/>
  </w:num>
  <w:num w:numId="32" w16cid:durableId="877350550">
    <w:abstractNumId w:val="28"/>
  </w:num>
  <w:num w:numId="33" w16cid:durableId="12544384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3-1848-1182, v. 2"/>
    <w:docVar w:name="ndGeneratedStampLocation" w:val="EachPage"/>
  </w:docVars>
  <w:rsids>
    <w:rsidRoot w:val="00A47914"/>
    <w:rsid w:val="0001741C"/>
    <w:rsid w:val="0002366F"/>
    <w:rsid w:val="00025C8E"/>
    <w:rsid w:val="00031A77"/>
    <w:rsid w:val="00037809"/>
    <w:rsid w:val="000544EB"/>
    <w:rsid w:val="0005475F"/>
    <w:rsid w:val="00061B46"/>
    <w:rsid w:val="00063814"/>
    <w:rsid w:val="00067999"/>
    <w:rsid w:val="00094201"/>
    <w:rsid w:val="00096DAA"/>
    <w:rsid w:val="000A1931"/>
    <w:rsid w:val="000A1AB1"/>
    <w:rsid w:val="000A3859"/>
    <w:rsid w:val="000C62CD"/>
    <w:rsid w:val="000D24BA"/>
    <w:rsid w:val="000D3801"/>
    <w:rsid w:val="000D3A4F"/>
    <w:rsid w:val="000D479B"/>
    <w:rsid w:val="000E2CC9"/>
    <w:rsid w:val="000F4142"/>
    <w:rsid w:val="001058F6"/>
    <w:rsid w:val="001122A0"/>
    <w:rsid w:val="00120331"/>
    <w:rsid w:val="00127EAA"/>
    <w:rsid w:val="001313A3"/>
    <w:rsid w:val="001415EB"/>
    <w:rsid w:val="00144D5F"/>
    <w:rsid w:val="00146D06"/>
    <w:rsid w:val="00147FE6"/>
    <w:rsid w:val="00163CED"/>
    <w:rsid w:val="00166178"/>
    <w:rsid w:val="00186E65"/>
    <w:rsid w:val="00195415"/>
    <w:rsid w:val="001A0F3B"/>
    <w:rsid w:val="001A13E4"/>
    <w:rsid w:val="001B5ADB"/>
    <w:rsid w:val="001D1ADE"/>
    <w:rsid w:val="001D2C35"/>
    <w:rsid w:val="001E3D79"/>
    <w:rsid w:val="001E3FEA"/>
    <w:rsid w:val="001E475F"/>
    <w:rsid w:val="001E5FF1"/>
    <w:rsid w:val="001F1BA4"/>
    <w:rsid w:val="002005EB"/>
    <w:rsid w:val="00202448"/>
    <w:rsid w:val="0020320E"/>
    <w:rsid w:val="00203D4C"/>
    <w:rsid w:val="00213C7C"/>
    <w:rsid w:val="00216EE2"/>
    <w:rsid w:val="00222B6D"/>
    <w:rsid w:val="00230872"/>
    <w:rsid w:val="00233C70"/>
    <w:rsid w:val="002345C8"/>
    <w:rsid w:val="00243B75"/>
    <w:rsid w:val="0025387E"/>
    <w:rsid w:val="00257129"/>
    <w:rsid w:val="002632E9"/>
    <w:rsid w:val="00277AD6"/>
    <w:rsid w:val="0028406E"/>
    <w:rsid w:val="00290C79"/>
    <w:rsid w:val="00294672"/>
    <w:rsid w:val="002A21F5"/>
    <w:rsid w:val="002A3BBA"/>
    <w:rsid w:val="002A5B20"/>
    <w:rsid w:val="002C1DC3"/>
    <w:rsid w:val="002C234B"/>
    <w:rsid w:val="002C263E"/>
    <w:rsid w:val="002C281E"/>
    <w:rsid w:val="002C300C"/>
    <w:rsid w:val="002D0065"/>
    <w:rsid w:val="002D191B"/>
    <w:rsid w:val="002E09C4"/>
    <w:rsid w:val="002E310E"/>
    <w:rsid w:val="002F00EB"/>
    <w:rsid w:val="002F10E1"/>
    <w:rsid w:val="00300C81"/>
    <w:rsid w:val="00302FA2"/>
    <w:rsid w:val="0030394D"/>
    <w:rsid w:val="00303EA0"/>
    <w:rsid w:val="00311436"/>
    <w:rsid w:val="003129DD"/>
    <w:rsid w:val="00326802"/>
    <w:rsid w:val="00330206"/>
    <w:rsid w:val="00333B20"/>
    <w:rsid w:val="00344AFC"/>
    <w:rsid w:val="00354E7E"/>
    <w:rsid w:val="00357F23"/>
    <w:rsid w:val="00362D6E"/>
    <w:rsid w:val="003669A9"/>
    <w:rsid w:val="0036711B"/>
    <w:rsid w:val="0037175D"/>
    <w:rsid w:val="00371A64"/>
    <w:rsid w:val="003728C1"/>
    <w:rsid w:val="0037719F"/>
    <w:rsid w:val="00380E00"/>
    <w:rsid w:val="00387FA8"/>
    <w:rsid w:val="0039124D"/>
    <w:rsid w:val="003945E5"/>
    <w:rsid w:val="0039490F"/>
    <w:rsid w:val="00397874"/>
    <w:rsid w:val="003A0CDC"/>
    <w:rsid w:val="003A2569"/>
    <w:rsid w:val="003B3766"/>
    <w:rsid w:val="003B4FB0"/>
    <w:rsid w:val="003C5270"/>
    <w:rsid w:val="003C7340"/>
    <w:rsid w:val="003D5047"/>
    <w:rsid w:val="003D5FD0"/>
    <w:rsid w:val="003E18C7"/>
    <w:rsid w:val="003E66AC"/>
    <w:rsid w:val="003F0E38"/>
    <w:rsid w:val="003F54D0"/>
    <w:rsid w:val="00404E42"/>
    <w:rsid w:val="00425683"/>
    <w:rsid w:val="00431197"/>
    <w:rsid w:val="00432A5E"/>
    <w:rsid w:val="0046113C"/>
    <w:rsid w:val="00461A11"/>
    <w:rsid w:val="00472B0B"/>
    <w:rsid w:val="004748EF"/>
    <w:rsid w:val="00477996"/>
    <w:rsid w:val="004805F3"/>
    <w:rsid w:val="0048372B"/>
    <w:rsid w:val="00483FAD"/>
    <w:rsid w:val="00486F75"/>
    <w:rsid w:val="00490F11"/>
    <w:rsid w:val="00493652"/>
    <w:rsid w:val="004940C3"/>
    <w:rsid w:val="004B06BB"/>
    <w:rsid w:val="004B2CAC"/>
    <w:rsid w:val="004B349E"/>
    <w:rsid w:val="004B3759"/>
    <w:rsid w:val="004B61CC"/>
    <w:rsid w:val="004B7863"/>
    <w:rsid w:val="004B7878"/>
    <w:rsid w:val="004C5469"/>
    <w:rsid w:val="004C7B89"/>
    <w:rsid w:val="004D18A9"/>
    <w:rsid w:val="004D7CD7"/>
    <w:rsid w:val="004E1DE0"/>
    <w:rsid w:val="004F6FFA"/>
    <w:rsid w:val="00500AE1"/>
    <w:rsid w:val="00500D2F"/>
    <w:rsid w:val="00506755"/>
    <w:rsid w:val="00512CC6"/>
    <w:rsid w:val="0052544A"/>
    <w:rsid w:val="00526337"/>
    <w:rsid w:val="00531B70"/>
    <w:rsid w:val="00534CAA"/>
    <w:rsid w:val="0053676D"/>
    <w:rsid w:val="00537744"/>
    <w:rsid w:val="005453C8"/>
    <w:rsid w:val="00554089"/>
    <w:rsid w:val="00563F39"/>
    <w:rsid w:val="00565367"/>
    <w:rsid w:val="00570ABE"/>
    <w:rsid w:val="00577204"/>
    <w:rsid w:val="005840B8"/>
    <w:rsid w:val="00587D6B"/>
    <w:rsid w:val="00590779"/>
    <w:rsid w:val="00596D92"/>
    <w:rsid w:val="005A646A"/>
    <w:rsid w:val="005B6D93"/>
    <w:rsid w:val="005C1F7F"/>
    <w:rsid w:val="005C1FC7"/>
    <w:rsid w:val="005D0441"/>
    <w:rsid w:val="005D1B1C"/>
    <w:rsid w:val="005D24C0"/>
    <w:rsid w:val="005E70DE"/>
    <w:rsid w:val="005E72E0"/>
    <w:rsid w:val="005F38D7"/>
    <w:rsid w:val="005F402B"/>
    <w:rsid w:val="005F6070"/>
    <w:rsid w:val="005F6D8F"/>
    <w:rsid w:val="006133B4"/>
    <w:rsid w:val="00615B6E"/>
    <w:rsid w:val="00615FCC"/>
    <w:rsid w:val="006174E6"/>
    <w:rsid w:val="00620E7F"/>
    <w:rsid w:val="00621D8B"/>
    <w:rsid w:val="00621F98"/>
    <w:rsid w:val="00623881"/>
    <w:rsid w:val="00633ED3"/>
    <w:rsid w:val="00635E9A"/>
    <w:rsid w:val="00640E94"/>
    <w:rsid w:val="006412A1"/>
    <w:rsid w:val="00645569"/>
    <w:rsid w:val="00650AD5"/>
    <w:rsid w:val="00662700"/>
    <w:rsid w:val="00665577"/>
    <w:rsid w:val="00666125"/>
    <w:rsid w:val="006664BD"/>
    <w:rsid w:val="00666C57"/>
    <w:rsid w:val="0066AD9E"/>
    <w:rsid w:val="006704EB"/>
    <w:rsid w:val="00674813"/>
    <w:rsid w:val="00676249"/>
    <w:rsid w:val="00680DD0"/>
    <w:rsid w:val="00681997"/>
    <w:rsid w:val="00683848"/>
    <w:rsid w:val="00686BEE"/>
    <w:rsid w:val="00692529"/>
    <w:rsid w:val="006B0AF3"/>
    <w:rsid w:val="006B13C3"/>
    <w:rsid w:val="006B3B8F"/>
    <w:rsid w:val="006B7034"/>
    <w:rsid w:val="006D1A06"/>
    <w:rsid w:val="006D6AD8"/>
    <w:rsid w:val="006F107A"/>
    <w:rsid w:val="006F59E2"/>
    <w:rsid w:val="007046E5"/>
    <w:rsid w:val="0071029E"/>
    <w:rsid w:val="00712704"/>
    <w:rsid w:val="0072107E"/>
    <w:rsid w:val="00721932"/>
    <w:rsid w:val="00723FDB"/>
    <w:rsid w:val="007333BC"/>
    <w:rsid w:val="00740EEE"/>
    <w:rsid w:val="00741D61"/>
    <w:rsid w:val="00752D67"/>
    <w:rsid w:val="00760BF3"/>
    <w:rsid w:val="00772BBC"/>
    <w:rsid w:val="00783937"/>
    <w:rsid w:val="00793E2F"/>
    <w:rsid w:val="007A07CF"/>
    <w:rsid w:val="007B067F"/>
    <w:rsid w:val="007B0979"/>
    <w:rsid w:val="007C0D91"/>
    <w:rsid w:val="007C61CF"/>
    <w:rsid w:val="007D1A4A"/>
    <w:rsid w:val="007D238A"/>
    <w:rsid w:val="007D5582"/>
    <w:rsid w:val="007D5689"/>
    <w:rsid w:val="007D5D47"/>
    <w:rsid w:val="007E3CE7"/>
    <w:rsid w:val="007F10EF"/>
    <w:rsid w:val="008010A8"/>
    <w:rsid w:val="00804DB3"/>
    <w:rsid w:val="008075B4"/>
    <w:rsid w:val="008151FA"/>
    <w:rsid w:val="00815E83"/>
    <w:rsid w:val="00831FB2"/>
    <w:rsid w:val="00843BC0"/>
    <w:rsid w:val="00846BCF"/>
    <w:rsid w:val="00847BE1"/>
    <w:rsid w:val="008500ED"/>
    <w:rsid w:val="008502E3"/>
    <w:rsid w:val="0085697F"/>
    <w:rsid w:val="00867593"/>
    <w:rsid w:val="00870D38"/>
    <w:rsid w:val="0088735F"/>
    <w:rsid w:val="00897675"/>
    <w:rsid w:val="008B4E8F"/>
    <w:rsid w:val="008B7E92"/>
    <w:rsid w:val="008C0CEC"/>
    <w:rsid w:val="008C26AB"/>
    <w:rsid w:val="008C2852"/>
    <w:rsid w:val="008D021E"/>
    <w:rsid w:val="008E046B"/>
    <w:rsid w:val="008F3A42"/>
    <w:rsid w:val="008F78EE"/>
    <w:rsid w:val="0090147E"/>
    <w:rsid w:val="00907B69"/>
    <w:rsid w:val="00910F5B"/>
    <w:rsid w:val="00922A46"/>
    <w:rsid w:val="00930D4D"/>
    <w:rsid w:val="00931A4D"/>
    <w:rsid w:val="009408AC"/>
    <w:rsid w:val="00943EDD"/>
    <w:rsid w:val="00945A31"/>
    <w:rsid w:val="009502CD"/>
    <w:rsid w:val="009547E8"/>
    <w:rsid w:val="00970763"/>
    <w:rsid w:val="009730DE"/>
    <w:rsid w:val="00976876"/>
    <w:rsid w:val="00976FFA"/>
    <w:rsid w:val="009A35B9"/>
    <w:rsid w:val="009B1E6C"/>
    <w:rsid w:val="009D2A0A"/>
    <w:rsid w:val="009D3294"/>
    <w:rsid w:val="009D4DC0"/>
    <w:rsid w:val="009E0546"/>
    <w:rsid w:val="009E6699"/>
    <w:rsid w:val="009F3107"/>
    <w:rsid w:val="009F46A4"/>
    <w:rsid w:val="009F6284"/>
    <w:rsid w:val="00A047CB"/>
    <w:rsid w:val="00A06D90"/>
    <w:rsid w:val="00A07BB1"/>
    <w:rsid w:val="00A11082"/>
    <w:rsid w:val="00A17CD1"/>
    <w:rsid w:val="00A2058A"/>
    <w:rsid w:val="00A2287C"/>
    <w:rsid w:val="00A23F26"/>
    <w:rsid w:val="00A24285"/>
    <w:rsid w:val="00A26E91"/>
    <w:rsid w:val="00A47914"/>
    <w:rsid w:val="00A61AEA"/>
    <w:rsid w:val="00A62DE2"/>
    <w:rsid w:val="00A64573"/>
    <w:rsid w:val="00A64E14"/>
    <w:rsid w:val="00A657F6"/>
    <w:rsid w:val="00A728BC"/>
    <w:rsid w:val="00A7733A"/>
    <w:rsid w:val="00A80B45"/>
    <w:rsid w:val="00A95228"/>
    <w:rsid w:val="00AA24C0"/>
    <w:rsid w:val="00AA43EB"/>
    <w:rsid w:val="00AB064B"/>
    <w:rsid w:val="00AB15BE"/>
    <w:rsid w:val="00AC2AE5"/>
    <w:rsid w:val="00AC4D02"/>
    <w:rsid w:val="00AD45C0"/>
    <w:rsid w:val="00AE12CD"/>
    <w:rsid w:val="00AE3C65"/>
    <w:rsid w:val="00AE49E7"/>
    <w:rsid w:val="00AF0809"/>
    <w:rsid w:val="00AF2252"/>
    <w:rsid w:val="00AF6022"/>
    <w:rsid w:val="00AF725C"/>
    <w:rsid w:val="00AF7CCD"/>
    <w:rsid w:val="00B002FB"/>
    <w:rsid w:val="00B036F8"/>
    <w:rsid w:val="00B06961"/>
    <w:rsid w:val="00B10520"/>
    <w:rsid w:val="00B151C4"/>
    <w:rsid w:val="00B342AE"/>
    <w:rsid w:val="00B41F6D"/>
    <w:rsid w:val="00B43E43"/>
    <w:rsid w:val="00B51643"/>
    <w:rsid w:val="00B519F1"/>
    <w:rsid w:val="00B61EBC"/>
    <w:rsid w:val="00B6462C"/>
    <w:rsid w:val="00B74779"/>
    <w:rsid w:val="00B81D90"/>
    <w:rsid w:val="00B83D60"/>
    <w:rsid w:val="00B90563"/>
    <w:rsid w:val="00B973F4"/>
    <w:rsid w:val="00BA0C3F"/>
    <w:rsid w:val="00BA1174"/>
    <w:rsid w:val="00BA219A"/>
    <w:rsid w:val="00BA51FE"/>
    <w:rsid w:val="00BA7A0E"/>
    <w:rsid w:val="00BB33A2"/>
    <w:rsid w:val="00BB6E09"/>
    <w:rsid w:val="00BC1615"/>
    <w:rsid w:val="00BC3419"/>
    <w:rsid w:val="00BD351C"/>
    <w:rsid w:val="00BD60DD"/>
    <w:rsid w:val="00BD7397"/>
    <w:rsid w:val="00BE2557"/>
    <w:rsid w:val="00BE2676"/>
    <w:rsid w:val="00BE4852"/>
    <w:rsid w:val="00BE6FB3"/>
    <w:rsid w:val="00BF1FF5"/>
    <w:rsid w:val="00C05AF3"/>
    <w:rsid w:val="00C12F91"/>
    <w:rsid w:val="00C14CA4"/>
    <w:rsid w:val="00C16A12"/>
    <w:rsid w:val="00C2332E"/>
    <w:rsid w:val="00C26679"/>
    <w:rsid w:val="00C2698B"/>
    <w:rsid w:val="00C27A18"/>
    <w:rsid w:val="00C43025"/>
    <w:rsid w:val="00C44022"/>
    <w:rsid w:val="00C446F4"/>
    <w:rsid w:val="00C51F38"/>
    <w:rsid w:val="00C5231D"/>
    <w:rsid w:val="00C6383E"/>
    <w:rsid w:val="00C7450A"/>
    <w:rsid w:val="00C775BD"/>
    <w:rsid w:val="00C82E4A"/>
    <w:rsid w:val="00C8729B"/>
    <w:rsid w:val="00C91387"/>
    <w:rsid w:val="00C91AA4"/>
    <w:rsid w:val="00C93A1B"/>
    <w:rsid w:val="00C95A63"/>
    <w:rsid w:val="00C95A87"/>
    <w:rsid w:val="00CA4A62"/>
    <w:rsid w:val="00CA66AA"/>
    <w:rsid w:val="00CA7C47"/>
    <w:rsid w:val="00CB29E5"/>
    <w:rsid w:val="00CC1ABE"/>
    <w:rsid w:val="00CC35F4"/>
    <w:rsid w:val="00CC361B"/>
    <w:rsid w:val="00CD121E"/>
    <w:rsid w:val="00CD354D"/>
    <w:rsid w:val="00CE3360"/>
    <w:rsid w:val="00CE3CFE"/>
    <w:rsid w:val="00CE736F"/>
    <w:rsid w:val="00CF38BF"/>
    <w:rsid w:val="00D00272"/>
    <w:rsid w:val="00D02D57"/>
    <w:rsid w:val="00D047B9"/>
    <w:rsid w:val="00D10ACC"/>
    <w:rsid w:val="00D10AEE"/>
    <w:rsid w:val="00D1449F"/>
    <w:rsid w:val="00D17DB0"/>
    <w:rsid w:val="00D33505"/>
    <w:rsid w:val="00D43714"/>
    <w:rsid w:val="00D4575D"/>
    <w:rsid w:val="00D500DE"/>
    <w:rsid w:val="00D51450"/>
    <w:rsid w:val="00D570A7"/>
    <w:rsid w:val="00D60D1A"/>
    <w:rsid w:val="00D90178"/>
    <w:rsid w:val="00D95C3A"/>
    <w:rsid w:val="00D95FEC"/>
    <w:rsid w:val="00D9787B"/>
    <w:rsid w:val="00DA02F2"/>
    <w:rsid w:val="00DA130F"/>
    <w:rsid w:val="00DA5E24"/>
    <w:rsid w:val="00DB0160"/>
    <w:rsid w:val="00DB0BEB"/>
    <w:rsid w:val="00DB77B2"/>
    <w:rsid w:val="00DD254F"/>
    <w:rsid w:val="00DD4DBB"/>
    <w:rsid w:val="00DE01DA"/>
    <w:rsid w:val="00DE0FB8"/>
    <w:rsid w:val="00DE367F"/>
    <w:rsid w:val="00DE4A1C"/>
    <w:rsid w:val="00DE5EA2"/>
    <w:rsid w:val="00DE6733"/>
    <w:rsid w:val="00DF0C4D"/>
    <w:rsid w:val="00DF0EFC"/>
    <w:rsid w:val="00DF12C8"/>
    <w:rsid w:val="00DF6492"/>
    <w:rsid w:val="00E144B9"/>
    <w:rsid w:val="00E22C75"/>
    <w:rsid w:val="00E36141"/>
    <w:rsid w:val="00E40B49"/>
    <w:rsid w:val="00E418D2"/>
    <w:rsid w:val="00E440C2"/>
    <w:rsid w:val="00E45C54"/>
    <w:rsid w:val="00E46CDA"/>
    <w:rsid w:val="00E5257C"/>
    <w:rsid w:val="00E540FF"/>
    <w:rsid w:val="00E67615"/>
    <w:rsid w:val="00E7231A"/>
    <w:rsid w:val="00E76CE9"/>
    <w:rsid w:val="00E81AB8"/>
    <w:rsid w:val="00E83127"/>
    <w:rsid w:val="00E83E58"/>
    <w:rsid w:val="00E95AE8"/>
    <w:rsid w:val="00EA0820"/>
    <w:rsid w:val="00EA2D8C"/>
    <w:rsid w:val="00EA7A67"/>
    <w:rsid w:val="00EC04EA"/>
    <w:rsid w:val="00ED03B7"/>
    <w:rsid w:val="00ED1869"/>
    <w:rsid w:val="00ED38C3"/>
    <w:rsid w:val="00EE02ED"/>
    <w:rsid w:val="00EE247E"/>
    <w:rsid w:val="00EE396E"/>
    <w:rsid w:val="00EF4DB5"/>
    <w:rsid w:val="00F2308E"/>
    <w:rsid w:val="00F318CB"/>
    <w:rsid w:val="00F31984"/>
    <w:rsid w:val="00F45393"/>
    <w:rsid w:val="00F47FE6"/>
    <w:rsid w:val="00F52FDC"/>
    <w:rsid w:val="00F572A3"/>
    <w:rsid w:val="00F70BA6"/>
    <w:rsid w:val="00F741F5"/>
    <w:rsid w:val="00F76CF2"/>
    <w:rsid w:val="00F833BD"/>
    <w:rsid w:val="00F84373"/>
    <w:rsid w:val="00F90E86"/>
    <w:rsid w:val="00F95A02"/>
    <w:rsid w:val="00FB0C8C"/>
    <w:rsid w:val="00FC1210"/>
    <w:rsid w:val="00FD4110"/>
    <w:rsid w:val="00FD5A50"/>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2.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E1FA7-18B8-4B08-8801-6819E70C87E8}">
  <ds:schemaRefs>
    <ds:schemaRef ds:uri="http://schemas.microsoft.com/sharepoint/v3/contenttype/forms"/>
  </ds:schemaRefs>
</ds:datastoreItem>
</file>

<file path=customXml/itemProps4.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Darren Weiss</cp:lastModifiedBy>
  <cp:revision>2</cp:revision>
  <cp:lastPrinted>2022-02-04T15:12:00Z</cp:lastPrinted>
  <dcterms:created xsi:type="dcterms:W3CDTF">2022-05-04T18:00:00Z</dcterms:created>
  <dcterms:modified xsi:type="dcterms:W3CDTF">2022-05-04T18:00:00Z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4893-1848-1182</vt:lpwstr>
  </property>
</Properties>
</file>