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4A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27376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7D68" w:rsidRPr="0039197C">
        <w:rPr>
          <w:rFonts w:ascii="Arial" w:hAnsi="Arial"/>
          <w:b/>
          <w:bCs/>
          <w:color w:val="000000"/>
        </w:rPr>
        <w:t>First Energy Metals Limited</w:t>
      </w:r>
      <w:r w:rsidR="00537D68">
        <w:rPr>
          <w:rFonts w:ascii="Arial" w:hAnsi="Arial"/>
          <w:color w:val="000000"/>
        </w:rPr>
        <w:t xml:space="preserve"> </w:t>
      </w:r>
      <w:r>
        <w:rPr>
          <w:rFonts w:ascii="Arial" w:hAnsi="Arial"/>
          <w:color w:val="000000"/>
        </w:rPr>
        <w:t>(the “Issuer”).</w:t>
      </w:r>
    </w:p>
    <w:p w14:paraId="1C85ACE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7D68">
        <w:rPr>
          <w:rFonts w:ascii="Arial" w:hAnsi="Arial"/>
          <w:color w:val="000000"/>
          <w:u w:val="single"/>
        </w:rPr>
        <w:t>FE</w:t>
      </w:r>
    </w:p>
    <w:p w14:paraId="4F4814FB" w14:textId="28958BE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21C63">
        <w:rPr>
          <w:rFonts w:ascii="Arial" w:hAnsi="Arial"/>
          <w:color w:val="000000"/>
          <w:u w:val="single"/>
        </w:rPr>
        <w:t>42,197,670</w:t>
      </w:r>
    </w:p>
    <w:p w14:paraId="1B59B7F4" w14:textId="2DC3994F" w:rsidR="00640E94" w:rsidRDefault="00640E94">
      <w:pPr>
        <w:pStyle w:val="BodyText"/>
        <w:tabs>
          <w:tab w:val="left" w:pos="7920"/>
          <w:tab w:val="left" w:pos="9180"/>
        </w:tabs>
        <w:rPr>
          <w:rFonts w:ascii="Arial" w:hAnsi="Arial"/>
          <w:color w:val="000000"/>
        </w:rPr>
      </w:pPr>
      <w:r>
        <w:rPr>
          <w:rFonts w:ascii="Arial" w:hAnsi="Arial"/>
          <w:color w:val="000000"/>
        </w:rPr>
        <w:t>Date:</w:t>
      </w:r>
      <w:r w:rsidR="00A10224">
        <w:rPr>
          <w:rFonts w:ascii="Arial" w:hAnsi="Arial"/>
          <w:color w:val="000000"/>
        </w:rPr>
        <w:t xml:space="preserve"> </w:t>
      </w:r>
      <w:r w:rsidR="00C21C63">
        <w:rPr>
          <w:rFonts w:ascii="Arial" w:hAnsi="Arial"/>
          <w:color w:val="000000"/>
          <w:u w:val="single"/>
        </w:rPr>
        <w:t>March 07</w:t>
      </w:r>
      <w:r w:rsidR="00537D68" w:rsidRPr="00AB6A0F">
        <w:rPr>
          <w:rFonts w:ascii="Arial" w:hAnsi="Arial"/>
          <w:color w:val="000000"/>
          <w:u w:val="single"/>
        </w:rPr>
        <w:t>, 202</w:t>
      </w:r>
      <w:r w:rsidR="00301529">
        <w:rPr>
          <w:rFonts w:ascii="Arial" w:hAnsi="Arial"/>
          <w:color w:val="000000"/>
          <w:u w:val="single"/>
        </w:rPr>
        <w:t>1</w:t>
      </w:r>
    </w:p>
    <w:p w14:paraId="5BF2CC2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C8EDD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FC3BA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D2EA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079CA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B56659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086B41" w14:textId="77777777" w:rsidR="00AB6A0F" w:rsidRDefault="00AB6A0F">
      <w:pPr>
        <w:pStyle w:val="List"/>
        <w:keepLines/>
        <w:spacing w:before="120"/>
        <w:ind w:left="0" w:firstLine="0"/>
        <w:rPr>
          <w:rFonts w:ascii="Arial" w:hAnsi="Arial"/>
          <w:b/>
        </w:rPr>
      </w:pPr>
    </w:p>
    <w:p w14:paraId="3C838CEC" w14:textId="74263D3E" w:rsidR="00640E94" w:rsidRDefault="00640E94">
      <w:pPr>
        <w:pStyle w:val="List"/>
        <w:keepLines/>
        <w:spacing w:before="120"/>
        <w:ind w:left="0" w:firstLine="0"/>
        <w:rPr>
          <w:rFonts w:ascii="Arial" w:hAnsi="Arial"/>
          <w:b/>
        </w:rPr>
      </w:pPr>
      <w:r>
        <w:rPr>
          <w:rFonts w:ascii="Arial" w:hAnsi="Arial"/>
          <w:b/>
        </w:rPr>
        <w:t>Report on Business</w:t>
      </w:r>
    </w:p>
    <w:p w14:paraId="1DC20F61" w14:textId="5230D672"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69FB7E5" w14:textId="053D5E2A" w:rsidR="00301529" w:rsidRDefault="00301529" w:rsidP="00301529">
      <w:pPr>
        <w:pStyle w:val="List"/>
        <w:spacing w:before="120"/>
        <w:ind w:left="0" w:firstLine="0"/>
        <w:jc w:val="both"/>
        <w:rPr>
          <w:rFonts w:ascii="Arial" w:hAnsi="Arial"/>
          <w:i/>
          <w:iCs/>
        </w:rPr>
      </w:pPr>
      <w:r>
        <w:rPr>
          <w:rFonts w:ascii="Arial" w:hAnsi="Arial"/>
        </w:rPr>
        <w:tab/>
      </w:r>
    </w:p>
    <w:p w14:paraId="46C8B518" w14:textId="0580F46D" w:rsidR="00C852E4" w:rsidRDefault="00301529" w:rsidP="00301529">
      <w:pPr>
        <w:pStyle w:val="List"/>
        <w:spacing w:before="120"/>
        <w:ind w:left="0" w:firstLine="0"/>
        <w:jc w:val="both"/>
        <w:rPr>
          <w:rFonts w:ascii="Arial" w:hAnsi="Arial"/>
          <w:i/>
          <w:iCs/>
        </w:rPr>
      </w:pPr>
      <w:r>
        <w:rPr>
          <w:rFonts w:ascii="Arial" w:hAnsi="Arial"/>
          <w:i/>
          <w:iCs/>
        </w:rPr>
        <w:tab/>
      </w:r>
      <w:r w:rsidR="00C852E4">
        <w:rPr>
          <w:rFonts w:ascii="Arial" w:hAnsi="Arial"/>
          <w:i/>
          <w:iCs/>
        </w:rPr>
        <w:t xml:space="preserve"> </w:t>
      </w:r>
    </w:p>
    <w:p w14:paraId="2AF46101" w14:textId="77777777" w:rsidR="00C852E4" w:rsidRDefault="00C852E4" w:rsidP="00301529">
      <w:pPr>
        <w:pStyle w:val="List"/>
        <w:spacing w:before="120"/>
        <w:ind w:left="0" w:firstLine="0"/>
        <w:jc w:val="both"/>
        <w:rPr>
          <w:rFonts w:ascii="Arial" w:hAnsi="Arial"/>
          <w:i/>
          <w:iCs/>
        </w:rPr>
      </w:pPr>
    </w:p>
    <w:p w14:paraId="1E5232E6" w14:textId="1762B2C5" w:rsidR="00301529" w:rsidRDefault="007E5198" w:rsidP="00301529">
      <w:pPr>
        <w:pStyle w:val="List"/>
        <w:spacing w:before="120"/>
        <w:ind w:left="0" w:firstLine="0"/>
        <w:jc w:val="both"/>
        <w:rPr>
          <w:rFonts w:ascii="Arial" w:hAnsi="Arial"/>
          <w:i/>
          <w:iCs/>
        </w:rPr>
      </w:pPr>
      <w:r>
        <w:rPr>
          <w:rFonts w:ascii="Arial" w:hAnsi="Arial"/>
          <w:i/>
          <w:iCs/>
        </w:rPr>
        <w:tab/>
        <w:t>As previously noted o</w:t>
      </w:r>
      <w:r w:rsidR="00C852E4">
        <w:rPr>
          <w:rFonts w:ascii="Arial" w:hAnsi="Arial"/>
          <w:i/>
          <w:iCs/>
        </w:rPr>
        <w:t xml:space="preserve">n January </w:t>
      </w:r>
      <w:r>
        <w:rPr>
          <w:rFonts w:ascii="Arial" w:hAnsi="Arial"/>
          <w:i/>
          <w:iCs/>
        </w:rPr>
        <w:t>20,</w:t>
      </w:r>
      <w:r w:rsidR="00301529">
        <w:rPr>
          <w:rFonts w:ascii="Arial" w:hAnsi="Arial"/>
          <w:i/>
          <w:iCs/>
        </w:rPr>
        <w:t xml:space="preserve"> 202</w:t>
      </w:r>
      <w:r w:rsidR="00C852E4">
        <w:rPr>
          <w:rFonts w:ascii="Arial" w:hAnsi="Arial"/>
          <w:i/>
          <w:iCs/>
        </w:rPr>
        <w:t>1</w:t>
      </w:r>
      <w:r w:rsidR="00301529">
        <w:rPr>
          <w:rFonts w:ascii="Arial" w:hAnsi="Arial"/>
          <w:i/>
          <w:iCs/>
        </w:rPr>
        <w:t xml:space="preserve"> </w:t>
      </w:r>
      <w:r w:rsidR="00C852E4">
        <w:rPr>
          <w:rFonts w:ascii="Arial" w:hAnsi="Arial"/>
          <w:i/>
          <w:iCs/>
        </w:rPr>
        <w:t xml:space="preserve">announced an option on the Augustus </w:t>
      </w:r>
      <w:r>
        <w:rPr>
          <w:rFonts w:ascii="Arial" w:hAnsi="Arial"/>
          <w:i/>
          <w:iCs/>
        </w:rPr>
        <w:tab/>
      </w:r>
      <w:r w:rsidR="00C852E4">
        <w:rPr>
          <w:rFonts w:ascii="Arial" w:hAnsi="Arial"/>
          <w:i/>
          <w:iCs/>
        </w:rPr>
        <w:t xml:space="preserve">Lithium Property in </w:t>
      </w:r>
      <w:r>
        <w:rPr>
          <w:rFonts w:ascii="Arial" w:hAnsi="Arial"/>
          <w:i/>
          <w:iCs/>
        </w:rPr>
        <w:t xml:space="preserve">Quebec. Subsequently on February 08, 2021 First Energy </w:t>
      </w:r>
      <w:r>
        <w:rPr>
          <w:rFonts w:ascii="Arial" w:hAnsi="Arial"/>
          <w:i/>
          <w:iCs/>
        </w:rPr>
        <w:tab/>
        <w:t>acquired an additional property as described below.</w:t>
      </w:r>
    </w:p>
    <w:p w14:paraId="4070F4F3" w14:textId="4871EFC2" w:rsidR="007E5198" w:rsidRDefault="007E5198" w:rsidP="00301529">
      <w:pPr>
        <w:pStyle w:val="List"/>
        <w:spacing w:before="120"/>
        <w:ind w:left="0" w:firstLine="0"/>
        <w:jc w:val="both"/>
        <w:rPr>
          <w:rFonts w:ascii="Arial" w:hAnsi="Arial"/>
          <w:i/>
          <w:iCs/>
        </w:rPr>
      </w:pPr>
    </w:p>
    <w:p w14:paraId="40C07F28" w14:textId="5E3292A8" w:rsidR="007E5198" w:rsidRPr="007E5198" w:rsidRDefault="007E5198" w:rsidP="007E5198">
      <w:pPr>
        <w:pStyle w:val="NormalWeb"/>
        <w:rPr>
          <w:rFonts w:asciiTheme="minorHAnsi" w:hAnsiTheme="minorHAnsi" w:cstheme="minorHAnsi"/>
          <w:i/>
          <w:iCs/>
          <w:color w:val="000000"/>
          <w:sz w:val="20"/>
          <w:szCs w:val="20"/>
        </w:rPr>
      </w:pPr>
      <w:r w:rsidRPr="007E5198">
        <w:rPr>
          <w:rFonts w:asciiTheme="minorHAnsi" w:hAnsiTheme="minorHAnsi" w:cstheme="minorHAnsi"/>
          <w:i/>
          <w:iCs/>
          <w:color w:val="000000"/>
          <w:sz w:val="20"/>
          <w:szCs w:val="20"/>
        </w:rPr>
        <w:t>FIRST ENERGY METALS ACQUIRES SUBSEQUENT LITHIUM PROPERTY NEARAUGUSTUS PROJECT IN QUEBEC, CANADA</w:t>
      </w:r>
    </w:p>
    <w:p w14:paraId="33DB0363"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First Energy Metals Ltd. has entered into an option agreement to acquire another lithium exploration property located in </w:t>
      </w:r>
      <w:proofErr w:type="spellStart"/>
      <w:r w:rsidRPr="007E5198">
        <w:rPr>
          <w:rFonts w:asciiTheme="minorHAnsi" w:hAnsiTheme="minorHAnsi" w:cstheme="minorHAnsi"/>
          <w:i/>
          <w:iCs/>
          <w:color w:val="000000"/>
          <w:lang w:val="en-CA" w:eastAsia="zh-CN"/>
        </w:rPr>
        <w:t>Landrienne</w:t>
      </w:r>
      <w:proofErr w:type="spellEnd"/>
      <w:r w:rsidRPr="007E5198">
        <w:rPr>
          <w:rFonts w:asciiTheme="minorHAnsi" w:hAnsiTheme="minorHAnsi" w:cstheme="minorHAnsi"/>
          <w:i/>
          <w:iCs/>
          <w:color w:val="000000"/>
          <w:lang w:val="en-CA" w:eastAsia="zh-CN"/>
        </w:rPr>
        <w:t xml:space="preserve"> and </w:t>
      </w:r>
      <w:proofErr w:type="spellStart"/>
      <w:r w:rsidRPr="007E5198">
        <w:rPr>
          <w:rFonts w:asciiTheme="minorHAnsi" w:hAnsiTheme="minorHAnsi" w:cstheme="minorHAnsi"/>
          <w:i/>
          <w:iCs/>
          <w:color w:val="000000"/>
          <w:lang w:val="en-CA" w:eastAsia="zh-CN"/>
        </w:rPr>
        <w:t>Lacorne</w:t>
      </w:r>
      <w:proofErr w:type="spellEnd"/>
      <w:r w:rsidRPr="007E5198">
        <w:rPr>
          <w:rFonts w:asciiTheme="minorHAnsi" w:hAnsiTheme="minorHAnsi" w:cstheme="minorHAnsi"/>
          <w:i/>
          <w:iCs/>
          <w:color w:val="000000"/>
          <w:lang w:val="en-CA" w:eastAsia="zh-CN"/>
        </w:rPr>
        <w:t xml:space="preserve"> townships, Quebec, Canada. The property consists of 15 mining claims in two non-contiguous claim groups representing a total area of 671.58 hectares located approximately 40 kilometres northwest of the town of Val d'Or on map sheet 32C/05. The newly acquired claims are located to the west and south of the Augustus lithium property claims which were optioned in </w:t>
      </w:r>
      <w:proofErr w:type="gramStart"/>
      <w:r w:rsidRPr="007E5198">
        <w:rPr>
          <w:rFonts w:asciiTheme="minorHAnsi" w:hAnsiTheme="minorHAnsi" w:cstheme="minorHAnsi"/>
          <w:i/>
          <w:iCs/>
          <w:color w:val="000000"/>
          <w:lang w:val="en-CA" w:eastAsia="zh-CN"/>
        </w:rPr>
        <w:t>January,</w:t>
      </w:r>
      <w:proofErr w:type="gramEnd"/>
      <w:r w:rsidRPr="007E5198">
        <w:rPr>
          <w:rFonts w:asciiTheme="minorHAnsi" w:hAnsiTheme="minorHAnsi" w:cstheme="minorHAnsi"/>
          <w:i/>
          <w:iCs/>
          <w:color w:val="000000"/>
          <w:lang w:val="en-CA" w:eastAsia="zh-CN"/>
        </w:rPr>
        <w:t xml:space="preserve"> 2021 (see company's news release dated Jan. 21, 2021).</w:t>
      </w:r>
    </w:p>
    <w:p w14:paraId="741DCF58"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Property highlights</w:t>
      </w:r>
    </w:p>
    <w:p w14:paraId="36A84FC4"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Of particular interest on this new acquisition is claim CDC-2196058 (Range 1 lot 25) which hosts a part of the historical Canadian lithium prospect which extends to the west from the Augustus claim CDC-2427519. </w:t>
      </w:r>
    </w:p>
    <w:p w14:paraId="7208E226"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The Canadian lithium prospect is a worked deposit located in Range 1 lot 25-26 in the </w:t>
      </w:r>
      <w:proofErr w:type="spellStart"/>
      <w:r w:rsidRPr="007E5198">
        <w:rPr>
          <w:rFonts w:asciiTheme="minorHAnsi" w:hAnsiTheme="minorHAnsi" w:cstheme="minorHAnsi"/>
          <w:i/>
          <w:iCs/>
          <w:color w:val="000000"/>
          <w:lang w:val="en-CA" w:eastAsia="zh-CN"/>
        </w:rPr>
        <w:t>Landrienne</w:t>
      </w:r>
      <w:proofErr w:type="spellEnd"/>
      <w:r w:rsidRPr="007E5198">
        <w:rPr>
          <w:rFonts w:asciiTheme="minorHAnsi" w:hAnsiTheme="minorHAnsi" w:cstheme="minorHAnsi"/>
          <w:i/>
          <w:iCs/>
          <w:color w:val="000000"/>
          <w:lang w:val="en-CA" w:eastAsia="zh-CN"/>
        </w:rPr>
        <w:t xml:space="preserve"> township at G.P.S 284861 E -- 5368288 N. The main outcrop was discovered in 1948 near the boundary line separating the </w:t>
      </w:r>
      <w:proofErr w:type="spellStart"/>
      <w:r w:rsidRPr="007E5198">
        <w:rPr>
          <w:rFonts w:asciiTheme="minorHAnsi" w:hAnsiTheme="minorHAnsi" w:cstheme="minorHAnsi"/>
          <w:i/>
          <w:iCs/>
          <w:color w:val="000000"/>
          <w:lang w:val="en-CA" w:eastAsia="zh-CN"/>
        </w:rPr>
        <w:t>Landrienne</w:t>
      </w:r>
      <w:proofErr w:type="spellEnd"/>
      <w:r w:rsidRPr="007E5198">
        <w:rPr>
          <w:rFonts w:asciiTheme="minorHAnsi" w:hAnsiTheme="minorHAnsi" w:cstheme="minorHAnsi"/>
          <w:i/>
          <w:iCs/>
          <w:color w:val="000000"/>
          <w:lang w:val="en-CA" w:eastAsia="zh-CN"/>
        </w:rPr>
        <w:t xml:space="preserve"> and </w:t>
      </w:r>
      <w:proofErr w:type="spellStart"/>
      <w:r w:rsidRPr="007E5198">
        <w:rPr>
          <w:rFonts w:asciiTheme="minorHAnsi" w:hAnsiTheme="minorHAnsi" w:cstheme="minorHAnsi"/>
          <w:i/>
          <w:iCs/>
          <w:color w:val="000000"/>
          <w:lang w:val="en-CA" w:eastAsia="zh-CN"/>
        </w:rPr>
        <w:t>Lacorne</w:t>
      </w:r>
      <w:proofErr w:type="spellEnd"/>
      <w:r w:rsidRPr="007E5198">
        <w:rPr>
          <w:rFonts w:asciiTheme="minorHAnsi" w:hAnsiTheme="minorHAnsi" w:cstheme="minorHAnsi"/>
          <w:i/>
          <w:iCs/>
          <w:color w:val="000000"/>
          <w:lang w:val="en-CA" w:eastAsia="zh-CN"/>
        </w:rPr>
        <w:t xml:space="preserve"> townships. A group of parallel pegmatite dikes associated with </w:t>
      </w:r>
      <w:proofErr w:type="spellStart"/>
      <w:r w:rsidRPr="007E5198">
        <w:rPr>
          <w:rFonts w:asciiTheme="minorHAnsi" w:hAnsiTheme="minorHAnsi" w:cstheme="minorHAnsi"/>
          <w:i/>
          <w:iCs/>
          <w:color w:val="000000"/>
          <w:lang w:val="en-CA" w:eastAsia="zh-CN"/>
        </w:rPr>
        <w:t>Lacorne</w:t>
      </w:r>
      <w:proofErr w:type="spellEnd"/>
      <w:r w:rsidRPr="007E5198">
        <w:rPr>
          <w:rFonts w:asciiTheme="minorHAnsi" w:hAnsiTheme="minorHAnsi" w:cstheme="minorHAnsi"/>
          <w:i/>
          <w:iCs/>
          <w:color w:val="000000"/>
          <w:lang w:val="en-CA" w:eastAsia="zh-CN"/>
        </w:rPr>
        <w:t xml:space="preserve"> batholith contains aggregates of spodumene, lepidolite, quartz and feldspar accompanied by traces of beryl, </w:t>
      </w:r>
      <w:proofErr w:type="spellStart"/>
      <w:r w:rsidRPr="007E5198">
        <w:rPr>
          <w:rFonts w:asciiTheme="minorHAnsi" w:hAnsiTheme="minorHAnsi" w:cstheme="minorHAnsi"/>
          <w:i/>
          <w:iCs/>
          <w:color w:val="000000"/>
          <w:lang w:val="en-CA" w:eastAsia="zh-CN"/>
        </w:rPr>
        <w:t>clevelandite</w:t>
      </w:r>
      <w:proofErr w:type="spellEnd"/>
      <w:r w:rsidRPr="007E5198">
        <w:rPr>
          <w:rFonts w:asciiTheme="minorHAnsi" w:hAnsiTheme="minorHAnsi" w:cstheme="minorHAnsi"/>
          <w:i/>
          <w:iCs/>
          <w:color w:val="000000"/>
          <w:lang w:val="en-CA" w:eastAsia="zh-CN"/>
        </w:rPr>
        <w:t xml:space="preserve">, </w:t>
      </w:r>
      <w:proofErr w:type="spellStart"/>
      <w:r w:rsidRPr="007E5198">
        <w:rPr>
          <w:rFonts w:asciiTheme="minorHAnsi" w:hAnsiTheme="minorHAnsi" w:cstheme="minorHAnsi"/>
          <w:i/>
          <w:iCs/>
          <w:color w:val="000000"/>
          <w:lang w:val="en-CA" w:eastAsia="zh-CN"/>
        </w:rPr>
        <w:t>colombo</w:t>
      </w:r>
      <w:proofErr w:type="spellEnd"/>
      <w:r w:rsidRPr="007E5198">
        <w:rPr>
          <w:rFonts w:asciiTheme="minorHAnsi" w:hAnsiTheme="minorHAnsi" w:cstheme="minorHAnsi"/>
          <w:i/>
          <w:iCs/>
          <w:color w:val="000000"/>
          <w:lang w:val="en-CA" w:eastAsia="zh-CN"/>
        </w:rPr>
        <w:t>-tantalite. </w:t>
      </w:r>
    </w:p>
    <w:p w14:paraId="59D8C4BD"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Historical drilling in 1955 on claim CDC-2196058 documented on the Quebec Ministry of Energy and Natural Resources (MERN) database indicate a total of 12 drill holes with a cumulative drilling 1,454 metres indicating extension of Canadian lithium deposit to the west on this newly acquired claim. Additionally, 14 historical drill holes documented on the Canadian lithium prospect located on the adjoining Augustus claim have already been reported in the company's news release dated Feb. 2, 2021. </w:t>
      </w:r>
    </w:p>
    <w:p w14:paraId="6C006717"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Highlights of the historical drilling results are provided below (also see attached table): </w:t>
      </w:r>
    </w:p>
    <w:p w14:paraId="667FD4CA" w14:textId="77777777" w:rsidR="007E5198" w:rsidRPr="007E5198" w:rsidRDefault="007E5198" w:rsidP="007E5198">
      <w:pPr>
        <w:numPr>
          <w:ilvl w:val="0"/>
          <w:numId w:val="43"/>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Drilling results show several large low-grade lithium pegmatite intercepts ranging in width from 5.73 metres (m) to 84.94 m with lithium grades of 0.11 per cent lithium oxide (Li2O) to 0.38 per cent Li2O. </w:t>
      </w:r>
    </w:p>
    <w:p w14:paraId="511337E7" w14:textId="77777777" w:rsidR="007E5198" w:rsidRPr="007E5198" w:rsidRDefault="007E5198" w:rsidP="007E5198">
      <w:pPr>
        <w:numPr>
          <w:ilvl w:val="0"/>
          <w:numId w:val="43"/>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The low-grade pegmatites are intersected by high-grade spodumene-bearing lithium pegmatites with grades in the range of 1.2 per cent Li2O to 2.3 per cent Li2O and widths in the range of 0.46 m to 6.55 m (source reports GM03952 and GM00744).</w:t>
      </w:r>
    </w:p>
    <w:p w14:paraId="69546FAF"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SUMMARY OF HISTORICAL DRILL HOLES RESULTS (SOURCE: REPORT GM03952)</w:t>
      </w:r>
    </w:p>
    <w:p w14:paraId="674D7373"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w:t>
      </w:r>
    </w:p>
    <w:p w14:paraId="2152EBAE"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Hole ID         Depth             </w:t>
      </w:r>
      <w:proofErr w:type="spellStart"/>
      <w:r w:rsidRPr="007E5198">
        <w:rPr>
          <w:rFonts w:asciiTheme="minorHAnsi" w:hAnsiTheme="minorHAnsi" w:cstheme="minorHAnsi"/>
          <w:i/>
          <w:iCs/>
          <w:color w:val="000000"/>
          <w:lang w:val="en-CA" w:eastAsia="zh-CN"/>
        </w:rPr>
        <w:t>Depth</w:t>
      </w:r>
      <w:proofErr w:type="spellEnd"/>
      <w:r w:rsidRPr="007E5198">
        <w:rPr>
          <w:rFonts w:asciiTheme="minorHAnsi" w:hAnsiTheme="minorHAnsi" w:cstheme="minorHAnsi"/>
          <w:i/>
          <w:iCs/>
          <w:color w:val="000000"/>
          <w:lang w:val="en-CA" w:eastAsia="zh-CN"/>
        </w:rPr>
        <w:t xml:space="preserve">           Total              Lithium</w:t>
      </w:r>
    </w:p>
    <w:p w14:paraId="05283114"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from                to       thickness                grade      </w:t>
      </w:r>
    </w:p>
    <w:p w14:paraId="71EF8EF3"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m                 </w:t>
      </w:r>
      <w:proofErr w:type="spellStart"/>
      <w:r w:rsidRPr="007E5198">
        <w:rPr>
          <w:rFonts w:asciiTheme="minorHAnsi" w:hAnsiTheme="minorHAnsi" w:cstheme="minorHAnsi"/>
          <w:i/>
          <w:iCs/>
          <w:color w:val="000000"/>
          <w:lang w:val="en-CA" w:eastAsia="zh-CN"/>
        </w:rPr>
        <w:t>m</w:t>
      </w:r>
      <w:proofErr w:type="spellEnd"/>
      <w:r w:rsidRPr="007E5198">
        <w:rPr>
          <w:rFonts w:asciiTheme="minorHAnsi" w:hAnsiTheme="minorHAnsi" w:cstheme="minorHAnsi"/>
          <w:i/>
          <w:iCs/>
          <w:color w:val="000000"/>
          <w:lang w:val="en-CA" w:eastAsia="zh-CN"/>
        </w:rPr>
        <w:t xml:space="preserve">              </w:t>
      </w:r>
      <w:proofErr w:type="spellStart"/>
      <w:r w:rsidRPr="007E5198">
        <w:rPr>
          <w:rFonts w:asciiTheme="minorHAnsi" w:hAnsiTheme="minorHAnsi" w:cstheme="minorHAnsi"/>
          <w:i/>
          <w:iCs/>
          <w:color w:val="000000"/>
          <w:lang w:val="en-CA" w:eastAsia="zh-CN"/>
        </w:rPr>
        <w:t>m</w:t>
      </w:r>
      <w:proofErr w:type="spellEnd"/>
      <w:r w:rsidRPr="007E5198">
        <w:rPr>
          <w:rFonts w:asciiTheme="minorHAnsi" w:hAnsiTheme="minorHAnsi" w:cstheme="minorHAnsi"/>
          <w:i/>
          <w:iCs/>
          <w:color w:val="000000"/>
          <w:lang w:val="en-CA" w:eastAsia="zh-CN"/>
        </w:rPr>
        <w:t xml:space="preserve">                Li2O %              </w:t>
      </w:r>
    </w:p>
    <w:p w14:paraId="0E4BF372"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p>
    <w:p w14:paraId="12C716F0"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CL-39            8.84             52.73          43.89                 0.318               </w:t>
      </w:r>
    </w:p>
    <w:p w14:paraId="7AC7A357"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Including       17.62             21.70           4.08                 1.200                 </w:t>
      </w:r>
    </w:p>
    <w:p w14:paraId="57D23C9C"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and             30.48             30.94           0.46                 2.300                 </w:t>
      </w:r>
    </w:p>
    <w:p w14:paraId="376C1E30"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CL-40           30.72             32.55           1.83                 1.900</w:t>
      </w:r>
    </w:p>
    <w:p w14:paraId="49CEF865"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lastRenderedPageBreak/>
        <w:t xml:space="preserve">CL-41           35.42             41.15           5.73                 0.110                </w:t>
      </w:r>
    </w:p>
    <w:p w14:paraId="241C162E"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45.84             47.55           1.71                 2.250                </w:t>
      </w:r>
    </w:p>
    <w:p w14:paraId="648BB43B"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CL-44           34.50            119.45          84.95                 0.160                </w:t>
      </w:r>
    </w:p>
    <w:p w14:paraId="5E8E2D40"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Including       37.18             39.16           1.98                 1.240                </w:t>
      </w:r>
    </w:p>
    <w:p w14:paraId="0F6AC6B8"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and             80.49             81.35           0.86                 1.140                </w:t>
      </w:r>
    </w:p>
    <w:p w14:paraId="0E564BDA"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and            102.65            103.32           0.67                 1.220                </w:t>
      </w:r>
    </w:p>
    <w:p w14:paraId="1FA896DB"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CL-46           15.00             18.84           3.84                 1.800                 </w:t>
      </w:r>
    </w:p>
    <w:p w14:paraId="21B00CED"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20.57             37.03          16.46                 0.600                 </w:t>
      </w:r>
    </w:p>
    <w:p w14:paraId="79ECB0DE"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Including       30.48             37.03           6.55                 1.200                 </w:t>
      </w:r>
    </w:p>
    <w:p w14:paraId="084A2D83"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38.59             74.73          36.14                 0.130                </w:t>
      </w:r>
    </w:p>
    <w:p w14:paraId="20C0AD9E"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Including       39.07             39.77           0.70                 1.940                </w:t>
      </w:r>
    </w:p>
    <w:p w14:paraId="1AD154A0"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CL-49           95.37            119.20          23.83                 0.160                </w:t>
      </w:r>
    </w:p>
    <w:p w14:paraId="6BA849E0"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Including      108.78            109.72           0.94                 1.500                 </w:t>
      </w:r>
    </w:p>
    <w:p w14:paraId="322708B7"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CL-56          105.76            120.36          14.60                 0.240                </w:t>
      </w:r>
    </w:p>
    <w:p w14:paraId="1E863584"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p>
    <w:p w14:paraId="1DBFC50C"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Note: Reported intersections are drilled intervals and true widths have not </w:t>
      </w:r>
    </w:p>
    <w:p w14:paraId="60F72AC2"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      been calculated.</w:t>
      </w:r>
    </w:p>
    <w:p w14:paraId="053046AC"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p>
    <w:p w14:paraId="2813E112" w14:textId="77777777"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p>
    <w:p w14:paraId="3CF23D15" w14:textId="5FA7F831" w:rsidR="007E5198" w:rsidRPr="007E5198" w:rsidRDefault="007E5198" w:rsidP="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Gurminder Sangha, chief executive officer of First Energy Metals, stated: "We are pleased to acquire additional lithium exploration claims in the Augustus lithium property area. Now the company's claim area completely covers the historical Canadian lithium prospect with 2,398 m diamond drilling performed in 26 drill holes. With a total of over 12,000 metres, drilling in 74 drill holes over the entire property gives a wealth of data to make future exploration plans. We feel the new acquisition in the growing lithium market will assist with creating value for both current and prospective shareholders." </w:t>
      </w:r>
    </w:p>
    <w:p w14:paraId="341E20C0"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Transaction details</w:t>
      </w:r>
    </w:p>
    <w:p w14:paraId="02DB4297"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Pursuant to a property purchase agreement between the </w:t>
      </w:r>
      <w:proofErr w:type="spellStart"/>
      <w:r w:rsidRPr="007E5198">
        <w:rPr>
          <w:rFonts w:asciiTheme="minorHAnsi" w:hAnsiTheme="minorHAnsi" w:cstheme="minorHAnsi"/>
          <w:i/>
          <w:iCs/>
          <w:color w:val="000000"/>
          <w:lang w:val="en-CA" w:eastAsia="zh-CN"/>
        </w:rPr>
        <w:t>optionor</w:t>
      </w:r>
      <w:proofErr w:type="spellEnd"/>
      <w:r w:rsidRPr="007E5198">
        <w:rPr>
          <w:rFonts w:asciiTheme="minorHAnsi" w:hAnsiTheme="minorHAnsi" w:cstheme="minorHAnsi"/>
          <w:i/>
          <w:iCs/>
          <w:color w:val="000000"/>
          <w:lang w:val="en-CA" w:eastAsia="zh-CN"/>
        </w:rPr>
        <w:t xml:space="preserve"> (Glenn </w:t>
      </w:r>
      <w:proofErr w:type="spellStart"/>
      <w:r w:rsidRPr="007E5198">
        <w:rPr>
          <w:rFonts w:asciiTheme="minorHAnsi" w:hAnsiTheme="minorHAnsi" w:cstheme="minorHAnsi"/>
          <w:i/>
          <w:iCs/>
          <w:color w:val="000000"/>
          <w:lang w:val="en-CA" w:eastAsia="zh-CN"/>
        </w:rPr>
        <w:t>Griesbach</w:t>
      </w:r>
      <w:proofErr w:type="spellEnd"/>
      <w:r w:rsidRPr="007E5198">
        <w:rPr>
          <w:rFonts w:asciiTheme="minorHAnsi" w:hAnsiTheme="minorHAnsi" w:cstheme="minorHAnsi"/>
          <w:i/>
          <w:iCs/>
          <w:color w:val="000000"/>
          <w:lang w:val="en-CA" w:eastAsia="zh-CN"/>
        </w:rPr>
        <w:t>) and the company, dated Feb. 3, 2021, First Energy holds an option to acquire a 100-per-cent interest in the property by making cash payments and common shares issuances as follows:</w:t>
      </w:r>
    </w:p>
    <w:p w14:paraId="3096505B" w14:textId="77777777" w:rsidR="007E5198" w:rsidRPr="007E5198" w:rsidRDefault="007E5198" w:rsidP="007E5198">
      <w:pPr>
        <w:numPr>
          <w:ilvl w:val="0"/>
          <w:numId w:val="44"/>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The optionee making the following cash payments to the </w:t>
      </w:r>
      <w:proofErr w:type="spellStart"/>
      <w:r w:rsidRPr="007E5198">
        <w:rPr>
          <w:rFonts w:asciiTheme="minorHAnsi" w:hAnsiTheme="minorHAnsi" w:cstheme="minorHAnsi"/>
          <w:i/>
          <w:iCs/>
          <w:color w:val="000000"/>
          <w:lang w:val="en-CA" w:eastAsia="zh-CN"/>
        </w:rPr>
        <w:t>optionor</w:t>
      </w:r>
      <w:proofErr w:type="spellEnd"/>
      <w:r w:rsidRPr="007E5198">
        <w:rPr>
          <w:rFonts w:asciiTheme="minorHAnsi" w:hAnsiTheme="minorHAnsi" w:cstheme="minorHAnsi"/>
          <w:i/>
          <w:iCs/>
          <w:color w:val="000000"/>
          <w:lang w:val="en-CA" w:eastAsia="zh-CN"/>
        </w:rPr>
        <w:t>: </w:t>
      </w:r>
    </w:p>
    <w:p w14:paraId="11958110" w14:textId="77777777" w:rsidR="007E5198" w:rsidRPr="007E5198" w:rsidRDefault="007E5198" w:rsidP="007E5198">
      <w:pPr>
        <w:numPr>
          <w:ilvl w:val="1"/>
          <w:numId w:val="44"/>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$15,000 to be paid on the effective </w:t>
      </w:r>
      <w:proofErr w:type="gramStart"/>
      <w:r w:rsidRPr="007E5198">
        <w:rPr>
          <w:rFonts w:asciiTheme="minorHAnsi" w:hAnsiTheme="minorHAnsi" w:cstheme="minorHAnsi"/>
          <w:i/>
          <w:iCs/>
          <w:color w:val="000000"/>
          <w:lang w:val="en-CA" w:eastAsia="zh-CN"/>
        </w:rPr>
        <w:t>date;</w:t>
      </w:r>
      <w:proofErr w:type="gramEnd"/>
      <w:r w:rsidRPr="007E5198">
        <w:rPr>
          <w:rFonts w:asciiTheme="minorHAnsi" w:hAnsiTheme="minorHAnsi" w:cstheme="minorHAnsi"/>
          <w:i/>
          <w:iCs/>
          <w:color w:val="000000"/>
          <w:lang w:val="en-CA" w:eastAsia="zh-CN"/>
        </w:rPr>
        <w:t> </w:t>
      </w:r>
    </w:p>
    <w:p w14:paraId="2F8510AA" w14:textId="77777777" w:rsidR="007E5198" w:rsidRPr="007E5198" w:rsidRDefault="007E5198" w:rsidP="007E5198">
      <w:pPr>
        <w:numPr>
          <w:ilvl w:val="1"/>
          <w:numId w:val="44"/>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$20,000 to be paid upon the first anniversary of the effective </w:t>
      </w:r>
      <w:proofErr w:type="gramStart"/>
      <w:r w:rsidRPr="007E5198">
        <w:rPr>
          <w:rFonts w:asciiTheme="minorHAnsi" w:hAnsiTheme="minorHAnsi" w:cstheme="minorHAnsi"/>
          <w:i/>
          <w:iCs/>
          <w:color w:val="000000"/>
          <w:lang w:val="en-CA" w:eastAsia="zh-CN"/>
        </w:rPr>
        <w:t>date;</w:t>
      </w:r>
      <w:proofErr w:type="gramEnd"/>
      <w:r w:rsidRPr="007E5198">
        <w:rPr>
          <w:rFonts w:asciiTheme="minorHAnsi" w:hAnsiTheme="minorHAnsi" w:cstheme="minorHAnsi"/>
          <w:i/>
          <w:iCs/>
          <w:color w:val="000000"/>
          <w:lang w:val="en-CA" w:eastAsia="zh-CN"/>
        </w:rPr>
        <w:t> </w:t>
      </w:r>
    </w:p>
    <w:p w14:paraId="1EDD1909" w14:textId="77777777" w:rsidR="007E5198" w:rsidRPr="007E5198" w:rsidRDefault="007E5198" w:rsidP="007E5198">
      <w:pPr>
        <w:numPr>
          <w:ilvl w:val="1"/>
          <w:numId w:val="44"/>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An additional $25,000 on or before the second anniversary of the effective date. </w:t>
      </w:r>
    </w:p>
    <w:p w14:paraId="2316287E" w14:textId="77777777" w:rsidR="007E5198" w:rsidRPr="007E5198" w:rsidRDefault="007E5198" w:rsidP="007E5198">
      <w:pPr>
        <w:numPr>
          <w:ilvl w:val="0"/>
          <w:numId w:val="44"/>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The optionee allotting and issuing the following common shares in its capital stock to the </w:t>
      </w:r>
      <w:proofErr w:type="spellStart"/>
      <w:r w:rsidRPr="007E5198">
        <w:rPr>
          <w:rFonts w:asciiTheme="minorHAnsi" w:hAnsiTheme="minorHAnsi" w:cstheme="minorHAnsi"/>
          <w:i/>
          <w:iCs/>
          <w:color w:val="000000"/>
          <w:lang w:val="en-CA" w:eastAsia="zh-CN"/>
        </w:rPr>
        <w:t>optionor</w:t>
      </w:r>
      <w:proofErr w:type="spellEnd"/>
      <w:r w:rsidRPr="007E5198">
        <w:rPr>
          <w:rFonts w:asciiTheme="minorHAnsi" w:hAnsiTheme="minorHAnsi" w:cstheme="minorHAnsi"/>
          <w:i/>
          <w:iCs/>
          <w:color w:val="000000"/>
          <w:lang w:val="en-CA" w:eastAsia="zh-CN"/>
        </w:rPr>
        <w:t xml:space="preserve"> subject to the approval of the regulatory bodies as follows: </w:t>
      </w:r>
    </w:p>
    <w:p w14:paraId="241C226C" w14:textId="77777777" w:rsidR="007E5198" w:rsidRPr="007E5198" w:rsidRDefault="007E5198" w:rsidP="007E5198">
      <w:pPr>
        <w:numPr>
          <w:ilvl w:val="1"/>
          <w:numId w:val="45"/>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325,000 shares issued upon the execution of the option </w:t>
      </w:r>
      <w:proofErr w:type="gramStart"/>
      <w:r w:rsidRPr="007E5198">
        <w:rPr>
          <w:rFonts w:asciiTheme="minorHAnsi" w:hAnsiTheme="minorHAnsi" w:cstheme="minorHAnsi"/>
          <w:i/>
          <w:iCs/>
          <w:color w:val="000000"/>
          <w:lang w:val="en-CA" w:eastAsia="zh-CN"/>
        </w:rPr>
        <w:t>agreement;</w:t>
      </w:r>
      <w:proofErr w:type="gramEnd"/>
    </w:p>
    <w:p w14:paraId="666148FF" w14:textId="77777777" w:rsidR="007E5198" w:rsidRPr="007E5198" w:rsidRDefault="007E5198" w:rsidP="007E5198">
      <w:pPr>
        <w:numPr>
          <w:ilvl w:val="1"/>
          <w:numId w:val="45"/>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An additional 250,000 shares issued on or before the date of being one year from signing the </w:t>
      </w:r>
      <w:proofErr w:type="gramStart"/>
      <w:r w:rsidRPr="007E5198">
        <w:rPr>
          <w:rFonts w:asciiTheme="minorHAnsi" w:hAnsiTheme="minorHAnsi" w:cstheme="minorHAnsi"/>
          <w:i/>
          <w:iCs/>
          <w:color w:val="000000"/>
          <w:lang w:val="en-CA" w:eastAsia="zh-CN"/>
        </w:rPr>
        <w:t>agreement;</w:t>
      </w:r>
      <w:proofErr w:type="gramEnd"/>
      <w:r w:rsidRPr="007E5198">
        <w:rPr>
          <w:rFonts w:asciiTheme="minorHAnsi" w:hAnsiTheme="minorHAnsi" w:cstheme="minorHAnsi"/>
          <w:i/>
          <w:iCs/>
          <w:color w:val="000000"/>
          <w:lang w:val="en-CA" w:eastAsia="zh-CN"/>
        </w:rPr>
        <w:t> </w:t>
      </w:r>
    </w:p>
    <w:p w14:paraId="3D3A4E95" w14:textId="77777777" w:rsidR="007E5198" w:rsidRPr="007E5198" w:rsidRDefault="007E5198" w:rsidP="007E5198">
      <w:pPr>
        <w:numPr>
          <w:ilvl w:val="1"/>
          <w:numId w:val="45"/>
        </w:num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An additional 300,000 shares issued on or before the date of being two years from signing the agreement. </w:t>
      </w:r>
    </w:p>
    <w:p w14:paraId="00E56BD8"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 xml:space="preserve">The </w:t>
      </w:r>
      <w:proofErr w:type="spellStart"/>
      <w:r w:rsidRPr="007E5198">
        <w:rPr>
          <w:rFonts w:asciiTheme="minorHAnsi" w:hAnsiTheme="minorHAnsi" w:cstheme="minorHAnsi"/>
          <w:i/>
          <w:iCs/>
          <w:color w:val="000000"/>
          <w:lang w:val="en-CA" w:eastAsia="zh-CN"/>
        </w:rPr>
        <w:t>optionor</w:t>
      </w:r>
      <w:proofErr w:type="spellEnd"/>
      <w:r w:rsidRPr="007E5198">
        <w:rPr>
          <w:rFonts w:asciiTheme="minorHAnsi" w:hAnsiTheme="minorHAnsi" w:cstheme="minorHAnsi"/>
          <w:i/>
          <w:iCs/>
          <w:color w:val="000000"/>
          <w:lang w:val="en-CA" w:eastAsia="zh-CN"/>
        </w:rPr>
        <w:t xml:space="preserve"> will retain a 2.0-per-cent net smelter royalty from any future production.</w:t>
      </w:r>
    </w:p>
    <w:p w14:paraId="7C66FC68" w14:textId="77777777" w:rsidR="007E5198" w:rsidRPr="007E5198" w:rsidRDefault="007E5198" w:rsidP="007E5198">
      <w:pPr>
        <w:spacing w:before="100" w:beforeAutospacing="1" w:after="100" w:afterAutospacing="1"/>
        <w:rPr>
          <w:rFonts w:asciiTheme="minorHAnsi" w:hAnsiTheme="minorHAnsi" w:cstheme="minorHAnsi"/>
          <w:i/>
          <w:iCs/>
          <w:color w:val="000000"/>
          <w:lang w:val="en-CA" w:eastAsia="zh-CN"/>
        </w:rPr>
      </w:pPr>
      <w:r w:rsidRPr="007E5198">
        <w:rPr>
          <w:rFonts w:asciiTheme="minorHAnsi" w:hAnsiTheme="minorHAnsi" w:cstheme="minorHAnsi"/>
          <w:i/>
          <w:iCs/>
          <w:color w:val="000000"/>
          <w:lang w:val="en-CA" w:eastAsia="zh-CN"/>
        </w:rPr>
        <w:t>This above-noted agreement is with a non-related party and there are no directors, officers or senior management in common. Closing of the transaction is subject to obtaining all required approvals, including the CSE (Canadian Securities Exchange) and including any other regulatory approval.</w:t>
      </w:r>
    </w:p>
    <w:p w14:paraId="47E11F27" w14:textId="1C728973" w:rsidR="00C852E4" w:rsidRPr="00AF38FC" w:rsidRDefault="007E5198" w:rsidP="00AF38FC">
      <w:pPr>
        <w:spacing w:before="100" w:beforeAutospacing="1" w:after="100" w:afterAutospacing="1"/>
        <w:rPr>
          <w:rFonts w:asciiTheme="minorHAnsi" w:hAnsiTheme="minorHAnsi" w:cstheme="minorHAnsi"/>
          <w:i/>
          <w:iCs/>
          <w:color w:val="000000"/>
          <w:lang w:val="en-CA" w:eastAsia="zh-CN"/>
        </w:rPr>
      </w:pPr>
      <w:proofErr w:type="spellStart"/>
      <w:r w:rsidRPr="007E5198">
        <w:rPr>
          <w:rFonts w:asciiTheme="minorHAnsi" w:hAnsiTheme="minorHAnsi" w:cstheme="minorHAnsi"/>
          <w:i/>
          <w:iCs/>
          <w:color w:val="000000"/>
          <w:lang w:val="en-CA" w:eastAsia="zh-CN"/>
        </w:rPr>
        <w:lastRenderedPageBreak/>
        <w:t>Afzaal</w:t>
      </w:r>
      <w:proofErr w:type="spellEnd"/>
      <w:r w:rsidRPr="007E5198">
        <w:rPr>
          <w:rFonts w:asciiTheme="minorHAnsi" w:hAnsiTheme="minorHAnsi" w:cstheme="minorHAnsi"/>
          <w:i/>
          <w:iCs/>
          <w:color w:val="000000"/>
          <w:lang w:val="en-CA" w:eastAsia="zh-CN"/>
        </w:rPr>
        <w:t xml:space="preserve"> Pirzada, </w:t>
      </w:r>
      <w:proofErr w:type="spellStart"/>
      <w:r w:rsidRPr="007E5198">
        <w:rPr>
          <w:rFonts w:asciiTheme="minorHAnsi" w:hAnsiTheme="minorHAnsi" w:cstheme="minorHAnsi"/>
          <w:i/>
          <w:iCs/>
          <w:color w:val="000000"/>
          <w:lang w:val="en-CA" w:eastAsia="zh-CN"/>
        </w:rPr>
        <w:t>PGeo</w:t>
      </w:r>
      <w:proofErr w:type="spellEnd"/>
      <w:r w:rsidRPr="007E5198">
        <w:rPr>
          <w:rFonts w:asciiTheme="minorHAnsi" w:hAnsiTheme="minorHAnsi" w:cstheme="minorHAnsi"/>
          <w:i/>
          <w:iCs/>
          <w:color w:val="000000"/>
          <w:lang w:val="en-CA" w:eastAsia="zh-CN"/>
        </w:rPr>
        <w:t>, who is a consultant of the company, and a qualified person for the purposes of National Instrument 43-101 -- Standards of Disclosure for Mineral Projects, has reviewed and approved the scientific and technical information contained in this news release.</w:t>
      </w:r>
    </w:p>
    <w:p w14:paraId="360841EB" w14:textId="636C66EA" w:rsidR="00573FB1" w:rsidRPr="00301529" w:rsidRDefault="006A284E" w:rsidP="00301529">
      <w:pPr>
        <w:spacing w:before="100" w:beforeAutospacing="1" w:after="100" w:afterAutospacing="1"/>
        <w:jc w:val="lowKashida"/>
        <w:rPr>
          <w:rFonts w:asciiTheme="minorBidi" w:hAnsiTheme="minorBidi" w:cstheme="minorBidi"/>
          <w:color w:val="000000"/>
          <w:sz w:val="22"/>
          <w:szCs w:val="22"/>
          <w:lang w:val="en-CA" w:eastAsia="zh-CN"/>
        </w:rPr>
      </w:pPr>
      <w:r>
        <w:rPr>
          <w:rFonts w:asciiTheme="minorBidi" w:hAnsiTheme="minorBidi" w:cstheme="minorBidi"/>
          <w:color w:val="000000"/>
          <w:sz w:val="22"/>
          <w:szCs w:val="22"/>
          <w:lang w:val="en-CA" w:eastAsia="zh-CN"/>
        </w:rPr>
        <w:tab/>
      </w:r>
      <w:r w:rsidR="00A10224">
        <w:rPr>
          <w:rFonts w:asciiTheme="minorBidi" w:hAnsiTheme="minorBidi" w:cstheme="minorBidi"/>
          <w:color w:val="000000"/>
          <w:sz w:val="22"/>
          <w:szCs w:val="22"/>
          <w:lang w:val="en-CA" w:eastAsia="zh-CN"/>
        </w:rPr>
        <w:t>________________________________________________________________</w:t>
      </w:r>
    </w:p>
    <w:p w14:paraId="17F851C6" w14:textId="75D5B6E6" w:rsidR="00640E94" w:rsidRDefault="00573FB1" w:rsidP="00AB6A0F">
      <w:pPr>
        <w:pStyle w:val="NormalWeb"/>
        <w:jc w:val="lowKashida"/>
        <w:rPr>
          <w:rFonts w:ascii="Arial" w:hAnsi="Arial"/>
        </w:rPr>
      </w:pPr>
      <w:r>
        <w:rPr>
          <w:rFonts w:asciiTheme="minorBidi" w:hAnsiTheme="minorBidi" w:cstheme="minorBidi"/>
          <w:color w:val="000000"/>
          <w:sz w:val="22"/>
          <w:szCs w:val="22"/>
        </w:rPr>
        <w:tab/>
      </w:r>
      <w:r w:rsidR="00640E94">
        <w:rPr>
          <w:rFonts w:ascii="Arial" w:hAnsi="Arial"/>
        </w:rPr>
        <w:t>Provide a general overview and discussion of the activities of management.</w:t>
      </w:r>
    </w:p>
    <w:p w14:paraId="2188F162" w14:textId="098C5763" w:rsidR="004E089F" w:rsidRDefault="007E5198" w:rsidP="00AF38FC">
      <w:pPr>
        <w:pStyle w:val="List"/>
        <w:spacing w:before="120"/>
        <w:ind w:left="720" w:firstLine="0"/>
        <w:jc w:val="both"/>
        <w:rPr>
          <w:rFonts w:ascii="Arial" w:hAnsi="Arial"/>
          <w:sz w:val="20"/>
        </w:rPr>
      </w:pPr>
      <w:r>
        <w:rPr>
          <w:rFonts w:ascii="Arial" w:hAnsi="Arial"/>
          <w:sz w:val="20"/>
        </w:rPr>
        <w:t>The general di</w:t>
      </w:r>
      <w:r w:rsidR="00AF38FC">
        <w:rPr>
          <w:rFonts w:ascii="Arial" w:hAnsi="Arial"/>
          <w:sz w:val="20"/>
        </w:rPr>
        <w:t>scussions of management revolved around initiating our work programs in Quebec on both the recently optioned Lithium properties and the Titan gold property. Please see below for news release outlining work program for the Augustus Lithium property on Feb 02,2021.</w:t>
      </w:r>
    </w:p>
    <w:p w14:paraId="7CD5B09E" w14:textId="2CE5A0C0" w:rsidR="00AF38FC" w:rsidRDefault="00AF38FC" w:rsidP="00AF38FC">
      <w:pPr>
        <w:pStyle w:val="List"/>
        <w:spacing w:before="120"/>
        <w:ind w:left="720" w:firstLine="0"/>
        <w:jc w:val="both"/>
        <w:rPr>
          <w:rFonts w:ascii="Arial" w:hAnsi="Arial"/>
          <w:sz w:val="20"/>
        </w:rPr>
      </w:pPr>
    </w:p>
    <w:p w14:paraId="7A7ED1EA"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FIRST ENERGY METALS TO START EXPLORATION WORK AT AUGUSTUS LITHIUM PROPERTY IN QUEBEC, CANADA</w:t>
      </w:r>
    </w:p>
    <w:p w14:paraId="6E4808D9"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First Energy Metals Ltd. has planned phase 1 exploration work on its recently acquired Augustus lithium property located near Val d'Or in Quebec, Canada. The work will commence in the second week of February and includes prospecting, mapping and sampling of known lithium prospects (Augustus and Canadian lithium prospects) on the property. The scope of work is to confirm the historical surface sampling results on three known historical lithium and silver prospects, to confirm location of historical drill holes, and to develop future exploration targets on the property.</w:t>
      </w:r>
    </w:p>
    <w:p w14:paraId="5C885D00"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The phase 1 work plan is based upon the compilation of historical exploratory drilling data available from the Ministry of Energy and Natural Resources Quebec. The company has acquired data for 62 drill holes with over 10,000 metres drilling carried out on the property since the early 1950s. Highlights of historical exploration work on three historically known prospects are provided below and were partially reported in Jan. 21 news release of the company. </w:t>
      </w:r>
    </w:p>
    <w:p w14:paraId="76649FB0"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Augustus lithium prospect:</w:t>
      </w:r>
    </w:p>
    <w:p w14:paraId="0D4F2936" w14:textId="77777777" w:rsidR="00AF38FC" w:rsidRPr="00AF38FC" w:rsidRDefault="00AF38FC" w:rsidP="00AF38FC">
      <w:pPr>
        <w:numPr>
          <w:ilvl w:val="0"/>
          <w:numId w:val="46"/>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The Augustus pegmatite is oriented north 30 degrees west, extending more than 850 metres along strike, and lithium mineralization is confined to the pegmatite body with an average grade of 1.12 per cent lithium oxide (Li2O) (0.52 per cent Li) across an average width of 7.6. metres. Its depth extension is not fully known yet; however, previous drilling has intersected high-grade lithium down to 682 feet (207 metres).</w:t>
      </w:r>
    </w:p>
    <w:p w14:paraId="30ECC347" w14:textId="77777777" w:rsidR="00AF38FC" w:rsidRPr="00AF38FC" w:rsidRDefault="00AF38FC" w:rsidP="00AF38FC">
      <w:pPr>
        <w:numPr>
          <w:ilvl w:val="0"/>
          <w:numId w:val="46"/>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The highlights of the previous drilling results include: 1.69 per cent Li2O over nine feet (2.74 m), 1.25 per cent Li2O over 27.5 feet (8.38 m), 1.07 per cent Li2O over 20 feet (6.1 m), 1.66 per cent Li2O over 12.5 feet (3.8 m) and 1.41 per cent Li2O over 27 feet (8.23 m).</w:t>
      </w:r>
    </w:p>
    <w:p w14:paraId="060C3949" w14:textId="77777777" w:rsidR="00AF38FC" w:rsidRPr="00AF38FC" w:rsidRDefault="00AF38FC" w:rsidP="00AF38FC">
      <w:pPr>
        <w:numPr>
          <w:ilvl w:val="0"/>
          <w:numId w:val="46"/>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Based on the 1955 drilling results, the continuity of lithium mineralization is established between all drill holes for over 850 metres of strike length down to a depth of 207 m (682 feet) of the Augustus pegmatite body. If mineralization continuity can be proven by future drilling down to over 200 m level as shown in historical drill hole results, a potential resource target of four million tonnes at 1 per cent Li2O can be achieved.</w:t>
      </w:r>
    </w:p>
    <w:p w14:paraId="1DFE6BBB"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Cautionary statement: Investors are cautioned that the potential quantity and grade mentioned above are conceptual in nature, there has been insufficient exploration to define a mineral resource, and it is uncertain if further exploration will result in the target being delineated as a mineral resource. The potential target is based upon historical drilling results taken from report GM03952 (April 27, 1956) and other sources from MRNF Quebec.</w:t>
      </w:r>
    </w:p>
    <w:p w14:paraId="44779FFA"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Canadian lithium prospect:</w:t>
      </w:r>
    </w:p>
    <w:p w14:paraId="3C4118C1" w14:textId="77777777" w:rsidR="00AF38FC" w:rsidRPr="00AF38FC" w:rsidRDefault="00AF38FC" w:rsidP="00AF38FC">
      <w:pPr>
        <w:numPr>
          <w:ilvl w:val="0"/>
          <w:numId w:val="47"/>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lastRenderedPageBreak/>
        <w:t xml:space="preserve">The Canadian lithium prospect is a worked deposit representing a group of parallel pegmatite dikes associated with </w:t>
      </w:r>
      <w:proofErr w:type="spellStart"/>
      <w:r w:rsidRPr="00AF38FC">
        <w:rPr>
          <w:rFonts w:asciiTheme="minorHAnsi" w:hAnsiTheme="minorHAnsi" w:cstheme="minorHAnsi"/>
          <w:i/>
          <w:iCs/>
          <w:color w:val="000000"/>
          <w:lang w:val="en-CA" w:eastAsia="zh-CN"/>
        </w:rPr>
        <w:t>Lacorne</w:t>
      </w:r>
      <w:proofErr w:type="spellEnd"/>
      <w:r w:rsidRPr="00AF38FC">
        <w:rPr>
          <w:rFonts w:asciiTheme="minorHAnsi" w:hAnsiTheme="minorHAnsi" w:cstheme="minorHAnsi"/>
          <w:i/>
          <w:iCs/>
          <w:color w:val="000000"/>
          <w:lang w:val="en-CA" w:eastAsia="zh-CN"/>
        </w:rPr>
        <w:t xml:space="preserve"> batholith containing aggregates of spodumene, lepidolite, quartz and feldspar accompanied by traces of beryl, </w:t>
      </w:r>
      <w:proofErr w:type="spellStart"/>
      <w:r w:rsidRPr="00AF38FC">
        <w:rPr>
          <w:rFonts w:asciiTheme="minorHAnsi" w:hAnsiTheme="minorHAnsi" w:cstheme="minorHAnsi"/>
          <w:i/>
          <w:iCs/>
          <w:color w:val="000000"/>
          <w:lang w:val="en-CA" w:eastAsia="zh-CN"/>
        </w:rPr>
        <w:t>clevelandite</w:t>
      </w:r>
      <w:proofErr w:type="spellEnd"/>
      <w:r w:rsidRPr="00AF38FC">
        <w:rPr>
          <w:rFonts w:asciiTheme="minorHAnsi" w:hAnsiTheme="minorHAnsi" w:cstheme="minorHAnsi"/>
          <w:i/>
          <w:iCs/>
          <w:color w:val="000000"/>
          <w:lang w:val="en-CA" w:eastAsia="zh-CN"/>
        </w:rPr>
        <w:t xml:space="preserve"> and </w:t>
      </w:r>
      <w:proofErr w:type="spellStart"/>
      <w:r w:rsidRPr="00AF38FC">
        <w:rPr>
          <w:rFonts w:asciiTheme="minorHAnsi" w:hAnsiTheme="minorHAnsi" w:cstheme="minorHAnsi"/>
          <w:i/>
          <w:iCs/>
          <w:color w:val="000000"/>
          <w:lang w:val="en-CA" w:eastAsia="zh-CN"/>
        </w:rPr>
        <w:t>colombo</w:t>
      </w:r>
      <w:proofErr w:type="spellEnd"/>
      <w:r w:rsidRPr="00AF38FC">
        <w:rPr>
          <w:rFonts w:asciiTheme="minorHAnsi" w:hAnsiTheme="minorHAnsi" w:cstheme="minorHAnsi"/>
          <w:i/>
          <w:iCs/>
          <w:color w:val="000000"/>
          <w:lang w:val="en-CA" w:eastAsia="zh-CN"/>
        </w:rPr>
        <w:t>-tantalite.</w:t>
      </w:r>
    </w:p>
    <w:p w14:paraId="285F8346" w14:textId="77777777" w:rsidR="00AF38FC" w:rsidRPr="00AF38FC" w:rsidRDefault="00AF38FC" w:rsidP="00AF38FC">
      <w:pPr>
        <w:numPr>
          <w:ilvl w:val="0"/>
          <w:numId w:val="47"/>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Drilling at the prospect has shown low-grade lithium-bearing pegmatite intersections of extensive widths. A total of 14 historical drill holes are located on this prospect having drilled depths in the range of 26 m to 184 m and a cumulative drilling of 944 m. It has been estimated that a section of 90.0 m by 30.0 m contains 5.0 to 10.0 per cent lithium-bearing spodumene. This deposit represents a potential for low-grade bulk tonnage of lithium pegmatite material.</w:t>
      </w:r>
    </w:p>
    <w:p w14:paraId="733BE221" w14:textId="77777777" w:rsidR="00AF38FC" w:rsidRPr="00AF38FC" w:rsidRDefault="00AF38FC" w:rsidP="00AF38FC">
      <w:pPr>
        <w:numPr>
          <w:ilvl w:val="0"/>
          <w:numId w:val="47"/>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The highlights of historical drilling program are: 0.25 per cent Li2O over 154.1 feet including 1.25 per cent Li2O over 13.5 feet, 0.12 per cent Li2O over 227 feet and 0.14 per cent Li2O over 173.6 feet. </w:t>
      </w:r>
    </w:p>
    <w:p w14:paraId="5B5EF3B0"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proofErr w:type="spellStart"/>
      <w:r w:rsidRPr="00AF38FC">
        <w:rPr>
          <w:rFonts w:asciiTheme="minorHAnsi" w:hAnsiTheme="minorHAnsi" w:cstheme="minorHAnsi"/>
          <w:i/>
          <w:iCs/>
          <w:color w:val="000000"/>
          <w:lang w:val="en-CA" w:eastAsia="zh-CN"/>
        </w:rPr>
        <w:t>Landrienne</w:t>
      </w:r>
      <w:proofErr w:type="spellEnd"/>
      <w:r w:rsidRPr="00AF38FC">
        <w:rPr>
          <w:rFonts w:asciiTheme="minorHAnsi" w:hAnsiTheme="minorHAnsi" w:cstheme="minorHAnsi"/>
          <w:i/>
          <w:iCs/>
          <w:color w:val="000000"/>
          <w:lang w:val="en-CA" w:eastAsia="zh-CN"/>
        </w:rPr>
        <w:t xml:space="preserve"> silver prospect:</w:t>
      </w:r>
    </w:p>
    <w:p w14:paraId="64B78FC3" w14:textId="77777777" w:rsidR="00AF38FC" w:rsidRPr="00AF38FC" w:rsidRDefault="00AF38FC" w:rsidP="00AF38FC">
      <w:pPr>
        <w:numPr>
          <w:ilvl w:val="0"/>
          <w:numId w:val="48"/>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 xml:space="preserve">Silver mineralization occurs in quartz and carbonate veins intersecting felsic to mafic lavas and locally in massive sulphides. These </w:t>
      </w:r>
      <w:proofErr w:type="spellStart"/>
      <w:r w:rsidRPr="00AF38FC">
        <w:rPr>
          <w:rFonts w:asciiTheme="minorHAnsi" w:hAnsiTheme="minorHAnsi" w:cstheme="minorHAnsi"/>
          <w:i/>
          <w:iCs/>
          <w:color w:val="000000"/>
          <w:lang w:val="en-CA" w:eastAsia="zh-CN"/>
        </w:rPr>
        <w:t>volcanics</w:t>
      </w:r>
      <w:proofErr w:type="spellEnd"/>
      <w:r w:rsidRPr="00AF38FC">
        <w:rPr>
          <w:rFonts w:asciiTheme="minorHAnsi" w:hAnsiTheme="minorHAnsi" w:cstheme="minorHAnsi"/>
          <w:i/>
          <w:iCs/>
          <w:color w:val="000000"/>
          <w:lang w:val="en-CA" w:eastAsia="zh-CN"/>
        </w:rPr>
        <w:t xml:space="preserve"> belong to the </w:t>
      </w:r>
      <w:proofErr w:type="spellStart"/>
      <w:r w:rsidRPr="00AF38FC">
        <w:rPr>
          <w:rFonts w:asciiTheme="minorHAnsi" w:hAnsiTheme="minorHAnsi" w:cstheme="minorHAnsi"/>
          <w:i/>
          <w:iCs/>
          <w:color w:val="000000"/>
          <w:lang w:val="en-CA" w:eastAsia="zh-CN"/>
        </w:rPr>
        <w:t>Landrienne</w:t>
      </w:r>
      <w:proofErr w:type="spellEnd"/>
      <w:r w:rsidRPr="00AF38FC">
        <w:rPr>
          <w:rFonts w:asciiTheme="minorHAnsi" w:hAnsiTheme="minorHAnsi" w:cstheme="minorHAnsi"/>
          <w:i/>
          <w:iCs/>
          <w:color w:val="000000"/>
          <w:lang w:val="en-CA" w:eastAsia="zh-CN"/>
        </w:rPr>
        <w:t xml:space="preserve"> formation. The mineralization is mainly in the form of sulphides (pyrite, chalcopyrite and pyrrhotite) disseminated in quartz and carbonate veins and also locally in the form of lenses of massive sulphides.</w:t>
      </w:r>
    </w:p>
    <w:p w14:paraId="71130A19" w14:textId="77777777" w:rsidR="00AF38FC" w:rsidRPr="00AF38FC" w:rsidRDefault="00AF38FC" w:rsidP="00AF38FC">
      <w:pPr>
        <w:numPr>
          <w:ilvl w:val="0"/>
          <w:numId w:val="48"/>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Historical drilling documented for this prospect comprises 30 drill holes with over 6,000 m cumulative drilling.</w:t>
      </w:r>
    </w:p>
    <w:p w14:paraId="02774E42" w14:textId="77777777" w:rsidR="00AF38FC" w:rsidRPr="00AF38FC" w:rsidRDefault="00AF38FC" w:rsidP="00AF38FC">
      <w:pPr>
        <w:numPr>
          <w:ilvl w:val="0"/>
          <w:numId w:val="48"/>
        </w:num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Report GM 02989-B: The best results obtained from the holes drilled in 1954 are 10.3 parts per million silver over 0.8 metre, 11.7 ppm silver over 0.6 metre, 8.6 ppm silver over 0.6 metre, 9.6 ppm silver over 0.6 metre, 2,000 ppm copper over 1.5 metres, 1,000 ppm copper over 0.6 metre and 8.6 ppm silver over 0.6 metre. GM 28244: Drilling carried out in 1972 returned 2,000 ppm of copper over 2.6 metres. GM 66408: A selected sample yielded 36.8 per cent iron. </w:t>
      </w:r>
    </w:p>
    <w:p w14:paraId="3601E01E" w14:textId="77777777" w:rsidR="00AF38FC" w:rsidRPr="00AF38FC" w:rsidRDefault="00AF38FC" w:rsidP="00AF38FC">
      <w:pPr>
        <w:spacing w:before="100" w:beforeAutospacing="1" w:after="100" w:afterAutospacing="1"/>
        <w:rPr>
          <w:rFonts w:asciiTheme="minorHAnsi" w:hAnsiTheme="minorHAnsi" w:cstheme="minorHAnsi"/>
          <w:i/>
          <w:iCs/>
          <w:color w:val="000000"/>
          <w:lang w:val="en-CA" w:eastAsia="zh-CN"/>
        </w:rPr>
      </w:pPr>
      <w:r w:rsidRPr="00AF38FC">
        <w:rPr>
          <w:rFonts w:asciiTheme="minorHAnsi" w:hAnsiTheme="minorHAnsi" w:cstheme="minorHAnsi"/>
          <w:i/>
          <w:iCs/>
          <w:color w:val="000000"/>
          <w:lang w:val="en-CA" w:eastAsia="zh-CN"/>
        </w:rPr>
        <w:t>Cautionary statement: Investors are cautioned that the above information is taken from the publicly available sources. The company has not been able to independently verify the information contained. The information is not necessarily indicative of the mineralization on the property, which is the subject of this news release. The company will need to conduct exploration to confirm historical mineralization reported on the property and there is no guarantee that significant discovery will be made as a result of its exploration efforts. The company is in the process of compiling exploration and geological data available on the property and surrounding area to develop an exploration work plan. </w:t>
      </w:r>
    </w:p>
    <w:p w14:paraId="00FFA3D7" w14:textId="50B5164B" w:rsidR="00AF38FC" w:rsidRDefault="00AF38FC" w:rsidP="00AF38FC">
      <w:pPr>
        <w:spacing w:before="100" w:beforeAutospacing="1" w:after="100" w:afterAutospacing="1"/>
        <w:rPr>
          <w:rFonts w:asciiTheme="minorHAnsi" w:hAnsiTheme="minorHAnsi" w:cstheme="minorHAnsi"/>
          <w:color w:val="000000"/>
          <w:lang w:val="en-CA" w:eastAsia="zh-CN"/>
        </w:rPr>
      </w:pPr>
      <w:proofErr w:type="spellStart"/>
      <w:r w:rsidRPr="00AF38FC">
        <w:rPr>
          <w:rFonts w:asciiTheme="minorHAnsi" w:hAnsiTheme="minorHAnsi" w:cstheme="minorHAnsi"/>
          <w:i/>
          <w:iCs/>
          <w:color w:val="000000"/>
          <w:lang w:val="en-CA" w:eastAsia="zh-CN"/>
        </w:rPr>
        <w:t>Afzaal</w:t>
      </w:r>
      <w:proofErr w:type="spellEnd"/>
      <w:r w:rsidRPr="00AF38FC">
        <w:rPr>
          <w:rFonts w:asciiTheme="minorHAnsi" w:hAnsiTheme="minorHAnsi" w:cstheme="minorHAnsi"/>
          <w:i/>
          <w:iCs/>
          <w:color w:val="000000"/>
          <w:lang w:val="en-CA" w:eastAsia="zh-CN"/>
        </w:rPr>
        <w:t xml:space="preserve"> Pirzada, </w:t>
      </w:r>
      <w:proofErr w:type="spellStart"/>
      <w:r w:rsidRPr="00AF38FC">
        <w:rPr>
          <w:rFonts w:asciiTheme="minorHAnsi" w:hAnsiTheme="minorHAnsi" w:cstheme="minorHAnsi"/>
          <w:i/>
          <w:iCs/>
          <w:color w:val="000000"/>
          <w:lang w:val="en-CA" w:eastAsia="zh-CN"/>
        </w:rPr>
        <w:t>PGeo</w:t>
      </w:r>
      <w:proofErr w:type="spellEnd"/>
      <w:r w:rsidRPr="00AF38FC">
        <w:rPr>
          <w:rFonts w:asciiTheme="minorHAnsi" w:hAnsiTheme="minorHAnsi" w:cstheme="minorHAnsi"/>
          <w:i/>
          <w:iCs/>
          <w:color w:val="000000"/>
          <w:lang w:val="en-CA" w:eastAsia="zh-CN"/>
        </w:rPr>
        <w:t>, who is a consultant of the company and a qualified person for the purposes of National Instrument 43-101 -- Standards of Disclosure for Mineral Projects, has reviewed and approved the scientific and technical information contained in this news release</w:t>
      </w:r>
      <w:r w:rsidRPr="00AF38FC">
        <w:rPr>
          <w:rFonts w:asciiTheme="minorHAnsi" w:hAnsiTheme="minorHAnsi" w:cstheme="minorHAnsi"/>
          <w:color w:val="000000"/>
          <w:lang w:val="en-CA" w:eastAsia="zh-CN"/>
        </w:rPr>
        <w:t>.</w:t>
      </w:r>
    </w:p>
    <w:p w14:paraId="2321BF87" w14:textId="574C6E7C" w:rsidR="00AF38FC" w:rsidRPr="00AF38FC" w:rsidRDefault="00AF38FC" w:rsidP="00AF38FC">
      <w:pPr>
        <w:spacing w:before="100" w:beforeAutospacing="1" w:after="100" w:afterAutospacing="1"/>
        <w:rPr>
          <w:rFonts w:asciiTheme="minorHAnsi" w:hAnsiTheme="minorHAnsi" w:cstheme="minorHAnsi"/>
          <w:color w:val="000000"/>
          <w:lang w:val="en-CA" w:eastAsia="zh-CN"/>
        </w:rPr>
      </w:pPr>
      <w:r>
        <w:rPr>
          <w:rFonts w:asciiTheme="minorHAnsi" w:hAnsiTheme="minorHAnsi" w:cstheme="minorHAnsi"/>
          <w:color w:val="000000"/>
          <w:lang w:val="en-CA" w:eastAsia="zh-CN"/>
        </w:rPr>
        <w:t xml:space="preserve">In addition, First Energy commenced a work program on the Titan Gold Property which will include approximately 20km of IP to better define drill targets. </w:t>
      </w:r>
    </w:p>
    <w:p w14:paraId="2C65D732" w14:textId="73D5FD7D" w:rsidR="00246030" w:rsidRPr="00246030" w:rsidRDefault="00246030" w:rsidP="00246030">
      <w:pPr>
        <w:pStyle w:val="List"/>
        <w:spacing w:before="120"/>
        <w:ind w:left="720" w:firstLine="0"/>
        <w:jc w:val="both"/>
        <w:rPr>
          <w:rFonts w:ascii="Arial" w:hAnsi="Arial"/>
          <w:i/>
          <w:iCs/>
        </w:rPr>
      </w:pPr>
    </w:p>
    <w:p w14:paraId="59FD70D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ADE62C9" w14:textId="77777777" w:rsidR="0099046A" w:rsidRDefault="0099046A" w:rsidP="0099046A">
      <w:pPr>
        <w:ind w:left="720"/>
        <w:jc w:val="both"/>
        <w:rPr>
          <w:rFonts w:ascii="Arial" w:hAnsi="Arial" w:cs="Arial"/>
          <w:i/>
          <w:iCs/>
          <w:sz w:val="24"/>
          <w:szCs w:val="24"/>
        </w:rPr>
      </w:pPr>
    </w:p>
    <w:p w14:paraId="7388FF03" w14:textId="7E189581" w:rsidR="00FE00EB" w:rsidRPr="00FE00EB" w:rsidRDefault="002D785E" w:rsidP="00CC7ABF">
      <w:pPr>
        <w:jc w:val="lowKashida"/>
        <w:rPr>
          <w:rFonts w:asciiTheme="minorBidi" w:hAnsiTheme="minorBidi" w:cstheme="minorBidi"/>
          <w:color w:val="000000"/>
          <w:lang w:val="en-CA" w:eastAsia="zh-CN"/>
        </w:rPr>
      </w:pPr>
      <w:r>
        <w:rPr>
          <w:rFonts w:ascii="Verdana" w:hAnsi="Verdana"/>
          <w:color w:val="000000"/>
          <w:lang w:val="en-CA" w:eastAsia="zh-CN"/>
        </w:rPr>
        <w:tab/>
      </w:r>
      <w:r w:rsidR="00E4531C" w:rsidRPr="00FE00EB">
        <w:rPr>
          <w:rFonts w:asciiTheme="minorBidi" w:hAnsiTheme="minorBidi" w:cstheme="minorBidi"/>
          <w:color w:val="000000"/>
          <w:lang w:val="en-CA" w:eastAsia="zh-CN"/>
        </w:rPr>
        <w:t>First Energy</w:t>
      </w:r>
      <w:r w:rsidR="00CC7ABF">
        <w:rPr>
          <w:rFonts w:asciiTheme="minorBidi" w:hAnsiTheme="minorBidi" w:cstheme="minorBidi"/>
          <w:color w:val="000000"/>
          <w:lang w:val="en-CA" w:eastAsia="zh-CN"/>
        </w:rPr>
        <w:t xml:space="preserve"> will continue to focus its efforts on the most prospective properties held in its portfolio, </w:t>
      </w:r>
      <w:r w:rsidR="00CC7ABF">
        <w:rPr>
          <w:rFonts w:asciiTheme="minorBidi" w:hAnsiTheme="minorBidi" w:cstheme="minorBidi"/>
          <w:color w:val="000000"/>
          <w:lang w:val="en-CA" w:eastAsia="zh-CN"/>
        </w:rPr>
        <w:tab/>
        <w:t>subject to exploration success</w:t>
      </w:r>
      <w:r w:rsidR="00531273">
        <w:rPr>
          <w:rFonts w:asciiTheme="minorBidi" w:hAnsiTheme="minorBidi" w:cstheme="minorBidi"/>
          <w:color w:val="000000"/>
          <w:lang w:val="en-CA" w:eastAsia="zh-CN"/>
        </w:rPr>
        <w:t>, particularly the Augustus Lithium Property and Titan Gold Property.</w:t>
      </w:r>
    </w:p>
    <w:p w14:paraId="058F7485" w14:textId="77777777" w:rsidR="002D785E" w:rsidRDefault="002D785E" w:rsidP="0099046A">
      <w:pPr>
        <w:ind w:left="720"/>
        <w:jc w:val="both"/>
        <w:rPr>
          <w:rFonts w:ascii="Arial" w:hAnsi="Arial" w:cs="Arial"/>
          <w:i/>
          <w:iCs/>
          <w:sz w:val="24"/>
          <w:szCs w:val="24"/>
        </w:rPr>
      </w:pPr>
    </w:p>
    <w:p w14:paraId="6B75B8C1"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1E3DA4EC" w14:textId="77777777" w:rsidR="00246030" w:rsidRPr="00592B1C" w:rsidRDefault="00592B1C" w:rsidP="00246030">
      <w:pPr>
        <w:pStyle w:val="List"/>
        <w:spacing w:before="120"/>
        <w:ind w:left="720" w:firstLine="0"/>
        <w:jc w:val="both"/>
        <w:rPr>
          <w:rFonts w:ascii="Arial" w:hAnsi="Arial"/>
          <w:i/>
          <w:iCs/>
        </w:rPr>
      </w:pPr>
      <w:r w:rsidRPr="00592B1C">
        <w:rPr>
          <w:rFonts w:ascii="Arial" w:hAnsi="Arial"/>
          <w:i/>
          <w:iCs/>
        </w:rPr>
        <w:t>N/A.</w:t>
      </w:r>
    </w:p>
    <w:p w14:paraId="784707B8" w14:textId="5A2255DD" w:rsidR="00531273" w:rsidRDefault="00640E94" w:rsidP="0053127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44E1E3" w14:textId="46A34D8A" w:rsidR="00531273" w:rsidRPr="00531273" w:rsidRDefault="00531273" w:rsidP="00531273">
      <w:pPr>
        <w:pStyle w:val="List"/>
        <w:spacing w:before="120"/>
        <w:ind w:left="0" w:firstLine="0"/>
        <w:jc w:val="both"/>
        <w:rPr>
          <w:rFonts w:ascii="Arial" w:hAnsi="Arial"/>
          <w:sz w:val="20"/>
        </w:rPr>
      </w:pPr>
      <w:r>
        <w:rPr>
          <w:rFonts w:ascii="Arial" w:hAnsi="Arial"/>
        </w:rPr>
        <w:tab/>
      </w:r>
      <w:r w:rsidRPr="00531273">
        <w:rPr>
          <w:rFonts w:ascii="Arial" w:hAnsi="Arial"/>
          <w:sz w:val="20"/>
        </w:rPr>
        <w:t xml:space="preserve">The Augustus Lithium property was optioned from a non-related party, Mr. </w:t>
      </w:r>
      <w:r w:rsidR="00FA334A">
        <w:rPr>
          <w:rFonts w:ascii="Arial" w:hAnsi="Arial"/>
          <w:sz w:val="20"/>
        </w:rPr>
        <w:t>Glen</w:t>
      </w:r>
      <w:r w:rsidRPr="00531273">
        <w:rPr>
          <w:rFonts w:ascii="Arial" w:hAnsi="Arial"/>
          <w:sz w:val="20"/>
        </w:rPr>
        <w:t xml:space="preserve"> </w:t>
      </w:r>
      <w:r w:rsidR="00FA334A">
        <w:rPr>
          <w:rFonts w:ascii="Arial" w:hAnsi="Arial"/>
          <w:sz w:val="20"/>
        </w:rPr>
        <w:t>Grisbach</w:t>
      </w:r>
      <w:r w:rsidR="00CB636B">
        <w:rPr>
          <w:rFonts w:ascii="Arial" w:hAnsi="Arial"/>
          <w:sz w:val="20"/>
        </w:rPr>
        <w:t xml:space="preserve"> </w:t>
      </w:r>
      <w:r w:rsidRPr="00531273">
        <w:rPr>
          <w:rFonts w:ascii="Arial" w:hAnsi="Arial"/>
          <w:sz w:val="20"/>
        </w:rPr>
        <w:t xml:space="preserve">based </w:t>
      </w:r>
      <w:r>
        <w:rPr>
          <w:rFonts w:ascii="Arial" w:hAnsi="Arial"/>
          <w:sz w:val="20"/>
        </w:rPr>
        <w:tab/>
      </w:r>
      <w:r w:rsidRPr="00531273">
        <w:rPr>
          <w:rFonts w:ascii="Arial" w:hAnsi="Arial"/>
          <w:sz w:val="20"/>
        </w:rPr>
        <w:t>on the terms outlined above.</w:t>
      </w:r>
    </w:p>
    <w:p w14:paraId="639D1439" w14:textId="3673EDB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C1DAC38" w14:textId="77777777" w:rsidR="00246030" w:rsidRPr="00246030" w:rsidRDefault="00246030" w:rsidP="00246030">
      <w:pPr>
        <w:pStyle w:val="List"/>
        <w:spacing w:before="120"/>
        <w:ind w:left="720" w:firstLine="0"/>
        <w:jc w:val="both"/>
        <w:rPr>
          <w:rFonts w:ascii="Arial" w:hAnsi="Arial"/>
          <w:i/>
          <w:iCs/>
        </w:rPr>
      </w:pPr>
      <w:r w:rsidRPr="00246030">
        <w:rPr>
          <w:rFonts w:ascii="Arial" w:hAnsi="Arial"/>
          <w:i/>
          <w:iCs/>
        </w:rPr>
        <w:t>N</w:t>
      </w:r>
      <w:r w:rsidR="00F4477A">
        <w:rPr>
          <w:rFonts w:ascii="Arial" w:hAnsi="Arial"/>
          <w:i/>
          <w:iCs/>
        </w:rPr>
        <w:t>/A</w:t>
      </w:r>
      <w:r w:rsidRPr="00246030">
        <w:rPr>
          <w:rFonts w:ascii="Arial" w:hAnsi="Arial"/>
          <w:i/>
          <w:iCs/>
        </w:rPr>
        <w:t>.</w:t>
      </w:r>
    </w:p>
    <w:p w14:paraId="3964AE3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4C2E45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3BE598F" w14:textId="77777777" w:rsidR="00F4477A" w:rsidRPr="00C02E32" w:rsidRDefault="00F4477A" w:rsidP="00C02E32">
      <w:pPr>
        <w:pStyle w:val="ListParagraph"/>
        <w:spacing w:before="120"/>
        <w:rPr>
          <w:rFonts w:ascii="Arial" w:hAnsi="Arial"/>
          <w:i/>
          <w:iCs/>
          <w:sz w:val="24"/>
          <w:szCs w:val="24"/>
        </w:rPr>
      </w:pPr>
      <w:r w:rsidRPr="00C02E32">
        <w:rPr>
          <w:rFonts w:ascii="Arial" w:hAnsi="Arial"/>
          <w:i/>
          <w:iCs/>
          <w:sz w:val="24"/>
          <w:szCs w:val="24"/>
        </w:rPr>
        <w:t>N/A.</w:t>
      </w:r>
    </w:p>
    <w:p w14:paraId="287EA42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D6B7662"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3EA952C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0D8CF6C" w14:textId="77777777" w:rsidR="00F4477A" w:rsidRPr="00F4477A" w:rsidRDefault="00F4477A" w:rsidP="00F4477A">
      <w:pPr>
        <w:pStyle w:val="List"/>
        <w:spacing w:before="120"/>
        <w:ind w:left="720" w:firstLine="0"/>
        <w:jc w:val="both"/>
        <w:rPr>
          <w:rFonts w:ascii="Arial" w:hAnsi="Arial"/>
          <w:i/>
          <w:iCs/>
        </w:rPr>
      </w:pPr>
      <w:r w:rsidRPr="00F4477A">
        <w:rPr>
          <w:rFonts w:ascii="Arial" w:hAnsi="Arial"/>
          <w:i/>
          <w:iCs/>
        </w:rPr>
        <w:t>N/A.</w:t>
      </w:r>
    </w:p>
    <w:p w14:paraId="189A07C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2910D8"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0A78129D"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B6ECEA0" w14:textId="77777777" w:rsidR="00F4477A" w:rsidRPr="00F4477A" w:rsidRDefault="00F4477A" w:rsidP="00F4477A">
      <w:pPr>
        <w:pStyle w:val="List"/>
        <w:spacing w:before="120"/>
        <w:ind w:left="720" w:firstLine="0"/>
        <w:jc w:val="both"/>
        <w:rPr>
          <w:rFonts w:ascii="Arial" w:hAnsi="Arial"/>
          <w:i/>
          <w:iCs/>
        </w:rPr>
      </w:pPr>
      <w:r>
        <w:rPr>
          <w:rFonts w:ascii="Arial" w:hAnsi="Arial"/>
          <w:i/>
          <w:iCs/>
        </w:rPr>
        <w:t>N/A.</w:t>
      </w:r>
    </w:p>
    <w:p w14:paraId="24F9B5C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C065F9" w14:textId="77777777" w:rsidR="00AA26E7" w:rsidRPr="00AA26E7" w:rsidRDefault="00AA26E7" w:rsidP="001B2E08">
      <w:pPr>
        <w:pStyle w:val="ListParagraph"/>
        <w:spacing w:before="120" w:after="0" w:line="240" w:lineRule="auto"/>
        <w:jc w:val="both"/>
        <w:rPr>
          <w:rFonts w:ascii="Arial" w:hAnsi="Arial" w:cs="Arial"/>
          <w:i/>
          <w:iCs/>
          <w:sz w:val="24"/>
          <w:szCs w:val="24"/>
        </w:rPr>
      </w:pPr>
      <w:r w:rsidRPr="00AA26E7">
        <w:rPr>
          <w:rFonts w:ascii="Arial" w:hAnsi="Arial" w:cs="Arial"/>
          <w:i/>
          <w:iCs/>
          <w:sz w:val="24"/>
          <w:szCs w:val="24"/>
        </w:rPr>
        <w:lastRenderedPageBreak/>
        <w:t xml:space="preserve">The Issuer incurs trade payables in the normal course of its business. For further details, see the Issuer’s periodic </w:t>
      </w:r>
      <w:r>
        <w:rPr>
          <w:rFonts w:ascii="Arial" w:hAnsi="Arial" w:cs="Arial"/>
          <w:i/>
          <w:iCs/>
          <w:sz w:val="24"/>
          <w:szCs w:val="24"/>
        </w:rPr>
        <w:t>f</w:t>
      </w:r>
      <w:r w:rsidRPr="00AA26E7">
        <w:rPr>
          <w:rFonts w:ascii="Arial" w:hAnsi="Arial" w:cs="Arial"/>
          <w:i/>
          <w:iCs/>
          <w:sz w:val="24"/>
          <w:szCs w:val="24"/>
        </w:rPr>
        <w:t xml:space="preserve">inancial </w:t>
      </w:r>
      <w:r>
        <w:rPr>
          <w:rFonts w:ascii="Arial" w:hAnsi="Arial" w:cs="Arial"/>
          <w:i/>
          <w:iCs/>
          <w:sz w:val="24"/>
          <w:szCs w:val="24"/>
        </w:rPr>
        <w:t>s</w:t>
      </w:r>
      <w:r w:rsidRPr="00AA26E7">
        <w:rPr>
          <w:rFonts w:ascii="Arial" w:hAnsi="Arial" w:cs="Arial"/>
          <w:i/>
          <w:iCs/>
          <w:sz w:val="24"/>
          <w:szCs w:val="24"/>
        </w:rPr>
        <w:t>tatements and accompanying management discussion and analysis filed on SEDAR under the Issuer’s SEDAR profile at www.SEDAR.com.</w:t>
      </w:r>
    </w:p>
    <w:p w14:paraId="6214B58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F850576"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FABE4D2" w14:textId="77777777" w:rsidTr="005F5C77">
        <w:tc>
          <w:tcPr>
            <w:tcW w:w="2394" w:type="dxa"/>
          </w:tcPr>
          <w:p w14:paraId="3D2F5EA7"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D4EFDE4"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A6EE9C6" w14:textId="77777777" w:rsidR="00640E94" w:rsidRDefault="00640E94" w:rsidP="00AA26E7">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C0B11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r w:rsidR="001A073C">
              <w:rPr>
                <w:rFonts w:ascii="Arial" w:hAnsi="Arial"/>
                <w:b/>
              </w:rPr>
              <w:t>Proceeds</w:t>
            </w:r>
            <w:r w:rsidR="001A073C">
              <w:rPr>
                <w:rFonts w:ascii="Arial" w:hAnsi="Arial"/>
                <w:b/>
                <w:vertAlign w:val="superscript"/>
              </w:rPr>
              <w:t xml:space="preserve"> (</w:t>
            </w:r>
            <w:r>
              <w:rPr>
                <w:rFonts w:ascii="Arial" w:hAnsi="Arial"/>
                <w:b/>
                <w:vertAlign w:val="superscript"/>
              </w:rPr>
              <w:t>1)</w:t>
            </w:r>
          </w:p>
        </w:tc>
      </w:tr>
      <w:tr w:rsidR="00640E94" w14:paraId="59B2516E" w14:textId="77777777" w:rsidTr="005F5C77">
        <w:tc>
          <w:tcPr>
            <w:tcW w:w="2394" w:type="dxa"/>
          </w:tcPr>
          <w:p w14:paraId="60762D65" w14:textId="1F1B9D07" w:rsidR="00640E94" w:rsidRPr="00FE00EB" w:rsidRDefault="006A284E"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i/>
                <w:iCs/>
                <w:sz w:val="20"/>
              </w:rPr>
              <w:t>Common Shares</w:t>
            </w:r>
          </w:p>
        </w:tc>
        <w:tc>
          <w:tcPr>
            <w:tcW w:w="2394" w:type="dxa"/>
          </w:tcPr>
          <w:p w14:paraId="30B8651E" w14:textId="5E0E6DBC" w:rsidR="00640E94" w:rsidRPr="001B2E08" w:rsidRDefault="00FA334A" w:rsidP="001B2E08">
            <w:pPr>
              <w:pStyle w:val="List"/>
              <w:keepNext/>
              <w:keepLines/>
              <w:tabs>
                <w:tab w:val="left" w:pos="360"/>
              </w:tabs>
              <w:spacing w:before="0" w:line="280" w:lineRule="exact"/>
              <w:ind w:left="0" w:firstLine="0"/>
              <w:jc w:val="center"/>
              <w:rPr>
                <w:rFonts w:ascii="Arial" w:hAnsi="Arial"/>
                <w:i/>
                <w:iCs/>
              </w:rPr>
            </w:pPr>
            <w:r>
              <w:rPr>
                <w:rFonts w:ascii="Arial" w:hAnsi="Arial"/>
                <w:i/>
                <w:iCs/>
              </w:rPr>
              <w:t>325</w:t>
            </w:r>
            <w:r w:rsidR="00531273">
              <w:rPr>
                <w:rFonts w:ascii="Arial" w:hAnsi="Arial"/>
                <w:i/>
                <w:iCs/>
              </w:rPr>
              <w:t>,000</w:t>
            </w:r>
          </w:p>
        </w:tc>
        <w:tc>
          <w:tcPr>
            <w:tcW w:w="2394" w:type="dxa"/>
          </w:tcPr>
          <w:p w14:paraId="2D0BF92E" w14:textId="1156F4FC" w:rsidR="00640E94" w:rsidRPr="0020269F" w:rsidRDefault="00531273" w:rsidP="001B2E08">
            <w:pPr>
              <w:pStyle w:val="List"/>
              <w:keepNext/>
              <w:keepLines/>
              <w:tabs>
                <w:tab w:val="left" w:pos="360"/>
              </w:tabs>
              <w:spacing w:before="0" w:line="280" w:lineRule="exact"/>
              <w:ind w:left="0" w:firstLine="0"/>
              <w:jc w:val="center"/>
              <w:rPr>
                <w:rFonts w:ascii="Arial" w:hAnsi="Arial"/>
                <w:i/>
                <w:iCs/>
                <w:sz w:val="20"/>
              </w:rPr>
            </w:pPr>
            <w:r>
              <w:rPr>
                <w:rFonts w:ascii="Arial" w:hAnsi="Arial"/>
                <w:i/>
                <w:iCs/>
                <w:sz w:val="20"/>
              </w:rPr>
              <w:t xml:space="preserve">Initial share </w:t>
            </w:r>
            <w:r w:rsidR="00FA334A">
              <w:rPr>
                <w:rFonts w:ascii="Arial" w:hAnsi="Arial"/>
                <w:i/>
                <w:iCs/>
                <w:sz w:val="20"/>
              </w:rPr>
              <w:t>issuance</w:t>
            </w:r>
            <w:r>
              <w:rPr>
                <w:rFonts w:ascii="Arial" w:hAnsi="Arial"/>
                <w:i/>
                <w:iCs/>
                <w:sz w:val="20"/>
              </w:rPr>
              <w:t xml:space="preserve"> to Mr. </w:t>
            </w:r>
            <w:r w:rsidR="00FA334A">
              <w:rPr>
                <w:rFonts w:ascii="Arial" w:hAnsi="Arial"/>
                <w:i/>
                <w:iCs/>
                <w:sz w:val="20"/>
              </w:rPr>
              <w:t>Glen G</w:t>
            </w:r>
            <w:r w:rsidR="0044699F">
              <w:rPr>
                <w:rFonts w:ascii="Arial" w:hAnsi="Arial"/>
                <w:i/>
                <w:iCs/>
                <w:sz w:val="20"/>
              </w:rPr>
              <w:t>r</w:t>
            </w:r>
            <w:r w:rsidR="00FA334A">
              <w:rPr>
                <w:rFonts w:ascii="Arial" w:hAnsi="Arial"/>
                <w:i/>
                <w:iCs/>
                <w:sz w:val="20"/>
              </w:rPr>
              <w:t>iesbach</w:t>
            </w:r>
            <w:r>
              <w:rPr>
                <w:rFonts w:ascii="Arial" w:hAnsi="Arial"/>
                <w:i/>
                <w:iCs/>
                <w:sz w:val="20"/>
              </w:rPr>
              <w:t xml:space="preserve"> related to the Augustus Lithium Property</w:t>
            </w:r>
          </w:p>
        </w:tc>
        <w:tc>
          <w:tcPr>
            <w:tcW w:w="2394" w:type="dxa"/>
          </w:tcPr>
          <w:p w14:paraId="3F6325EA" w14:textId="159F0A33" w:rsidR="00640E94" w:rsidRPr="0044699F" w:rsidRDefault="0044699F" w:rsidP="0044699F">
            <w:pPr>
              <w:pStyle w:val="List"/>
              <w:tabs>
                <w:tab w:val="left" w:pos="360"/>
              </w:tabs>
              <w:spacing w:before="0" w:line="280" w:lineRule="exact"/>
              <w:ind w:left="0" w:firstLine="0"/>
              <w:jc w:val="center"/>
              <w:rPr>
                <w:rFonts w:ascii="Arial" w:hAnsi="Arial"/>
                <w:i/>
                <w:iCs/>
                <w:sz w:val="20"/>
                <w:vertAlign w:val="superscript"/>
              </w:rPr>
            </w:pPr>
            <w:r w:rsidRPr="0044699F">
              <w:rPr>
                <w:rFonts w:ascii="Arial" w:hAnsi="Arial"/>
                <w:i/>
                <w:iCs/>
                <w:sz w:val="20"/>
              </w:rPr>
              <w:t>N/A</w:t>
            </w:r>
          </w:p>
        </w:tc>
      </w:tr>
      <w:tr w:rsidR="00640E94" w14:paraId="19E604E8" w14:textId="77777777" w:rsidTr="005F5C77">
        <w:tc>
          <w:tcPr>
            <w:tcW w:w="2394" w:type="dxa"/>
          </w:tcPr>
          <w:p w14:paraId="28EAD77B" w14:textId="74644635" w:rsidR="00640E94" w:rsidRPr="00FE00EB" w:rsidRDefault="00FA334A" w:rsidP="00FE00EB">
            <w:pPr>
              <w:pStyle w:val="List"/>
              <w:keepNext/>
              <w:keepLines/>
              <w:tabs>
                <w:tab w:val="left" w:pos="360"/>
              </w:tabs>
              <w:spacing w:before="0" w:line="280" w:lineRule="exact"/>
              <w:ind w:left="0" w:firstLine="0"/>
              <w:jc w:val="center"/>
              <w:rPr>
                <w:rFonts w:ascii="Arial" w:hAnsi="Arial"/>
                <w:sz w:val="20"/>
              </w:rPr>
            </w:pPr>
            <w:r>
              <w:rPr>
                <w:rFonts w:ascii="Arial" w:hAnsi="Arial"/>
                <w:sz w:val="20"/>
              </w:rPr>
              <w:t xml:space="preserve">Common Shares </w:t>
            </w:r>
          </w:p>
        </w:tc>
        <w:tc>
          <w:tcPr>
            <w:tcW w:w="2394" w:type="dxa"/>
          </w:tcPr>
          <w:p w14:paraId="54596073" w14:textId="2EF69E7B" w:rsidR="00640E94" w:rsidRDefault="00813083" w:rsidP="0020269F">
            <w:pPr>
              <w:pStyle w:val="List"/>
              <w:keepNext/>
              <w:keepLines/>
              <w:tabs>
                <w:tab w:val="left" w:pos="360"/>
              </w:tabs>
              <w:spacing w:before="0" w:line="280" w:lineRule="exact"/>
              <w:ind w:left="0" w:firstLine="0"/>
              <w:jc w:val="center"/>
              <w:rPr>
                <w:rFonts w:ascii="Arial" w:hAnsi="Arial"/>
              </w:rPr>
            </w:pPr>
            <w:r>
              <w:rPr>
                <w:rFonts w:ascii="Arial" w:hAnsi="Arial"/>
              </w:rPr>
              <w:t>2,640,000</w:t>
            </w:r>
          </w:p>
        </w:tc>
        <w:tc>
          <w:tcPr>
            <w:tcW w:w="2394" w:type="dxa"/>
          </w:tcPr>
          <w:p w14:paraId="5808A9D9" w14:textId="06924166" w:rsidR="00813083" w:rsidRDefault="00813083" w:rsidP="00813083">
            <w:r>
              <w:rPr>
                <w:rFonts w:ascii="Arial" w:hAnsi="Arial"/>
                <w:i/>
                <w:iCs/>
              </w:rPr>
              <w:t>Stock Option Grant exercisable</w:t>
            </w:r>
            <w:r w:rsidRPr="00813083">
              <w:rPr>
                <w:rFonts w:asciiTheme="minorBidi" w:hAnsiTheme="minorBidi" w:cstheme="minorBidi"/>
                <w:i/>
                <w:iCs/>
                <w:color w:val="000000"/>
              </w:rPr>
              <w:t xml:space="preserve"> for a period of five years at an exercise price of </w:t>
            </w:r>
            <w:r>
              <w:rPr>
                <w:rFonts w:asciiTheme="minorBidi" w:hAnsiTheme="minorBidi" w:cstheme="minorBidi"/>
                <w:i/>
                <w:iCs/>
                <w:color w:val="000000"/>
              </w:rPr>
              <w:t>$0.</w:t>
            </w:r>
            <w:r w:rsidR="00A936BD">
              <w:rPr>
                <w:rFonts w:asciiTheme="minorBidi" w:hAnsiTheme="minorBidi" w:cstheme="minorBidi"/>
                <w:i/>
                <w:iCs/>
                <w:color w:val="000000"/>
              </w:rPr>
              <w:t>21</w:t>
            </w:r>
            <w:r w:rsidRPr="00813083">
              <w:rPr>
                <w:rFonts w:asciiTheme="minorBidi" w:hAnsiTheme="minorBidi" w:cstheme="minorBidi"/>
                <w:i/>
                <w:iCs/>
                <w:color w:val="000000"/>
              </w:rPr>
              <w:t xml:space="preserve"> cents per share.</w:t>
            </w:r>
          </w:p>
          <w:p w14:paraId="03D602A8" w14:textId="5F68CACA" w:rsidR="00640E94" w:rsidRPr="006A284E" w:rsidRDefault="00640E94" w:rsidP="00AA26E7">
            <w:pPr>
              <w:pStyle w:val="List"/>
              <w:keepNext/>
              <w:keepLines/>
              <w:tabs>
                <w:tab w:val="left" w:pos="360"/>
              </w:tabs>
              <w:spacing w:before="0" w:line="280" w:lineRule="exact"/>
              <w:ind w:left="0" w:firstLine="0"/>
              <w:jc w:val="both"/>
              <w:rPr>
                <w:rFonts w:ascii="Arial" w:hAnsi="Arial"/>
                <w:i/>
                <w:iCs/>
                <w:sz w:val="20"/>
              </w:rPr>
            </w:pPr>
          </w:p>
        </w:tc>
        <w:tc>
          <w:tcPr>
            <w:tcW w:w="2394" w:type="dxa"/>
          </w:tcPr>
          <w:p w14:paraId="4430A991" w14:textId="6CF10BD7" w:rsidR="00640E94" w:rsidRPr="0044699F" w:rsidRDefault="0044699F" w:rsidP="0044699F">
            <w:pPr>
              <w:pStyle w:val="List"/>
              <w:tabs>
                <w:tab w:val="left" w:pos="360"/>
              </w:tabs>
              <w:spacing w:before="0" w:line="280" w:lineRule="exact"/>
              <w:ind w:left="0" w:firstLine="0"/>
              <w:jc w:val="center"/>
              <w:rPr>
                <w:rFonts w:ascii="Arial" w:hAnsi="Arial"/>
                <w:i/>
                <w:iCs/>
                <w:sz w:val="20"/>
              </w:rPr>
            </w:pPr>
            <w:r w:rsidRPr="0044699F">
              <w:rPr>
                <w:rFonts w:ascii="Arial" w:hAnsi="Arial"/>
                <w:i/>
                <w:iCs/>
                <w:sz w:val="20"/>
              </w:rPr>
              <w:t>N/A</w:t>
            </w:r>
          </w:p>
        </w:tc>
      </w:tr>
      <w:tr w:rsidR="005F5C77" w14:paraId="52F09DFC" w14:textId="77777777" w:rsidTr="005F5C77">
        <w:tc>
          <w:tcPr>
            <w:tcW w:w="2394" w:type="dxa"/>
          </w:tcPr>
          <w:p w14:paraId="2856FAF8" w14:textId="6DBF24B7" w:rsidR="005F5C77" w:rsidRPr="00FE00EB" w:rsidRDefault="00813083" w:rsidP="005F5C77">
            <w:pPr>
              <w:pStyle w:val="List"/>
              <w:keepNext/>
              <w:keepLines/>
              <w:tabs>
                <w:tab w:val="left" w:pos="360"/>
              </w:tabs>
              <w:spacing w:before="0" w:line="280" w:lineRule="exact"/>
              <w:ind w:left="0" w:firstLine="0"/>
              <w:jc w:val="center"/>
              <w:rPr>
                <w:rFonts w:ascii="Arial" w:hAnsi="Arial"/>
                <w:sz w:val="20"/>
              </w:rPr>
            </w:pPr>
            <w:r>
              <w:rPr>
                <w:rFonts w:ascii="Arial" w:hAnsi="Arial"/>
                <w:sz w:val="20"/>
              </w:rPr>
              <w:t xml:space="preserve">Common Shares </w:t>
            </w:r>
          </w:p>
        </w:tc>
        <w:tc>
          <w:tcPr>
            <w:tcW w:w="2394" w:type="dxa"/>
          </w:tcPr>
          <w:p w14:paraId="2BE6C8E6" w14:textId="499E96FA" w:rsidR="005F5C77" w:rsidRDefault="00813083" w:rsidP="005F5C77">
            <w:pPr>
              <w:pStyle w:val="List"/>
              <w:keepNext/>
              <w:keepLines/>
              <w:tabs>
                <w:tab w:val="left" w:pos="360"/>
              </w:tabs>
              <w:spacing w:before="0" w:line="280" w:lineRule="exact"/>
              <w:ind w:left="0" w:firstLine="0"/>
              <w:jc w:val="center"/>
              <w:rPr>
                <w:rFonts w:ascii="Arial" w:hAnsi="Arial"/>
              </w:rPr>
            </w:pPr>
            <w:r>
              <w:rPr>
                <w:rFonts w:ascii="Arial" w:hAnsi="Arial"/>
              </w:rPr>
              <w:t>1,300,000</w:t>
            </w:r>
          </w:p>
        </w:tc>
        <w:tc>
          <w:tcPr>
            <w:tcW w:w="2394" w:type="dxa"/>
          </w:tcPr>
          <w:p w14:paraId="430A3E7C" w14:textId="1AD18D8D" w:rsidR="00813083" w:rsidRDefault="00813083" w:rsidP="00813083">
            <w:r>
              <w:rPr>
                <w:rFonts w:ascii="Arial" w:hAnsi="Arial"/>
                <w:i/>
                <w:iCs/>
              </w:rPr>
              <w:t>Stock Option Grant exercisable</w:t>
            </w:r>
            <w:r w:rsidRPr="00813083">
              <w:rPr>
                <w:rFonts w:asciiTheme="minorBidi" w:hAnsiTheme="minorBidi" w:cstheme="minorBidi"/>
                <w:i/>
                <w:iCs/>
                <w:color w:val="000000"/>
              </w:rPr>
              <w:t xml:space="preserve"> for a period of five years at an exercise price of </w:t>
            </w:r>
            <w:r>
              <w:rPr>
                <w:rFonts w:asciiTheme="minorBidi" w:hAnsiTheme="minorBidi" w:cstheme="minorBidi"/>
                <w:i/>
                <w:iCs/>
                <w:color w:val="000000"/>
              </w:rPr>
              <w:t>$0.35</w:t>
            </w:r>
            <w:r w:rsidRPr="00813083">
              <w:rPr>
                <w:rFonts w:asciiTheme="minorBidi" w:hAnsiTheme="minorBidi" w:cstheme="minorBidi"/>
                <w:i/>
                <w:iCs/>
                <w:color w:val="000000"/>
              </w:rPr>
              <w:t xml:space="preserve"> cents per share.</w:t>
            </w:r>
          </w:p>
          <w:p w14:paraId="4FB5DA00" w14:textId="4C3FE891" w:rsidR="005F5C77" w:rsidRPr="00813083" w:rsidRDefault="005F5C77" w:rsidP="005F5C77">
            <w:pPr>
              <w:pStyle w:val="List"/>
              <w:keepNext/>
              <w:keepLines/>
              <w:tabs>
                <w:tab w:val="left" w:pos="360"/>
              </w:tabs>
              <w:spacing w:before="0" w:line="280" w:lineRule="exact"/>
              <w:ind w:left="0" w:firstLine="0"/>
              <w:jc w:val="both"/>
              <w:rPr>
                <w:rFonts w:ascii="Arial" w:hAnsi="Arial"/>
                <w:lang w:val="en-US"/>
              </w:rPr>
            </w:pPr>
          </w:p>
        </w:tc>
        <w:tc>
          <w:tcPr>
            <w:tcW w:w="2394" w:type="dxa"/>
          </w:tcPr>
          <w:p w14:paraId="0E78FF8E" w14:textId="0A745ABB" w:rsidR="005F5C77" w:rsidRPr="0044699F" w:rsidRDefault="0044699F" w:rsidP="0044699F">
            <w:pPr>
              <w:pStyle w:val="List"/>
              <w:tabs>
                <w:tab w:val="left" w:pos="360"/>
              </w:tabs>
              <w:spacing w:before="0" w:line="280" w:lineRule="exact"/>
              <w:ind w:left="0" w:firstLine="0"/>
              <w:jc w:val="center"/>
              <w:rPr>
                <w:rFonts w:ascii="Arial" w:hAnsi="Arial"/>
                <w:sz w:val="20"/>
              </w:rPr>
            </w:pPr>
            <w:r w:rsidRPr="0044699F">
              <w:rPr>
                <w:rFonts w:ascii="Arial" w:hAnsi="Arial"/>
                <w:sz w:val="20"/>
              </w:rPr>
              <w:t>N/A</w:t>
            </w:r>
          </w:p>
        </w:tc>
      </w:tr>
      <w:tr w:rsidR="0044699F" w14:paraId="5F4B86D0" w14:textId="77777777" w:rsidTr="005F5C77">
        <w:tc>
          <w:tcPr>
            <w:tcW w:w="2394" w:type="dxa"/>
          </w:tcPr>
          <w:p w14:paraId="0564A134" w14:textId="64F69CEB" w:rsidR="0044699F" w:rsidRDefault="0044699F" w:rsidP="005F5C77">
            <w:pPr>
              <w:pStyle w:val="List"/>
              <w:keepNext/>
              <w:keepLines/>
              <w:tabs>
                <w:tab w:val="left" w:pos="360"/>
              </w:tabs>
              <w:spacing w:before="0" w:line="280" w:lineRule="exact"/>
              <w:ind w:left="0" w:firstLine="0"/>
              <w:jc w:val="center"/>
              <w:rPr>
                <w:rFonts w:ascii="Arial" w:hAnsi="Arial"/>
                <w:sz w:val="20"/>
              </w:rPr>
            </w:pPr>
            <w:r>
              <w:rPr>
                <w:rFonts w:ascii="Arial" w:hAnsi="Arial"/>
                <w:sz w:val="20"/>
              </w:rPr>
              <w:t xml:space="preserve">Common Shares </w:t>
            </w:r>
          </w:p>
        </w:tc>
        <w:tc>
          <w:tcPr>
            <w:tcW w:w="2394" w:type="dxa"/>
          </w:tcPr>
          <w:p w14:paraId="0088F800" w14:textId="370A5454" w:rsidR="0044699F" w:rsidRDefault="001F6EDF" w:rsidP="005F5C77">
            <w:pPr>
              <w:pStyle w:val="List"/>
              <w:keepNext/>
              <w:keepLines/>
              <w:tabs>
                <w:tab w:val="left" w:pos="360"/>
              </w:tabs>
              <w:spacing w:before="0" w:line="280" w:lineRule="exact"/>
              <w:ind w:left="0" w:firstLine="0"/>
              <w:jc w:val="center"/>
              <w:rPr>
                <w:rFonts w:ascii="Arial" w:hAnsi="Arial"/>
              </w:rPr>
            </w:pPr>
            <w:r>
              <w:rPr>
                <w:rFonts w:ascii="Arial" w:hAnsi="Arial"/>
              </w:rPr>
              <w:t>1,200,000</w:t>
            </w:r>
          </w:p>
        </w:tc>
        <w:tc>
          <w:tcPr>
            <w:tcW w:w="2394" w:type="dxa"/>
          </w:tcPr>
          <w:p w14:paraId="219EBCA4" w14:textId="0C97DB1A" w:rsidR="0044699F" w:rsidRDefault="001F6EDF" w:rsidP="00813083">
            <w:pPr>
              <w:rPr>
                <w:rFonts w:ascii="Arial" w:hAnsi="Arial"/>
                <w:i/>
                <w:iCs/>
              </w:rPr>
            </w:pPr>
            <w:r>
              <w:rPr>
                <w:rFonts w:ascii="Arial" w:hAnsi="Arial"/>
                <w:i/>
                <w:iCs/>
              </w:rPr>
              <w:t>Warrant Exercise @ $0.20 cents per share</w:t>
            </w:r>
          </w:p>
        </w:tc>
        <w:tc>
          <w:tcPr>
            <w:tcW w:w="2394" w:type="dxa"/>
          </w:tcPr>
          <w:p w14:paraId="61B7B299" w14:textId="7149AA31" w:rsidR="0044699F" w:rsidRPr="00052DC3" w:rsidRDefault="00032B29" w:rsidP="0044699F">
            <w:pPr>
              <w:pStyle w:val="List"/>
              <w:tabs>
                <w:tab w:val="left" w:pos="360"/>
              </w:tabs>
              <w:spacing w:before="0" w:line="280" w:lineRule="exact"/>
              <w:ind w:left="0" w:firstLine="0"/>
              <w:jc w:val="center"/>
              <w:rPr>
                <w:rFonts w:ascii="Arial" w:hAnsi="Arial"/>
                <w:sz w:val="18"/>
                <w:szCs w:val="18"/>
              </w:rPr>
            </w:pPr>
            <w:r w:rsidRPr="00052DC3">
              <w:rPr>
                <w:rFonts w:ascii="Arial" w:hAnsi="Arial"/>
                <w:sz w:val="18"/>
                <w:szCs w:val="18"/>
              </w:rPr>
              <w:t xml:space="preserve"> General Working Capital</w:t>
            </w:r>
            <w:r w:rsidR="00052DC3" w:rsidRPr="00052DC3">
              <w:rPr>
                <w:rFonts w:ascii="Arial" w:hAnsi="Arial"/>
                <w:sz w:val="18"/>
                <w:szCs w:val="18"/>
              </w:rPr>
              <w:t xml:space="preserve"> &amp; Property Exploration on its Energy Metal &amp; Precious Metal Properties </w:t>
            </w:r>
          </w:p>
        </w:tc>
      </w:tr>
      <w:tr w:rsidR="001F6EDF" w14:paraId="3FE94EAC" w14:textId="77777777" w:rsidTr="005F5C77">
        <w:tc>
          <w:tcPr>
            <w:tcW w:w="2394" w:type="dxa"/>
          </w:tcPr>
          <w:p w14:paraId="026446C8" w14:textId="5677821A" w:rsidR="001F6EDF" w:rsidRDefault="001F6EDF" w:rsidP="005F5C77">
            <w:pPr>
              <w:pStyle w:val="List"/>
              <w:keepNext/>
              <w:keepLines/>
              <w:tabs>
                <w:tab w:val="left" w:pos="360"/>
              </w:tabs>
              <w:spacing w:before="0" w:line="280" w:lineRule="exact"/>
              <w:ind w:left="0" w:firstLine="0"/>
              <w:jc w:val="center"/>
              <w:rPr>
                <w:rFonts w:ascii="Arial" w:hAnsi="Arial"/>
                <w:sz w:val="20"/>
              </w:rPr>
            </w:pPr>
            <w:r>
              <w:rPr>
                <w:rFonts w:ascii="Arial" w:hAnsi="Arial"/>
                <w:sz w:val="20"/>
              </w:rPr>
              <w:t>Common Shares</w:t>
            </w:r>
          </w:p>
        </w:tc>
        <w:tc>
          <w:tcPr>
            <w:tcW w:w="2394" w:type="dxa"/>
          </w:tcPr>
          <w:p w14:paraId="5BFC1D21" w14:textId="5AD09FBE" w:rsidR="001F6EDF" w:rsidRDefault="001F6EDF" w:rsidP="005F5C77">
            <w:pPr>
              <w:pStyle w:val="List"/>
              <w:keepNext/>
              <w:keepLines/>
              <w:tabs>
                <w:tab w:val="left" w:pos="360"/>
              </w:tabs>
              <w:spacing w:before="0" w:line="280" w:lineRule="exact"/>
              <w:ind w:left="0" w:firstLine="0"/>
              <w:jc w:val="center"/>
              <w:rPr>
                <w:rFonts w:ascii="Arial" w:hAnsi="Arial"/>
              </w:rPr>
            </w:pPr>
            <w:r>
              <w:rPr>
                <w:rFonts w:ascii="Arial" w:hAnsi="Arial"/>
              </w:rPr>
              <w:t>1,500,000</w:t>
            </w:r>
          </w:p>
        </w:tc>
        <w:tc>
          <w:tcPr>
            <w:tcW w:w="2394" w:type="dxa"/>
          </w:tcPr>
          <w:p w14:paraId="71F656DA" w14:textId="2ED99334" w:rsidR="001F6EDF" w:rsidRDefault="001F6EDF" w:rsidP="00813083">
            <w:pPr>
              <w:rPr>
                <w:rFonts w:ascii="Arial" w:hAnsi="Arial"/>
                <w:i/>
                <w:iCs/>
              </w:rPr>
            </w:pPr>
            <w:r>
              <w:rPr>
                <w:rFonts w:ascii="Arial" w:hAnsi="Arial"/>
                <w:i/>
                <w:iCs/>
              </w:rPr>
              <w:t>Warrant Exercise @ $0.20 cents per share</w:t>
            </w:r>
          </w:p>
        </w:tc>
        <w:tc>
          <w:tcPr>
            <w:tcW w:w="2394" w:type="dxa"/>
          </w:tcPr>
          <w:p w14:paraId="126ECE34" w14:textId="3EDB9F2E" w:rsidR="001F6EDF" w:rsidRPr="00052DC3" w:rsidRDefault="00052DC3" w:rsidP="0044699F">
            <w:pPr>
              <w:pStyle w:val="List"/>
              <w:tabs>
                <w:tab w:val="left" w:pos="360"/>
              </w:tabs>
              <w:spacing w:before="0" w:line="280" w:lineRule="exact"/>
              <w:ind w:left="0" w:firstLine="0"/>
              <w:jc w:val="center"/>
              <w:rPr>
                <w:rFonts w:ascii="Arial" w:hAnsi="Arial"/>
                <w:sz w:val="18"/>
                <w:szCs w:val="18"/>
              </w:rPr>
            </w:pPr>
            <w:r w:rsidRPr="00052DC3">
              <w:rPr>
                <w:rFonts w:ascii="Arial" w:hAnsi="Arial"/>
                <w:sz w:val="18"/>
                <w:szCs w:val="18"/>
              </w:rPr>
              <w:t xml:space="preserve">General Working Capital &amp; Property Exploration on its Energy </w:t>
            </w:r>
            <w:r w:rsidRPr="00052DC3">
              <w:rPr>
                <w:rFonts w:ascii="Arial" w:hAnsi="Arial"/>
                <w:sz w:val="18"/>
                <w:szCs w:val="18"/>
              </w:rPr>
              <w:t>Metal &amp;</w:t>
            </w:r>
            <w:r w:rsidRPr="00052DC3">
              <w:rPr>
                <w:rFonts w:ascii="Arial" w:hAnsi="Arial"/>
                <w:sz w:val="18"/>
                <w:szCs w:val="18"/>
              </w:rPr>
              <w:t xml:space="preserve"> Precious Metal Properties</w:t>
            </w:r>
          </w:p>
        </w:tc>
      </w:tr>
    </w:tbl>
    <w:p w14:paraId="73E9BD9C" w14:textId="77777777" w:rsidR="00640E94" w:rsidRDefault="00640E94" w:rsidP="001B2E08">
      <w:pPr>
        <w:pStyle w:val="List"/>
        <w:numPr>
          <w:ilvl w:val="0"/>
          <w:numId w:val="30"/>
        </w:numPr>
        <w:tabs>
          <w:tab w:val="left" w:pos="360"/>
        </w:tabs>
        <w:spacing w:before="120"/>
        <w:jc w:val="both"/>
        <w:rPr>
          <w:rFonts w:ascii="Arial" w:hAnsi="Arial"/>
          <w:i/>
        </w:rPr>
      </w:pPr>
      <w:r>
        <w:rPr>
          <w:rFonts w:ascii="Arial" w:hAnsi="Arial"/>
          <w:i/>
        </w:rPr>
        <w:t>State aggregate proceeds and intended allocation of proceeds.</w:t>
      </w:r>
    </w:p>
    <w:p w14:paraId="691C0D8B" w14:textId="7067D153" w:rsidR="001B2E08" w:rsidRPr="001A073C" w:rsidRDefault="001B2E08" w:rsidP="001B2E08">
      <w:pPr>
        <w:pStyle w:val="List"/>
        <w:numPr>
          <w:ilvl w:val="0"/>
          <w:numId w:val="30"/>
        </w:numPr>
        <w:tabs>
          <w:tab w:val="left" w:pos="360"/>
        </w:tabs>
        <w:spacing w:before="0"/>
        <w:jc w:val="both"/>
        <w:rPr>
          <w:rFonts w:ascii="Arial" w:hAnsi="Arial"/>
          <w:i/>
          <w:u w:val="single"/>
        </w:rPr>
      </w:pPr>
      <w:r>
        <w:rPr>
          <w:rFonts w:ascii="Arial" w:hAnsi="Arial"/>
          <w:i/>
        </w:rPr>
        <w:t xml:space="preserve">The Issuer intends to allocate the aggregate proceeds of </w:t>
      </w:r>
      <w:r w:rsidR="00531273">
        <w:rPr>
          <w:rFonts w:ascii="Arial" w:hAnsi="Arial"/>
          <w:i/>
        </w:rPr>
        <w:t>$</w:t>
      </w:r>
      <w:r w:rsidR="00032B29">
        <w:rPr>
          <w:rFonts w:ascii="Arial" w:hAnsi="Arial"/>
          <w:i/>
        </w:rPr>
        <w:t xml:space="preserve"> </w:t>
      </w:r>
      <w:r w:rsidR="00052DC3">
        <w:rPr>
          <w:rFonts w:ascii="Arial" w:hAnsi="Arial"/>
          <w:i/>
        </w:rPr>
        <w:t>250</w:t>
      </w:r>
      <w:r w:rsidR="00032B29">
        <w:rPr>
          <w:rFonts w:ascii="Arial" w:hAnsi="Arial"/>
          <w:i/>
        </w:rPr>
        <w:t>,000</w:t>
      </w:r>
      <w:r>
        <w:rPr>
          <w:rFonts w:ascii="Arial" w:hAnsi="Arial"/>
          <w:i/>
        </w:rPr>
        <w:t xml:space="preserve"> to </w:t>
      </w:r>
      <w:r w:rsidR="001A073C" w:rsidRPr="001A073C">
        <w:rPr>
          <w:rFonts w:ascii="Arial" w:hAnsi="Arial"/>
          <w:i/>
          <w:u w:val="single"/>
        </w:rPr>
        <w:t>allocate towards general working capital purposes</w:t>
      </w:r>
      <w:r w:rsidRPr="001A073C">
        <w:rPr>
          <w:rFonts w:ascii="Arial" w:hAnsi="Arial"/>
          <w:i/>
          <w:u w:val="single"/>
        </w:rPr>
        <w:t xml:space="preserve">_. </w:t>
      </w:r>
    </w:p>
    <w:p w14:paraId="744081B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9BCF264" w14:textId="77777777" w:rsidR="00F4477A" w:rsidRPr="00F4477A" w:rsidRDefault="00F4477A" w:rsidP="00F4477A">
      <w:pPr>
        <w:pStyle w:val="List"/>
        <w:keepNext/>
        <w:keepLines/>
        <w:spacing w:before="120"/>
        <w:ind w:left="720" w:firstLine="0"/>
        <w:jc w:val="both"/>
        <w:rPr>
          <w:rFonts w:ascii="Arial" w:hAnsi="Arial"/>
          <w:i/>
          <w:iCs/>
        </w:rPr>
      </w:pPr>
      <w:r>
        <w:rPr>
          <w:rFonts w:ascii="Arial" w:hAnsi="Arial"/>
          <w:i/>
          <w:iCs/>
        </w:rPr>
        <w:t>N/A.</w:t>
      </w:r>
    </w:p>
    <w:p w14:paraId="10ABC71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9007766" w14:textId="77777777" w:rsidR="00F4477A" w:rsidRPr="00F4477A" w:rsidRDefault="00F4477A" w:rsidP="00F4477A">
      <w:pPr>
        <w:pStyle w:val="List"/>
        <w:keepNext/>
        <w:keepLines/>
        <w:spacing w:before="120"/>
        <w:ind w:left="720" w:firstLine="0"/>
        <w:jc w:val="both"/>
        <w:rPr>
          <w:rFonts w:ascii="Arial" w:hAnsi="Arial"/>
          <w:i/>
          <w:iCs/>
        </w:rPr>
      </w:pPr>
      <w:r w:rsidRPr="00F4477A">
        <w:rPr>
          <w:rFonts w:ascii="Arial" w:hAnsi="Arial"/>
          <w:i/>
          <w:iCs/>
        </w:rPr>
        <w:t>N/A.</w:t>
      </w:r>
    </w:p>
    <w:p w14:paraId="11F13B94"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E876718" w14:textId="77777777" w:rsidR="00AA26E7" w:rsidRPr="00AA26E7" w:rsidRDefault="00AA26E7" w:rsidP="00AA26E7">
      <w:pPr>
        <w:pStyle w:val="List"/>
        <w:spacing w:before="120"/>
        <w:ind w:left="720" w:firstLine="0"/>
        <w:jc w:val="both"/>
        <w:rPr>
          <w:rFonts w:ascii="Arial" w:hAnsi="Arial"/>
          <w:i/>
          <w:iCs/>
        </w:rPr>
      </w:pPr>
      <w:r w:rsidRPr="00AA26E7">
        <w:rPr>
          <w:rFonts w:ascii="Arial" w:hAnsi="Arial"/>
          <w:i/>
          <w:iCs/>
        </w:rPr>
        <w:t>The Issuer has not identified any trends which are likely to impact the Issuer.</w:t>
      </w:r>
    </w:p>
    <w:p w14:paraId="5B8AE4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A767C47" w14:textId="77777777" w:rsidR="00640E94" w:rsidRDefault="00640E94">
      <w:pPr>
        <w:pStyle w:val="BodyText"/>
        <w:keepNext/>
        <w:rPr>
          <w:rFonts w:ascii="Arial" w:hAnsi="Arial"/>
        </w:rPr>
      </w:pPr>
      <w:r>
        <w:rPr>
          <w:rFonts w:ascii="Arial" w:hAnsi="Arial"/>
        </w:rPr>
        <w:t>The undersigned hereby certifies that:</w:t>
      </w:r>
    </w:p>
    <w:p w14:paraId="2E8AAA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8BCC4E7"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1CDA8CD0" w14:textId="77777777" w:rsidR="00F4477A" w:rsidRDefault="00F4477A" w:rsidP="00F4477A">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0758D890" w14:textId="77777777" w:rsidR="00F4477A" w:rsidRDefault="00F4477A" w:rsidP="00F4477A">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ll of the information in this Form 7 Monthly Progress Report is true.</w:t>
      </w:r>
    </w:p>
    <w:p w14:paraId="7678CD59" w14:textId="30B5359A" w:rsidR="00640E94" w:rsidRDefault="00640E94" w:rsidP="00592B1C">
      <w:pPr>
        <w:pStyle w:val="BodyText"/>
        <w:tabs>
          <w:tab w:val="left" w:pos="4680"/>
          <w:tab w:val="left" w:pos="7200"/>
        </w:tabs>
        <w:jc w:val="both"/>
        <w:rPr>
          <w:rFonts w:ascii="Arial" w:hAnsi="Arial"/>
        </w:rPr>
      </w:pPr>
      <w:r>
        <w:rPr>
          <w:rFonts w:ascii="Arial" w:hAnsi="Arial"/>
        </w:rPr>
        <w:t xml:space="preserve">Dated </w:t>
      </w:r>
      <w:r w:rsidR="00C845EB">
        <w:rPr>
          <w:rFonts w:ascii="Arial" w:hAnsi="Arial"/>
        </w:rPr>
        <w:t>March</w:t>
      </w:r>
      <w:r w:rsidR="005F5C77">
        <w:rPr>
          <w:rFonts w:ascii="Arial" w:hAnsi="Arial"/>
        </w:rPr>
        <w:t xml:space="preserve"> </w:t>
      </w:r>
      <w:r w:rsidR="00531273">
        <w:rPr>
          <w:rFonts w:ascii="Arial" w:hAnsi="Arial"/>
        </w:rPr>
        <w:t>0</w:t>
      </w:r>
      <w:r w:rsidR="00C845EB">
        <w:rPr>
          <w:rFonts w:ascii="Arial" w:hAnsi="Arial"/>
        </w:rPr>
        <w:t>7</w:t>
      </w:r>
      <w:r w:rsidR="00F4477A">
        <w:rPr>
          <w:rFonts w:ascii="Arial" w:hAnsi="Arial"/>
        </w:rPr>
        <w:t>, 202</w:t>
      </w:r>
      <w:r w:rsidR="00531273">
        <w:rPr>
          <w:rFonts w:ascii="Arial" w:hAnsi="Arial"/>
        </w:rPr>
        <w:t>1</w:t>
      </w:r>
      <w:r>
        <w:rPr>
          <w:rFonts w:ascii="Arial" w:hAnsi="Arial"/>
        </w:rPr>
        <w:t>.</w:t>
      </w:r>
    </w:p>
    <w:p w14:paraId="136AC2A6" w14:textId="77777777" w:rsidR="00592B1C" w:rsidRDefault="00592B1C" w:rsidP="00592B1C">
      <w:pPr>
        <w:pStyle w:val="BodyText"/>
        <w:tabs>
          <w:tab w:val="left" w:pos="4680"/>
          <w:tab w:val="left" w:pos="9180"/>
        </w:tabs>
        <w:spacing w:before="120"/>
        <w:ind w:left="5674"/>
        <w:jc w:val="both"/>
        <w:rPr>
          <w:rFonts w:ascii="Arial" w:hAnsi="Arial"/>
        </w:rPr>
      </w:pPr>
      <w:r>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22C4" w14:textId="77777777" w:rsidR="00592B1C" w:rsidRDefault="00592B1C" w:rsidP="00592B1C">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Pr>
          <w:rFonts w:ascii="Arial" w:hAnsi="Arial"/>
          <w:u w:val="single"/>
        </w:rPr>
        <w:tab/>
      </w:r>
      <w:r>
        <w:rPr>
          <w:rFonts w:ascii="Arial" w:hAnsi="Arial"/>
        </w:rPr>
        <w:br/>
        <w:t>Signature</w:t>
      </w:r>
    </w:p>
    <w:p w14:paraId="5CD45F1E" w14:textId="77777777" w:rsidR="00592B1C" w:rsidRDefault="00592B1C" w:rsidP="00592B1C">
      <w:pPr>
        <w:pStyle w:val="BodyText"/>
        <w:tabs>
          <w:tab w:val="left" w:pos="9180"/>
        </w:tabs>
        <w:spacing w:before="120"/>
        <w:ind w:left="5674"/>
        <w:rPr>
          <w:rFonts w:ascii="Arial" w:hAnsi="Arial"/>
        </w:rPr>
      </w:pPr>
      <w:r>
        <w:rPr>
          <w:rFonts w:ascii="Arial" w:hAnsi="Arial"/>
          <w:u w:val="single"/>
        </w:rPr>
        <w:t>President</w:t>
      </w:r>
      <w:r>
        <w:rPr>
          <w:rFonts w:ascii="Arial" w:hAnsi="Arial"/>
          <w:u w:val="single"/>
        </w:rPr>
        <w:tab/>
      </w:r>
      <w:r>
        <w:rPr>
          <w:rFonts w:ascii="Arial" w:hAnsi="Arial"/>
        </w:rPr>
        <w:br/>
        <w:t>Official Capacity</w:t>
      </w:r>
    </w:p>
    <w:p w14:paraId="5A51D84B" w14:textId="77777777" w:rsidR="00592B1C" w:rsidRDefault="00592B1C" w:rsidP="00592B1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592B1C" w14:paraId="30D48FD9" w14:textId="77777777" w:rsidTr="00C30E13">
        <w:tc>
          <w:tcPr>
            <w:tcW w:w="4230" w:type="dxa"/>
          </w:tcPr>
          <w:p w14:paraId="10E3904A" w14:textId="77777777" w:rsidR="00592B1C" w:rsidRDefault="00592B1C" w:rsidP="00C30E13">
            <w:pPr>
              <w:pStyle w:val="BodyText"/>
              <w:spacing w:before="0"/>
              <w:rPr>
                <w:rFonts w:ascii="Arial" w:hAnsi="Arial"/>
                <w:b/>
                <w:i/>
              </w:rPr>
            </w:pPr>
            <w:r>
              <w:rPr>
                <w:rFonts w:ascii="Arial" w:hAnsi="Arial"/>
                <w:b/>
                <w:i/>
              </w:rPr>
              <w:t>Issuer Details</w:t>
            </w:r>
          </w:p>
          <w:p w14:paraId="05230E99" w14:textId="77777777" w:rsidR="00592B1C" w:rsidRDefault="00592B1C" w:rsidP="00C30E13">
            <w:pPr>
              <w:pStyle w:val="BodyText"/>
              <w:spacing w:before="0"/>
              <w:rPr>
                <w:rFonts w:ascii="Arial" w:hAnsi="Arial"/>
              </w:rPr>
            </w:pPr>
            <w:r>
              <w:rPr>
                <w:rFonts w:ascii="Arial" w:hAnsi="Arial"/>
              </w:rPr>
              <w:t>Name of Issuer</w:t>
            </w:r>
          </w:p>
          <w:p w14:paraId="2CF3C166" w14:textId="77777777" w:rsidR="00592B1C" w:rsidRDefault="00592B1C" w:rsidP="00C30E13">
            <w:pPr>
              <w:pStyle w:val="BodyText"/>
              <w:rPr>
                <w:rFonts w:ascii="Arial" w:hAnsi="Arial"/>
              </w:rPr>
            </w:pPr>
            <w:r>
              <w:rPr>
                <w:rFonts w:ascii="Arial" w:hAnsi="Arial"/>
              </w:rPr>
              <w:t>First Energy Metals Limited</w:t>
            </w:r>
          </w:p>
        </w:tc>
        <w:tc>
          <w:tcPr>
            <w:tcW w:w="2448" w:type="dxa"/>
          </w:tcPr>
          <w:p w14:paraId="1E4F3A47" w14:textId="3A455F88" w:rsidR="00592B1C" w:rsidRDefault="00B42F96" w:rsidP="00C30E13">
            <w:pPr>
              <w:pStyle w:val="BodyText"/>
              <w:spacing w:before="0"/>
              <w:rPr>
                <w:rFonts w:ascii="Arial" w:hAnsi="Arial"/>
              </w:rPr>
            </w:pPr>
            <w:r>
              <w:rPr>
                <w:rFonts w:ascii="Arial" w:hAnsi="Arial"/>
              </w:rPr>
              <w:t>For Month</w:t>
            </w:r>
            <w:r w:rsidR="00592B1C">
              <w:rPr>
                <w:rFonts w:ascii="Arial" w:hAnsi="Arial"/>
              </w:rPr>
              <w:t xml:space="preserve"> End</w:t>
            </w:r>
          </w:p>
          <w:p w14:paraId="607B6F90" w14:textId="77777777" w:rsidR="00592B1C" w:rsidRDefault="00592B1C" w:rsidP="00C30E13">
            <w:pPr>
              <w:pStyle w:val="BodyText"/>
              <w:spacing w:before="0"/>
              <w:rPr>
                <w:rFonts w:ascii="Arial" w:hAnsi="Arial"/>
              </w:rPr>
            </w:pPr>
          </w:p>
          <w:p w14:paraId="7A73C2DF" w14:textId="77777777" w:rsidR="00592B1C" w:rsidRDefault="00592B1C" w:rsidP="00C30E13">
            <w:pPr>
              <w:pStyle w:val="BodyText"/>
              <w:spacing w:before="0"/>
              <w:rPr>
                <w:rFonts w:ascii="Arial" w:hAnsi="Arial"/>
              </w:rPr>
            </w:pPr>
          </w:p>
          <w:p w14:paraId="4607E3DE" w14:textId="5345F39C" w:rsidR="00592B1C" w:rsidRDefault="00FA334A" w:rsidP="00C30E13">
            <w:pPr>
              <w:pStyle w:val="BodyText"/>
              <w:spacing w:before="0"/>
              <w:rPr>
                <w:rFonts w:ascii="Arial" w:hAnsi="Arial"/>
              </w:rPr>
            </w:pPr>
            <w:r>
              <w:rPr>
                <w:rFonts w:ascii="Arial" w:hAnsi="Arial"/>
              </w:rPr>
              <w:t>March 07</w:t>
            </w:r>
            <w:r w:rsidR="00592B1C">
              <w:rPr>
                <w:rFonts w:ascii="Arial" w:hAnsi="Arial"/>
              </w:rPr>
              <w:t>, 202</w:t>
            </w:r>
            <w:r w:rsidR="00531273">
              <w:rPr>
                <w:rFonts w:ascii="Arial" w:hAnsi="Arial"/>
              </w:rPr>
              <w:t>1</w:t>
            </w:r>
          </w:p>
        </w:tc>
        <w:tc>
          <w:tcPr>
            <w:tcW w:w="2898" w:type="dxa"/>
          </w:tcPr>
          <w:p w14:paraId="37BD830E" w14:textId="77777777" w:rsidR="00592B1C" w:rsidRDefault="00592B1C" w:rsidP="00C30E13">
            <w:pPr>
              <w:pStyle w:val="BodyText"/>
              <w:spacing w:before="0"/>
              <w:rPr>
                <w:rFonts w:ascii="Arial" w:hAnsi="Arial"/>
              </w:rPr>
            </w:pPr>
            <w:r>
              <w:rPr>
                <w:rFonts w:ascii="Arial" w:hAnsi="Arial"/>
              </w:rPr>
              <w:t>Date of Report</w:t>
            </w:r>
          </w:p>
          <w:p w14:paraId="7C598DE5" w14:textId="77777777" w:rsidR="00592B1C" w:rsidRDefault="00592B1C" w:rsidP="00C30E13">
            <w:pPr>
              <w:pStyle w:val="BodyText"/>
              <w:spacing w:before="0"/>
              <w:rPr>
                <w:rFonts w:ascii="Arial" w:hAnsi="Arial"/>
              </w:rPr>
            </w:pPr>
            <w:r>
              <w:rPr>
                <w:rFonts w:ascii="Arial" w:hAnsi="Arial"/>
              </w:rPr>
              <w:t>YY/MM/D</w:t>
            </w:r>
          </w:p>
          <w:p w14:paraId="12A573EB" w14:textId="77777777" w:rsidR="00592B1C" w:rsidRDefault="00592B1C" w:rsidP="00C30E13">
            <w:pPr>
              <w:pStyle w:val="BodyText"/>
              <w:spacing w:before="0"/>
              <w:rPr>
                <w:rFonts w:ascii="Arial" w:hAnsi="Arial"/>
              </w:rPr>
            </w:pPr>
          </w:p>
          <w:p w14:paraId="705CBD3C" w14:textId="54416F6F" w:rsidR="00592B1C" w:rsidRDefault="00592B1C" w:rsidP="00C30E13">
            <w:pPr>
              <w:pStyle w:val="BodyText"/>
              <w:spacing w:before="0"/>
              <w:rPr>
                <w:rFonts w:ascii="Arial" w:hAnsi="Arial"/>
              </w:rPr>
            </w:pPr>
            <w:r>
              <w:rPr>
                <w:rFonts w:ascii="Arial" w:hAnsi="Arial"/>
              </w:rPr>
              <w:t>2</w:t>
            </w:r>
            <w:r w:rsidR="006A284E">
              <w:rPr>
                <w:rFonts w:ascii="Arial" w:hAnsi="Arial"/>
              </w:rPr>
              <w:t>1</w:t>
            </w:r>
            <w:r>
              <w:rPr>
                <w:rFonts w:ascii="Arial" w:hAnsi="Arial"/>
              </w:rPr>
              <w:t>/</w:t>
            </w:r>
            <w:r w:rsidR="006A284E">
              <w:rPr>
                <w:rFonts w:ascii="Arial" w:hAnsi="Arial"/>
              </w:rPr>
              <w:t>0</w:t>
            </w:r>
            <w:r w:rsidR="00FA334A">
              <w:rPr>
                <w:rFonts w:ascii="Arial" w:hAnsi="Arial"/>
              </w:rPr>
              <w:t>3</w:t>
            </w:r>
            <w:r w:rsidR="006A284E">
              <w:rPr>
                <w:rFonts w:ascii="Arial" w:hAnsi="Arial"/>
              </w:rPr>
              <w:t>/</w:t>
            </w:r>
            <w:r w:rsidR="00531273">
              <w:rPr>
                <w:rFonts w:ascii="Arial" w:hAnsi="Arial"/>
              </w:rPr>
              <w:t>0</w:t>
            </w:r>
            <w:r w:rsidR="00FA334A">
              <w:rPr>
                <w:rFonts w:ascii="Arial" w:hAnsi="Arial"/>
              </w:rPr>
              <w:t>7</w:t>
            </w:r>
          </w:p>
        </w:tc>
      </w:tr>
      <w:tr w:rsidR="00592B1C" w14:paraId="73965115" w14:textId="77777777" w:rsidTr="00C30E13">
        <w:trPr>
          <w:cantSplit/>
        </w:trPr>
        <w:tc>
          <w:tcPr>
            <w:tcW w:w="9576" w:type="dxa"/>
            <w:gridSpan w:val="3"/>
          </w:tcPr>
          <w:p w14:paraId="659F44C8" w14:textId="77777777" w:rsidR="00592B1C" w:rsidRDefault="00592B1C" w:rsidP="00C30E13">
            <w:pPr>
              <w:pStyle w:val="BodyText"/>
              <w:spacing w:before="0"/>
              <w:rPr>
                <w:rFonts w:ascii="Arial" w:hAnsi="Arial"/>
              </w:rPr>
            </w:pPr>
            <w:r>
              <w:rPr>
                <w:rFonts w:ascii="Arial" w:hAnsi="Arial"/>
              </w:rPr>
              <w:t>Issuer Address</w:t>
            </w:r>
          </w:p>
          <w:p w14:paraId="2A1E9B67" w14:textId="77777777" w:rsidR="00592B1C" w:rsidRDefault="00592B1C" w:rsidP="00C30E13">
            <w:pPr>
              <w:pStyle w:val="BodyText"/>
              <w:spacing w:before="0"/>
              <w:rPr>
                <w:rFonts w:ascii="Arial" w:hAnsi="Arial"/>
              </w:rPr>
            </w:pPr>
          </w:p>
          <w:p w14:paraId="733C83B9" w14:textId="2746C2D4" w:rsidR="00592B1C" w:rsidRDefault="002D7727" w:rsidP="00C30E13">
            <w:pPr>
              <w:pStyle w:val="BodyText"/>
              <w:spacing w:before="0"/>
              <w:rPr>
                <w:rFonts w:ascii="Arial" w:hAnsi="Arial"/>
              </w:rPr>
            </w:pPr>
            <w:r>
              <w:rPr>
                <w:rFonts w:ascii="Arial" w:hAnsi="Arial"/>
              </w:rPr>
              <w:t>2421</w:t>
            </w:r>
            <w:r w:rsidR="00592B1C">
              <w:rPr>
                <w:rFonts w:ascii="Arial" w:hAnsi="Arial"/>
              </w:rPr>
              <w:t xml:space="preserve"> – </w:t>
            </w:r>
            <w:r>
              <w:rPr>
                <w:rFonts w:ascii="Arial" w:hAnsi="Arial"/>
              </w:rPr>
              <w:t>1055</w:t>
            </w:r>
            <w:r w:rsidR="00592B1C">
              <w:rPr>
                <w:rFonts w:ascii="Arial" w:hAnsi="Arial"/>
              </w:rPr>
              <w:t xml:space="preserve"> </w:t>
            </w:r>
            <w:r>
              <w:rPr>
                <w:rFonts w:ascii="Arial" w:hAnsi="Arial"/>
              </w:rPr>
              <w:t>West Georgia</w:t>
            </w:r>
            <w:r w:rsidR="00592B1C">
              <w:rPr>
                <w:rFonts w:ascii="Arial" w:hAnsi="Arial"/>
              </w:rPr>
              <w:t xml:space="preserve"> Street</w:t>
            </w:r>
          </w:p>
        </w:tc>
      </w:tr>
      <w:tr w:rsidR="00592B1C" w14:paraId="304A7812" w14:textId="77777777" w:rsidTr="00C30E13">
        <w:tc>
          <w:tcPr>
            <w:tcW w:w="4230" w:type="dxa"/>
          </w:tcPr>
          <w:p w14:paraId="68B17CA6" w14:textId="77777777" w:rsidR="00592B1C" w:rsidRDefault="00592B1C" w:rsidP="00C30E13">
            <w:pPr>
              <w:pStyle w:val="BodyText"/>
              <w:spacing w:before="0"/>
              <w:rPr>
                <w:rFonts w:ascii="Arial" w:hAnsi="Arial"/>
              </w:rPr>
            </w:pPr>
            <w:r>
              <w:rPr>
                <w:rFonts w:ascii="Arial" w:hAnsi="Arial"/>
              </w:rPr>
              <w:t>City/Province/Postal Code</w:t>
            </w:r>
          </w:p>
          <w:p w14:paraId="7C07ED67" w14:textId="77777777" w:rsidR="00592B1C" w:rsidRDefault="00592B1C" w:rsidP="00C30E13">
            <w:pPr>
              <w:pStyle w:val="BodyText"/>
              <w:spacing w:before="0"/>
              <w:rPr>
                <w:rFonts w:ascii="Arial" w:hAnsi="Arial"/>
              </w:rPr>
            </w:pPr>
          </w:p>
          <w:p w14:paraId="572B8758" w14:textId="17823779" w:rsidR="00592B1C" w:rsidRDefault="00592B1C" w:rsidP="00C30E13">
            <w:pPr>
              <w:pStyle w:val="BodyText"/>
              <w:spacing w:before="0"/>
              <w:rPr>
                <w:rFonts w:ascii="Arial" w:hAnsi="Arial"/>
              </w:rPr>
            </w:pPr>
            <w:r>
              <w:rPr>
                <w:rFonts w:ascii="Arial" w:hAnsi="Arial"/>
              </w:rPr>
              <w:t xml:space="preserve">Vancouver, </w:t>
            </w:r>
            <w:r w:rsidR="00390A11">
              <w:rPr>
                <w:rFonts w:ascii="Arial" w:hAnsi="Arial"/>
              </w:rPr>
              <w:t>BC V</w:t>
            </w:r>
            <w:r>
              <w:rPr>
                <w:rFonts w:ascii="Arial" w:hAnsi="Arial"/>
              </w:rPr>
              <w:t>6</w:t>
            </w:r>
            <w:r w:rsidR="002D7727">
              <w:rPr>
                <w:rFonts w:ascii="Arial" w:hAnsi="Arial"/>
              </w:rPr>
              <w:t>E</w:t>
            </w:r>
            <w:r>
              <w:rPr>
                <w:rFonts w:ascii="Arial" w:hAnsi="Arial"/>
              </w:rPr>
              <w:t xml:space="preserve"> 3</w:t>
            </w:r>
            <w:r w:rsidR="002D7727">
              <w:rPr>
                <w:rFonts w:ascii="Arial" w:hAnsi="Arial"/>
              </w:rPr>
              <w:t>P</w:t>
            </w:r>
            <w:r>
              <w:rPr>
                <w:rFonts w:ascii="Arial" w:hAnsi="Arial"/>
              </w:rPr>
              <w:t>3</w:t>
            </w:r>
          </w:p>
        </w:tc>
        <w:tc>
          <w:tcPr>
            <w:tcW w:w="2448" w:type="dxa"/>
          </w:tcPr>
          <w:p w14:paraId="3BF42FC8" w14:textId="77777777" w:rsidR="00592B1C" w:rsidRPr="00CB4371" w:rsidRDefault="00592B1C" w:rsidP="00C30E13">
            <w:pPr>
              <w:pStyle w:val="BodyText"/>
              <w:spacing w:before="0"/>
              <w:rPr>
                <w:rFonts w:ascii="Arial" w:hAnsi="Arial"/>
                <w:lang w:val="pt-BR"/>
              </w:rPr>
            </w:pPr>
            <w:proofErr w:type="spellStart"/>
            <w:r w:rsidRPr="00CB4371">
              <w:rPr>
                <w:rFonts w:ascii="Arial" w:hAnsi="Arial"/>
                <w:lang w:val="pt-BR"/>
              </w:rPr>
              <w:t>Issuer</w:t>
            </w:r>
            <w:proofErr w:type="spellEnd"/>
            <w:r w:rsidRPr="00CB4371">
              <w:rPr>
                <w:rFonts w:ascii="Arial" w:hAnsi="Arial"/>
                <w:lang w:val="pt-BR"/>
              </w:rPr>
              <w:t xml:space="preserve"> Fax No.</w:t>
            </w:r>
          </w:p>
          <w:p w14:paraId="21D9EC51" w14:textId="77777777" w:rsidR="00592B1C" w:rsidRPr="00CB4371" w:rsidRDefault="00592B1C" w:rsidP="00C30E13">
            <w:pPr>
              <w:pStyle w:val="BodyText"/>
              <w:spacing w:before="0"/>
              <w:rPr>
                <w:rFonts w:ascii="Arial" w:hAnsi="Arial"/>
                <w:lang w:val="pt-BR"/>
              </w:rPr>
            </w:pPr>
          </w:p>
          <w:p w14:paraId="404B9F0A" w14:textId="77777777" w:rsidR="00592B1C" w:rsidRPr="00CB4371" w:rsidRDefault="00592B1C" w:rsidP="00C30E13">
            <w:pPr>
              <w:pStyle w:val="BodyText"/>
              <w:spacing w:before="0"/>
              <w:rPr>
                <w:rFonts w:ascii="Arial" w:hAnsi="Arial"/>
                <w:lang w:val="pt-BR"/>
              </w:rPr>
            </w:pPr>
            <w:proofErr w:type="gramStart"/>
            <w:r w:rsidRPr="00CB4371">
              <w:rPr>
                <w:rFonts w:ascii="Arial" w:hAnsi="Arial"/>
                <w:lang w:val="pt-BR"/>
              </w:rPr>
              <w:t xml:space="preserve">(  </w:t>
            </w:r>
            <w:proofErr w:type="gramEnd"/>
            <w:r w:rsidRPr="00CB4371">
              <w:rPr>
                <w:rFonts w:ascii="Arial" w:hAnsi="Arial"/>
                <w:lang w:val="pt-BR"/>
              </w:rPr>
              <w:t xml:space="preserve">   )N/A</w:t>
            </w:r>
          </w:p>
        </w:tc>
        <w:tc>
          <w:tcPr>
            <w:tcW w:w="2898" w:type="dxa"/>
          </w:tcPr>
          <w:p w14:paraId="302124A4" w14:textId="77777777" w:rsidR="00592B1C" w:rsidRDefault="00592B1C" w:rsidP="00C30E13">
            <w:pPr>
              <w:pStyle w:val="BodyText"/>
              <w:spacing w:before="0"/>
              <w:rPr>
                <w:rFonts w:ascii="Arial" w:hAnsi="Arial"/>
              </w:rPr>
            </w:pPr>
            <w:r>
              <w:rPr>
                <w:rFonts w:ascii="Arial" w:hAnsi="Arial"/>
              </w:rPr>
              <w:t>Issuer Telephone No.</w:t>
            </w:r>
          </w:p>
          <w:p w14:paraId="02877189" w14:textId="77777777" w:rsidR="00592B1C" w:rsidRDefault="00592B1C" w:rsidP="00C30E13">
            <w:pPr>
              <w:pStyle w:val="BodyText"/>
              <w:spacing w:before="0"/>
              <w:rPr>
                <w:rFonts w:ascii="Arial" w:hAnsi="Arial"/>
              </w:rPr>
            </w:pPr>
          </w:p>
          <w:p w14:paraId="211B52F6" w14:textId="77777777" w:rsidR="00592B1C" w:rsidRDefault="00592B1C" w:rsidP="00C30E13">
            <w:pPr>
              <w:pStyle w:val="BodyText"/>
              <w:spacing w:before="0"/>
              <w:rPr>
                <w:rFonts w:ascii="Arial" w:hAnsi="Arial"/>
              </w:rPr>
            </w:pPr>
            <w:r>
              <w:rPr>
                <w:rFonts w:ascii="Arial" w:hAnsi="Arial"/>
              </w:rPr>
              <w:t>(604) 375-6005</w:t>
            </w:r>
          </w:p>
        </w:tc>
      </w:tr>
      <w:tr w:rsidR="00592B1C" w14:paraId="0EDE6037" w14:textId="77777777" w:rsidTr="00C30E13">
        <w:tc>
          <w:tcPr>
            <w:tcW w:w="4230" w:type="dxa"/>
          </w:tcPr>
          <w:p w14:paraId="33ED06B5" w14:textId="77777777" w:rsidR="00592B1C" w:rsidRDefault="00592B1C" w:rsidP="00C30E13">
            <w:pPr>
              <w:pStyle w:val="BodyText"/>
              <w:spacing w:before="0"/>
              <w:rPr>
                <w:rFonts w:ascii="Arial" w:hAnsi="Arial"/>
              </w:rPr>
            </w:pPr>
            <w:r>
              <w:rPr>
                <w:rFonts w:ascii="Arial" w:hAnsi="Arial"/>
              </w:rPr>
              <w:t>Contact Name</w:t>
            </w:r>
          </w:p>
          <w:p w14:paraId="27272220" w14:textId="77777777" w:rsidR="00592B1C" w:rsidRDefault="00592B1C" w:rsidP="00C30E13">
            <w:pPr>
              <w:pStyle w:val="BodyText"/>
              <w:spacing w:before="0"/>
              <w:rPr>
                <w:rFonts w:ascii="Arial" w:hAnsi="Arial"/>
              </w:rPr>
            </w:pPr>
          </w:p>
          <w:p w14:paraId="2354ED55" w14:textId="77777777" w:rsidR="00592B1C" w:rsidRDefault="00592B1C" w:rsidP="00C30E13">
            <w:pPr>
              <w:pStyle w:val="BodyText"/>
              <w:spacing w:before="0"/>
              <w:rPr>
                <w:rFonts w:ascii="Arial" w:hAnsi="Arial"/>
              </w:rPr>
            </w:pPr>
            <w:r>
              <w:rPr>
                <w:rFonts w:ascii="Arial" w:hAnsi="Arial"/>
              </w:rPr>
              <w:t>Gurminder Sangha</w:t>
            </w:r>
          </w:p>
        </w:tc>
        <w:tc>
          <w:tcPr>
            <w:tcW w:w="2448" w:type="dxa"/>
          </w:tcPr>
          <w:p w14:paraId="0C21A934" w14:textId="77777777" w:rsidR="00592B1C" w:rsidRDefault="00592B1C" w:rsidP="00C30E13">
            <w:pPr>
              <w:pStyle w:val="BodyText"/>
              <w:spacing w:before="0"/>
              <w:rPr>
                <w:rFonts w:ascii="Arial" w:hAnsi="Arial"/>
              </w:rPr>
            </w:pPr>
            <w:r>
              <w:rPr>
                <w:rFonts w:ascii="Arial" w:hAnsi="Arial"/>
              </w:rPr>
              <w:t>Contact Position</w:t>
            </w:r>
          </w:p>
          <w:p w14:paraId="0264E2C5" w14:textId="77777777" w:rsidR="00592B1C" w:rsidRDefault="00592B1C" w:rsidP="00C30E13">
            <w:pPr>
              <w:pStyle w:val="BodyText"/>
              <w:spacing w:before="0"/>
              <w:rPr>
                <w:rFonts w:ascii="Arial" w:hAnsi="Arial"/>
              </w:rPr>
            </w:pPr>
          </w:p>
          <w:p w14:paraId="735C5FDA" w14:textId="77777777" w:rsidR="00592B1C" w:rsidRDefault="00592B1C" w:rsidP="00C30E13">
            <w:pPr>
              <w:pStyle w:val="BodyText"/>
              <w:spacing w:before="0"/>
              <w:rPr>
                <w:rFonts w:ascii="Arial" w:hAnsi="Arial"/>
              </w:rPr>
            </w:pPr>
            <w:r>
              <w:rPr>
                <w:rFonts w:ascii="Arial" w:hAnsi="Arial"/>
              </w:rPr>
              <w:t>President &amp; CEO</w:t>
            </w:r>
          </w:p>
        </w:tc>
        <w:tc>
          <w:tcPr>
            <w:tcW w:w="2898" w:type="dxa"/>
          </w:tcPr>
          <w:p w14:paraId="39D6288E" w14:textId="77777777" w:rsidR="00592B1C" w:rsidRDefault="00592B1C" w:rsidP="00C30E13">
            <w:pPr>
              <w:pStyle w:val="BodyText"/>
              <w:spacing w:before="0"/>
              <w:rPr>
                <w:rFonts w:ascii="Arial" w:hAnsi="Arial"/>
              </w:rPr>
            </w:pPr>
            <w:r>
              <w:rPr>
                <w:rFonts w:ascii="Arial" w:hAnsi="Arial"/>
              </w:rPr>
              <w:t>Contact Telephone No.</w:t>
            </w:r>
          </w:p>
          <w:p w14:paraId="67DEB1D1" w14:textId="77777777" w:rsidR="00592B1C" w:rsidRDefault="00592B1C" w:rsidP="00C30E13">
            <w:pPr>
              <w:pStyle w:val="BodyText"/>
              <w:spacing w:before="0"/>
              <w:rPr>
                <w:rFonts w:ascii="Arial" w:hAnsi="Arial"/>
              </w:rPr>
            </w:pPr>
          </w:p>
          <w:p w14:paraId="65587DC8" w14:textId="77777777" w:rsidR="00592B1C" w:rsidRDefault="00592B1C" w:rsidP="00C30E13">
            <w:pPr>
              <w:pStyle w:val="BodyText"/>
              <w:spacing w:before="0"/>
              <w:rPr>
                <w:rFonts w:ascii="Arial" w:hAnsi="Arial"/>
              </w:rPr>
            </w:pPr>
            <w:r>
              <w:rPr>
                <w:rFonts w:ascii="Arial" w:hAnsi="Arial"/>
              </w:rPr>
              <w:t>(604) 375-6005</w:t>
            </w:r>
          </w:p>
        </w:tc>
      </w:tr>
      <w:tr w:rsidR="00592B1C" w14:paraId="17D85DBD" w14:textId="77777777" w:rsidTr="00C30E13">
        <w:trPr>
          <w:cantSplit/>
        </w:trPr>
        <w:tc>
          <w:tcPr>
            <w:tcW w:w="4230" w:type="dxa"/>
          </w:tcPr>
          <w:p w14:paraId="041DC971" w14:textId="77777777" w:rsidR="00592B1C" w:rsidRPr="00CB4371" w:rsidRDefault="00592B1C" w:rsidP="00C30E13">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05C5B504" w14:textId="77777777" w:rsidR="00592B1C" w:rsidRPr="00CB4371" w:rsidRDefault="005C6B1B" w:rsidP="00C30E13">
            <w:pPr>
              <w:pStyle w:val="BodyText"/>
              <w:spacing w:before="0"/>
              <w:rPr>
                <w:rFonts w:ascii="Arial" w:hAnsi="Arial"/>
                <w:lang w:val="fr-CA"/>
              </w:rPr>
            </w:pPr>
            <w:hyperlink r:id="rId7" w:history="1">
              <w:r w:rsidR="00592B1C" w:rsidRPr="00CB4371">
                <w:rPr>
                  <w:rStyle w:val="Hyperlink"/>
                  <w:rFonts w:ascii="Arial" w:hAnsi="Arial"/>
                  <w:lang w:val="fr-CA"/>
                </w:rPr>
                <w:t>gsangha@firstenergymetals.com</w:t>
              </w:r>
            </w:hyperlink>
            <w:r w:rsidR="00592B1C" w:rsidRPr="00CB4371">
              <w:rPr>
                <w:rFonts w:ascii="Arial" w:hAnsi="Arial"/>
                <w:lang w:val="fr-CA"/>
              </w:rPr>
              <w:t xml:space="preserve"> </w:t>
            </w:r>
          </w:p>
        </w:tc>
        <w:tc>
          <w:tcPr>
            <w:tcW w:w="5346" w:type="dxa"/>
            <w:gridSpan w:val="2"/>
          </w:tcPr>
          <w:p w14:paraId="0CBE2071" w14:textId="77777777" w:rsidR="00592B1C" w:rsidRDefault="00592B1C" w:rsidP="00C30E13">
            <w:pPr>
              <w:pStyle w:val="BodyText"/>
              <w:spacing w:before="0"/>
              <w:rPr>
                <w:rFonts w:ascii="Arial" w:hAnsi="Arial"/>
              </w:rPr>
            </w:pPr>
            <w:r>
              <w:rPr>
                <w:rFonts w:ascii="Arial" w:hAnsi="Arial"/>
              </w:rPr>
              <w:t>Web Site Address</w:t>
            </w:r>
          </w:p>
          <w:p w14:paraId="74EF3530" w14:textId="77777777" w:rsidR="00592B1C" w:rsidRDefault="005C6B1B" w:rsidP="00C30E13">
            <w:pPr>
              <w:pStyle w:val="BodyText"/>
              <w:spacing w:before="0"/>
              <w:rPr>
                <w:rFonts w:ascii="Arial" w:hAnsi="Arial"/>
              </w:rPr>
            </w:pPr>
            <w:hyperlink r:id="rId8" w:history="1">
              <w:r w:rsidR="00592B1C" w:rsidRPr="00AF02F2">
                <w:rPr>
                  <w:rStyle w:val="Hyperlink"/>
                  <w:rFonts w:ascii="Arial" w:hAnsi="Arial"/>
                </w:rPr>
                <w:t>https://www.firstenergymetals.com</w:t>
              </w:r>
            </w:hyperlink>
            <w:r w:rsidR="00592B1C">
              <w:rPr>
                <w:rFonts w:ascii="Arial" w:hAnsi="Arial"/>
              </w:rPr>
              <w:t xml:space="preserve"> </w:t>
            </w:r>
          </w:p>
        </w:tc>
      </w:tr>
      <w:bookmarkEnd w:id="4"/>
    </w:tbl>
    <w:p w14:paraId="6290D355" w14:textId="77777777" w:rsidR="00592B1C" w:rsidRDefault="00592B1C" w:rsidP="00592B1C">
      <w:pPr>
        <w:pStyle w:val="BodyText"/>
        <w:spacing w:before="0"/>
      </w:pPr>
    </w:p>
    <w:sectPr w:rsidR="00592B1C"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EA91" w14:textId="77777777" w:rsidR="005C6B1B" w:rsidRDefault="005C6B1B">
      <w:r>
        <w:separator/>
      </w:r>
    </w:p>
  </w:endnote>
  <w:endnote w:type="continuationSeparator" w:id="0">
    <w:p w14:paraId="7A892C50" w14:textId="77777777" w:rsidR="005C6B1B" w:rsidRDefault="005C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F74" w14:textId="77777777" w:rsidR="00640E94" w:rsidRDefault="00640E94">
    <w:pPr>
      <w:pStyle w:val="Footer"/>
      <w:tabs>
        <w:tab w:val="clear" w:pos="4320"/>
        <w:tab w:val="clear" w:pos="8640"/>
        <w:tab w:val="center" w:pos="4680"/>
        <w:tab w:val="right" w:pos="9360"/>
      </w:tabs>
      <w:rPr>
        <w:b/>
      </w:rPr>
    </w:pPr>
  </w:p>
  <w:p w14:paraId="5B0CFCE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AF90D5" wp14:editId="2A541E7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E3C3E2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1C4FFB3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666FF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AC20" w14:textId="77777777" w:rsidR="00640E94" w:rsidRDefault="00640E94">
    <w:pPr>
      <w:pStyle w:val="Footer"/>
      <w:tabs>
        <w:tab w:val="clear" w:pos="4320"/>
        <w:tab w:val="clear" w:pos="8640"/>
        <w:tab w:val="center" w:pos="4680"/>
        <w:tab w:val="right" w:pos="9360"/>
      </w:tabs>
      <w:rPr>
        <w:b/>
      </w:rPr>
    </w:pPr>
  </w:p>
  <w:p w14:paraId="15D431E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20671B" wp14:editId="0E206E6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2C5F5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088A279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71D445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BCF5" w14:textId="77777777" w:rsidR="005C6B1B" w:rsidRDefault="005C6B1B">
      <w:r>
        <w:separator/>
      </w:r>
    </w:p>
  </w:footnote>
  <w:footnote w:type="continuationSeparator" w:id="0">
    <w:p w14:paraId="4322B15A" w14:textId="77777777" w:rsidR="005C6B1B" w:rsidRDefault="005C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A6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A8D4D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2E0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2863"/>
    <w:multiLevelType w:val="multilevel"/>
    <w:tmpl w:val="2504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D16ED"/>
    <w:multiLevelType w:val="multilevel"/>
    <w:tmpl w:val="8EC2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83E25"/>
    <w:multiLevelType w:val="multilevel"/>
    <w:tmpl w:val="A2A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2596E"/>
    <w:multiLevelType w:val="hybridMultilevel"/>
    <w:tmpl w:val="20E40DFE"/>
    <w:lvl w:ilvl="0" w:tplc="4C4C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E57A0B"/>
    <w:multiLevelType w:val="multilevel"/>
    <w:tmpl w:val="8D6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9CD65B8"/>
    <w:multiLevelType w:val="hybridMultilevel"/>
    <w:tmpl w:val="06C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0D33E0A"/>
    <w:multiLevelType w:val="hybridMultilevel"/>
    <w:tmpl w:val="F49A67DE"/>
    <w:lvl w:ilvl="0" w:tplc="6F14F46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1" w15:restartNumberingAfterBreak="0">
    <w:nsid w:val="34222FE7"/>
    <w:multiLevelType w:val="multilevel"/>
    <w:tmpl w:val="CBD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B14F5"/>
    <w:multiLevelType w:val="multilevel"/>
    <w:tmpl w:val="4D9A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5" w15:restartNumberingAfterBreak="0">
    <w:nsid w:val="4CD67CFF"/>
    <w:multiLevelType w:val="multilevel"/>
    <w:tmpl w:val="298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7" w15:restartNumberingAfterBreak="0">
    <w:nsid w:val="50675564"/>
    <w:multiLevelType w:val="multilevel"/>
    <w:tmpl w:val="6E4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9" w15:restartNumberingAfterBreak="0">
    <w:nsid w:val="52F71F00"/>
    <w:multiLevelType w:val="multilevel"/>
    <w:tmpl w:val="D7C2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094811"/>
    <w:multiLevelType w:val="multilevel"/>
    <w:tmpl w:val="08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2" w15:restartNumberingAfterBreak="0">
    <w:nsid w:val="55B36FE4"/>
    <w:multiLevelType w:val="hybridMultilevel"/>
    <w:tmpl w:val="64220BB6"/>
    <w:lvl w:ilvl="0" w:tplc="AC66457E">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6BCE0E23"/>
    <w:multiLevelType w:val="multilevel"/>
    <w:tmpl w:val="1E44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D6CEC"/>
    <w:multiLevelType w:val="multilevel"/>
    <w:tmpl w:val="F030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1" w15:restartNumberingAfterBreak="0">
    <w:nsid w:val="715A5DFC"/>
    <w:multiLevelType w:val="multilevel"/>
    <w:tmpl w:val="A59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40F25"/>
    <w:multiLevelType w:val="multilevel"/>
    <w:tmpl w:val="763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5"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6"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8"/>
  </w:num>
  <w:num w:numId="2">
    <w:abstractNumId w:val="35"/>
  </w:num>
  <w:num w:numId="3">
    <w:abstractNumId w:val="26"/>
  </w:num>
  <w:num w:numId="4">
    <w:abstractNumId w:val="20"/>
  </w:num>
  <w:num w:numId="5">
    <w:abstractNumId w:val="8"/>
  </w:num>
  <w:num w:numId="6">
    <w:abstractNumId w:val="37"/>
  </w:num>
  <w:num w:numId="7">
    <w:abstractNumId w:val="14"/>
  </w:num>
  <w:num w:numId="8">
    <w:abstractNumId w:val="43"/>
  </w:num>
  <w:num w:numId="9">
    <w:abstractNumId w:val="34"/>
  </w:num>
  <w:num w:numId="10">
    <w:abstractNumId w:val="17"/>
  </w:num>
  <w:num w:numId="11">
    <w:abstractNumId w:val="23"/>
  </w:num>
  <w:num w:numId="12">
    <w:abstractNumId w:val="24"/>
  </w:num>
  <w:num w:numId="13">
    <w:abstractNumId w:val="45"/>
  </w:num>
  <w:num w:numId="14">
    <w:abstractNumId w:val="12"/>
  </w:num>
  <w:num w:numId="15">
    <w:abstractNumId w:val="15"/>
  </w:num>
  <w:num w:numId="16">
    <w:abstractNumId w:val="18"/>
  </w:num>
  <w:num w:numId="17">
    <w:abstractNumId w:val="31"/>
  </w:num>
  <w:num w:numId="18">
    <w:abstractNumId w:val="7"/>
  </w:num>
  <w:num w:numId="19">
    <w:abstractNumId w:val="13"/>
  </w:num>
  <w:num w:numId="20">
    <w:abstractNumId w:val="40"/>
  </w:num>
  <w:num w:numId="21">
    <w:abstractNumId w:val="1"/>
  </w:num>
  <w:num w:numId="22">
    <w:abstractNumId w:val="0"/>
  </w:num>
  <w:num w:numId="23">
    <w:abstractNumId w:val="36"/>
  </w:num>
  <w:num w:numId="24">
    <w:abstractNumId w:val="33"/>
  </w:num>
  <w:num w:numId="25">
    <w:abstractNumId w:val="9"/>
  </w:num>
  <w:num w:numId="26">
    <w:abstractNumId w:val="44"/>
  </w:num>
  <w:num w:numId="27">
    <w:abstractNumId w:val="46"/>
  </w:num>
  <w:num w:numId="28">
    <w:abstractNumId w:val="11"/>
  </w:num>
  <w:num w:numId="29">
    <w:abstractNumId w:val="2"/>
  </w:num>
  <w:num w:numId="30">
    <w:abstractNumId w:val="6"/>
  </w:num>
  <w:num w:numId="31">
    <w:abstractNumId w:val="39"/>
  </w:num>
  <w:num w:numId="32">
    <w:abstractNumId w:val="4"/>
  </w:num>
  <w:num w:numId="33">
    <w:abstractNumId w:val="42"/>
  </w:num>
  <w:num w:numId="34">
    <w:abstractNumId w:val="25"/>
  </w:num>
  <w:num w:numId="35">
    <w:abstractNumId w:val="38"/>
  </w:num>
  <w:num w:numId="36">
    <w:abstractNumId w:val="29"/>
  </w:num>
  <w:num w:numId="37">
    <w:abstractNumId w:val="30"/>
  </w:num>
  <w:num w:numId="38">
    <w:abstractNumId w:val="41"/>
  </w:num>
  <w:num w:numId="39">
    <w:abstractNumId w:val="3"/>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2"/>
  </w:num>
  <w:num w:numId="45">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46">
    <w:abstractNumId w:val="21"/>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B29"/>
    <w:rsid w:val="00052DC3"/>
    <w:rsid w:val="000A1AB1"/>
    <w:rsid w:val="00106483"/>
    <w:rsid w:val="0012385C"/>
    <w:rsid w:val="00177660"/>
    <w:rsid w:val="001A073C"/>
    <w:rsid w:val="001A4A03"/>
    <w:rsid w:val="001B2E08"/>
    <w:rsid w:val="001F2538"/>
    <w:rsid w:val="001F6EDF"/>
    <w:rsid w:val="0020269F"/>
    <w:rsid w:val="00246030"/>
    <w:rsid w:val="002C281E"/>
    <w:rsid w:val="002D7727"/>
    <w:rsid w:val="002D785E"/>
    <w:rsid w:val="002F00EB"/>
    <w:rsid w:val="00301529"/>
    <w:rsid w:val="003669A9"/>
    <w:rsid w:val="00371A64"/>
    <w:rsid w:val="00387FA8"/>
    <w:rsid w:val="00390A11"/>
    <w:rsid w:val="0039197C"/>
    <w:rsid w:val="003F6B44"/>
    <w:rsid w:val="00412462"/>
    <w:rsid w:val="00432F37"/>
    <w:rsid w:val="00442837"/>
    <w:rsid w:val="0044699F"/>
    <w:rsid w:val="004A509E"/>
    <w:rsid w:val="004D7CD6"/>
    <w:rsid w:val="004E089F"/>
    <w:rsid w:val="00531273"/>
    <w:rsid w:val="005329CC"/>
    <w:rsid w:val="00537D68"/>
    <w:rsid w:val="005447DA"/>
    <w:rsid w:val="005453C8"/>
    <w:rsid w:val="00573FB1"/>
    <w:rsid w:val="00592B1C"/>
    <w:rsid w:val="005C6B1B"/>
    <w:rsid w:val="005F1A93"/>
    <w:rsid w:val="005F5C77"/>
    <w:rsid w:val="005F6D8F"/>
    <w:rsid w:val="00620E7F"/>
    <w:rsid w:val="00633ED3"/>
    <w:rsid w:val="00635E9A"/>
    <w:rsid w:val="00640E94"/>
    <w:rsid w:val="00646472"/>
    <w:rsid w:val="006A284E"/>
    <w:rsid w:val="006B6EFD"/>
    <w:rsid w:val="006D1A06"/>
    <w:rsid w:val="007D4210"/>
    <w:rsid w:val="007E5198"/>
    <w:rsid w:val="00813083"/>
    <w:rsid w:val="00850BFD"/>
    <w:rsid w:val="008B1AAC"/>
    <w:rsid w:val="008B7E92"/>
    <w:rsid w:val="008C0B51"/>
    <w:rsid w:val="008F500D"/>
    <w:rsid w:val="00922A46"/>
    <w:rsid w:val="009450AF"/>
    <w:rsid w:val="0099046A"/>
    <w:rsid w:val="00A10224"/>
    <w:rsid w:val="00A47914"/>
    <w:rsid w:val="00A936BD"/>
    <w:rsid w:val="00AA26E7"/>
    <w:rsid w:val="00AA7E87"/>
    <w:rsid w:val="00AB0968"/>
    <w:rsid w:val="00AB6A0F"/>
    <w:rsid w:val="00AF38FC"/>
    <w:rsid w:val="00B229FA"/>
    <w:rsid w:val="00B42F96"/>
    <w:rsid w:val="00BE2755"/>
    <w:rsid w:val="00C02E32"/>
    <w:rsid w:val="00C21C63"/>
    <w:rsid w:val="00C27A18"/>
    <w:rsid w:val="00C40CA0"/>
    <w:rsid w:val="00C478D1"/>
    <w:rsid w:val="00C6383E"/>
    <w:rsid w:val="00C845EB"/>
    <w:rsid w:val="00C852E4"/>
    <w:rsid w:val="00CB0701"/>
    <w:rsid w:val="00CB636B"/>
    <w:rsid w:val="00CC7ABF"/>
    <w:rsid w:val="00D6051D"/>
    <w:rsid w:val="00D6104C"/>
    <w:rsid w:val="00E36141"/>
    <w:rsid w:val="00E4531C"/>
    <w:rsid w:val="00E83E58"/>
    <w:rsid w:val="00F34DDD"/>
    <w:rsid w:val="00F4477A"/>
    <w:rsid w:val="00F813AF"/>
    <w:rsid w:val="00FA334A"/>
    <w:rsid w:val="00FC7EAA"/>
    <w:rsid w:val="00FE00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AA3CE"/>
  <w15:docId w15:val="{90A6D5CE-EF29-114A-96B1-BB4975E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5">
    <w:name w:val="heading 5"/>
    <w:basedOn w:val="Normal"/>
    <w:next w:val="Normal"/>
    <w:link w:val="Heading5Char"/>
    <w:uiPriority w:val="9"/>
    <w:semiHidden/>
    <w:unhideWhenUsed/>
    <w:qFormat/>
    <w:rsid w:val="00C852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7D68"/>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592B1C"/>
    <w:rPr>
      <w:color w:val="0000FF" w:themeColor="hyperlink"/>
      <w:u w:val="single"/>
    </w:rPr>
  </w:style>
  <w:style w:type="paragraph" w:styleId="NormalWeb">
    <w:name w:val="Normal (Web)"/>
    <w:basedOn w:val="Normal"/>
    <w:uiPriority w:val="99"/>
    <w:unhideWhenUsed/>
    <w:rsid w:val="002D785E"/>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A10224"/>
  </w:style>
  <w:style w:type="character" w:customStyle="1" w:styleId="Heading5Char">
    <w:name w:val="Heading 5 Char"/>
    <w:basedOn w:val="DefaultParagraphFont"/>
    <w:link w:val="Heading5"/>
    <w:uiPriority w:val="9"/>
    <w:semiHidden/>
    <w:rsid w:val="00C852E4"/>
    <w:rPr>
      <w:rFonts w:asciiTheme="majorHAnsi" w:eastAsiaTheme="majorEastAsia" w:hAnsiTheme="majorHAnsi" w:cstheme="majorBidi"/>
      <w:color w:val="365F91" w:themeColor="accent1" w:themeShade="BF"/>
    </w:rPr>
  </w:style>
  <w:style w:type="paragraph" w:styleId="BodyTextIndent2">
    <w:name w:val="Body Text Indent 2"/>
    <w:basedOn w:val="Normal"/>
    <w:link w:val="BodyTextIndent2Char"/>
    <w:uiPriority w:val="99"/>
    <w:unhideWhenUsed/>
    <w:rsid w:val="00C852E4"/>
    <w:pPr>
      <w:spacing w:after="120" w:line="480" w:lineRule="auto"/>
      <w:ind w:left="283"/>
    </w:pPr>
  </w:style>
  <w:style w:type="character" w:customStyle="1" w:styleId="BodyTextIndent2Char">
    <w:name w:val="Body Text Indent 2 Char"/>
    <w:basedOn w:val="DefaultParagraphFont"/>
    <w:link w:val="BodyTextIndent2"/>
    <w:uiPriority w:val="99"/>
    <w:rsid w:val="00C852E4"/>
  </w:style>
  <w:style w:type="paragraph" w:customStyle="1" w:styleId="Default">
    <w:name w:val="Default"/>
    <w:link w:val="DefaultChar"/>
    <w:rsid w:val="00C852E4"/>
    <w:pPr>
      <w:autoSpaceDE w:val="0"/>
      <w:autoSpaceDN w:val="0"/>
      <w:adjustRightInd w:val="0"/>
    </w:pPr>
    <w:rPr>
      <w:rFonts w:ascii="Arial" w:eastAsiaTheme="minorHAnsi" w:hAnsi="Arial" w:cs="Arial"/>
      <w:color w:val="000000"/>
      <w:sz w:val="24"/>
      <w:szCs w:val="24"/>
    </w:rPr>
  </w:style>
  <w:style w:type="character" w:customStyle="1" w:styleId="DefaultChar">
    <w:name w:val="Default Char"/>
    <w:link w:val="Default"/>
    <w:rsid w:val="00C852E4"/>
    <w:rPr>
      <w:rFonts w:ascii="Arial" w:eastAsiaTheme="minorHAnsi" w:hAnsi="Arial" w:cs="Arial"/>
      <w:color w:val="000000"/>
      <w:sz w:val="24"/>
      <w:szCs w:val="24"/>
    </w:rPr>
  </w:style>
  <w:style w:type="paragraph" w:styleId="BodyTextIndent">
    <w:name w:val="Body Text Indent"/>
    <w:basedOn w:val="Normal"/>
    <w:link w:val="BodyTextIndentChar"/>
    <w:uiPriority w:val="99"/>
    <w:semiHidden/>
    <w:unhideWhenUsed/>
    <w:rsid w:val="00C852E4"/>
    <w:pPr>
      <w:spacing w:after="120"/>
      <w:ind w:left="283"/>
    </w:pPr>
  </w:style>
  <w:style w:type="character" w:customStyle="1" w:styleId="BodyTextIndentChar">
    <w:name w:val="Body Text Indent Char"/>
    <w:basedOn w:val="DefaultParagraphFont"/>
    <w:link w:val="BodyTextIndent"/>
    <w:uiPriority w:val="99"/>
    <w:semiHidden/>
    <w:rsid w:val="00C852E4"/>
  </w:style>
  <w:style w:type="paragraph" w:styleId="HTMLPreformatted">
    <w:name w:val="HTML Preformatted"/>
    <w:basedOn w:val="Normal"/>
    <w:link w:val="HTMLPreformattedChar"/>
    <w:uiPriority w:val="99"/>
    <w:semiHidden/>
    <w:unhideWhenUsed/>
    <w:rsid w:val="007E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zh-CN"/>
    </w:rPr>
  </w:style>
  <w:style w:type="character" w:customStyle="1" w:styleId="HTMLPreformattedChar">
    <w:name w:val="HTML Preformatted Char"/>
    <w:basedOn w:val="DefaultParagraphFont"/>
    <w:link w:val="HTMLPreformatted"/>
    <w:uiPriority w:val="99"/>
    <w:semiHidden/>
    <w:rsid w:val="007E5198"/>
    <w:rPr>
      <w:rFonts w:ascii="Courier New" w:hAnsi="Courier New" w:cs="Courier New"/>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184">
      <w:bodyDiv w:val="1"/>
      <w:marLeft w:val="0"/>
      <w:marRight w:val="0"/>
      <w:marTop w:val="0"/>
      <w:marBottom w:val="0"/>
      <w:divBdr>
        <w:top w:val="none" w:sz="0" w:space="0" w:color="auto"/>
        <w:left w:val="none" w:sz="0" w:space="0" w:color="auto"/>
        <w:bottom w:val="none" w:sz="0" w:space="0" w:color="auto"/>
        <w:right w:val="none" w:sz="0" w:space="0" w:color="auto"/>
      </w:divBdr>
    </w:div>
    <w:div w:id="188956345">
      <w:bodyDiv w:val="1"/>
      <w:marLeft w:val="0"/>
      <w:marRight w:val="0"/>
      <w:marTop w:val="0"/>
      <w:marBottom w:val="0"/>
      <w:divBdr>
        <w:top w:val="none" w:sz="0" w:space="0" w:color="auto"/>
        <w:left w:val="none" w:sz="0" w:space="0" w:color="auto"/>
        <w:bottom w:val="none" w:sz="0" w:space="0" w:color="auto"/>
        <w:right w:val="none" w:sz="0" w:space="0" w:color="auto"/>
      </w:divBdr>
    </w:div>
    <w:div w:id="291063520">
      <w:bodyDiv w:val="1"/>
      <w:marLeft w:val="0"/>
      <w:marRight w:val="0"/>
      <w:marTop w:val="0"/>
      <w:marBottom w:val="0"/>
      <w:divBdr>
        <w:top w:val="none" w:sz="0" w:space="0" w:color="auto"/>
        <w:left w:val="none" w:sz="0" w:space="0" w:color="auto"/>
        <w:bottom w:val="none" w:sz="0" w:space="0" w:color="auto"/>
        <w:right w:val="none" w:sz="0" w:space="0" w:color="auto"/>
      </w:divBdr>
    </w:div>
    <w:div w:id="334961172">
      <w:bodyDiv w:val="1"/>
      <w:marLeft w:val="0"/>
      <w:marRight w:val="0"/>
      <w:marTop w:val="0"/>
      <w:marBottom w:val="0"/>
      <w:divBdr>
        <w:top w:val="none" w:sz="0" w:space="0" w:color="auto"/>
        <w:left w:val="none" w:sz="0" w:space="0" w:color="auto"/>
        <w:bottom w:val="none" w:sz="0" w:space="0" w:color="auto"/>
        <w:right w:val="none" w:sz="0" w:space="0" w:color="auto"/>
      </w:divBdr>
    </w:div>
    <w:div w:id="364016117">
      <w:bodyDiv w:val="1"/>
      <w:marLeft w:val="0"/>
      <w:marRight w:val="0"/>
      <w:marTop w:val="0"/>
      <w:marBottom w:val="0"/>
      <w:divBdr>
        <w:top w:val="none" w:sz="0" w:space="0" w:color="auto"/>
        <w:left w:val="none" w:sz="0" w:space="0" w:color="auto"/>
        <w:bottom w:val="none" w:sz="0" w:space="0" w:color="auto"/>
        <w:right w:val="none" w:sz="0" w:space="0" w:color="auto"/>
      </w:divBdr>
    </w:div>
    <w:div w:id="367067414">
      <w:bodyDiv w:val="1"/>
      <w:marLeft w:val="0"/>
      <w:marRight w:val="0"/>
      <w:marTop w:val="0"/>
      <w:marBottom w:val="0"/>
      <w:divBdr>
        <w:top w:val="none" w:sz="0" w:space="0" w:color="auto"/>
        <w:left w:val="none" w:sz="0" w:space="0" w:color="auto"/>
        <w:bottom w:val="none" w:sz="0" w:space="0" w:color="auto"/>
        <w:right w:val="none" w:sz="0" w:space="0" w:color="auto"/>
      </w:divBdr>
    </w:div>
    <w:div w:id="467742664">
      <w:bodyDiv w:val="1"/>
      <w:marLeft w:val="0"/>
      <w:marRight w:val="0"/>
      <w:marTop w:val="0"/>
      <w:marBottom w:val="0"/>
      <w:divBdr>
        <w:top w:val="none" w:sz="0" w:space="0" w:color="auto"/>
        <w:left w:val="none" w:sz="0" w:space="0" w:color="auto"/>
        <w:bottom w:val="none" w:sz="0" w:space="0" w:color="auto"/>
        <w:right w:val="none" w:sz="0" w:space="0" w:color="auto"/>
      </w:divBdr>
    </w:div>
    <w:div w:id="549154331">
      <w:bodyDiv w:val="1"/>
      <w:marLeft w:val="0"/>
      <w:marRight w:val="0"/>
      <w:marTop w:val="0"/>
      <w:marBottom w:val="0"/>
      <w:divBdr>
        <w:top w:val="none" w:sz="0" w:space="0" w:color="auto"/>
        <w:left w:val="none" w:sz="0" w:space="0" w:color="auto"/>
        <w:bottom w:val="none" w:sz="0" w:space="0" w:color="auto"/>
        <w:right w:val="none" w:sz="0" w:space="0" w:color="auto"/>
      </w:divBdr>
    </w:div>
    <w:div w:id="561910830">
      <w:bodyDiv w:val="1"/>
      <w:marLeft w:val="0"/>
      <w:marRight w:val="0"/>
      <w:marTop w:val="0"/>
      <w:marBottom w:val="0"/>
      <w:divBdr>
        <w:top w:val="none" w:sz="0" w:space="0" w:color="auto"/>
        <w:left w:val="none" w:sz="0" w:space="0" w:color="auto"/>
        <w:bottom w:val="none" w:sz="0" w:space="0" w:color="auto"/>
        <w:right w:val="none" w:sz="0" w:space="0" w:color="auto"/>
      </w:divBdr>
    </w:div>
    <w:div w:id="586429057">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818887725">
      <w:bodyDiv w:val="1"/>
      <w:marLeft w:val="0"/>
      <w:marRight w:val="0"/>
      <w:marTop w:val="0"/>
      <w:marBottom w:val="0"/>
      <w:divBdr>
        <w:top w:val="none" w:sz="0" w:space="0" w:color="auto"/>
        <w:left w:val="none" w:sz="0" w:space="0" w:color="auto"/>
        <w:bottom w:val="none" w:sz="0" w:space="0" w:color="auto"/>
        <w:right w:val="none" w:sz="0" w:space="0" w:color="auto"/>
      </w:divBdr>
    </w:div>
    <w:div w:id="840120471">
      <w:bodyDiv w:val="1"/>
      <w:marLeft w:val="0"/>
      <w:marRight w:val="0"/>
      <w:marTop w:val="0"/>
      <w:marBottom w:val="0"/>
      <w:divBdr>
        <w:top w:val="none" w:sz="0" w:space="0" w:color="auto"/>
        <w:left w:val="none" w:sz="0" w:space="0" w:color="auto"/>
        <w:bottom w:val="none" w:sz="0" w:space="0" w:color="auto"/>
        <w:right w:val="none" w:sz="0" w:space="0" w:color="auto"/>
      </w:divBdr>
    </w:div>
    <w:div w:id="878592752">
      <w:bodyDiv w:val="1"/>
      <w:marLeft w:val="0"/>
      <w:marRight w:val="0"/>
      <w:marTop w:val="0"/>
      <w:marBottom w:val="0"/>
      <w:divBdr>
        <w:top w:val="none" w:sz="0" w:space="0" w:color="auto"/>
        <w:left w:val="none" w:sz="0" w:space="0" w:color="auto"/>
        <w:bottom w:val="none" w:sz="0" w:space="0" w:color="auto"/>
        <w:right w:val="none" w:sz="0" w:space="0" w:color="auto"/>
      </w:divBdr>
    </w:div>
    <w:div w:id="1145048899">
      <w:bodyDiv w:val="1"/>
      <w:marLeft w:val="0"/>
      <w:marRight w:val="0"/>
      <w:marTop w:val="0"/>
      <w:marBottom w:val="0"/>
      <w:divBdr>
        <w:top w:val="none" w:sz="0" w:space="0" w:color="auto"/>
        <w:left w:val="none" w:sz="0" w:space="0" w:color="auto"/>
        <w:bottom w:val="none" w:sz="0" w:space="0" w:color="auto"/>
        <w:right w:val="none" w:sz="0" w:space="0" w:color="auto"/>
      </w:divBdr>
    </w:div>
    <w:div w:id="1189950566">
      <w:bodyDiv w:val="1"/>
      <w:marLeft w:val="0"/>
      <w:marRight w:val="0"/>
      <w:marTop w:val="0"/>
      <w:marBottom w:val="0"/>
      <w:divBdr>
        <w:top w:val="none" w:sz="0" w:space="0" w:color="auto"/>
        <w:left w:val="none" w:sz="0" w:space="0" w:color="auto"/>
        <w:bottom w:val="none" w:sz="0" w:space="0" w:color="auto"/>
        <w:right w:val="none" w:sz="0" w:space="0" w:color="auto"/>
      </w:divBdr>
    </w:div>
    <w:div w:id="1247691888">
      <w:bodyDiv w:val="1"/>
      <w:marLeft w:val="0"/>
      <w:marRight w:val="0"/>
      <w:marTop w:val="0"/>
      <w:marBottom w:val="0"/>
      <w:divBdr>
        <w:top w:val="none" w:sz="0" w:space="0" w:color="auto"/>
        <w:left w:val="none" w:sz="0" w:space="0" w:color="auto"/>
        <w:bottom w:val="none" w:sz="0" w:space="0" w:color="auto"/>
        <w:right w:val="none" w:sz="0" w:space="0" w:color="auto"/>
      </w:divBdr>
    </w:div>
    <w:div w:id="1432119001">
      <w:bodyDiv w:val="1"/>
      <w:marLeft w:val="0"/>
      <w:marRight w:val="0"/>
      <w:marTop w:val="0"/>
      <w:marBottom w:val="0"/>
      <w:divBdr>
        <w:top w:val="none" w:sz="0" w:space="0" w:color="auto"/>
        <w:left w:val="none" w:sz="0" w:space="0" w:color="auto"/>
        <w:bottom w:val="none" w:sz="0" w:space="0" w:color="auto"/>
        <w:right w:val="none" w:sz="0" w:space="0" w:color="auto"/>
      </w:divBdr>
    </w:div>
    <w:div w:id="1489202768">
      <w:bodyDiv w:val="1"/>
      <w:marLeft w:val="0"/>
      <w:marRight w:val="0"/>
      <w:marTop w:val="0"/>
      <w:marBottom w:val="0"/>
      <w:divBdr>
        <w:top w:val="none" w:sz="0" w:space="0" w:color="auto"/>
        <w:left w:val="none" w:sz="0" w:space="0" w:color="auto"/>
        <w:bottom w:val="none" w:sz="0" w:space="0" w:color="auto"/>
        <w:right w:val="none" w:sz="0" w:space="0" w:color="auto"/>
      </w:divBdr>
    </w:div>
    <w:div w:id="1514492079">
      <w:bodyDiv w:val="1"/>
      <w:marLeft w:val="0"/>
      <w:marRight w:val="0"/>
      <w:marTop w:val="0"/>
      <w:marBottom w:val="0"/>
      <w:divBdr>
        <w:top w:val="none" w:sz="0" w:space="0" w:color="auto"/>
        <w:left w:val="none" w:sz="0" w:space="0" w:color="auto"/>
        <w:bottom w:val="none" w:sz="0" w:space="0" w:color="auto"/>
        <w:right w:val="none" w:sz="0" w:space="0" w:color="auto"/>
      </w:divBdr>
    </w:div>
    <w:div w:id="1635871091">
      <w:bodyDiv w:val="1"/>
      <w:marLeft w:val="0"/>
      <w:marRight w:val="0"/>
      <w:marTop w:val="0"/>
      <w:marBottom w:val="0"/>
      <w:divBdr>
        <w:top w:val="none" w:sz="0" w:space="0" w:color="auto"/>
        <w:left w:val="none" w:sz="0" w:space="0" w:color="auto"/>
        <w:bottom w:val="none" w:sz="0" w:space="0" w:color="auto"/>
        <w:right w:val="none" w:sz="0" w:space="0" w:color="auto"/>
      </w:divBdr>
    </w:div>
    <w:div w:id="1650939412">
      <w:bodyDiv w:val="1"/>
      <w:marLeft w:val="0"/>
      <w:marRight w:val="0"/>
      <w:marTop w:val="0"/>
      <w:marBottom w:val="0"/>
      <w:divBdr>
        <w:top w:val="none" w:sz="0" w:space="0" w:color="auto"/>
        <w:left w:val="none" w:sz="0" w:space="0" w:color="auto"/>
        <w:bottom w:val="none" w:sz="0" w:space="0" w:color="auto"/>
        <w:right w:val="none" w:sz="0" w:space="0" w:color="auto"/>
      </w:divBdr>
      <w:divsChild>
        <w:div w:id="132257638">
          <w:marLeft w:val="0"/>
          <w:marRight w:val="0"/>
          <w:marTop w:val="0"/>
          <w:marBottom w:val="0"/>
          <w:divBdr>
            <w:top w:val="none" w:sz="0" w:space="0" w:color="auto"/>
            <w:left w:val="none" w:sz="0" w:space="0" w:color="auto"/>
            <w:bottom w:val="none" w:sz="0" w:space="0" w:color="auto"/>
            <w:right w:val="none" w:sz="0" w:space="0" w:color="auto"/>
          </w:divBdr>
          <w:divsChild>
            <w:div w:id="11800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8233">
      <w:bodyDiv w:val="1"/>
      <w:marLeft w:val="0"/>
      <w:marRight w:val="0"/>
      <w:marTop w:val="0"/>
      <w:marBottom w:val="0"/>
      <w:divBdr>
        <w:top w:val="none" w:sz="0" w:space="0" w:color="auto"/>
        <w:left w:val="none" w:sz="0" w:space="0" w:color="auto"/>
        <w:bottom w:val="none" w:sz="0" w:space="0" w:color="auto"/>
        <w:right w:val="none" w:sz="0" w:space="0" w:color="auto"/>
      </w:divBdr>
    </w:div>
    <w:div w:id="1922905282">
      <w:bodyDiv w:val="1"/>
      <w:marLeft w:val="0"/>
      <w:marRight w:val="0"/>
      <w:marTop w:val="0"/>
      <w:marBottom w:val="0"/>
      <w:divBdr>
        <w:top w:val="none" w:sz="0" w:space="0" w:color="auto"/>
        <w:left w:val="none" w:sz="0" w:space="0" w:color="auto"/>
        <w:bottom w:val="none" w:sz="0" w:space="0" w:color="auto"/>
        <w:right w:val="none" w:sz="0" w:space="0" w:color="auto"/>
      </w:divBdr>
    </w:div>
    <w:div w:id="1936596588">
      <w:bodyDiv w:val="1"/>
      <w:marLeft w:val="0"/>
      <w:marRight w:val="0"/>
      <w:marTop w:val="0"/>
      <w:marBottom w:val="0"/>
      <w:divBdr>
        <w:top w:val="none" w:sz="0" w:space="0" w:color="auto"/>
        <w:left w:val="none" w:sz="0" w:space="0" w:color="auto"/>
        <w:bottom w:val="none" w:sz="0" w:space="0" w:color="auto"/>
        <w:right w:val="none" w:sz="0" w:space="0" w:color="auto"/>
      </w:divBdr>
    </w:div>
    <w:div w:id="2071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2004-05-10T18:28:00Z</cp:lastPrinted>
  <dcterms:created xsi:type="dcterms:W3CDTF">2021-03-08T04:19:00Z</dcterms:created>
  <dcterms:modified xsi:type="dcterms:W3CDTF">2021-03-08T04:19:00Z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