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12F6" w14:textId="77777777" w:rsidR="0059529B" w:rsidRDefault="0059529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5F732096" w14:textId="77777777" w:rsidR="0059529B" w:rsidRDefault="0059529B">
      <w:pPr>
        <w:pStyle w:val="Title"/>
        <w:spacing w:before="0" w:after="0"/>
        <w:rPr>
          <w:color w:val="000000"/>
          <w:sz w:val="28"/>
        </w:rPr>
      </w:pPr>
    </w:p>
    <w:p w14:paraId="2AE4F339" w14:textId="5EB60F28"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9704FB8" w14:textId="77777777" w:rsidR="0059529B" w:rsidRDefault="0059529B">
      <w:pPr>
        <w:pStyle w:val="Title"/>
        <w:spacing w:before="0" w:after="0"/>
        <w:rPr>
          <w:color w:val="000000"/>
          <w:sz w:val="28"/>
          <w:u w:val="single"/>
        </w:rPr>
      </w:pPr>
    </w:p>
    <w:p w14:paraId="21C3E922" w14:textId="77777777" w:rsidR="0059529B" w:rsidRDefault="0059529B">
      <w:pPr>
        <w:pStyle w:val="Title"/>
        <w:spacing w:before="0" w:after="0"/>
        <w:rPr>
          <w:color w:val="000000"/>
          <w:sz w:val="28"/>
          <w:u w:val="single"/>
        </w:rPr>
      </w:pPr>
    </w:p>
    <w:p w14:paraId="2C53A33B"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1F6682">
        <w:rPr>
          <w:rFonts w:ascii="Arial" w:hAnsi="Arial"/>
          <w:color w:val="000000"/>
        </w:rPr>
        <w:t xml:space="preserve">   S</w:t>
      </w:r>
      <w:r w:rsidR="00115818">
        <w:rPr>
          <w:rFonts w:ascii="Arial" w:hAnsi="Arial"/>
          <w:color w:val="000000"/>
        </w:rPr>
        <w:t>tem Holdings, Inc</w:t>
      </w:r>
      <w:r>
        <w:rPr>
          <w:rFonts w:ascii="Arial" w:hAnsi="Arial"/>
          <w:color w:val="000000"/>
        </w:rPr>
        <w:t>.</w:t>
      </w:r>
    </w:p>
    <w:p w14:paraId="1FA9D9E4" w14:textId="77777777" w:rsidR="00640E94" w:rsidRDefault="001F6682">
      <w:pPr>
        <w:pStyle w:val="BodyText"/>
        <w:tabs>
          <w:tab w:val="left" w:pos="7920"/>
          <w:tab w:val="left" w:pos="9180"/>
        </w:tabs>
        <w:rPr>
          <w:rFonts w:ascii="Arial" w:hAnsi="Arial"/>
          <w:color w:val="000000"/>
        </w:rPr>
      </w:pPr>
      <w:r>
        <w:rPr>
          <w:rFonts w:ascii="Arial" w:hAnsi="Arial"/>
          <w:color w:val="000000"/>
        </w:rPr>
        <w:t>Trading Symbol: STEM</w:t>
      </w:r>
    </w:p>
    <w:p w14:paraId="5218AFEE" w14:textId="77372BA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3C23E9">
        <w:rPr>
          <w:rFonts w:ascii="Arial" w:hAnsi="Arial"/>
          <w:color w:val="000000"/>
        </w:rPr>
        <w:t xml:space="preserve"> </w:t>
      </w:r>
      <w:r w:rsidR="00501F54">
        <w:rPr>
          <w:rFonts w:ascii="Arial" w:hAnsi="Arial"/>
          <w:color w:val="000000"/>
        </w:rPr>
        <w:t>2</w:t>
      </w:r>
      <w:r w:rsidR="0012361A">
        <w:rPr>
          <w:rFonts w:ascii="Arial" w:hAnsi="Arial"/>
          <w:color w:val="000000"/>
        </w:rPr>
        <w:t>2</w:t>
      </w:r>
      <w:r w:rsidR="00FA774C">
        <w:rPr>
          <w:rFonts w:ascii="Arial" w:hAnsi="Arial"/>
          <w:color w:val="000000"/>
        </w:rPr>
        <w:t>5</w:t>
      </w:r>
      <w:r w:rsidR="00501F54">
        <w:rPr>
          <w:rFonts w:ascii="Arial" w:hAnsi="Arial"/>
          <w:color w:val="000000"/>
        </w:rPr>
        <w:t>,</w:t>
      </w:r>
      <w:r w:rsidR="00FA774C">
        <w:rPr>
          <w:rFonts w:ascii="Arial" w:hAnsi="Arial"/>
          <w:color w:val="000000"/>
        </w:rPr>
        <w:t>121</w:t>
      </w:r>
      <w:r w:rsidR="00501F54">
        <w:rPr>
          <w:rFonts w:ascii="Arial" w:hAnsi="Arial"/>
          <w:color w:val="000000"/>
        </w:rPr>
        <w:t>,</w:t>
      </w:r>
      <w:r w:rsidR="00FA774C">
        <w:rPr>
          <w:rFonts w:ascii="Arial" w:hAnsi="Arial"/>
          <w:color w:val="000000"/>
        </w:rPr>
        <w:t>585</w:t>
      </w:r>
    </w:p>
    <w:p w14:paraId="18222ED5" w14:textId="25DE4C1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04767">
        <w:rPr>
          <w:rFonts w:ascii="Arial" w:hAnsi="Arial"/>
          <w:color w:val="000000"/>
        </w:rPr>
        <w:t>Ju</w:t>
      </w:r>
      <w:r w:rsidR="00FA774C">
        <w:rPr>
          <w:rFonts w:ascii="Arial" w:hAnsi="Arial"/>
          <w:color w:val="000000"/>
        </w:rPr>
        <w:t>ly</w:t>
      </w:r>
      <w:r w:rsidR="00104767">
        <w:rPr>
          <w:rFonts w:ascii="Arial" w:hAnsi="Arial"/>
          <w:color w:val="000000"/>
        </w:rPr>
        <w:t xml:space="preserve"> </w:t>
      </w:r>
      <w:r w:rsidR="00FA774C">
        <w:rPr>
          <w:rFonts w:ascii="Arial" w:hAnsi="Arial"/>
          <w:color w:val="000000"/>
        </w:rPr>
        <w:t>15</w:t>
      </w:r>
      <w:r w:rsidR="006D0376">
        <w:rPr>
          <w:rFonts w:ascii="Arial" w:hAnsi="Arial"/>
          <w:color w:val="000000"/>
        </w:rPr>
        <w:t xml:space="preserve">, </w:t>
      </w:r>
      <w:proofErr w:type="gramStart"/>
      <w:r w:rsidR="000C6CF6">
        <w:rPr>
          <w:rFonts w:ascii="Arial" w:hAnsi="Arial"/>
          <w:color w:val="000000"/>
        </w:rPr>
        <w:t>2022,</w:t>
      </w:r>
      <w:r w:rsidR="00713BD1">
        <w:rPr>
          <w:rFonts w:ascii="Arial" w:hAnsi="Arial"/>
          <w:color w:val="000000"/>
        </w:rPr>
        <w:t xml:space="preserve"> </w:t>
      </w:r>
      <w:r w:rsidR="00A42A92">
        <w:rPr>
          <w:rFonts w:ascii="Arial" w:hAnsi="Arial"/>
          <w:color w:val="000000"/>
        </w:rPr>
        <w:t xml:space="preserve"> </w:t>
      </w:r>
      <w:r w:rsidR="003E105E">
        <w:rPr>
          <w:rFonts w:ascii="Arial" w:hAnsi="Arial"/>
          <w:color w:val="000000"/>
        </w:rPr>
        <w:t xml:space="preserve"> </w:t>
      </w:r>
      <w:proofErr w:type="gramEnd"/>
      <w:r w:rsidR="003E105E">
        <w:rPr>
          <w:rFonts w:ascii="Arial" w:hAnsi="Arial"/>
          <w:color w:val="000000"/>
        </w:rPr>
        <w:t>Period</w:t>
      </w:r>
      <w:r w:rsidR="00F25C1E">
        <w:rPr>
          <w:rFonts w:ascii="Arial" w:hAnsi="Arial"/>
          <w:color w:val="000000"/>
        </w:rPr>
        <w:t xml:space="preserve">: </w:t>
      </w:r>
      <w:r w:rsidR="00FA774C">
        <w:rPr>
          <w:rFonts w:ascii="Arial" w:hAnsi="Arial"/>
          <w:color w:val="000000"/>
        </w:rPr>
        <w:t>June</w:t>
      </w:r>
      <w:r w:rsidR="00A42A92">
        <w:rPr>
          <w:rFonts w:ascii="Arial" w:hAnsi="Arial"/>
          <w:color w:val="000000"/>
        </w:rPr>
        <w:t xml:space="preserve"> </w:t>
      </w:r>
      <w:r w:rsidR="00F25C1E">
        <w:rPr>
          <w:rFonts w:ascii="Arial" w:hAnsi="Arial"/>
          <w:color w:val="000000"/>
        </w:rPr>
        <w:t>20</w:t>
      </w:r>
      <w:r w:rsidR="00432430">
        <w:rPr>
          <w:rFonts w:ascii="Arial" w:hAnsi="Arial"/>
          <w:color w:val="000000"/>
        </w:rPr>
        <w:t>2</w:t>
      </w:r>
      <w:r w:rsidR="00713BD1">
        <w:rPr>
          <w:rFonts w:ascii="Arial" w:hAnsi="Arial"/>
          <w:color w:val="000000"/>
        </w:rPr>
        <w:t>2</w:t>
      </w:r>
    </w:p>
    <w:p w14:paraId="726B4E0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199D930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4D1D37D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4F4594B" w14:textId="77777777" w:rsidR="00640E94" w:rsidRDefault="00640E94" w:rsidP="004A5F97">
      <w:pPr>
        <w:pStyle w:val="BodyText"/>
        <w:numPr>
          <w:ilvl w:val="0"/>
          <w:numId w:val="2"/>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r w:rsidR="00FD46F7">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D128DCD" w14:textId="77777777" w:rsidR="00640E94" w:rsidRDefault="00640E94" w:rsidP="004A5F97">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BD6DF8B" w14:textId="77777777" w:rsidR="00640E94" w:rsidRDefault="00640E94" w:rsidP="004A5F97">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D4AAAD0" w14:textId="77777777" w:rsidR="00640E94" w:rsidRDefault="00640E94">
      <w:pPr>
        <w:pStyle w:val="List"/>
        <w:keepLines/>
        <w:spacing w:before="120"/>
        <w:ind w:left="0" w:firstLine="0"/>
        <w:rPr>
          <w:rFonts w:ascii="Arial" w:hAnsi="Arial"/>
          <w:b/>
        </w:rPr>
      </w:pPr>
      <w:r>
        <w:rPr>
          <w:rFonts w:ascii="Arial" w:hAnsi="Arial"/>
          <w:b/>
        </w:rPr>
        <w:t>Report on Business</w:t>
      </w:r>
    </w:p>
    <w:p w14:paraId="6487ED2A" w14:textId="77777777" w:rsidR="00A2266C" w:rsidRDefault="00A2266C">
      <w:pPr>
        <w:pStyle w:val="List"/>
        <w:keepLines/>
        <w:spacing w:before="120"/>
        <w:ind w:left="0" w:firstLine="0"/>
        <w:rPr>
          <w:rFonts w:ascii="Arial" w:hAnsi="Arial"/>
          <w:b/>
        </w:rPr>
      </w:pPr>
    </w:p>
    <w:p w14:paraId="4DA24AFC" w14:textId="579B475C" w:rsidR="001F6682" w:rsidRDefault="00640E94" w:rsidP="004A5F97">
      <w:pPr>
        <w:pStyle w:val="List"/>
        <w:numPr>
          <w:ilvl w:val="0"/>
          <w:numId w:val="3"/>
        </w:numPr>
        <w:spacing w:before="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B0D8B7B" w14:textId="71BC2F1A" w:rsidR="00B853E1" w:rsidRDefault="00B853E1" w:rsidP="00B853E1">
      <w:pPr>
        <w:pStyle w:val="List"/>
        <w:spacing w:before="0"/>
        <w:jc w:val="both"/>
        <w:rPr>
          <w:rFonts w:ascii="Arial" w:hAnsi="Arial"/>
        </w:rPr>
      </w:pPr>
    </w:p>
    <w:p w14:paraId="773F2AA6" w14:textId="4E53B94F" w:rsidR="003D4A86" w:rsidRPr="003D4A86" w:rsidRDefault="003D4A86" w:rsidP="003D4A86">
      <w:pPr>
        <w:pStyle w:val="Heading2"/>
        <w:rPr>
          <w:b w:val="0"/>
          <w:bCs/>
          <w:sz w:val="24"/>
          <w:szCs w:val="24"/>
        </w:rPr>
      </w:pPr>
      <w:r>
        <w:rPr>
          <w:b w:val="0"/>
          <w:bCs/>
          <w:sz w:val="24"/>
          <w:szCs w:val="24"/>
        </w:rPr>
        <w:lastRenderedPageBreak/>
        <w:t xml:space="preserve">                T</w:t>
      </w:r>
      <w:r w:rsidRPr="003D4A86">
        <w:rPr>
          <w:b w:val="0"/>
          <w:bCs/>
          <w:sz w:val="24"/>
          <w:szCs w:val="24"/>
        </w:rPr>
        <w:t>he Company is seeking the approval of the holders (the “</w:t>
      </w:r>
      <w:proofErr w:type="spellStart"/>
      <w:r w:rsidRPr="003D4A86">
        <w:rPr>
          <w:b w:val="0"/>
          <w:bCs/>
          <w:sz w:val="24"/>
          <w:szCs w:val="24"/>
          <w:bdr w:val="none" w:sz="0" w:space="0" w:color="auto" w:frame="1"/>
        </w:rPr>
        <w:t>Debentureholders</w:t>
      </w:r>
      <w:proofErr w:type="spellEnd"/>
      <w:r w:rsidRPr="003D4A86">
        <w:rPr>
          <w:b w:val="0"/>
          <w:bCs/>
          <w:sz w:val="24"/>
          <w:szCs w:val="24"/>
        </w:rPr>
        <w:t>”) of the</w:t>
      </w:r>
      <w:r>
        <w:rPr>
          <w:b w:val="0"/>
          <w:bCs/>
          <w:sz w:val="24"/>
          <w:szCs w:val="24"/>
        </w:rPr>
        <w:t xml:space="preserve"> </w:t>
      </w:r>
      <w:r w:rsidRPr="003D4A86">
        <w:rPr>
          <w:b w:val="0"/>
          <w:bCs/>
          <w:sz w:val="24"/>
          <w:szCs w:val="24"/>
        </w:rPr>
        <w:t xml:space="preserve">C$3,687,050 principal </w:t>
      </w:r>
      <w:proofErr w:type="gramStart"/>
      <w:r w:rsidRPr="003D4A86">
        <w:rPr>
          <w:b w:val="0"/>
          <w:bCs/>
          <w:sz w:val="24"/>
          <w:szCs w:val="24"/>
        </w:rPr>
        <w:t>amount</w:t>
      </w:r>
      <w:proofErr w:type="gramEnd"/>
      <w:r w:rsidRPr="003D4A86">
        <w:rPr>
          <w:b w:val="0"/>
          <w:bCs/>
          <w:sz w:val="24"/>
          <w:szCs w:val="24"/>
        </w:rPr>
        <w:t xml:space="preserve"> of convertible debentures (“</w:t>
      </w:r>
      <w:r w:rsidRPr="003D4A86">
        <w:rPr>
          <w:b w:val="0"/>
          <w:bCs/>
          <w:sz w:val="24"/>
          <w:szCs w:val="24"/>
          <w:bdr w:val="none" w:sz="0" w:space="0" w:color="auto" w:frame="1"/>
        </w:rPr>
        <w:t>Convertible Debentures</w:t>
      </w:r>
      <w:r w:rsidRPr="003D4A86">
        <w:rPr>
          <w:b w:val="0"/>
          <w:bCs/>
          <w:sz w:val="24"/>
          <w:szCs w:val="24"/>
        </w:rPr>
        <w:t>”) to reprice the Convertible Debentures. The Convertible Debentures presently mature on June 27, 2022, and September 14, 2022.</w:t>
      </w:r>
    </w:p>
    <w:p w14:paraId="4D541DDC" w14:textId="4966FF57" w:rsidR="003D4A86" w:rsidRPr="003D4A86" w:rsidRDefault="003D4A86" w:rsidP="003D4A86">
      <w:pPr>
        <w:pStyle w:val="Heading2"/>
        <w:ind w:hanging="360"/>
        <w:rPr>
          <w:b w:val="0"/>
          <w:bCs/>
          <w:sz w:val="24"/>
          <w:szCs w:val="24"/>
        </w:rPr>
      </w:pPr>
      <w:r>
        <w:rPr>
          <w:b w:val="0"/>
          <w:bCs/>
          <w:sz w:val="24"/>
          <w:szCs w:val="24"/>
        </w:rPr>
        <w:t xml:space="preserve">     </w:t>
      </w:r>
      <w:r w:rsidRPr="003D4A86">
        <w:rPr>
          <w:b w:val="0"/>
          <w:bCs/>
          <w:sz w:val="24"/>
          <w:szCs w:val="24"/>
        </w:rPr>
        <w:t xml:space="preserve">The conversion price for the Convertible Debentures </w:t>
      </w:r>
      <w:proofErr w:type="gramStart"/>
      <w:r w:rsidRPr="003D4A86">
        <w:rPr>
          <w:b w:val="0"/>
          <w:bCs/>
          <w:sz w:val="24"/>
          <w:szCs w:val="24"/>
        </w:rPr>
        <w:t>are</w:t>
      </w:r>
      <w:proofErr w:type="gramEnd"/>
      <w:r w:rsidRPr="003D4A86">
        <w:rPr>
          <w:b w:val="0"/>
          <w:bCs/>
          <w:sz w:val="24"/>
          <w:szCs w:val="24"/>
        </w:rPr>
        <w:t xml:space="preserve"> proposed to be repriced to C$0.10 per Common Share which was previously at C$1.15 ‎per Common Share. Additionally, the following amendments to the terms of the Convertible ‎Debentures are being proposed to the </w:t>
      </w:r>
      <w:proofErr w:type="spellStart"/>
      <w:r w:rsidRPr="003D4A86">
        <w:rPr>
          <w:b w:val="0"/>
          <w:bCs/>
          <w:sz w:val="24"/>
          <w:szCs w:val="24"/>
        </w:rPr>
        <w:t>Debentureholders</w:t>
      </w:r>
      <w:proofErr w:type="spellEnd"/>
      <w:r w:rsidRPr="003D4A86">
        <w:rPr>
          <w:b w:val="0"/>
          <w:bCs/>
          <w:sz w:val="24"/>
          <w:szCs w:val="24"/>
        </w:rPr>
        <w:t>: (i) an extension to the maturity date of the Convertible Debentures for an additional three years; and (ii) an amendment to permit the Company to force the conversion of the principal amount of the ‎then outstanding Convertible Debentures and any accrued and unpaid interest thereof at the New Conversion Price ‎on not less than 30 days’ prior written notice if the closing trading price of the shares of common stock of Stem exceeds C$0.80 for a period of 10 consecutive trading days on the CSE (collectively, the ‎‎“</w:t>
      </w:r>
      <w:r w:rsidRPr="003D4A86">
        <w:rPr>
          <w:b w:val="0"/>
          <w:bCs/>
          <w:sz w:val="24"/>
          <w:szCs w:val="24"/>
          <w:bdr w:val="none" w:sz="0" w:space="0" w:color="auto" w:frame="1"/>
        </w:rPr>
        <w:t>Debenture Amendments</w:t>
      </w:r>
      <w:r w:rsidRPr="003D4A86">
        <w:rPr>
          <w:b w:val="0"/>
          <w:bCs/>
          <w:sz w:val="24"/>
          <w:szCs w:val="24"/>
        </w:rPr>
        <w:t>”). ‎</w:t>
      </w:r>
    </w:p>
    <w:p w14:paraId="2F0A6EFE" w14:textId="3E9B5358" w:rsidR="003D4A86" w:rsidRPr="003D4A86" w:rsidRDefault="003D4A86" w:rsidP="003D4A86">
      <w:pPr>
        <w:pStyle w:val="Heading2"/>
        <w:rPr>
          <w:b w:val="0"/>
          <w:bCs/>
          <w:sz w:val="24"/>
          <w:szCs w:val="24"/>
        </w:rPr>
      </w:pPr>
      <w:r>
        <w:rPr>
          <w:b w:val="0"/>
          <w:bCs/>
          <w:sz w:val="24"/>
          <w:szCs w:val="24"/>
        </w:rPr>
        <w:t xml:space="preserve">                </w:t>
      </w:r>
      <w:r w:rsidRPr="003D4A86">
        <w:rPr>
          <w:b w:val="0"/>
          <w:bCs/>
          <w:sz w:val="24"/>
          <w:szCs w:val="24"/>
        </w:rPr>
        <w:t xml:space="preserve">The repricing of Convertible Debentures, the Debenture Amendments will be implemented pursuant to the terms of supplemental indentures </w:t>
      </w:r>
      <w:proofErr w:type="gramStart"/>
      <w:r w:rsidRPr="003D4A86">
        <w:rPr>
          <w:b w:val="0"/>
          <w:bCs/>
          <w:sz w:val="24"/>
          <w:szCs w:val="24"/>
        </w:rPr>
        <w:t>entered into</w:t>
      </w:r>
      <w:proofErr w:type="gramEnd"/>
      <w:r w:rsidRPr="003D4A86">
        <w:rPr>
          <w:b w:val="0"/>
          <w:bCs/>
          <w:sz w:val="24"/>
          <w:szCs w:val="24"/>
        </w:rPr>
        <w:t xml:space="preserve"> ‎between the Company and Olympia Trust Company dated as of the date hereof (the “</w:t>
      </w:r>
      <w:r w:rsidRPr="003D4A86">
        <w:rPr>
          <w:b w:val="0"/>
          <w:bCs/>
          <w:sz w:val="24"/>
          <w:szCs w:val="24"/>
          <w:bdr w:val="none" w:sz="0" w:space="0" w:color="auto" w:frame="1"/>
        </w:rPr>
        <w:t>Supplemental Indentures</w:t>
      </w:r>
      <w:r w:rsidRPr="003D4A86">
        <w:rPr>
          <w:b w:val="0"/>
          <w:bCs/>
          <w:sz w:val="24"/>
          <w:szCs w:val="24"/>
        </w:rPr>
        <w:t xml:space="preserve">”). ‎Copies of the Supplemental Indentures will be available on the Company’s profile on SEDAR. The Debenture Amendments require the written approval of 66 2/3% of the </w:t>
      </w:r>
      <w:proofErr w:type="spellStart"/>
      <w:r w:rsidRPr="003D4A86">
        <w:rPr>
          <w:b w:val="0"/>
          <w:bCs/>
          <w:sz w:val="24"/>
          <w:szCs w:val="24"/>
        </w:rPr>
        <w:t>Debentureholders</w:t>
      </w:r>
      <w:proofErr w:type="spellEnd"/>
      <w:r w:rsidRPr="003D4A86">
        <w:rPr>
          <w:b w:val="0"/>
          <w:bCs/>
          <w:sz w:val="24"/>
          <w:szCs w:val="24"/>
        </w:rPr>
        <w:t>.</w:t>
      </w:r>
    </w:p>
    <w:p w14:paraId="44E3C87B" w14:textId="343AB3CB" w:rsidR="003D4A86" w:rsidRDefault="003D4A86" w:rsidP="003D4A86">
      <w:pPr>
        <w:pStyle w:val="Heading2"/>
        <w:rPr>
          <w:rFonts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bCs/>
          <w:sz w:val="24"/>
          <w:szCs w:val="24"/>
        </w:rPr>
        <w:t xml:space="preserve">                </w:t>
      </w:r>
      <w:r w:rsidRPr="003D4A86">
        <w:rPr>
          <w:b w:val="0"/>
          <w:bCs/>
          <w:sz w:val="24"/>
          <w:szCs w:val="24"/>
        </w:rPr>
        <w:t>As part of the amendment, the Company expects to issue 167 common share purchase warrants for each Debenture Unit amount of $1,000 held which will be priced at C$0.20 for a period of 24 months. In addition, the Debenture Amendment, if approved, will provide for the payment of 5% of the principal amount upon the completion of the Debenture Amendments.</w:t>
      </w:r>
    </w:p>
    <w:p w14:paraId="12AE41DD" w14:textId="422183E4" w:rsidR="003D4A86" w:rsidRDefault="003D4A86" w:rsidP="00F7257A">
      <w:pPr>
        <w:shd w:val="clear" w:color="auto" w:fill="FFFFFF"/>
        <w:ind w:left="720"/>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D9C0B" w14:textId="77777777" w:rsidR="003D4A86" w:rsidRDefault="003D4A86" w:rsidP="00F7257A">
      <w:pPr>
        <w:shd w:val="clear" w:color="auto" w:fill="FFFFFF"/>
        <w:ind w:left="720"/>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9D59A1" w14:textId="77777777" w:rsidR="00A42A92" w:rsidRPr="000C6CF6" w:rsidRDefault="00A42A92" w:rsidP="00F7257A">
      <w:pPr>
        <w:shd w:val="clear" w:color="auto" w:fill="FFFFFF"/>
        <w:ind w:left="720"/>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0D8340" w14:textId="77777777" w:rsidR="00640E94" w:rsidRDefault="00640E94" w:rsidP="004A5F97">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253B5F1A" w14:textId="14865510" w:rsidR="00A903F6" w:rsidRDefault="00FC4B69" w:rsidP="000D1F4D">
      <w:pPr>
        <w:pStyle w:val="ListParagraph"/>
        <w:widowControl w:val="0"/>
        <w:autoSpaceDE w:val="0"/>
        <w:autoSpaceDN w:val="0"/>
        <w:adjustRightInd w:val="0"/>
        <w:spacing w:before="121" w:line="280" w:lineRule="exact"/>
        <w:ind w:right="8"/>
        <w:jc w:val="both"/>
        <w:rPr>
          <w:rFonts w:ascii="Arial" w:hAnsi="Arial" w:cs="Arial"/>
          <w:b/>
          <w:color w:val="000000"/>
          <w:sz w:val="24"/>
          <w:szCs w:val="24"/>
        </w:rPr>
      </w:pPr>
      <w:r w:rsidRPr="000D1F4D">
        <w:rPr>
          <w:rFonts w:ascii="Arial" w:hAnsi="Arial" w:cs="Arial"/>
          <w:b/>
          <w:color w:val="000000"/>
          <w:w w:val="104"/>
          <w:sz w:val="24"/>
          <w:szCs w:val="24"/>
        </w:rPr>
        <w:t xml:space="preserve">Management is focused on </w:t>
      </w:r>
      <w:r w:rsidR="00F85C7D">
        <w:rPr>
          <w:rFonts w:ascii="Arial" w:hAnsi="Arial" w:cs="Arial"/>
          <w:b/>
          <w:color w:val="000000"/>
          <w:w w:val="104"/>
          <w:sz w:val="24"/>
          <w:szCs w:val="24"/>
        </w:rPr>
        <w:t xml:space="preserve">certain </w:t>
      </w:r>
      <w:r w:rsidRPr="000D1F4D">
        <w:rPr>
          <w:rFonts w:ascii="Arial" w:hAnsi="Arial" w:cs="Arial"/>
          <w:b/>
          <w:color w:val="000000"/>
          <w:w w:val="104"/>
          <w:sz w:val="24"/>
          <w:szCs w:val="24"/>
        </w:rPr>
        <w:t>initiatives to support the acquisition and</w:t>
      </w:r>
      <w:r w:rsidR="003844B3" w:rsidRPr="000D1F4D">
        <w:rPr>
          <w:rFonts w:ascii="Arial" w:hAnsi="Arial" w:cs="Arial"/>
          <w:b/>
          <w:color w:val="000000"/>
          <w:w w:val="104"/>
          <w:sz w:val="24"/>
          <w:szCs w:val="24"/>
        </w:rPr>
        <w:t xml:space="preserve"> </w:t>
      </w:r>
      <w:r w:rsidR="003844B3" w:rsidRPr="000D1F4D">
        <w:rPr>
          <w:rFonts w:ascii="Arial" w:hAnsi="Arial" w:cs="Arial"/>
          <w:b/>
          <w:color w:val="000000"/>
          <w:sz w:val="24"/>
          <w:szCs w:val="24"/>
        </w:rPr>
        <w:t>development of additional assets in the legal medical and recreational cannabis markets.</w:t>
      </w:r>
    </w:p>
    <w:p w14:paraId="45712B3B" w14:textId="6C3415F6" w:rsidR="003844B3" w:rsidRPr="005A6DDB" w:rsidRDefault="003844B3" w:rsidP="000D1F4D">
      <w:pPr>
        <w:pStyle w:val="ListParagraph"/>
        <w:widowControl w:val="0"/>
        <w:autoSpaceDE w:val="0"/>
        <w:autoSpaceDN w:val="0"/>
        <w:adjustRightInd w:val="0"/>
        <w:spacing w:before="121" w:line="280" w:lineRule="exact"/>
        <w:ind w:right="8"/>
        <w:jc w:val="both"/>
      </w:pPr>
      <w:r w:rsidRPr="000D1F4D">
        <w:rPr>
          <w:rFonts w:ascii="Arial" w:hAnsi="Arial" w:cs="Arial"/>
          <w:b/>
          <w:color w:val="000000"/>
          <w:sz w:val="24"/>
          <w:szCs w:val="24"/>
        </w:rPr>
        <w:t xml:space="preserve"> </w:t>
      </w:r>
    </w:p>
    <w:p w14:paraId="21944F60" w14:textId="77777777" w:rsidR="009B7D20" w:rsidRDefault="00640E94" w:rsidP="004A5F97">
      <w:pPr>
        <w:pStyle w:val="List"/>
        <w:numPr>
          <w:ilvl w:val="0"/>
          <w:numId w:val="3"/>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1B5E0A7" w14:textId="594ADF62" w:rsidR="00E21877" w:rsidRDefault="00101D95" w:rsidP="00400687">
      <w:pPr>
        <w:pStyle w:val="List"/>
        <w:spacing w:before="120"/>
        <w:ind w:left="720" w:firstLine="0"/>
        <w:jc w:val="both"/>
        <w:rPr>
          <w:rFonts w:ascii="Arial" w:hAnsi="Arial"/>
        </w:rPr>
      </w:pPr>
      <w:r w:rsidRPr="009043DD">
        <w:rPr>
          <w:rFonts w:ascii="Arial" w:hAnsi="Arial"/>
          <w:b/>
        </w:rPr>
        <w:t xml:space="preserve">As the </w:t>
      </w:r>
      <w:r w:rsidR="0089614A">
        <w:rPr>
          <w:rFonts w:ascii="Arial" w:hAnsi="Arial"/>
          <w:b/>
        </w:rPr>
        <w:t>I</w:t>
      </w:r>
      <w:r w:rsidRPr="009043DD">
        <w:rPr>
          <w:rFonts w:ascii="Arial" w:hAnsi="Arial"/>
          <w:b/>
        </w:rPr>
        <w:t xml:space="preserve">ssuer identifies </w:t>
      </w:r>
      <w:r w:rsidR="009D4AF6" w:rsidRPr="009043DD">
        <w:rPr>
          <w:rFonts w:ascii="Arial" w:hAnsi="Arial"/>
          <w:b/>
        </w:rPr>
        <w:t xml:space="preserve">additional </w:t>
      </w:r>
      <w:r w:rsidR="00C059CD" w:rsidRPr="009043DD">
        <w:rPr>
          <w:rFonts w:ascii="Arial" w:hAnsi="Arial"/>
          <w:b/>
        </w:rPr>
        <w:t>opportunities</w:t>
      </w:r>
      <w:r w:rsidR="009D4AF6" w:rsidRPr="009043DD">
        <w:rPr>
          <w:rFonts w:ascii="Arial" w:hAnsi="Arial"/>
          <w:b/>
        </w:rPr>
        <w:t>, it will consider whether such</w:t>
      </w:r>
      <w:r w:rsidR="00F3083F" w:rsidRPr="009043DD">
        <w:rPr>
          <w:rFonts w:ascii="Arial" w:hAnsi="Arial"/>
          <w:b/>
        </w:rPr>
        <w:t xml:space="preserve"> </w:t>
      </w:r>
      <w:r w:rsidR="00C059CD" w:rsidRPr="009043DD">
        <w:rPr>
          <w:rFonts w:ascii="Arial" w:hAnsi="Arial"/>
          <w:b/>
        </w:rPr>
        <w:t>opportunities</w:t>
      </w:r>
      <w:r w:rsidR="009D4AF6" w:rsidRPr="009043DD">
        <w:rPr>
          <w:rFonts w:ascii="Arial" w:hAnsi="Arial"/>
          <w:b/>
        </w:rPr>
        <w:t xml:space="preserve"> </w:t>
      </w:r>
      <w:r w:rsidR="00FC4B69" w:rsidRPr="009043DD">
        <w:rPr>
          <w:rFonts w:ascii="Arial" w:hAnsi="Arial"/>
          <w:b/>
        </w:rPr>
        <w:t>meet</w:t>
      </w:r>
      <w:r w:rsidR="009D4AF6" w:rsidRPr="009043DD">
        <w:rPr>
          <w:rFonts w:ascii="Arial" w:hAnsi="Arial"/>
          <w:b/>
        </w:rPr>
        <w:t xml:space="preserve"> its investment criteria and will either redeploy</w:t>
      </w:r>
      <w:r w:rsidR="00C059CD" w:rsidRPr="009043DD">
        <w:rPr>
          <w:rFonts w:ascii="Arial" w:hAnsi="Arial"/>
          <w:b/>
        </w:rPr>
        <w:t xml:space="preserve"> </w:t>
      </w:r>
      <w:r w:rsidR="00245ACD" w:rsidRPr="009043DD">
        <w:rPr>
          <w:rFonts w:ascii="Arial" w:hAnsi="Arial"/>
          <w:b/>
        </w:rPr>
        <w:t xml:space="preserve">investment dollars into future projects or seek </w:t>
      </w:r>
      <w:r w:rsidR="006706D7" w:rsidRPr="009043DD">
        <w:rPr>
          <w:rFonts w:ascii="Arial" w:hAnsi="Arial"/>
          <w:b/>
        </w:rPr>
        <w:t>to raise additional capital through equity or debt financing</w:t>
      </w:r>
      <w:r w:rsidR="00C059CD" w:rsidRPr="009043DD">
        <w:rPr>
          <w:rFonts w:ascii="Arial" w:hAnsi="Arial"/>
          <w:b/>
        </w:rPr>
        <w:t>.</w:t>
      </w:r>
    </w:p>
    <w:p w14:paraId="49784B26" w14:textId="77777777" w:rsidR="00E818ED" w:rsidRPr="001123C2" w:rsidRDefault="00640E94" w:rsidP="004A5F97">
      <w:pPr>
        <w:pStyle w:val="List"/>
        <w:numPr>
          <w:ilvl w:val="0"/>
          <w:numId w:val="3"/>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6E7BA89" w14:textId="77777777" w:rsidR="00E818ED" w:rsidRDefault="00E818ED" w:rsidP="001123C2">
      <w:pPr>
        <w:pStyle w:val="List"/>
        <w:spacing w:before="120"/>
        <w:ind w:left="1800"/>
        <w:jc w:val="both"/>
        <w:rPr>
          <w:rFonts w:ascii="Arial" w:hAnsi="Arial" w:cs="Arial"/>
          <w:b/>
          <w:color w:val="000000"/>
          <w:szCs w:val="24"/>
        </w:rPr>
      </w:pPr>
      <w:r w:rsidRPr="000D1F4D">
        <w:rPr>
          <w:rFonts w:ascii="Arial" w:hAnsi="Arial" w:cs="Arial"/>
          <w:b/>
          <w:color w:val="000000"/>
          <w:szCs w:val="24"/>
        </w:rPr>
        <w:t>Not applicable</w:t>
      </w:r>
      <w:r w:rsidR="001C06C5" w:rsidRPr="000D1F4D">
        <w:rPr>
          <w:rFonts w:ascii="Arial" w:hAnsi="Arial" w:cs="Arial"/>
          <w:b/>
          <w:color w:val="000000"/>
          <w:szCs w:val="24"/>
        </w:rPr>
        <w:t>.</w:t>
      </w:r>
    </w:p>
    <w:p w14:paraId="22EBE96C" w14:textId="77777777" w:rsidR="00974A18" w:rsidRDefault="00974A18" w:rsidP="001F620E">
      <w:pPr>
        <w:pStyle w:val="List"/>
        <w:spacing w:before="0"/>
        <w:ind w:left="1800"/>
        <w:jc w:val="both"/>
        <w:rPr>
          <w:rFonts w:ascii="Arial" w:hAnsi="Arial"/>
        </w:rPr>
      </w:pPr>
    </w:p>
    <w:p w14:paraId="4F668AEE" w14:textId="77777777" w:rsidR="0060415C" w:rsidRDefault="00640E94" w:rsidP="004A5F97">
      <w:pPr>
        <w:pStyle w:val="List"/>
        <w:numPr>
          <w:ilvl w:val="0"/>
          <w:numId w:val="3"/>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CBD3B" w14:textId="77777777" w:rsidR="00FF2178" w:rsidRPr="00FF2178" w:rsidRDefault="00FF2178" w:rsidP="00FF2178">
      <w:pPr>
        <w:pStyle w:val="List"/>
        <w:spacing w:before="0"/>
        <w:ind w:left="720" w:firstLine="0"/>
        <w:jc w:val="both"/>
        <w:rPr>
          <w:rFonts w:ascii="Arial" w:hAnsi="Arial"/>
        </w:rPr>
      </w:pPr>
    </w:p>
    <w:p w14:paraId="34244212" w14:textId="77777777" w:rsidR="0060415C" w:rsidRDefault="00B23F76" w:rsidP="00B23F76">
      <w:pPr>
        <w:pStyle w:val="List"/>
        <w:spacing w:before="120"/>
        <w:ind w:left="720" w:firstLine="0"/>
        <w:jc w:val="both"/>
        <w:rPr>
          <w:rFonts w:ascii="Arial" w:hAnsi="Arial"/>
        </w:rPr>
      </w:pPr>
      <w:r w:rsidRPr="000D1F4D">
        <w:rPr>
          <w:rFonts w:ascii="Arial" w:hAnsi="Arial" w:cs="Arial"/>
          <w:b/>
          <w:color w:val="000000"/>
          <w:szCs w:val="24"/>
        </w:rPr>
        <w:t>Not applicable</w:t>
      </w:r>
    </w:p>
    <w:p w14:paraId="6E078ADF" w14:textId="77777777" w:rsidR="00E818ED" w:rsidRPr="001123C2" w:rsidRDefault="00640E94" w:rsidP="004A5F97">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2678127" w14:textId="77777777" w:rsidR="00E818ED" w:rsidRDefault="00E818ED" w:rsidP="000D1F4D">
      <w:pPr>
        <w:pStyle w:val="List"/>
        <w:spacing w:before="120"/>
        <w:ind w:left="1800"/>
        <w:jc w:val="both"/>
        <w:rPr>
          <w:rFonts w:ascii="Arial" w:hAnsi="Arial"/>
        </w:rPr>
      </w:pPr>
      <w:bookmarkStart w:id="5" w:name="_Hlk4079977"/>
      <w:bookmarkStart w:id="6" w:name="_Hlk522554575"/>
      <w:r w:rsidRPr="000D1F4D">
        <w:rPr>
          <w:rFonts w:ascii="Arial" w:hAnsi="Arial" w:cs="Arial"/>
          <w:b/>
          <w:color w:val="000000"/>
          <w:szCs w:val="24"/>
        </w:rPr>
        <w:t>Not applicable</w:t>
      </w:r>
      <w:bookmarkEnd w:id="5"/>
      <w:r w:rsidR="001C06C5" w:rsidRPr="000D1F4D">
        <w:rPr>
          <w:rFonts w:ascii="Arial" w:hAnsi="Arial" w:cs="Arial"/>
          <w:b/>
          <w:color w:val="000000"/>
          <w:szCs w:val="24"/>
        </w:rPr>
        <w:t>.</w:t>
      </w:r>
      <w:bookmarkEnd w:id="6"/>
    </w:p>
    <w:p w14:paraId="47D27DA0" w14:textId="77777777" w:rsidR="005030D7" w:rsidRPr="001123C2" w:rsidRDefault="00640E94" w:rsidP="004A5F97">
      <w:pPr>
        <w:pStyle w:val="List"/>
        <w:numPr>
          <w:ilvl w:val="0"/>
          <w:numId w:val="3"/>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w:t>
      </w:r>
      <w:r w:rsidR="005030D7">
        <w:rPr>
          <w:rFonts w:ascii="Arial" w:hAnsi="Arial"/>
        </w:rPr>
        <w:t xml:space="preserve">s of the relationship. </w:t>
      </w:r>
    </w:p>
    <w:p w14:paraId="712A2F66" w14:textId="77777777" w:rsidR="005030D7" w:rsidRDefault="005030D7" w:rsidP="000D1F4D">
      <w:pPr>
        <w:pStyle w:val="List"/>
        <w:spacing w:before="120"/>
        <w:ind w:left="720" w:firstLine="0"/>
        <w:jc w:val="both"/>
        <w:rPr>
          <w:rFonts w:ascii="Arial" w:hAnsi="Arial"/>
        </w:rPr>
      </w:pPr>
      <w:bookmarkStart w:id="7" w:name="_Hlk522554595"/>
      <w:r w:rsidRPr="000D1F4D">
        <w:rPr>
          <w:rFonts w:ascii="Arial" w:hAnsi="Arial" w:cs="Arial"/>
          <w:b/>
          <w:color w:val="000000"/>
          <w:szCs w:val="24"/>
        </w:rPr>
        <w:t>Not applicable</w:t>
      </w:r>
      <w:r w:rsidR="001C06C5">
        <w:rPr>
          <w:rFonts w:ascii="Arial" w:hAnsi="Arial" w:cs="Arial"/>
          <w:b/>
          <w:color w:val="000000"/>
          <w:szCs w:val="24"/>
        </w:rPr>
        <w:t>.</w:t>
      </w:r>
      <w:bookmarkEnd w:id="7"/>
    </w:p>
    <w:p w14:paraId="7A6958CF" w14:textId="77777777" w:rsidR="005030D7" w:rsidRPr="001123C2" w:rsidRDefault="00640E94" w:rsidP="004A5F97">
      <w:pPr>
        <w:pStyle w:val="List"/>
        <w:numPr>
          <w:ilvl w:val="0"/>
          <w:numId w:val="3"/>
        </w:numPr>
        <w:spacing w:before="120"/>
        <w:jc w:val="both"/>
        <w:rPr>
          <w:rFonts w:ascii="Arial" w:hAnsi="Arial" w:cs="Arial"/>
          <w:color w:val="000000"/>
          <w:szCs w:val="24"/>
        </w:rPr>
      </w:pPr>
      <w:r>
        <w:rPr>
          <w:rFonts w:ascii="Arial" w:hAnsi="Arial"/>
        </w:rPr>
        <w:t>Describe the acquisition of new customers or loss of customers.</w:t>
      </w:r>
    </w:p>
    <w:p w14:paraId="3680E7AC" w14:textId="77777777" w:rsidR="005030D7" w:rsidRDefault="005030D7" w:rsidP="000D1F4D">
      <w:pPr>
        <w:pStyle w:val="List"/>
        <w:spacing w:before="120"/>
        <w:ind w:left="0" w:firstLine="720"/>
        <w:jc w:val="both"/>
        <w:rPr>
          <w:rFonts w:ascii="Arial" w:hAnsi="Arial"/>
        </w:rPr>
      </w:pPr>
      <w:r w:rsidRPr="000D1F4D">
        <w:rPr>
          <w:rFonts w:ascii="Arial" w:hAnsi="Arial" w:cs="Arial"/>
          <w:b/>
          <w:color w:val="000000"/>
          <w:szCs w:val="24"/>
        </w:rPr>
        <w:t>Not applicable</w:t>
      </w:r>
      <w:r w:rsidR="001C06C5" w:rsidRPr="000D1F4D">
        <w:rPr>
          <w:rFonts w:ascii="Arial" w:hAnsi="Arial" w:cs="Arial"/>
          <w:b/>
          <w:color w:val="000000"/>
          <w:szCs w:val="24"/>
        </w:rPr>
        <w:t>.</w:t>
      </w:r>
    </w:p>
    <w:p w14:paraId="0A448FAC" w14:textId="4FCC3D9C" w:rsidR="005030D7" w:rsidRPr="001123C2" w:rsidRDefault="00640E94" w:rsidP="004A5F97">
      <w:pPr>
        <w:pStyle w:val="List"/>
        <w:numPr>
          <w:ilvl w:val="0"/>
          <w:numId w:val="3"/>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C4B69">
        <w:rPr>
          <w:rFonts w:ascii="Arial" w:hAnsi="Arial"/>
        </w:rPr>
        <w:t>trademarks</w:t>
      </w:r>
      <w:r>
        <w:rPr>
          <w:rFonts w:ascii="Arial" w:hAnsi="Arial"/>
        </w:rPr>
        <w:t>.</w:t>
      </w:r>
    </w:p>
    <w:p w14:paraId="03487954" w14:textId="77777777" w:rsidR="005030D7" w:rsidRDefault="00AC517C" w:rsidP="000D1F4D">
      <w:pPr>
        <w:pStyle w:val="List"/>
        <w:spacing w:before="120"/>
        <w:ind w:left="720" w:firstLine="0"/>
        <w:jc w:val="both"/>
        <w:rPr>
          <w:rFonts w:ascii="Arial" w:hAnsi="Arial"/>
        </w:rPr>
      </w:pPr>
      <w:r>
        <w:rPr>
          <w:rFonts w:ascii="Arial" w:hAnsi="Arial" w:cs="Arial"/>
          <w:b/>
          <w:color w:val="000000"/>
          <w:szCs w:val="24"/>
        </w:rPr>
        <w:t>See above</w:t>
      </w:r>
      <w:r w:rsidR="001C06C5" w:rsidRPr="00290FBE">
        <w:rPr>
          <w:rFonts w:ascii="Arial" w:hAnsi="Arial" w:cs="Arial"/>
          <w:b/>
          <w:color w:val="000000"/>
          <w:szCs w:val="24"/>
        </w:rPr>
        <w:t>.</w:t>
      </w:r>
    </w:p>
    <w:p w14:paraId="0E6335B4" w14:textId="77777777" w:rsidR="005030D7" w:rsidRPr="001123C2" w:rsidRDefault="00640E94" w:rsidP="004A5F97">
      <w:pPr>
        <w:pStyle w:val="List"/>
        <w:numPr>
          <w:ilvl w:val="0"/>
          <w:numId w:val="3"/>
        </w:numPr>
        <w:spacing w:before="120"/>
        <w:jc w:val="both"/>
        <w:rPr>
          <w:rFonts w:ascii="Arial" w:hAnsi="Arial"/>
        </w:rPr>
      </w:pPr>
      <w:r>
        <w:rPr>
          <w:rFonts w:ascii="Arial" w:hAnsi="Arial"/>
        </w:rPr>
        <w:t xml:space="preserve">Report on any employee </w:t>
      </w:r>
      <w:r w:rsidR="00C35A28">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0F0FF7FD" w14:textId="77777777" w:rsidR="005030D7" w:rsidRDefault="001C06C5" w:rsidP="000D1F4D">
      <w:pPr>
        <w:pStyle w:val="List"/>
        <w:spacing w:before="120"/>
        <w:ind w:left="0" w:firstLine="720"/>
        <w:jc w:val="both"/>
        <w:rPr>
          <w:rFonts w:ascii="Arial" w:hAnsi="Arial"/>
        </w:rPr>
      </w:pPr>
      <w:r w:rsidRPr="00290FBE">
        <w:rPr>
          <w:rFonts w:ascii="Arial" w:hAnsi="Arial" w:cs="Arial"/>
          <w:b/>
          <w:color w:val="000000"/>
          <w:szCs w:val="24"/>
        </w:rPr>
        <w:t>Not applicable.</w:t>
      </w:r>
    </w:p>
    <w:p w14:paraId="72A954DD" w14:textId="77777777" w:rsidR="00640E94" w:rsidRDefault="00640E94" w:rsidP="004A5F97">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652985B7" w14:textId="77777777" w:rsidR="005030D7" w:rsidRDefault="001C06C5" w:rsidP="000D1F4D">
      <w:pPr>
        <w:pStyle w:val="List"/>
        <w:spacing w:before="120"/>
        <w:ind w:left="0" w:firstLine="720"/>
        <w:rPr>
          <w:rFonts w:ascii="Arial" w:hAnsi="Arial"/>
        </w:rPr>
      </w:pPr>
      <w:r w:rsidRPr="00290FBE">
        <w:rPr>
          <w:rFonts w:ascii="Arial" w:hAnsi="Arial" w:cs="Arial"/>
          <w:b/>
          <w:color w:val="000000"/>
          <w:szCs w:val="24"/>
        </w:rPr>
        <w:t>Not applicable.</w:t>
      </w:r>
    </w:p>
    <w:p w14:paraId="04FB98D2" w14:textId="77777777" w:rsidR="005030D7" w:rsidRPr="001123C2" w:rsidRDefault="00640E94" w:rsidP="004A5F97">
      <w:pPr>
        <w:pStyle w:val="List"/>
        <w:numPr>
          <w:ilvl w:val="0"/>
          <w:numId w:val="3"/>
        </w:numPr>
        <w:spacing w:before="120"/>
        <w:jc w:val="both"/>
        <w:rPr>
          <w:rFonts w:ascii="Arial" w:hAnsi="Arial" w:cs="Arial"/>
          <w:color w:val="000000"/>
          <w:szCs w:val="24"/>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2273E0" w14:textId="77777777" w:rsidR="009934C9" w:rsidRDefault="009934C9" w:rsidP="009934C9">
      <w:pPr>
        <w:pStyle w:val="NormalWeb"/>
        <w:shd w:val="clear" w:color="auto" w:fill="FFFFFF"/>
        <w:spacing w:before="0" w:beforeAutospacing="0" w:after="0" w:afterAutospacing="0"/>
        <w:ind w:left="720"/>
        <w:jc w:val="both"/>
        <w:rPr>
          <w:sz w:val="20"/>
          <w:szCs w:val="20"/>
          <w:shd w:val="clear" w:color="auto" w:fill="FFFFFF"/>
        </w:rPr>
      </w:pPr>
    </w:p>
    <w:p w14:paraId="1BC42C13" w14:textId="0C5A1C91" w:rsidR="0094465B" w:rsidRDefault="00A71DFC" w:rsidP="009934C9">
      <w:pPr>
        <w:pStyle w:val="NormalWeb"/>
        <w:shd w:val="clear" w:color="auto" w:fill="FFFFFF"/>
        <w:spacing w:before="0" w:beforeAutospacing="0" w:after="0" w:afterAutospacing="0"/>
        <w:ind w:left="720"/>
        <w:jc w:val="both"/>
        <w:rPr>
          <w:rFonts w:ascii="Arial" w:hAnsi="Arial" w:cs="Arial"/>
          <w:b/>
          <w:shd w:val="clear" w:color="auto" w:fill="FFFFFF"/>
        </w:rPr>
      </w:pPr>
      <w:r>
        <w:rPr>
          <w:rFonts w:ascii="Arial" w:hAnsi="Arial" w:cs="Arial"/>
          <w:b/>
          <w:shd w:val="clear" w:color="auto" w:fill="FFFFFF"/>
        </w:rPr>
        <w:t>No material.</w:t>
      </w:r>
    </w:p>
    <w:p w14:paraId="4FDB8442" w14:textId="77777777" w:rsidR="00074D83" w:rsidRPr="00097AB8" w:rsidRDefault="00074D83" w:rsidP="009934C9">
      <w:pPr>
        <w:pStyle w:val="NormalWeb"/>
        <w:shd w:val="clear" w:color="auto" w:fill="FFFFFF"/>
        <w:spacing w:before="0" w:beforeAutospacing="0" w:after="0" w:afterAutospacing="0"/>
        <w:ind w:left="720"/>
        <w:jc w:val="both"/>
        <w:rPr>
          <w:rFonts w:ascii="Arial" w:hAnsi="Arial" w:cs="Arial"/>
          <w:b/>
        </w:rPr>
      </w:pPr>
    </w:p>
    <w:p w14:paraId="336DAA06" w14:textId="77777777" w:rsidR="009B7D20" w:rsidRDefault="00640E94" w:rsidP="004A5F97">
      <w:pPr>
        <w:pStyle w:val="List"/>
        <w:numPr>
          <w:ilvl w:val="0"/>
          <w:numId w:val="3"/>
        </w:numPr>
        <w:spacing w:before="0"/>
        <w:jc w:val="both"/>
        <w:rPr>
          <w:rFonts w:ascii="Arial" w:hAnsi="Arial"/>
        </w:rPr>
      </w:pPr>
      <w:r>
        <w:rPr>
          <w:rFonts w:ascii="Arial" w:hAnsi="Arial"/>
        </w:rPr>
        <w:lastRenderedPageBreak/>
        <w:t>Provide details of any indebtedness incurred or repaid by the Issuer together with the terms of such indebtedness.</w:t>
      </w:r>
    </w:p>
    <w:p w14:paraId="11207E0D" w14:textId="77777777" w:rsidR="00074D83" w:rsidRPr="00074D83" w:rsidRDefault="00074D83" w:rsidP="00074D83">
      <w:pPr>
        <w:pStyle w:val="List"/>
        <w:spacing w:before="0"/>
        <w:ind w:left="720" w:firstLine="0"/>
        <w:jc w:val="both"/>
        <w:rPr>
          <w:rFonts w:ascii="Arial" w:hAnsi="Arial"/>
        </w:rPr>
      </w:pPr>
    </w:p>
    <w:p w14:paraId="26907258" w14:textId="77777777" w:rsidR="00975A90" w:rsidRDefault="00975A90" w:rsidP="001E2070">
      <w:pPr>
        <w:pStyle w:val="NormalWeb"/>
        <w:spacing w:before="0" w:beforeAutospacing="0" w:after="0" w:afterAutospacing="0"/>
        <w:ind w:left="720"/>
        <w:jc w:val="both"/>
        <w:rPr>
          <w:rFonts w:ascii="Arial" w:hAnsi="Arial" w:cs="Arial"/>
          <w:b/>
        </w:rPr>
      </w:pPr>
      <w:r>
        <w:rPr>
          <w:rFonts w:ascii="Arial" w:hAnsi="Arial" w:cs="Arial"/>
          <w:b/>
        </w:rPr>
        <w:t>N\A</w:t>
      </w:r>
    </w:p>
    <w:p w14:paraId="0E7F6799" w14:textId="77777777" w:rsidR="005030D7" w:rsidRDefault="00640E94" w:rsidP="004A5F97">
      <w:pPr>
        <w:pStyle w:val="List"/>
        <w:keepNext/>
        <w:numPr>
          <w:ilvl w:val="0"/>
          <w:numId w:val="3"/>
        </w:numPr>
        <w:spacing w:before="120"/>
        <w:jc w:val="both"/>
        <w:rPr>
          <w:rFonts w:ascii="Arial" w:hAnsi="Arial"/>
        </w:rPr>
      </w:pPr>
      <w:r>
        <w:rPr>
          <w:rFonts w:ascii="Arial" w:hAnsi="Arial"/>
        </w:rPr>
        <w:t>Provide details of any securities issued and options or warrants granted.</w:t>
      </w:r>
    </w:p>
    <w:p w14:paraId="48B612F3" w14:textId="77777777" w:rsidR="005030D7" w:rsidRDefault="005030D7" w:rsidP="000D1F4D">
      <w:pPr>
        <w:pStyle w:val="List"/>
        <w:keepNext/>
        <w:widowControl w:val="0"/>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4B22E48" w14:textId="77777777" w:rsidTr="009D0367">
        <w:tc>
          <w:tcPr>
            <w:tcW w:w="2394" w:type="dxa"/>
          </w:tcPr>
          <w:p w14:paraId="0C01E13A" w14:textId="77777777" w:rsidR="00640E94" w:rsidRDefault="00640E94" w:rsidP="000D1F4D">
            <w:pPr>
              <w:pStyle w:val="List"/>
              <w:keepNext/>
              <w:widowControl w:val="0"/>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F2A2598" w14:textId="77777777" w:rsidR="00640E94" w:rsidRDefault="00640E94" w:rsidP="000D1F4D">
            <w:pPr>
              <w:pStyle w:val="List"/>
              <w:keepNext/>
              <w:widowControl w:val="0"/>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EF1028C" w14:textId="77777777" w:rsidR="00640E94" w:rsidRDefault="00640E94" w:rsidP="000D1F4D">
            <w:pPr>
              <w:pStyle w:val="List"/>
              <w:keepNext/>
              <w:widowControl w:val="0"/>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EFB95E5" w14:textId="5074FFFC" w:rsidR="00640E94" w:rsidRDefault="00640E94" w:rsidP="000D1F4D">
            <w:pPr>
              <w:pStyle w:val="List"/>
              <w:keepNext/>
              <w:widowControl w:val="0"/>
              <w:tabs>
                <w:tab w:val="left" w:pos="360"/>
              </w:tabs>
              <w:spacing w:before="0" w:line="280" w:lineRule="exact"/>
              <w:ind w:left="0" w:firstLine="0"/>
              <w:jc w:val="center"/>
              <w:rPr>
                <w:rFonts w:ascii="Arial" w:hAnsi="Arial"/>
                <w:b/>
              </w:rPr>
            </w:pPr>
          </w:p>
        </w:tc>
      </w:tr>
      <w:tr w:rsidR="00186BC9" w14:paraId="751C768D" w14:textId="77777777" w:rsidTr="009D0367">
        <w:tc>
          <w:tcPr>
            <w:tcW w:w="2394" w:type="dxa"/>
          </w:tcPr>
          <w:p w14:paraId="22A673EC" w14:textId="1D822F48" w:rsidR="00186BC9" w:rsidRDefault="00186BC9" w:rsidP="00186BC9">
            <w:pPr>
              <w:pStyle w:val="List"/>
              <w:keepNext/>
              <w:widowControl w:val="0"/>
              <w:tabs>
                <w:tab w:val="left" w:pos="360"/>
              </w:tabs>
              <w:spacing w:before="0" w:line="280" w:lineRule="exact"/>
              <w:ind w:left="0" w:firstLine="0"/>
              <w:jc w:val="both"/>
              <w:rPr>
                <w:rFonts w:ascii="Arial" w:hAnsi="Arial"/>
              </w:rPr>
            </w:pPr>
            <w:r>
              <w:rPr>
                <w:rFonts w:ascii="Arial" w:hAnsi="Arial"/>
              </w:rPr>
              <w:t xml:space="preserve"> </w:t>
            </w:r>
            <w:r w:rsidR="0012361A">
              <w:rPr>
                <w:rFonts w:ascii="Arial" w:hAnsi="Arial"/>
              </w:rPr>
              <w:t>Common</w:t>
            </w:r>
          </w:p>
        </w:tc>
        <w:tc>
          <w:tcPr>
            <w:tcW w:w="2394" w:type="dxa"/>
          </w:tcPr>
          <w:p w14:paraId="66B9F08F" w14:textId="75BD0D34" w:rsidR="00F60B71" w:rsidRDefault="00110328" w:rsidP="00F60B71">
            <w:pPr>
              <w:pStyle w:val="List"/>
              <w:keepNext/>
              <w:widowControl w:val="0"/>
              <w:tabs>
                <w:tab w:val="left" w:pos="360"/>
              </w:tabs>
              <w:spacing w:before="0" w:line="280" w:lineRule="exact"/>
              <w:ind w:left="0" w:firstLine="0"/>
              <w:jc w:val="center"/>
              <w:rPr>
                <w:rFonts w:ascii="Arial" w:hAnsi="Arial"/>
              </w:rPr>
            </w:pPr>
            <w:r>
              <w:rPr>
                <w:rFonts w:ascii="Arial" w:hAnsi="Arial"/>
              </w:rPr>
              <w:t>(796,200)</w:t>
            </w:r>
          </w:p>
        </w:tc>
        <w:tc>
          <w:tcPr>
            <w:tcW w:w="2394" w:type="dxa"/>
          </w:tcPr>
          <w:p w14:paraId="064E9743" w14:textId="0B037804" w:rsidR="00186BC9" w:rsidRDefault="00110328" w:rsidP="00186BC9">
            <w:pPr>
              <w:pStyle w:val="List"/>
              <w:keepNext/>
              <w:widowControl w:val="0"/>
              <w:tabs>
                <w:tab w:val="left" w:pos="360"/>
              </w:tabs>
              <w:spacing w:before="0" w:line="280" w:lineRule="exact"/>
              <w:ind w:left="0" w:firstLine="0"/>
              <w:jc w:val="center"/>
              <w:rPr>
                <w:rFonts w:ascii="Arial" w:hAnsi="Arial"/>
              </w:rPr>
            </w:pPr>
            <w:r>
              <w:rPr>
                <w:rFonts w:ascii="Arial" w:hAnsi="Arial"/>
              </w:rPr>
              <w:t>Returned</w:t>
            </w:r>
          </w:p>
        </w:tc>
        <w:tc>
          <w:tcPr>
            <w:tcW w:w="2394" w:type="dxa"/>
          </w:tcPr>
          <w:p w14:paraId="100D9BBE" w14:textId="77777777" w:rsidR="00186BC9" w:rsidRDefault="00186BC9" w:rsidP="00186BC9">
            <w:pPr>
              <w:pStyle w:val="List"/>
              <w:keepNext/>
              <w:widowControl w:val="0"/>
              <w:tabs>
                <w:tab w:val="left" w:pos="360"/>
              </w:tabs>
              <w:spacing w:before="0" w:line="280" w:lineRule="exact"/>
              <w:ind w:left="0" w:firstLine="0"/>
              <w:jc w:val="center"/>
              <w:rPr>
                <w:rFonts w:ascii="Arial" w:hAnsi="Arial"/>
              </w:rPr>
            </w:pPr>
            <w:r>
              <w:rPr>
                <w:rFonts w:ascii="Arial" w:hAnsi="Arial"/>
              </w:rPr>
              <w:t xml:space="preserve"> </w:t>
            </w:r>
          </w:p>
        </w:tc>
      </w:tr>
      <w:tr w:rsidR="00186BC9" w14:paraId="7A0F0AAD" w14:textId="77777777" w:rsidTr="009D0367">
        <w:tc>
          <w:tcPr>
            <w:tcW w:w="2394" w:type="dxa"/>
          </w:tcPr>
          <w:p w14:paraId="5FFCF7B5" w14:textId="10252095" w:rsidR="00186BC9" w:rsidRDefault="00110328" w:rsidP="00186BC9">
            <w:pPr>
              <w:pStyle w:val="List"/>
              <w:keepNext/>
              <w:widowControl w:val="0"/>
              <w:tabs>
                <w:tab w:val="left" w:pos="360"/>
              </w:tabs>
              <w:spacing w:before="0" w:line="280" w:lineRule="exact"/>
              <w:ind w:left="0" w:firstLine="0"/>
              <w:jc w:val="both"/>
              <w:rPr>
                <w:rFonts w:ascii="Arial" w:hAnsi="Arial"/>
              </w:rPr>
            </w:pPr>
            <w:r>
              <w:rPr>
                <w:rFonts w:ascii="Arial" w:hAnsi="Arial"/>
              </w:rPr>
              <w:t xml:space="preserve"> Common</w:t>
            </w:r>
          </w:p>
        </w:tc>
        <w:tc>
          <w:tcPr>
            <w:tcW w:w="2394" w:type="dxa"/>
          </w:tcPr>
          <w:p w14:paraId="06B7B798" w14:textId="00DDF3E1" w:rsidR="00186BC9" w:rsidRDefault="00110328" w:rsidP="00186BC9">
            <w:pPr>
              <w:pStyle w:val="List"/>
              <w:keepNext/>
              <w:widowControl w:val="0"/>
              <w:tabs>
                <w:tab w:val="left" w:pos="360"/>
              </w:tabs>
              <w:spacing w:before="0" w:line="280" w:lineRule="exact"/>
              <w:ind w:left="0" w:firstLine="0"/>
              <w:jc w:val="center"/>
              <w:rPr>
                <w:rFonts w:ascii="Arial" w:hAnsi="Arial"/>
              </w:rPr>
            </w:pPr>
            <w:r>
              <w:rPr>
                <w:rFonts w:ascii="Arial" w:hAnsi="Arial"/>
              </w:rPr>
              <w:t>1,241,433</w:t>
            </w:r>
          </w:p>
        </w:tc>
        <w:tc>
          <w:tcPr>
            <w:tcW w:w="2394" w:type="dxa"/>
          </w:tcPr>
          <w:p w14:paraId="510AF7B8" w14:textId="1D4010DB" w:rsidR="00186BC9" w:rsidRDefault="00110328" w:rsidP="00110328">
            <w:pPr>
              <w:pStyle w:val="List"/>
              <w:keepNext/>
              <w:widowControl w:val="0"/>
              <w:tabs>
                <w:tab w:val="left" w:pos="360"/>
              </w:tabs>
              <w:spacing w:before="0" w:line="280" w:lineRule="exact"/>
              <w:ind w:left="0" w:firstLine="0"/>
              <w:rPr>
                <w:rFonts w:ascii="Arial" w:hAnsi="Arial"/>
              </w:rPr>
            </w:pPr>
            <w:r>
              <w:rPr>
                <w:rFonts w:ascii="Arial" w:hAnsi="Arial"/>
              </w:rPr>
              <w:t xml:space="preserve">         Interest</w:t>
            </w:r>
          </w:p>
        </w:tc>
        <w:tc>
          <w:tcPr>
            <w:tcW w:w="2394" w:type="dxa"/>
          </w:tcPr>
          <w:p w14:paraId="2CCE1BD8" w14:textId="11693946" w:rsidR="00186BC9" w:rsidRDefault="00186BC9" w:rsidP="00186BC9">
            <w:pPr>
              <w:pStyle w:val="List"/>
              <w:keepNext/>
              <w:widowControl w:val="0"/>
              <w:tabs>
                <w:tab w:val="left" w:pos="360"/>
              </w:tabs>
              <w:spacing w:before="0" w:line="280" w:lineRule="exact"/>
              <w:ind w:left="0" w:firstLine="0"/>
              <w:jc w:val="center"/>
              <w:rPr>
                <w:rFonts w:ascii="Arial" w:hAnsi="Arial"/>
              </w:rPr>
            </w:pPr>
          </w:p>
        </w:tc>
      </w:tr>
      <w:tr w:rsidR="00186BC9" w14:paraId="2A9BD023" w14:textId="77777777" w:rsidTr="009D0367">
        <w:tc>
          <w:tcPr>
            <w:tcW w:w="2394" w:type="dxa"/>
          </w:tcPr>
          <w:p w14:paraId="2E198D8E" w14:textId="16995D8D" w:rsidR="00186BC9" w:rsidRDefault="00186BC9" w:rsidP="00186BC9">
            <w:pPr>
              <w:pStyle w:val="List"/>
              <w:keepNext/>
              <w:widowControl w:val="0"/>
              <w:tabs>
                <w:tab w:val="left" w:pos="360"/>
              </w:tabs>
              <w:spacing w:before="0" w:line="280" w:lineRule="exact"/>
              <w:ind w:left="0" w:firstLine="0"/>
              <w:jc w:val="both"/>
              <w:rPr>
                <w:rFonts w:ascii="Arial" w:hAnsi="Arial"/>
              </w:rPr>
            </w:pPr>
          </w:p>
        </w:tc>
        <w:tc>
          <w:tcPr>
            <w:tcW w:w="2394" w:type="dxa"/>
          </w:tcPr>
          <w:p w14:paraId="25583A0F" w14:textId="7BC25AB5"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44B81123" w14:textId="6386C11B"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647654B0" w14:textId="432CA27F" w:rsidR="00186BC9" w:rsidRDefault="00186BC9" w:rsidP="00186BC9">
            <w:pPr>
              <w:pStyle w:val="List"/>
              <w:keepNext/>
              <w:widowControl w:val="0"/>
              <w:tabs>
                <w:tab w:val="left" w:pos="360"/>
              </w:tabs>
              <w:spacing w:before="0" w:line="280" w:lineRule="exact"/>
              <w:ind w:left="0" w:firstLine="0"/>
              <w:jc w:val="center"/>
              <w:rPr>
                <w:rFonts w:ascii="Arial" w:hAnsi="Arial"/>
              </w:rPr>
            </w:pPr>
          </w:p>
        </w:tc>
      </w:tr>
      <w:tr w:rsidR="00186BC9" w14:paraId="506638CD" w14:textId="77777777" w:rsidTr="009D0367">
        <w:tc>
          <w:tcPr>
            <w:tcW w:w="2394" w:type="dxa"/>
          </w:tcPr>
          <w:p w14:paraId="5262F099" w14:textId="14A6ADF6" w:rsidR="00186BC9" w:rsidRDefault="00186BC9" w:rsidP="00186BC9">
            <w:pPr>
              <w:pStyle w:val="List"/>
              <w:keepNext/>
              <w:widowControl w:val="0"/>
              <w:tabs>
                <w:tab w:val="left" w:pos="360"/>
              </w:tabs>
              <w:spacing w:before="0" w:line="280" w:lineRule="exact"/>
              <w:ind w:left="0" w:firstLine="0"/>
              <w:jc w:val="both"/>
              <w:rPr>
                <w:rFonts w:ascii="Arial" w:hAnsi="Arial"/>
              </w:rPr>
            </w:pPr>
          </w:p>
        </w:tc>
        <w:tc>
          <w:tcPr>
            <w:tcW w:w="2394" w:type="dxa"/>
          </w:tcPr>
          <w:p w14:paraId="38B4F480" w14:textId="2F48338B"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1114A0F4" w14:textId="65623E37"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5F6F6AEF" w14:textId="6DCACA14" w:rsidR="00186BC9" w:rsidRDefault="00186BC9" w:rsidP="00186BC9">
            <w:pPr>
              <w:pStyle w:val="List"/>
              <w:keepNext/>
              <w:widowControl w:val="0"/>
              <w:tabs>
                <w:tab w:val="left" w:pos="360"/>
              </w:tabs>
              <w:spacing w:before="0" w:line="280" w:lineRule="exact"/>
              <w:ind w:left="0" w:firstLine="0"/>
              <w:jc w:val="center"/>
              <w:rPr>
                <w:rFonts w:ascii="Arial" w:hAnsi="Arial"/>
              </w:rPr>
            </w:pPr>
          </w:p>
        </w:tc>
      </w:tr>
      <w:tr w:rsidR="00186BC9" w14:paraId="0ECD8910" w14:textId="77777777" w:rsidTr="009D0367">
        <w:tc>
          <w:tcPr>
            <w:tcW w:w="2394" w:type="dxa"/>
          </w:tcPr>
          <w:p w14:paraId="1948E720" w14:textId="596C71A2" w:rsidR="00186BC9" w:rsidRDefault="00186BC9" w:rsidP="00186BC9">
            <w:pPr>
              <w:pStyle w:val="List"/>
              <w:keepNext/>
              <w:widowControl w:val="0"/>
              <w:tabs>
                <w:tab w:val="left" w:pos="360"/>
              </w:tabs>
              <w:spacing w:before="0" w:line="280" w:lineRule="exact"/>
              <w:ind w:left="0" w:firstLine="0"/>
              <w:jc w:val="both"/>
              <w:rPr>
                <w:rFonts w:ascii="Arial" w:hAnsi="Arial"/>
              </w:rPr>
            </w:pPr>
          </w:p>
        </w:tc>
        <w:tc>
          <w:tcPr>
            <w:tcW w:w="2394" w:type="dxa"/>
          </w:tcPr>
          <w:p w14:paraId="1CD76E26" w14:textId="544A1A16"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0FA97223" w14:textId="7E4E7972" w:rsidR="00722E85" w:rsidRDefault="00722E85" w:rsidP="000A566C">
            <w:pPr>
              <w:pStyle w:val="List"/>
              <w:keepNext/>
              <w:widowControl w:val="0"/>
              <w:tabs>
                <w:tab w:val="left" w:pos="360"/>
              </w:tabs>
              <w:spacing w:before="0" w:line="280" w:lineRule="exact"/>
              <w:ind w:left="0" w:firstLine="0"/>
              <w:jc w:val="center"/>
              <w:rPr>
                <w:rFonts w:ascii="Arial" w:hAnsi="Arial"/>
              </w:rPr>
            </w:pPr>
          </w:p>
        </w:tc>
        <w:tc>
          <w:tcPr>
            <w:tcW w:w="2394" w:type="dxa"/>
          </w:tcPr>
          <w:p w14:paraId="728C6362" w14:textId="03B7A100" w:rsidR="00186BC9" w:rsidRDefault="00186BC9" w:rsidP="00186BC9">
            <w:pPr>
              <w:pStyle w:val="List"/>
              <w:keepNext/>
              <w:widowControl w:val="0"/>
              <w:tabs>
                <w:tab w:val="left" w:pos="360"/>
              </w:tabs>
              <w:spacing w:before="0" w:line="280" w:lineRule="exact"/>
              <w:ind w:left="0" w:firstLine="0"/>
              <w:jc w:val="center"/>
              <w:rPr>
                <w:rFonts w:ascii="Arial" w:hAnsi="Arial"/>
              </w:rPr>
            </w:pPr>
          </w:p>
        </w:tc>
      </w:tr>
      <w:tr w:rsidR="00186BC9" w14:paraId="31F44A6E" w14:textId="77777777" w:rsidTr="009D0367">
        <w:tc>
          <w:tcPr>
            <w:tcW w:w="2394" w:type="dxa"/>
          </w:tcPr>
          <w:p w14:paraId="697B6A60" w14:textId="305047B1" w:rsidR="00186BC9" w:rsidRDefault="00186BC9" w:rsidP="00186BC9">
            <w:pPr>
              <w:pStyle w:val="List"/>
              <w:keepNext/>
              <w:widowControl w:val="0"/>
              <w:tabs>
                <w:tab w:val="left" w:pos="360"/>
              </w:tabs>
              <w:spacing w:before="0" w:line="280" w:lineRule="exact"/>
              <w:ind w:left="0" w:firstLine="0"/>
              <w:jc w:val="both"/>
              <w:rPr>
                <w:rFonts w:ascii="Arial" w:hAnsi="Arial"/>
              </w:rPr>
            </w:pPr>
          </w:p>
        </w:tc>
        <w:tc>
          <w:tcPr>
            <w:tcW w:w="2394" w:type="dxa"/>
          </w:tcPr>
          <w:p w14:paraId="3EACDB43" w14:textId="39D7AF0F"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086472E2" w14:textId="2263AFF6" w:rsidR="00186BC9" w:rsidRDefault="00186BC9" w:rsidP="00186BC9">
            <w:pPr>
              <w:pStyle w:val="List"/>
              <w:keepNext/>
              <w:widowControl w:val="0"/>
              <w:tabs>
                <w:tab w:val="left" w:pos="360"/>
              </w:tabs>
              <w:spacing w:before="0" w:line="280" w:lineRule="exact"/>
              <w:ind w:left="0" w:firstLine="0"/>
              <w:jc w:val="center"/>
              <w:rPr>
                <w:rFonts w:ascii="Arial" w:hAnsi="Arial"/>
              </w:rPr>
            </w:pPr>
          </w:p>
        </w:tc>
        <w:tc>
          <w:tcPr>
            <w:tcW w:w="2394" w:type="dxa"/>
          </w:tcPr>
          <w:p w14:paraId="1097FDE7" w14:textId="77777777" w:rsidR="00186BC9" w:rsidRDefault="00186BC9" w:rsidP="00186BC9">
            <w:pPr>
              <w:pStyle w:val="List"/>
              <w:keepNext/>
              <w:widowControl w:val="0"/>
              <w:tabs>
                <w:tab w:val="left" w:pos="360"/>
              </w:tabs>
              <w:spacing w:before="0" w:line="280" w:lineRule="exact"/>
              <w:ind w:left="0" w:firstLine="0"/>
              <w:jc w:val="center"/>
              <w:rPr>
                <w:rFonts w:ascii="Arial" w:hAnsi="Arial"/>
              </w:rPr>
            </w:pPr>
          </w:p>
        </w:tc>
      </w:tr>
    </w:tbl>
    <w:p w14:paraId="368C8D48" w14:textId="77777777" w:rsidR="005030D7" w:rsidRPr="00E03592" w:rsidRDefault="00640E94" w:rsidP="004A5F97">
      <w:pPr>
        <w:pStyle w:val="List"/>
        <w:widowControl w:val="0"/>
        <w:numPr>
          <w:ilvl w:val="0"/>
          <w:numId w:val="3"/>
        </w:numPr>
        <w:spacing w:before="120"/>
        <w:jc w:val="both"/>
        <w:rPr>
          <w:rFonts w:ascii="Arial" w:hAnsi="Arial"/>
        </w:rPr>
      </w:pPr>
      <w:r w:rsidRPr="00E03592">
        <w:rPr>
          <w:rFonts w:ascii="Arial" w:hAnsi="Arial"/>
        </w:rPr>
        <w:t>Provide details of any loans to or by Related Persons.</w:t>
      </w:r>
    </w:p>
    <w:p w14:paraId="4914D055" w14:textId="77777777" w:rsidR="005030D7" w:rsidRDefault="001C06C5" w:rsidP="000D1F4D">
      <w:pPr>
        <w:pStyle w:val="List"/>
        <w:widowControl w:val="0"/>
        <w:spacing w:before="120"/>
        <w:ind w:left="0" w:firstLine="720"/>
        <w:jc w:val="both"/>
        <w:rPr>
          <w:rFonts w:ascii="Arial" w:hAnsi="Arial"/>
        </w:rPr>
      </w:pPr>
      <w:r w:rsidRPr="00290FBE">
        <w:rPr>
          <w:rFonts w:ascii="Arial" w:hAnsi="Arial" w:cs="Arial"/>
          <w:b/>
          <w:color w:val="000000"/>
          <w:szCs w:val="24"/>
        </w:rPr>
        <w:t>Not applicable.</w:t>
      </w:r>
    </w:p>
    <w:p w14:paraId="3E892A2A" w14:textId="22384F9D" w:rsidR="005030D7" w:rsidRPr="001123C2" w:rsidRDefault="00640E94" w:rsidP="004A5F97">
      <w:pPr>
        <w:pStyle w:val="List"/>
        <w:widowControl w:val="0"/>
        <w:numPr>
          <w:ilvl w:val="0"/>
          <w:numId w:val="3"/>
        </w:numPr>
        <w:spacing w:before="120"/>
        <w:jc w:val="both"/>
        <w:rPr>
          <w:rFonts w:ascii="Arial" w:hAnsi="Arial"/>
        </w:rPr>
      </w:pPr>
      <w:r>
        <w:rPr>
          <w:rFonts w:ascii="Arial" w:hAnsi="Arial"/>
        </w:rPr>
        <w:t xml:space="preserve">Provide details of any changes in directors, </w:t>
      </w:r>
      <w:r w:rsidR="00812DCD">
        <w:rPr>
          <w:rFonts w:ascii="Arial" w:hAnsi="Arial"/>
        </w:rPr>
        <w:t>officers,</w:t>
      </w:r>
      <w:r>
        <w:rPr>
          <w:rFonts w:ascii="Arial" w:hAnsi="Arial"/>
        </w:rPr>
        <w:t xml:space="preserve"> or committee members.</w:t>
      </w:r>
    </w:p>
    <w:p w14:paraId="2F236C91" w14:textId="77777777" w:rsidR="005030D7" w:rsidRDefault="001C06C5" w:rsidP="000D1F4D">
      <w:pPr>
        <w:pStyle w:val="List"/>
        <w:widowControl w:val="0"/>
        <w:spacing w:before="120"/>
        <w:ind w:left="720" w:firstLine="0"/>
        <w:jc w:val="both"/>
        <w:rPr>
          <w:rFonts w:ascii="Arial" w:hAnsi="Arial"/>
        </w:rPr>
      </w:pPr>
      <w:r w:rsidRPr="00290FBE">
        <w:rPr>
          <w:rFonts w:ascii="Arial" w:hAnsi="Arial" w:cs="Arial"/>
          <w:b/>
          <w:color w:val="000000"/>
          <w:szCs w:val="24"/>
        </w:rPr>
        <w:t>Not applicable.</w:t>
      </w:r>
    </w:p>
    <w:p w14:paraId="7D08D24F" w14:textId="77777777" w:rsidR="00177B16" w:rsidRDefault="00640E94" w:rsidP="004A5F97">
      <w:pPr>
        <w:pStyle w:val="List"/>
        <w:widowControl w:val="0"/>
        <w:numPr>
          <w:ilvl w:val="0"/>
          <w:numId w:val="3"/>
        </w:numPr>
        <w:spacing w:before="120"/>
        <w:jc w:val="both"/>
      </w:pPr>
      <w:r>
        <w:rPr>
          <w:rFonts w:ascii="Arial" w:hAnsi="Arial"/>
        </w:rPr>
        <w:t>Discuss any trends which are likely to impact the Issuer including trends in the Issuer’s market(s) or political/regulatory trends.</w:t>
      </w:r>
    </w:p>
    <w:p w14:paraId="56792685" w14:textId="77777777" w:rsidR="004848E9" w:rsidRDefault="005030D7" w:rsidP="000D1F4D">
      <w:pPr>
        <w:widowControl w:val="0"/>
        <w:autoSpaceDE w:val="0"/>
        <w:autoSpaceDN w:val="0"/>
        <w:adjustRightInd w:val="0"/>
        <w:spacing w:before="124"/>
        <w:ind w:left="734" w:right="14"/>
        <w:jc w:val="both"/>
        <w:rPr>
          <w:rFonts w:ascii="Arial" w:hAnsi="Arial" w:cs="Arial"/>
          <w:color w:val="000000"/>
          <w:sz w:val="24"/>
          <w:szCs w:val="24"/>
        </w:rPr>
      </w:pPr>
      <w:r w:rsidRPr="000D1F4D">
        <w:rPr>
          <w:rFonts w:ascii="Arial" w:hAnsi="Arial" w:cs="Arial"/>
          <w:b/>
          <w:color w:val="000000"/>
          <w:sz w:val="24"/>
          <w:szCs w:val="24"/>
        </w:rPr>
        <w:t xml:space="preserve">The most significant trends and uncertainties which management expects could impact its </w:t>
      </w:r>
      <w:r w:rsidRPr="000D1F4D">
        <w:rPr>
          <w:rFonts w:ascii="Arial" w:hAnsi="Arial" w:cs="Arial"/>
          <w:b/>
          <w:color w:val="000000"/>
          <w:spacing w:val="3"/>
          <w:sz w:val="24"/>
          <w:szCs w:val="24"/>
        </w:rPr>
        <w:t xml:space="preserve">business and financial condition are (i) the changing legal and regulatory regime which </w:t>
      </w:r>
      <w:r w:rsidRPr="000D1F4D">
        <w:rPr>
          <w:rFonts w:ascii="Arial" w:hAnsi="Arial" w:cs="Arial"/>
          <w:b/>
          <w:color w:val="000000"/>
          <w:sz w:val="24"/>
          <w:szCs w:val="24"/>
        </w:rPr>
        <w:t xml:space="preserve">regulates the production and sale of cannabis and cannabis related product; (ii) the ability </w:t>
      </w:r>
      <w:r w:rsidRPr="000D1F4D">
        <w:rPr>
          <w:rFonts w:ascii="Arial" w:hAnsi="Arial" w:cs="Arial"/>
          <w:b/>
          <w:color w:val="000000"/>
          <w:w w:val="105"/>
          <w:sz w:val="24"/>
          <w:szCs w:val="24"/>
        </w:rPr>
        <w:t xml:space="preserve">of companies who may receive funds from the sale of cannabis and cannabis related </w:t>
      </w:r>
      <w:r w:rsidRPr="000D1F4D">
        <w:rPr>
          <w:rFonts w:ascii="Arial" w:hAnsi="Arial" w:cs="Arial"/>
          <w:b/>
          <w:color w:val="000000"/>
          <w:w w:val="107"/>
          <w:sz w:val="24"/>
          <w:szCs w:val="24"/>
        </w:rPr>
        <w:t xml:space="preserve">products to adequately track and legally transfer such funds; and  (iii) the ability of </w:t>
      </w:r>
      <w:r w:rsidRPr="000D1F4D">
        <w:rPr>
          <w:rFonts w:ascii="Arial" w:hAnsi="Arial" w:cs="Arial"/>
          <w:b/>
          <w:color w:val="000000"/>
          <w:sz w:val="24"/>
          <w:szCs w:val="24"/>
        </w:rPr>
        <w:t>companies to raise adequate capital to carry out their business objectives</w:t>
      </w:r>
      <w:r w:rsidRPr="005030D7">
        <w:rPr>
          <w:rFonts w:ascii="Arial" w:hAnsi="Arial" w:cs="Arial"/>
          <w:color w:val="000000"/>
          <w:sz w:val="24"/>
          <w:szCs w:val="24"/>
        </w:rPr>
        <w:t xml:space="preserve">.  </w:t>
      </w:r>
    </w:p>
    <w:p w14:paraId="00C7A60B" w14:textId="77777777" w:rsidR="005030D7" w:rsidRPr="000D1F4D" w:rsidRDefault="005030D7" w:rsidP="000D1F4D">
      <w:pPr>
        <w:widowControl w:val="0"/>
        <w:autoSpaceDE w:val="0"/>
        <w:autoSpaceDN w:val="0"/>
        <w:adjustRightInd w:val="0"/>
        <w:spacing w:before="248" w:line="276" w:lineRule="exact"/>
        <w:ind w:left="740"/>
        <w:jc w:val="both"/>
        <w:rPr>
          <w:rFonts w:ascii="Arial" w:hAnsi="Arial" w:cs="Arial"/>
          <w:b/>
          <w:color w:val="000000"/>
          <w:sz w:val="24"/>
          <w:szCs w:val="24"/>
        </w:rPr>
      </w:pPr>
      <w:r w:rsidRPr="000D1F4D">
        <w:rPr>
          <w:rFonts w:ascii="Arial" w:hAnsi="Arial" w:cs="Arial"/>
          <w:b/>
          <w:color w:val="000000"/>
          <w:sz w:val="24"/>
          <w:szCs w:val="24"/>
        </w:rPr>
        <w:t xml:space="preserve">Legal and Regulatory Trends </w:t>
      </w:r>
    </w:p>
    <w:p w14:paraId="0639B2CA" w14:textId="77777777" w:rsidR="005030D7" w:rsidRDefault="005030D7" w:rsidP="001123C2">
      <w:pPr>
        <w:widowControl w:val="0"/>
        <w:autoSpaceDE w:val="0"/>
        <w:autoSpaceDN w:val="0"/>
        <w:adjustRightInd w:val="0"/>
        <w:spacing w:before="121" w:line="280" w:lineRule="exact"/>
        <w:ind w:left="740" w:right="10"/>
        <w:jc w:val="both"/>
        <w:rPr>
          <w:rFonts w:ascii="Arial" w:hAnsi="Arial" w:cs="Arial"/>
          <w:b/>
          <w:color w:val="000000"/>
          <w:sz w:val="24"/>
          <w:szCs w:val="24"/>
        </w:rPr>
      </w:pPr>
      <w:r w:rsidRPr="000D1F4D">
        <w:rPr>
          <w:rFonts w:ascii="Arial" w:hAnsi="Arial" w:cs="Arial"/>
          <w:b/>
          <w:color w:val="000000"/>
          <w:w w:val="103"/>
          <w:sz w:val="24"/>
          <w:szCs w:val="24"/>
        </w:rPr>
        <w:t xml:space="preserve">The </w:t>
      </w:r>
      <w:r w:rsidR="00CF2F04">
        <w:rPr>
          <w:rFonts w:ascii="Arial" w:hAnsi="Arial" w:cs="Arial"/>
          <w:b/>
          <w:color w:val="000000"/>
          <w:w w:val="103"/>
          <w:sz w:val="24"/>
          <w:szCs w:val="24"/>
        </w:rPr>
        <w:t>Company</w:t>
      </w:r>
      <w:r w:rsidR="00CF2F04" w:rsidRPr="000D1F4D">
        <w:rPr>
          <w:rFonts w:ascii="Arial" w:hAnsi="Arial" w:cs="Arial"/>
          <w:b/>
          <w:color w:val="000000"/>
          <w:w w:val="103"/>
          <w:sz w:val="24"/>
          <w:szCs w:val="24"/>
        </w:rPr>
        <w:t xml:space="preserve">’s </w:t>
      </w:r>
      <w:r w:rsidRPr="000D1F4D">
        <w:rPr>
          <w:rFonts w:ascii="Arial" w:hAnsi="Arial" w:cs="Arial"/>
          <w:b/>
          <w:color w:val="000000"/>
          <w:w w:val="103"/>
          <w:sz w:val="24"/>
          <w:szCs w:val="24"/>
        </w:rPr>
        <w:t xml:space="preserve">flagship investments are in </w:t>
      </w:r>
      <w:r w:rsidR="004848E9" w:rsidRPr="000D1F4D">
        <w:rPr>
          <w:rFonts w:ascii="Arial" w:hAnsi="Arial" w:cs="Arial"/>
          <w:b/>
          <w:color w:val="000000"/>
          <w:w w:val="103"/>
          <w:sz w:val="24"/>
          <w:szCs w:val="24"/>
        </w:rPr>
        <w:t>Oregon</w:t>
      </w:r>
      <w:r w:rsidRPr="000D1F4D">
        <w:rPr>
          <w:rFonts w:ascii="Arial" w:hAnsi="Arial" w:cs="Arial"/>
          <w:b/>
          <w:color w:val="000000"/>
          <w:w w:val="103"/>
          <w:sz w:val="24"/>
          <w:szCs w:val="24"/>
        </w:rPr>
        <w:t xml:space="preserve"> and currently management </w:t>
      </w:r>
      <w:r w:rsidRPr="000D1F4D">
        <w:rPr>
          <w:rFonts w:ascii="Arial" w:hAnsi="Arial" w:cs="Arial"/>
          <w:b/>
          <w:color w:val="000000"/>
          <w:w w:val="109"/>
          <w:sz w:val="24"/>
          <w:szCs w:val="24"/>
        </w:rPr>
        <w:t>expects the legal and regulatory regimes in the United States (on a federal level)</w:t>
      </w:r>
      <w:r w:rsidR="00CF2F04">
        <w:rPr>
          <w:rFonts w:ascii="Arial" w:hAnsi="Arial" w:cs="Arial"/>
          <w:b/>
          <w:color w:val="000000"/>
          <w:w w:val="109"/>
          <w:sz w:val="24"/>
          <w:szCs w:val="24"/>
        </w:rPr>
        <w:t xml:space="preserve"> </w:t>
      </w:r>
      <w:r w:rsidRPr="000D1F4D">
        <w:rPr>
          <w:rFonts w:ascii="Arial" w:hAnsi="Arial" w:cs="Arial"/>
          <w:b/>
          <w:color w:val="000000"/>
          <w:sz w:val="24"/>
          <w:szCs w:val="24"/>
        </w:rPr>
        <w:t xml:space="preserve">and Canada to be the most relevant to its business. </w:t>
      </w:r>
    </w:p>
    <w:p w14:paraId="6E8CAB19" w14:textId="77777777" w:rsidR="00CF2F04" w:rsidRPr="000D1F4D" w:rsidRDefault="00CF2F04" w:rsidP="000D1F4D">
      <w:pPr>
        <w:widowControl w:val="0"/>
        <w:autoSpaceDE w:val="0"/>
        <w:autoSpaceDN w:val="0"/>
        <w:adjustRightInd w:val="0"/>
        <w:spacing w:before="1"/>
        <w:ind w:right="14"/>
        <w:jc w:val="both"/>
        <w:rPr>
          <w:rFonts w:ascii="Arial" w:hAnsi="Arial" w:cs="Arial"/>
          <w:b/>
          <w:color w:val="000000"/>
          <w:sz w:val="24"/>
          <w:szCs w:val="24"/>
        </w:rPr>
      </w:pPr>
      <w:r>
        <w:rPr>
          <w:rFonts w:ascii="Arial" w:hAnsi="Arial" w:cs="Arial"/>
          <w:b/>
          <w:color w:val="000000"/>
          <w:sz w:val="24"/>
          <w:szCs w:val="24"/>
        </w:rPr>
        <w:br/>
      </w:r>
      <w:r>
        <w:rPr>
          <w:rFonts w:ascii="Arial" w:hAnsi="Arial" w:cs="Arial"/>
          <w:b/>
          <w:color w:val="000000"/>
          <w:sz w:val="24"/>
          <w:szCs w:val="24"/>
        </w:rPr>
        <w:tab/>
      </w:r>
      <w:r w:rsidR="005030D7" w:rsidRPr="000D1F4D">
        <w:rPr>
          <w:rFonts w:ascii="Arial" w:hAnsi="Arial" w:cs="Arial"/>
          <w:b/>
          <w:color w:val="000000"/>
          <w:sz w:val="24"/>
          <w:szCs w:val="24"/>
        </w:rPr>
        <w:t xml:space="preserve">United States </w:t>
      </w:r>
    </w:p>
    <w:p w14:paraId="258CE0DE" w14:textId="77777777" w:rsidR="001123C2" w:rsidRDefault="00CF2F04" w:rsidP="000D1F4D">
      <w:pPr>
        <w:widowControl w:val="0"/>
        <w:autoSpaceDE w:val="0"/>
        <w:autoSpaceDN w:val="0"/>
        <w:adjustRightInd w:val="0"/>
        <w:spacing w:before="1"/>
        <w:ind w:left="720" w:right="14"/>
        <w:jc w:val="both"/>
        <w:rPr>
          <w:rFonts w:ascii="Arial" w:hAnsi="Arial" w:cs="Arial"/>
          <w:b/>
          <w:color w:val="000000"/>
          <w:spacing w:val="3"/>
          <w:sz w:val="24"/>
          <w:szCs w:val="24"/>
        </w:rPr>
      </w:pPr>
      <w:r>
        <w:rPr>
          <w:rFonts w:ascii="Arial" w:hAnsi="Arial" w:cs="Arial"/>
          <w:b/>
          <w:color w:val="000000"/>
          <w:sz w:val="24"/>
          <w:szCs w:val="24"/>
        </w:rPr>
        <w:br/>
      </w:r>
      <w:r w:rsidR="005030D7" w:rsidRPr="000D1F4D">
        <w:rPr>
          <w:rFonts w:ascii="Arial" w:hAnsi="Arial" w:cs="Arial"/>
          <w:b/>
          <w:color w:val="000000"/>
          <w:w w:val="104"/>
          <w:sz w:val="24"/>
          <w:szCs w:val="24"/>
        </w:rPr>
        <w:t xml:space="preserve">In the United States, </w:t>
      </w:r>
      <w:r w:rsidR="001123C2">
        <w:rPr>
          <w:rFonts w:ascii="Arial" w:hAnsi="Arial" w:cs="Arial"/>
          <w:b/>
          <w:color w:val="000000"/>
          <w:w w:val="104"/>
          <w:sz w:val="24"/>
          <w:szCs w:val="24"/>
        </w:rPr>
        <w:t>thirty</w:t>
      </w:r>
      <w:r w:rsidR="00D25AA7">
        <w:rPr>
          <w:rFonts w:ascii="Arial" w:hAnsi="Arial" w:cs="Arial"/>
          <w:b/>
          <w:color w:val="000000"/>
          <w:w w:val="104"/>
          <w:sz w:val="24"/>
          <w:szCs w:val="24"/>
        </w:rPr>
        <w:t>-three</w:t>
      </w:r>
      <w:r w:rsidR="005030D7" w:rsidRPr="000D1F4D">
        <w:rPr>
          <w:rFonts w:ascii="Arial" w:hAnsi="Arial" w:cs="Arial"/>
          <w:b/>
          <w:color w:val="000000"/>
          <w:w w:val="104"/>
          <w:sz w:val="24"/>
          <w:szCs w:val="24"/>
        </w:rPr>
        <w:t xml:space="preserve"> states and Washington D.C. have legalized medical </w:t>
      </w:r>
      <w:r w:rsidR="005030D7" w:rsidRPr="000D1F4D">
        <w:rPr>
          <w:rFonts w:ascii="Arial" w:hAnsi="Arial" w:cs="Arial"/>
          <w:b/>
          <w:color w:val="000000"/>
          <w:w w:val="106"/>
          <w:sz w:val="24"/>
          <w:szCs w:val="24"/>
        </w:rPr>
        <w:t xml:space="preserve">marijuana, while </w:t>
      </w:r>
      <w:r w:rsidR="00D25AA7">
        <w:rPr>
          <w:rFonts w:ascii="Arial" w:hAnsi="Arial" w:cs="Arial"/>
          <w:b/>
          <w:color w:val="000000"/>
          <w:w w:val="106"/>
          <w:sz w:val="24"/>
          <w:szCs w:val="24"/>
        </w:rPr>
        <w:t>ten</w:t>
      </w:r>
      <w:r w:rsidR="00D25AA7" w:rsidRPr="000D1F4D">
        <w:rPr>
          <w:rFonts w:ascii="Arial" w:hAnsi="Arial" w:cs="Arial"/>
          <w:b/>
          <w:color w:val="000000"/>
          <w:w w:val="106"/>
          <w:sz w:val="24"/>
          <w:szCs w:val="24"/>
        </w:rPr>
        <w:t xml:space="preserve"> </w:t>
      </w:r>
      <w:r w:rsidR="005030D7" w:rsidRPr="000D1F4D">
        <w:rPr>
          <w:rFonts w:ascii="Arial" w:hAnsi="Arial" w:cs="Arial"/>
          <w:b/>
          <w:color w:val="000000"/>
          <w:w w:val="106"/>
          <w:sz w:val="24"/>
          <w:szCs w:val="24"/>
        </w:rPr>
        <w:t>states and Washington, D.C. have also legalized</w:t>
      </w:r>
      <w:r w:rsidR="004848E9" w:rsidRPr="000D1F4D">
        <w:rPr>
          <w:rFonts w:ascii="Arial" w:hAnsi="Arial" w:cs="Arial"/>
          <w:b/>
          <w:color w:val="000000"/>
          <w:w w:val="106"/>
          <w:sz w:val="24"/>
          <w:szCs w:val="24"/>
        </w:rPr>
        <w:t xml:space="preserve"> </w:t>
      </w:r>
      <w:r w:rsidR="005030D7" w:rsidRPr="000D1F4D">
        <w:rPr>
          <w:rFonts w:ascii="Arial" w:hAnsi="Arial" w:cs="Arial"/>
          <w:b/>
          <w:color w:val="000000"/>
          <w:w w:val="106"/>
          <w:sz w:val="24"/>
          <w:szCs w:val="24"/>
        </w:rPr>
        <w:t xml:space="preserve">recreational </w:t>
      </w:r>
      <w:r w:rsidR="005030D7" w:rsidRPr="000D1F4D">
        <w:rPr>
          <w:rFonts w:ascii="Arial" w:hAnsi="Arial" w:cs="Arial"/>
          <w:b/>
          <w:color w:val="000000"/>
          <w:spacing w:val="1"/>
          <w:sz w:val="24"/>
          <w:szCs w:val="24"/>
        </w:rPr>
        <w:t>marijuana. Although cannabis currently remains a Schedule</w:t>
      </w:r>
      <w:r w:rsidR="004848E9" w:rsidRPr="000D1F4D">
        <w:rPr>
          <w:rFonts w:ascii="Arial" w:hAnsi="Arial" w:cs="Arial"/>
          <w:b/>
          <w:color w:val="000000"/>
          <w:spacing w:val="1"/>
          <w:sz w:val="24"/>
          <w:szCs w:val="24"/>
        </w:rPr>
        <w:t xml:space="preserve"> </w:t>
      </w:r>
      <w:r w:rsidR="005030D7" w:rsidRPr="000D1F4D">
        <w:rPr>
          <w:rFonts w:ascii="Arial" w:hAnsi="Arial" w:cs="Arial"/>
          <w:b/>
          <w:color w:val="000000"/>
          <w:spacing w:val="1"/>
          <w:sz w:val="24"/>
          <w:szCs w:val="24"/>
        </w:rPr>
        <w:t xml:space="preserve">I drug under federal law, the </w:t>
      </w:r>
      <w:r w:rsidR="005030D7" w:rsidRPr="000D1F4D">
        <w:rPr>
          <w:rFonts w:ascii="Arial" w:hAnsi="Arial" w:cs="Arial"/>
          <w:b/>
          <w:color w:val="000000"/>
          <w:spacing w:val="3"/>
          <w:sz w:val="24"/>
          <w:szCs w:val="24"/>
        </w:rPr>
        <w:t xml:space="preserve">U.S. Department of Justice issued a memorandum, known as the “Cole Memorandum”, </w:t>
      </w:r>
      <w:r w:rsidR="005030D7" w:rsidRPr="000D1F4D">
        <w:rPr>
          <w:rFonts w:ascii="Arial" w:hAnsi="Arial" w:cs="Arial"/>
          <w:b/>
          <w:color w:val="000000"/>
          <w:w w:val="104"/>
          <w:sz w:val="24"/>
          <w:szCs w:val="24"/>
        </w:rPr>
        <w:t xml:space="preserve">on August 29, </w:t>
      </w:r>
      <w:proofErr w:type="gramStart"/>
      <w:r w:rsidR="005030D7" w:rsidRPr="000D1F4D">
        <w:rPr>
          <w:rFonts w:ascii="Arial" w:hAnsi="Arial" w:cs="Arial"/>
          <w:b/>
          <w:color w:val="000000"/>
          <w:w w:val="104"/>
          <w:sz w:val="24"/>
          <w:szCs w:val="24"/>
        </w:rPr>
        <w:t>2013</w:t>
      </w:r>
      <w:proofErr w:type="gramEnd"/>
      <w:r w:rsidR="005030D7" w:rsidRPr="000D1F4D">
        <w:rPr>
          <w:rFonts w:ascii="Arial" w:hAnsi="Arial" w:cs="Arial"/>
          <w:b/>
          <w:color w:val="000000"/>
          <w:w w:val="104"/>
          <w:sz w:val="24"/>
          <w:szCs w:val="24"/>
        </w:rPr>
        <w:t xml:space="preserve"> to the U.S. Attorneys’ offices (federal prosecutors) directing that individuals and businesses that rigorously comply with state regulatory provisions in </w:t>
      </w:r>
      <w:r w:rsidR="005030D7" w:rsidRPr="000D1F4D">
        <w:rPr>
          <w:rFonts w:ascii="Arial" w:hAnsi="Arial" w:cs="Arial"/>
          <w:b/>
          <w:color w:val="000000"/>
          <w:w w:val="103"/>
          <w:sz w:val="24"/>
          <w:szCs w:val="24"/>
        </w:rPr>
        <w:t xml:space="preserve">states that have strictly-regulated legalized medical or recreational cannabis programs should not be a prosecutorial priority for </w:t>
      </w:r>
      <w:r w:rsidR="005030D7" w:rsidRPr="000D1F4D">
        <w:rPr>
          <w:rFonts w:ascii="Arial" w:hAnsi="Arial" w:cs="Arial"/>
          <w:b/>
          <w:color w:val="000000"/>
          <w:w w:val="103"/>
          <w:sz w:val="24"/>
          <w:szCs w:val="24"/>
        </w:rPr>
        <w:lastRenderedPageBreak/>
        <w:t xml:space="preserve">violations of federal law. This federal policy </w:t>
      </w:r>
      <w:r w:rsidR="005030D7" w:rsidRPr="000D1F4D">
        <w:rPr>
          <w:rFonts w:ascii="Arial" w:hAnsi="Arial" w:cs="Arial"/>
          <w:b/>
          <w:color w:val="000000"/>
          <w:w w:val="104"/>
          <w:sz w:val="24"/>
          <w:szCs w:val="24"/>
        </w:rPr>
        <w:t xml:space="preserve">was reinforced by passage of a 2015 federal budget bill amendment (passed in 2014) known as the Rohrabacher-Farr Amendment that prohibits the use of federal funds to </w:t>
      </w:r>
      <w:r w:rsidR="005030D7" w:rsidRPr="000D1F4D">
        <w:rPr>
          <w:rFonts w:ascii="Arial" w:hAnsi="Arial" w:cs="Arial"/>
          <w:b/>
          <w:color w:val="000000"/>
          <w:w w:val="110"/>
          <w:sz w:val="24"/>
          <w:szCs w:val="24"/>
        </w:rPr>
        <w:t xml:space="preserve">interfere in the implementation of state medical marijuana laws. This bill targets </w:t>
      </w:r>
      <w:r w:rsidR="005030D7" w:rsidRPr="000D1F4D">
        <w:rPr>
          <w:rFonts w:ascii="Arial" w:hAnsi="Arial" w:cs="Arial"/>
          <w:b/>
          <w:color w:val="000000"/>
          <w:spacing w:val="3"/>
          <w:sz w:val="24"/>
          <w:szCs w:val="24"/>
        </w:rPr>
        <w:t xml:space="preserve">Department of Justice funding, which encompasses the Drug Enforcement Agency and </w:t>
      </w:r>
      <w:r w:rsidR="005030D7" w:rsidRPr="000D1F4D">
        <w:rPr>
          <w:rFonts w:ascii="Arial" w:hAnsi="Arial" w:cs="Arial"/>
          <w:b/>
          <w:color w:val="000000"/>
          <w:w w:val="103"/>
          <w:sz w:val="24"/>
          <w:szCs w:val="24"/>
        </w:rPr>
        <w:t xml:space="preserve">Offices of the United States Attorneys. This bill shows the development of bi-partisan </w:t>
      </w:r>
      <w:r w:rsidR="005030D7" w:rsidRPr="000D1F4D">
        <w:rPr>
          <w:rFonts w:ascii="Arial" w:hAnsi="Arial" w:cs="Arial"/>
          <w:b/>
          <w:color w:val="000000"/>
          <w:spacing w:val="3"/>
          <w:sz w:val="24"/>
          <w:szCs w:val="24"/>
        </w:rPr>
        <w:t xml:space="preserve">support in the U.S. Congress for legalizing the use of cannabis. </w:t>
      </w:r>
    </w:p>
    <w:p w14:paraId="289B65C3" w14:textId="77777777" w:rsidR="001123C2" w:rsidRDefault="001123C2" w:rsidP="000D1F4D">
      <w:pPr>
        <w:widowControl w:val="0"/>
        <w:autoSpaceDE w:val="0"/>
        <w:autoSpaceDN w:val="0"/>
        <w:adjustRightInd w:val="0"/>
        <w:spacing w:before="1"/>
        <w:ind w:left="720" w:right="14"/>
        <w:jc w:val="both"/>
        <w:rPr>
          <w:rFonts w:ascii="Arial" w:hAnsi="Arial" w:cs="Arial"/>
          <w:b/>
          <w:color w:val="000000"/>
          <w:spacing w:val="3"/>
          <w:sz w:val="24"/>
          <w:szCs w:val="24"/>
        </w:rPr>
      </w:pPr>
    </w:p>
    <w:p w14:paraId="6C9BBDC2" w14:textId="77777777" w:rsidR="00CF2F04" w:rsidRDefault="005030D7" w:rsidP="000D1F4D">
      <w:pPr>
        <w:widowControl w:val="0"/>
        <w:autoSpaceDE w:val="0"/>
        <w:autoSpaceDN w:val="0"/>
        <w:adjustRightInd w:val="0"/>
        <w:spacing w:before="1"/>
        <w:ind w:left="720" w:right="14"/>
        <w:jc w:val="both"/>
        <w:rPr>
          <w:rFonts w:ascii="Arial" w:hAnsi="Arial" w:cs="Arial"/>
          <w:b/>
          <w:color w:val="000000"/>
          <w:w w:val="104"/>
          <w:sz w:val="24"/>
          <w:szCs w:val="24"/>
        </w:rPr>
      </w:pPr>
      <w:r w:rsidRPr="000D1F4D">
        <w:rPr>
          <w:rFonts w:ascii="Arial" w:hAnsi="Arial" w:cs="Arial"/>
          <w:b/>
          <w:color w:val="000000"/>
          <w:w w:val="104"/>
          <w:sz w:val="24"/>
          <w:szCs w:val="24"/>
        </w:rPr>
        <w:t xml:space="preserve">On January 4, 2018, the U.S. Department of Justice rescinded the </w:t>
      </w:r>
      <w:r w:rsidRPr="000D1F4D">
        <w:rPr>
          <w:rFonts w:ascii="Arial" w:hAnsi="Arial" w:cs="Arial"/>
          <w:b/>
          <w:color w:val="000000"/>
          <w:w w:val="103"/>
          <w:sz w:val="24"/>
          <w:szCs w:val="24"/>
        </w:rPr>
        <w:t xml:space="preserve">Cole Memorandum. Given that the Cole Memorandum was never legally binding, the </w:t>
      </w:r>
      <w:r w:rsidRPr="000D1F4D">
        <w:rPr>
          <w:rFonts w:ascii="Arial" w:hAnsi="Arial" w:cs="Arial"/>
          <w:b/>
          <w:color w:val="000000"/>
          <w:sz w:val="24"/>
          <w:szCs w:val="24"/>
        </w:rPr>
        <w:t>U.S. Department of Justice continues to have discretion to enforce federal drug laws.</w:t>
      </w:r>
      <w:bookmarkStart w:id="8" w:name="Pg5"/>
      <w:bookmarkEnd w:id="8"/>
    </w:p>
    <w:p w14:paraId="2DCBA61A" w14:textId="77777777" w:rsidR="00CF2F04" w:rsidRDefault="00CF2F04" w:rsidP="000D1F4D">
      <w:pPr>
        <w:widowControl w:val="0"/>
        <w:autoSpaceDE w:val="0"/>
        <w:autoSpaceDN w:val="0"/>
        <w:adjustRightInd w:val="0"/>
        <w:spacing w:before="1"/>
        <w:ind w:right="14"/>
        <w:jc w:val="both"/>
        <w:rPr>
          <w:rFonts w:ascii="Arial" w:hAnsi="Arial" w:cs="Arial"/>
          <w:b/>
          <w:color w:val="000000"/>
          <w:w w:val="104"/>
          <w:sz w:val="24"/>
          <w:szCs w:val="24"/>
        </w:rPr>
      </w:pPr>
    </w:p>
    <w:p w14:paraId="78AFF933" w14:textId="6181730B" w:rsidR="005030D7" w:rsidRDefault="005030D7" w:rsidP="000D1F4D">
      <w:pPr>
        <w:widowControl w:val="0"/>
        <w:autoSpaceDE w:val="0"/>
        <w:autoSpaceDN w:val="0"/>
        <w:adjustRightInd w:val="0"/>
        <w:spacing w:before="1"/>
        <w:ind w:left="720" w:right="14"/>
        <w:jc w:val="both"/>
        <w:rPr>
          <w:rFonts w:ascii="Arial" w:hAnsi="Arial" w:cs="Arial"/>
          <w:b/>
          <w:color w:val="000000"/>
          <w:sz w:val="24"/>
          <w:szCs w:val="24"/>
        </w:rPr>
      </w:pPr>
      <w:r w:rsidRPr="000D1F4D">
        <w:rPr>
          <w:rFonts w:ascii="Arial" w:hAnsi="Arial" w:cs="Arial"/>
          <w:b/>
          <w:color w:val="000000"/>
          <w:w w:val="104"/>
          <w:sz w:val="24"/>
          <w:szCs w:val="24"/>
        </w:rPr>
        <w:t xml:space="preserve">Under U.S. federal law it may potentially be a violation of federal money laundering </w:t>
      </w:r>
      <w:r w:rsidRPr="000D1F4D">
        <w:rPr>
          <w:rFonts w:ascii="Arial" w:hAnsi="Arial" w:cs="Arial"/>
          <w:b/>
          <w:color w:val="000000"/>
          <w:spacing w:val="1"/>
          <w:sz w:val="24"/>
          <w:szCs w:val="24"/>
        </w:rPr>
        <w:t>statutes for financial institutions to take any proceeds from marijuana sales</w:t>
      </w:r>
      <w:r w:rsidR="004848E9" w:rsidRPr="000D1F4D">
        <w:rPr>
          <w:rFonts w:ascii="Arial" w:hAnsi="Arial" w:cs="Arial"/>
          <w:b/>
          <w:color w:val="000000"/>
          <w:spacing w:val="1"/>
          <w:sz w:val="24"/>
          <w:szCs w:val="24"/>
        </w:rPr>
        <w:t xml:space="preserve"> </w:t>
      </w:r>
      <w:r w:rsidRPr="000D1F4D">
        <w:rPr>
          <w:rFonts w:ascii="Arial" w:hAnsi="Arial" w:cs="Arial"/>
          <w:b/>
          <w:color w:val="000000"/>
          <w:spacing w:val="1"/>
          <w:sz w:val="24"/>
          <w:szCs w:val="24"/>
        </w:rPr>
        <w:t xml:space="preserve">or the sale of </w:t>
      </w:r>
      <w:r w:rsidRPr="000D1F4D">
        <w:rPr>
          <w:rFonts w:ascii="Arial" w:hAnsi="Arial" w:cs="Arial"/>
          <w:b/>
          <w:color w:val="000000"/>
          <w:w w:val="102"/>
          <w:sz w:val="24"/>
          <w:szCs w:val="24"/>
        </w:rPr>
        <w:t>any other Schedule I substance. Canadian banks are also hesitant to deal with cannabis</w:t>
      </w:r>
      <w:r w:rsidR="004848E9" w:rsidRPr="000D1F4D">
        <w:rPr>
          <w:rFonts w:ascii="Arial" w:hAnsi="Arial" w:cs="Arial"/>
          <w:b/>
          <w:color w:val="000000"/>
          <w:w w:val="102"/>
          <w:sz w:val="24"/>
          <w:szCs w:val="24"/>
        </w:rPr>
        <w:t xml:space="preserve"> </w:t>
      </w:r>
      <w:r w:rsidRPr="000D1F4D">
        <w:rPr>
          <w:rFonts w:ascii="Arial" w:hAnsi="Arial" w:cs="Arial"/>
          <w:b/>
          <w:color w:val="000000"/>
          <w:w w:val="102"/>
          <w:sz w:val="24"/>
          <w:szCs w:val="24"/>
        </w:rPr>
        <w:t xml:space="preserve">companies, due to the uncertain legal and regulatory framework of the industry. Banks </w:t>
      </w:r>
      <w:r w:rsidRPr="000D1F4D">
        <w:rPr>
          <w:rFonts w:ascii="Arial" w:hAnsi="Arial" w:cs="Arial"/>
          <w:b/>
          <w:color w:val="000000"/>
          <w:w w:val="104"/>
          <w:sz w:val="24"/>
          <w:szCs w:val="24"/>
        </w:rPr>
        <w:t xml:space="preserve">and other financial institutions could be prosecuted and possibly convicted of money </w:t>
      </w:r>
      <w:r w:rsidRPr="000D1F4D">
        <w:rPr>
          <w:rFonts w:ascii="Arial" w:hAnsi="Arial" w:cs="Arial"/>
          <w:b/>
          <w:color w:val="000000"/>
          <w:spacing w:val="2"/>
          <w:sz w:val="24"/>
          <w:szCs w:val="24"/>
        </w:rPr>
        <w:t xml:space="preserve">laundering for providing services to cannabis businesses. Under U.S. federal law, banks </w:t>
      </w:r>
      <w:r w:rsidRPr="000D1F4D">
        <w:rPr>
          <w:rFonts w:ascii="Arial" w:hAnsi="Arial" w:cs="Arial"/>
          <w:b/>
          <w:color w:val="000000"/>
          <w:spacing w:val="3"/>
          <w:sz w:val="24"/>
          <w:szCs w:val="24"/>
        </w:rPr>
        <w:t xml:space="preserve">or other financial institutions that provide a cannabis business with a checking account, </w:t>
      </w:r>
      <w:r w:rsidRPr="000D1F4D">
        <w:rPr>
          <w:rFonts w:ascii="Arial" w:hAnsi="Arial" w:cs="Arial"/>
          <w:b/>
          <w:color w:val="000000"/>
          <w:w w:val="103"/>
          <w:sz w:val="24"/>
          <w:szCs w:val="24"/>
        </w:rPr>
        <w:t xml:space="preserve">debit or credit card, small business loan, or any other service could be found guilty of </w:t>
      </w:r>
      <w:r w:rsidRPr="000D1F4D">
        <w:rPr>
          <w:rFonts w:ascii="Arial" w:hAnsi="Arial" w:cs="Arial"/>
          <w:b/>
          <w:color w:val="000000"/>
          <w:w w:val="106"/>
          <w:sz w:val="24"/>
          <w:szCs w:val="24"/>
        </w:rPr>
        <w:t xml:space="preserve">money laundering or conspiracy. Despite these laws, the U.S. Treasury Department </w:t>
      </w:r>
      <w:r w:rsidR="00FC4B69" w:rsidRPr="000D1F4D">
        <w:rPr>
          <w:rFonts w:ascii="Arial" w:hAnsi="Arial" w:cs="Arial"/>
          <w:b/>
          <w:color w:val="000000"/>
          <w:w w:val="103"/>
          <w:sz w:val="24"/>
          <w:szCs w:val="24"/>
        </w:rPr>
        <w:t>issued a memorandum in February of</w:t>
      </w:r>
      <w:r w:rsidRPr="000D1F4D">
        <w:rPr>
          <w:rFonts w:ascii="Arial" w:hAnsi="Arial" w:cs="Arial"/>
          <w:b/>
          <w:color w:val="000000"/>
          <w:w w:val="103"/>
          <w:sz w:val="24"/>
          <w:szCs w:val="24"/>
        </w:rPr>
        <w:t xml:space="preserve"> </w:t>
      </w:r>
      <w:r w:rsidR="00FC4B69" w:rsidRPr="000D1F4D">
        <w:rPr>
          <w:rFonts w:ascii="Arial" w:hAnsi="Arial" w:cs="Arial"/>
          <w:b/>
          <w:color w:val="000000"/>
          <w:w w:val="103"/>
          <w:sz w:val="24"/>
          <w:szCs w:val="24"/>
        </w:rPr>
        <w:t>2014 outlining the pathways for financial</w:t>
      </w:r>
      <w:r w:rsidRPr="000D1F4D">
        <w:rPr>
          <w:rFonts w:ascii="Arial" w:hAnsi="Arial" w:cs="Arial"/>
          <w:b/>
          <w:color w:val="000000"/>
          <w:w w:val="103"/>
          <w:sz w:val="24"/>
          <w:szCs w:val="24"/>
        </w:rPr>
        <w:t xml:space="preserve"> institutions to bank marijuana businesses in compliance with federal law. Under these </w:t>
      </w:r>
      <w:r w:rsidRPr="000D1F4D">
        <w:rPr>
          <w:rFonts w:ascii="Arial" w:hAnsi="Arial" w:cs="Arial"/>
          <w:b/>
          <w:color w:val="000000"/>
          <w:w w:val="104"/>
          <w:sz w:val="24"/>
          <w:szCs w:val="24"/>
        </w:rPr>
        <w:t xml:space="preserve">guidelines, financial institutions must submit a “suspicious activity report” (SAR) as </w:t>
      </w:r>
      <w:r w:rsidRPr="000D1F4D">
        <w:rPr>
          <w:rFonts w:ascii="Arial" w:hAnsi="Arial" w:cs="Arial"/>
          <w:b/>
          <w:color w:val="000000"/>
          <w:w w:val="102"/>
          <w:sz w:val="24"/>
          <w:szCs w:val="24"/>
        </w:rPr>
        <w:t xml:space="preserve">required by federal money laundering laws. These marijuana related SARs are divided into three categories: marijuana limited, marijuana priority, and marijuana terminated, </w:t>
      </w:r>
      <w:r w:rsidRPr="000D1F4D">
        <w:rPr>
          <w:rFonts w:ascii="Arial" w:hAnsi="Arial" w:cs="Arial"/>
          <w:b/>
          <w:color w:val="000000"/>
          <w:spacing w:val="1"/>
          <w:sz w:val="24"/>
          <w:szCs w:val="24"/>
        </w:rPr>
        <w:t xml:space="preserve">based on the financial institution’s belief that the marijuana business follows state law, is </w:t>
      </w:r>
      <w:r w:rsidRPr="000D1F4D">
        <w:rPr>
          <w:rFonts w:ascii="Arial" w:hAnsi="Arial" w:cs="Arial"/>
          <w:b/>
          <w:color w:val="000000"/>
          <w:w w:val="102"/>
          <w:sz w:val="24"/>
          <w:szCs w:val="24"/>
        </w:rPr>
        <w:t xml:space="preserve">operating out of compliance with state law, or where the banking relationship has been </w:t>
      </w:r>
      <w:r w:rsidRPr="000D1F4D">
        <w:rPr>
          <w:rFonts w:ascii="Arial" w:hAnsi="Arial" w:cs="Arial"/>
          <w:b/>
          <w:color w:val="000000"/>
          <w:w w:val="107"/>
          <w:sz w:val="24"/>
          <w:szCs w:val="24"/>
        </w:rPr>
        <w:t xml:space="preserve">terminated. In the U.S., a bill has been tabled in Congress to grant banks and other </w:t>
      </w:r>
      <w:r w:rsidRPr="000D1F4D">
        <w:rPr>
          <w:rFonts w:ascii="Arial" w:hAnsi="Arial" w:cs="Arial"/>
          <w:b/>
          <w:color w:val="000000"/>
          <w:sz w:val="24"/>
          <w:szCs w:val="24"/>
        </w:rPr>
        <w:t xml:space="preserve">financial institutions immunity from federal criminal prosecution for servicing marijuana-related businesses if the underlying marijuana business follows state law. This bill has not </w:t>
      </w:r>
      <w:r w:rsidRPr="000D1F4D">
        <w:rPr>
          <w:rFonts w:ascii="Arial" w:hAnsi="Arial" w:cs="Arial"/>
          <w:b/>
          <w:color w:val="000000"/>
          <w:spacing w:val="3"/>
          <w:sz w:val="24"/>
          <w:szCs w:val="24"/>
        </w:rPr>
        <w:t xml:space="preserve">been passed and there can be no assurance with that it will be passed in its current form </w:t>
      </w:r>
      <w:r w:rsidRPr="000D1F4D">
        <w:rPr>
          <w:rFonts w:ascii="Arial" w:hAnsi="Arial" w:cs="Arial"/>
          <w:b/>
          <w:color w:val="000000"/>
          <w:w w:val="103"/>
          <w:sz w:val="24"/>
          <w:szCs w:val="24"/>
        </w:rPr>
        <w:t xml:space="preserve">or at all. In both Canada and the United States, transactions involving banks and other </w:t>
      </w:r>
      <w:r w:rsidRPr="000D1F4D">
        <w:rPr>
          <w:rFonts w:ascii="Arial" w:hAnsi="Arial" w:cs="Arial"/>
          <w:b/>
          <w:color w:val="000000"/>
          <w:w w:val="105"/>
          <w:sz w:val="24"/>
          <w:szCs w:val="24"/>
        </w:rPr>
        <w:t xml:space="preserve">financial institutions are both difficult and unpredictable under the current legal and </w:t>
      </w:r>
      <w:r w:rsidRPr="000D1F4D">
        <w:rPr>
          <w:rFonts w:ascii="Arial" w:hAnsi="Arial" w:cs="Arial"/>
          <w:b/>
          <w:color w:val="000000"/>
          <w:sz w:val="24"/>
          <w:szCs w:val="24"/>
        </w:rPr>
        <w:t xml:space="preserve">regulatory landscape. </w:t>
      </w:r>
    </w:p>
    <w:p w14:paraId="11F81DDB" w14:textId="77777777" w:rsidR="001123C2" w:rsidRPr="000D1F4D" w:rsidRDefault="001123C2" w:rsidP="000D1F4D">
      <w:pPr>
        <w:widowControl w:val="0"/>
        <w:autoSpaceDE w:val="0"/>
        <w:autoSpaceDN w:val="0"/>
        <w:adjustRightInd w:val="0"/>
        <w:spacing w:before="1"/>
        <w:ind w:right="14"/>
        <w:jc w:val="both"/>
        <w:rPr>
          <w:rFonts w:ascii="Arial" w:hAnsi="Arial" w:cs="Arial"/>
          <w:b/>
          <w:color w:val="000000"/>
          <w:sz w:val="24"/>
          <w:szCs w:val="24"/>
        </w:rPr>
      </w:pPr>
    </w:p>
    <w:p w14:paraId="769E05A4" w14:textId="77777777" w:rsidR="004848E9" w:rsidRPr="000D1F4D" w:rsidRDefault="005030D7" w:rsidP="000D1F4D">
      <w:pPr>
        <w:widowControl w:val="0"/>
        <w:autoSpaceDE w:val="0"/>
        <w:autoSpaceDN w:val="0"/>
        <w:adjustRightInd w:val="0"/>
        <w:spacing w:line="276" w:lineRule="exact"/>
        <w:ind w:left="720" w:right="14"/>
        <w:jc w:val="both"/>
        <w:rPr>
          <w:rFonts w:ascii="Arial" w:hAnsi="Arial" w:cs="Arial"/>
          <w:b/>
          <w:color w:val="000000"/>
          <w:sz w:val="24"/>
          <w:szCs w:val="24"/>
        </w:rPr>
      </w:pPr>
      <w:r w:rsidRPr="000D1F4D">
        <w:rPr>
          <w:rFonts w:ascii="Arial" w:hAnsi="Arial" w:cs="Arial"/>
          <w:b/>
          <w:color w:val="000000"/>
          <w:spacing w:val="3"/>
          <w:sz w:val="24"/>
          <w:szCs w:val="24"/>
        </w:rPr>
        <w:t xml:space="preserve">Political and regulatory risks also exist due to the presidential administration of Donald </w:t>
      </w:r>
      <w:r w:rsidRPr="000D1F4D">
        <w:rPr>
          <w:rFonts w:ascii="Arial" w:hAnsi="Arial" w:cs="Arial"/>
          <w:b/>
          <w:color w:val="000000"/>
          <w:w w:val="108"/>
          <w:sz w:val="24"/>
          <w:szCs w:val="24"/>
        </w:rPr>
        <w:t xml:space="preserve">Trump and his appointment of Sen. Jeff Sessions to the post of Attorney General. </w:t>
      </w:r>
      <w:r w:rsidRPr="000D1F4D">
        <w:rPr>
          <w:rFonts w:ascii="Arial" w:hAnsi="Arial" w:cs="Arial"/>
          <w:b/>
          <w:color w:val="000000"/>
          <w:w w:val="102"/>
          <w:sz w:val="24"/>
          <w:szCs w:val="24"/>
        </w:rPr>
        <w:t xml:space="preserve">President Trump’s positions regarding marijuana are difficult to discern; however, AG </w:t>
      </w:r>
      <w:r w:rsidRPr="000D1F4D">
        <w:rPr>
          <w:rFonts w:ascii="Arial" w:hAnsi="Arial" w:cs="Arial"/>
          <w:b/>
          <w:color w:val="000000"/>
          <w:spacing w:val="2"/>
          <w:sz w:val="24"/>
          <w:szCs w:val="24"/>
        </w:rPr>
        <w:t xml:space="preserve">Sessions has been a consistent opponent of marijuana legalization efforts throughout his </w:t>
      </w:r>
      <w:r w:rsidRPr="000D1F4D">
        <w:rPr>
          <w:rFonts w:ascii="Arial" w:hAnsi="Arial" w:cs="Arial"/>
          <w:b/>
          <w:color w:val="000000"/>
          <w:spacing w:val="2"/>
          <w:sz w:val="24"/>
          <w:szCs w:val="24"/>
        </w:rPr>
        <w:lastRenderedPageBreak/>
        <w:t xml:space="preserve">political career. </w:t>
      </w:r>
    </w:p>
    <w:p w14:paraId="274B4F6D" w14:textId="77777777" w:rsidR="004848E9" w:rsidRPr="000D1F4D" w:rsidRDefault="004848E9" w:rsidP="000D1F4D">
      <w:pPr>
        <w:widowControl w:val="0"/>
        <w:autoSpaceDE w:val="0"/>
        <w:autoSpaceDN w:val="0"/>
        <w:adjustRightInd w:val="0"/>
        <w:spacing w:before="244" w:line="276" w:lineRule="exact"/>
        <w:ind w:left="740"/>
        <w:jc w:val="both"/>
        <w:rPr>
          <w:rFonts w:ascii="Arial" w:hAnsi="Arial" w:cs="Arial"/>
          <w:b/>
          <w:color w:val="000000"/>
          <w:sz w:val="24"/>
          <w:szCs w:val="24"/>
        </w:rPr>
      </w:pPr>
      <w:r w:rsidRPr="000D1F4D">
        <w:rPr>
          <w:rFonts w:ascii="Arial" w:hAnsi="Arial" w:cs="Arial"/>
          <w:b/>
          <w:color w:val="000000"/>
          <w:sz w:val="24"/>
          <w:szCs w:val="24"/>
        </w:rPr>
        <w:t xml:space="preserve">Joyce Amendment </w:t>
      </w:r>
    </w:p>
    <w:p w14:paraId="259491E0" w14:textId="77777777" w:rsidR="000C6CF6" w:rsidRDefault="004848E9" w:rsidP="000C6CF6">
      <w:pPr>
        <w:pStyle w:val="List"/>
        <w:widowControl w:val="0"/>
        <w:spacing w:before="120"/>
        <w:ind w:left="720" w:firstLine="20"/>
        <w:jc w:val="both"/>
        <w:rPr>
          <w:rFonts w:ascii="Arial" w:hAnsi="Arial" w:cs="Arial"/>
          <w:b/>
          <w:color w:val="000000"/>
          <w:szCs w:val="24"/>
        </w:rPr>
      </w:pPr>
      <w:r w:rsidRPr="000D1F4D">
        <w:rPr>
          <w:rFonts w:ascii="Arial" w:hAnsi="Arial" w:cs="Arial"/>
          <w:b/>
          <w:color w:val="000000"/>
          <w:szCs w:val="24"/>
        </w:rPr>
        <w:t xml:space="preserve">On May 17, </w:t>
      </w:r>
      <w:proofErr w:type="gramStart"/>
      <w:r w:rsidRPr="000D1F4D">
        <w:rPr>
          <w:rFonts w:ascii="Arial" w:hAnsi="Arial" w:cs="Arial"/>
          <w:b/>
          <w:color w:val="000000"/>
          <w:szCs w:val="24"/>
        </w:rPr>
        <w:t>2018</w:t>
      </w:r>
      <w:proofErr w:type="gramEnd"/>
      <w:r w:rsidRPr="000D1F4D">
        <w:rPr>
          <w:rFonts w:ascii="Arial" w:hAnsi="Arial" w:cs="Arial"/>
          <w:b/>
          <w:color w:val="000000"/>
          <w:szCs w:val="24"/>
        </w:rPr>
        <w:t xml:space="preserve"> the U.S. House of Representatives Appropriations Committee approved </w:t>
      </w:r>
      <w:r w:rsidRPr="000D1F4D">
        <w:rPr>
          <w:rFonts w:ascii="Arial" w:hAnsi="Arial" w:cs="Arial"/>
          <w:b/>
          <w:color w:val="000000"/>
          <w:spacing w:val="2"/>
          <w:szCs w:val="24"/>
        </w:rPr>
        <w:t>the   inclusion   of   the   Rohrabacher-Blumenauer   Amendment (</w:t>
      </w:r>
      <w:r w:rsidR="00FD46F7" w:rsidRPr="000D1F4D">
        <w:rPr>
          <w:rFonts w:ascii="Arial" w:hAnsi="Arial" w:cs="Arial"/>
          <w:b/>
          <w:color w:val="000000"/>
          <w:spacing w:val="2"/>
          <w:szCs w:val="24"/>
        </w:rPr>
        <w:t>previously, the</w:t>
      </w:r>
      <w:r w:rsidRPr="000D1F4D">
        <w:rPr>
          <w:rFonts w:ascii="Arial" w:hAnsi="Arial" w:cs="Arial"/>
          <w:b/>
          <w:color w:val="000000"/>
          <w:spacing w:val="2"/>
          <w:szCs w:val="24"/>
        </w:rPr>
        <w:t xml:space="preserve"> </w:t>
      </w:r>
      <w:r w:rsidRPr="000D1F4D">
        <w:rPr>
          <w:rFonts w:ascii="Arial" w:hAnsi="Arial" w:cs="Arial"/>
          <w:b/>
          <w:color w:val="000000"/>
          <w:spacing w:val="1"/>
          <w:szCs w:val="24"/>
        </w:rPr>
        <w:t xml:space="preserve">Rohrabacher Farr Amendment), which adds a provision to prohibit the U.S. Department </w:t>
      </w:r>
      <w:r w:rsidRPr="000D1F4D">
        <w:rPr>
          <w:rFonts w:ascii="Arial" w:hAnsi="Arial" w:cs="Arial"/>
          <w:b/>
          <w:color w:val="000000"/>
          <w:w w:val="103"/>
          <w:szCs w:val="24"/>
        </w:rPr>
        <w:t xml:space="preserve">of Justice from using funding to prevent states from implementing medical marijuana </w:t>
      </w:r>
      <w:r w:rsidRPr="000D1F4D">
        <w:rPr>
          <w:rFonts w:ascii="Arial" w:hAnsi="Arial" w:cs="Arial"/>
          <w:b/>
          <w:color w:val="000000"/>
          <w:szCs w:val="24"/>
        </w:rPr>
        <w:t>laws through the end of fiscal year 2019.</w:t>
      </w:r>
    </w:p>
    <w:p w14:paraId="24B436A3" w14:textId="30A0D83E" w:rsidR="000C6CF6" w:rsidRDefault="004848E9" w:rsidP="000C6CF6">
      <w:pPr>
        <w:pStyle w:val="List"/>
        <w:widowControl w:val="0"/>
        <w:spacing w:before="120"/>
        <w:ind w:left="720" w:firstLine="20"/>
        <w:jc w:val="both"/>
        <w:rPr>
          <w:rFonts w:ascii="Arial" w:hAnsi="Arial" w:cs="Arial"/>
          <w:b/>
          <w:color w:val="000000"/>
          <w:szCs w:val="24"/>
        </w:rPr>
      </w:pPr>
      <w:r w:rsidRPr="000D1F4D">
        <w:rPr>
          <w:rFonts w:ascii="Arial" w:hAnsi="Arial" w:cs="Arial"/>
          <w:b/>
          <w:color w:val="000000"/>
          <w:szCs w:val="24"/>
        </w:rPr>
        <w:t xml:space="preserve"> </w:t>
      </w:r>
      <w:r w:rsidR="000C6CF6">
        <w:rPr>
          <w:rFonts w:ascii="Arial" w:hAnsi="Arial" w:cs="Arial"/>
          <w:b/>
          <w:color w:val="000000"/>
          <w:szCs w:val="24"/>
        </w:rPr>
        <w:t xml:space="preserve"> </w:t>
      </w:r>
    </w:p>
    <w:p w14:paraId="6CF6EA38" w14:textId="676B915B" w:rsidR="00640E94" w:rsidRDefault="00640E94" w:rsidP="000C6CF6">
      <w:pPr>
        <w:pStyle w:val="List"/>
        <w:widowControl w:val="0"/>
        <w:spacing w:before="120"/>
        <w:ind w:left="720" w:firstLine="20"/>
        <w:jc w:val="both"/>
        <w:rPr>
          <w:rFonts w:ascii="Arial" w:hAnsi="Arial"/>
          <w:b/>
        </w:rPr>
      </w:pPr>
      <w:r>
        <w:rPr>
          <w:rFonts w:ascii="Arial" w:hAnsi="Arial"/>
          <w:b/>
        </w:rPr>
        <w:t xml:space="preserve">Certificate </w:t>
      </w:r>
      <w:r w:rsidR="00FC4B69">
        <w:rPr>
          <w:rFonts w:ascii="Arial" w:hAnsi="Arial"/>
          <w:b/>
        </w:rPr>
        <w:t>of</w:t>
      </w:r>
      <w:r>
        <w:rPr>
          <w:rFonts w:ascii="Arial" w:hAnsi="Arial"/>
          <w:b/>
        </w:rPr>
        <w:t xml:space="preserve"> Compliance</w:t>
      </w:r>
    </w:p>
    <w:p w14:paraId="57845490" w14:textId="77777777" w:rsidR="00640E94" w:rsidRDefault="00640E94">
      <w:pPr>
        <w:pStyle w:val="BodyText"/>
        <w:keepNext/>
        <w:rPr>
          <w:rFonts w:ascii="Arial" w:hAnsi="Arial"/>
        </w:rPr>
      </w:pPr>
      <w:r>
        <w:rPr>
          <w:rFonts w:ascii="Arial" w:hAnsi="Arial"/>
        </w:rPr>
        <w:t>The undersigned hereby certifies that:</w:t>
      </w:r>
    </w:p>
    <w:p w14:paraId="0AACF9A6" w14:textId="77777777" w:rsidR="00640E94" w:rsidRDefault="00640E94" w:rsidP="004A5F97">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F206E9" w14:textId="11905D98" w:rsidR="00640E94" w:rsidRDefault="00640E94" w:rsidP="004A5F97">
      <w:pPr>
        <w:pStyle w:val="List"/>
        <w:numPr>
          <w:ilvl w:val="0"/>
          <w:numId w:val="1"/>
        </w:numPr>
        <w:jc w:val="both"/>
        <w:rPr>
          <w:rFonts w:ascii="Arial" w:hAnsi="Arial"/>
        </w:rPr>
      </w:pPr>
      <w:r>
        <w:rPr>
          <w:rFonts w:ascii="Arial" w:hAnsi="Arial"/>
        </w:rPr>
        <w:t>As of the date hereof there were no material information concerning the Issuer which has not been publicly disclosed.</w:t>
      </w:r>
    </w:p>
    <w:p w14:paraId="67FFD58F" w14:textId="77777777" w:rsidR="00640E94" w:rsidRDefault="00640E94" w:rsidP="004A5F97">
      <w:pPr>
        <w:pStyle w:val="List"/>
        <w:numPr>
          <w:ilvl w:val="0"/>
          <w:numId w:val="1"/>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CB0C2A3" w14:textId="7D009725" w:rsidR="00640E94" w:rsidRDefault="00FC4B69" w:rsidP="004A5F97">
      <w:pPr>
        <w:pStyle w:val="List"/>
        <w:numPr>
          <w:ilvl w:val="0"/>
          <w:numId w:val="1"/>
        </w:numPr>
        <w:jc w:val="both"/>
        <w:rPr>
          <w:rFonts w:ascii="Arial" w:hAnsi="Arial"/>
        </w:rPr>
      </w:pPr>
      <w:r>
        <w:rPr>
          <w:rFonts w:ascii="Arial" w:hAnsi="Arial"/>
        </w:rPr>
        <w:t>All</w:t>
      </w:r>
      <w:r w:rsidR="00640E94">
        <w:rPr>
          <w:rFonts w:ascii="Arial" w:hAnsi="Arial"/>
        </w:rPr>
        <w:t xml:space="preserve"> the information in this Form 7 Monthly Progress Report is true.</w:t>
      </w:r>
    </w:p>
    <w:p w14:paraId="7367CD0C" w14:textId="27036FF3" w:rsidR="005C0DF1" w:rsidRDefault="00640E94" w:rsidP="00E37ECB">
      <w:pPr>
        <w:pStyle w:val="BodyText"/>
        <w:tabs>
          <w:tab w:val="left" w:pos="4680"/>
          <w:tab w:val="left" w:pos="7200"/>
        </w:tabs>
        <w:spacing w:before="480"/>
        <w:rPr>
          <w:rFonts w:ascii="Arial" w:hAnsi="Arial"/>
        </w:rPr>
      </w:pPr>
      <w:r>
        <w:rPr>
          <w:rFonts w:ascii="Arial" w:hAnsi="Arial"/>
        </w:rPr>
        <w:t>Dated</w:t>
      </w:r>
      <w:r w:rsidR="00A6143D">
        <w:rPr>
          <w:rFonts w:ascii="Arial" w:hAnsi="Arial"/>
        </w:rPr>
        <w:t>:</w:t>
      </w:r>
      <w:r>
        <w:rPr>
          <w:rFonts w:ascii="Arial" w:hAnsi="Arial"/>
        </w:rPr>
        <w:t xml:space="preserve"> </w:t>
      </w:r>
      <w:r w:rsidR="009D3BB2">
        <w:rPr>
          <w:rFonts w:ascii="Arial" w:hAnsi="Arial"/>
        </w:rPr>
        <w:t>Ju</w:t>
      </w:r>
      <w:r w:rsidR="00F55347">
        <w:rPr>
          <w:rFonts w:ascii="Arial" w:hAnsi="Arial"/>
        </w:rPr>
        <w:t>ly</w:t>
      </w:r>
      <w:r w:rsidR="009D3BB2">
        <w:rPr>
          <w:rFonts w:ascii="Arial" w:hAnsi="Arial"/>
        </w:rPr>
        <w:t xml:space="preserve"> </w:t>
      </w:r>
      <w:r w:rsidR="00F55347">
        <w:rPr>
          <w:rFonts w:ascii="Arial" w:hAnsi="Arial"/>
        </w:rPr>
        <w:t>15</w:t>
      </w:r>
      <w:r w:rsidR="008D4D99">
        <w:rPr>
          <w:rFonts w:ascii="Arial" w:hAnsi="Arial"/>
        </w:rPr>
        <w:t>,</w:t>
      </w:r>
      <w:r w:rsidR="00A6143D">
        <w:rPr>
          <w:rFonts w:ascii="Arial" w:hAnsi="Arial"/>
        </w:rPr>
        <w:t xml:space="preserve"> </w:t>
      </w:r>
      <w:r w:rsidR="005C0DF1">
        <w:rPr>
          <w:rFonts w:ascii="Arial" w:hAnsi="Arial"/>
        </w:rPr>
        <w:t>2022,</w:t>
      </w:r>
      <w:r w:rsidR="0082557D">
        <w:rPr>
          <w:rFonts w:ascii="Arial" w:hAnsi="Arial"/>
        </w:rPr>
        <w:tab/>
        <w:t xml:space="preserve">                 </w:t>
      </w:r>
      <w:r w:rsidR="005C0DF1">
        <w:rPr>
          <w:rFonts w:ascii="Arial" w:hAnsi="Arial"/>
        </w:rPr>
        <w:t>Matthew J. Cohen</w:t>
      </w:r>
    </w:p>
    <w:p w14:paraId="06C0E9C2" w14:textId="088BB9E9" w:rsidR="00640E94" w:rsidRDefault="00640E94" w:rsidP="00E37ECB">
      <w:pPr>
        <w:pStyle w:val="BodyText"/>
        <w:tabs>
          <w:tab w:val="left" w:pos="4680"/>
          <w:tab w:val="left" w:pos="7200"/>
        </w:tabs>
        <w:spacing w:before="480"/>
        <w:rPr>
          <w:rFonts w:ascii="Arial" w:hAnsi="Arial"/>
        </w:rPr>
      </w:pPr>
      <w:r>
        <w:rPr>
          <w:rFonts w:ascii="Arial" w:hAnsi="Arial"/>
        </w:rPr>
        <w:t>Name of Director or Senior Officer</w:t>
      </w:r>
    </w:p>
    <w:p w14:paraId="31D46D80" w14:textId="41752B0C" w:rsidR="00640E94" w:rsidRDefault="00640E94">
      <w:pPr>
        <w:pStyle w:val="List"/>
        <w:tabs>
          <w:tab w:val="left" w:pos="9180"/>
          <w:tab w:val="left" w:pos="9360"/>
        </w:tabs>
        <w:ind w:left="5760" w:hanging="5760"/>
        <w:rPr>
          <w:rFonts w:ascii="Arial" w:hAnsi="Arial"/>
        </w:rPr>
      </w:pPr>
      <w:r>
        <w:rPr>
          <w:rFonts w:ascii="Arial" w:hAnsi="Arial"/>
        </w:rPr>
        <w:tab/>
      </w:r>
      <w:r w:rsidR="00F45341" w:rsidRPr="000D1F4D">
        <w:rPr>
          <w:rFonts w:ascii="Arial" w:hAnsi="Arial"/>
          <w:i/>
          <w:u w:val="single"/>
        </w:rPr>
        <w:t>(signed) “</w:t>
      </w:r>
      <w:r w:rsidR="005C0DF1">
        <w:rPr>
          <w:rFonts w:ascii="Arial" w:hAnsi="Arial"/>
          <w:i/>
          <w:u w:val="single"/>
        </w:rPr>
        <w:t>Matthew J. Cohen</w:t>
      </w:r>
      <w:r w:rsidR="00F45341" w:rsidRPr="000D1F4D">
        <w:rPr>
          <w:rFonts w:ascii="Arial" w:hAnsi="Arial"/>
          <w:i/>
          <w:u w:val="single"/>
        </w:rPr>
        <w:t>”</w:t>
      </w:r>
      <w:r>
        <w:rPr>
          <w:rFonts w:ascii="Arial" w:hAnsi="Arial"/>
          <w:u w:val="single"/>
        </w:rPr>
        <w:tab/>
      </w:r>
      <w:r>
        <w:rPr>
          <w:rFonts w:ascii="Arial" w:hAnsi="Arial"/>
        </w:rPr>
        <w:br/>
        <w:t>Signature</w:t>
      </w:r>
    </w:p>
    <w:p w14:paraId="3D799FEA" w14:textId="48009E25" w:rsidR="00640E94" w:rsidRDefault="00F45341">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7DF8BABB"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72BA4C9" w14:textId="77777777">
        <w:tc>
          <w:tcPr>
            <w:tcW w:w="4878" w:type="dxa"/>
            <w:tcBorders>
              <w:top w:val="single" w:sz="18" w:space="0" w:color="auto"/>
              <w:bottom w:val="nil"/>
              <w:right w:val="single" w:sz="18" w:space="0" w:color="auto"/>
            </w:tcBorders>
          </w:tcPr>
          <w:p w14:paraId="4A209942" w14:textId="77777777" w:rsidR="00640E94" w:rsidRDefault="00640E94">
            <w:pPr>
              <w:pStyle w:val="BodyText"/>
              <w:spacing w:before="0"/>
              <w:rPr>
                <w:rFonts w:ascii="Arial" w:hAnsi="Arial"/>
                <w:b/>
                <w:i/>
              </w:rPr>
            </w:pPr>
            <w:r>
              <w:rPr>
                <w:rFonts w:ascii="Arial" w:hAnsi="Arial"/>
                <w:b/>
                <w:i/>
              </w:rPr>
              <w:t>Issuer Details</w:t>
            </w:r>
          </w:p>
          <w:p w14:paraId="5FA46698" w14:textId="77777777" w:rsidR="00640E94" w:rsidRDefault="00640E94">
            <w:pPr>
              <w:pStyle w:val="BodyText"/>
              <w:spacing w:before="0"/>
              <w:rPr>
                <w:rFonts w:ascii="Arial" w:hAnsi="Arial"/>
              </w:rPr>
            </w:pPr>
            <w:r>
              <w:rPr>
                <w:rFonts w:ascii="Arial" w:hAnsi="Arial"/>
              </w:rPr>
              <w:t>Name of Issuer</w:t>
            </w:r>
          </w:p>
          <w:p w14:paraId="4100CB75" w14:textId="77777777" w:rsidR="00640E94" w:rsidRDefault="00CC2846">
            <w:pPr>
              <w:pStyle w:val="BodyText"/>
              <w:rPr>
                <w:rFonts w:ascii="Arial" w:hAnsi="Arial"/>
              </w:rPr>
            </w:pPr>
            <w:r>
              <w:rPr>
                <w:rFonts w:ascii="Arial" w:hAnsi="Arial"/>
              </w:rPr>
              <w:t>Stem Holdings, Inc</w:t>
            </w:r>
          </w:p>
        </w:tc>
        <w:tc>
          <w:tcPr>
            <w:tcW w:w="1800" w:type="dxa"/>
            <w:tcBorders>
              <w:top w:val="single" w:sz="18" w:space="0" w:color="auto"/>
              <w:left w:val="single" w:sz="18" w:space="0" w:color="auto"/>
              <w:bottom w:val="nil"/>
              <w:right w:val="single" w:sz="18" w:space="0" w:color="auto"/>
            </w:tcBorders>
          </w:tcPr>
          <w:p w14:paraId="568A131B" w14:textId="77777777" w:rsidR="00640E94" w:rsidRDefault="00C37F2B">
            <w:pPr>
              <w:pStyle w:val="BodyText"/>
              <w:spacing w:before="0"/>
              <w:rPr>
                <w:rFonts w:ascii="Arial" w:hAnsi="Arial"/>
              </w:rPr>
            </w:pPr>
            <w:r>
              <w:rPr>
                <w:rFonts w:ascii="Arial" w:hAnsi="Arial"/>
              </w:rPr>
              <w:t>For Month</w:t>
            </w:r>
            <w:r w:rsidR="00640E94">
              <w:rPr>
                <w:rFonts w:ascii="Arial" w:hAnsi="Arial"/>
              </w:rPr>
              <w:t xml:space="preserve"> End</w:t>
            </w:r>
          </w:p>
          <w:p w14:paraId="0A0BD737" w14:textId="5A75BBAB" w:rsidR="00CC2846" w:rsidRDefault="00F55347">
            <w:pPr>
              <w:pStyle w:val="BodyText"/>
              <w:spacing w:before="0"/>
              <w:rPr>
                <w:rFonts w:ascii="Arial" w:hAnsi="Arial"/>
              </w:rPr>
            </w:pPr>
            <w:r>
              <w:rPr>
                <w:rFonts w:ascii="Arial" w:hAnsi="Arial"/>
              </w:rPr>
              <w:t xml:space="preserve">June </w:t>
            </w:r>
            <w:r w:rsidR="00CC2846">
              <w:rPr>
                <w:rFonts w:ascii="Arial" w:hAnsi="Arial"/>
              </w:rPr>
              <w:t>20</w:t>
            </w:r>
            <w:r w:rsidR="00432430">
              <w:rPr>
                <w:rFonts w:ascii="Arial" w:hAnsi="Arial"/>
              </w:rPr>
              <w:t>2</w:t>
            </w:r>
            <w:r w:rsidR="00C07512">
              <w:rPr>
                <w:rFonts w:ascii="Arial" w:hAnsi="Arial"/>
              </w:rPr>
              <w:t>2</w:t>
            </w:r>
          </w:p>
          <w:p w14:paraId="034C1BBF" w14:textId="77777777" w:rsidR="00CC2846" w:rsidRDefault="00CC2846">
            <w:pPr>
              <w:pStyle w:val="BodyText"/>
              <w:spacing w:before="0"/>
              <w:rPr>
                <w:rFonts w:ascii="Arial" w:hAnsi="Arial"/>
              </w:rPr>
            </w:pPr>
          </w:p>
        </w:tc>
        <w:tc>
          <w:tcPr>
            <w:tcW w:w="2898" w:type="dxa"/>
            <w:tcBorders>
              <w:top w:val="single" w:sz="18" w:space="0" w:color="auto"/>
              <w:left w:val="single" w:sz="18" w:space="0" w:color="auto"/>
              <w:bottom w:val="nil"/>
            </w:tcBorders>
          </w:tcPr>
          <w:p w14:paraId="19D11BCC" w14:textId="77777777" w:rsidR="00640E94" w:rsidRDefault="00640E94">
            <w:pPr>
              <w:pStyle w:val="BodyText"/>
              <w:spacing w:before="0"/>
              <w:rPr>
                <w:rFonts w:ascii="Arial" w:hAnsi="Arial"/>
              </w:rPr>
            </w:pPr>
            <w:r>
              <w:rPr>
                <w:rFonts w:ascii="Arial" w:hAnsi="Arial"/>
              </w:rPr>
              <w:t>Date of Report</w:t>
            </w:r>
          </w:p>
          <w:p w14:paraId="06241770" w14:textId="77777777" w:rsidR="00640E94" w:rsidRDefault="00640E94">
            <w:pPr>
              <w:pStyle w:val="BodyText"/>
              <w:spacing w:before="0"/>
              <w:rPr>
                <w:rFonts w:ascii="Arial" w:hAnsi="Arial"/>
              </w:rPr>
            </w:pPr>
            <w:r>
              <w:rPr>
                <w:rFonts w:ascii="Arial" w:hAnsi="Arial"/>
              </w:rPr>
              <w:t>YY/MM/D</w:t>
            </w:r>
            <w:r w:rsidR="003E2347">
              <w:rPr>
                <w:rFonts w:ascii="Arial" w:hAnsi="Arial"/>
              </w:rPr>
              <w:t>D</w:t>
            </w:r>
          </w:p>
          <w:p w14:paraId="31A3E241" w14:textId="1BDD609F" w:rsidR="00CC2846" w:rsidRDefault="00D97D32">
            <w:pPr>
              <w:pStyle w:val="BodyText"/>
              <w:spacing w:before="0"/>
              <w:rPr>
                <w:rFonts w:ascii="Arial" w:hAnsi="Arial"/>
              </w:rPr>
            </w:pPr>
            <w:r>
              <w:rPr>
                <w:rFonts w:ascii="Arial" w:hAnsi="Arial"/>
              </w:rPr>
              <w:t>2</w:t>
            </w:r>
            <w:r w:rsidR="00653813">
              <w:rPr>
                <w:rFonts w:ascii="Arial" w:hAnsi="Arial"/>
              </w:rPr>
              <w:t>2</w:t>
            </w:r>
            <w:r w:rsidR="00CC2846">
              <w:rPr>
                <w:rFonts w:ascii="Arial" w:hAnsi="Arial"/>
              </w:rPr>
              <w:t>/</w:t>
            </w:r>
            <w:r w:rsidR="00653813">
              <w:rPr>
                <w:rFonts w:ascii="Arial" w:hAnsi="Arial"/>
              </w:rPr>
              <w:t>0</w:t>
            </w:r>
            <w:r w:rsidR="00F55347">
              <w:rPr>
                <w:rFonts w:ascii="Arial" w:hAnsi="Arial"/>
              </w:rPr>
              <w:t>7</w:t>
            </w:r>
            <w:r w:rsidR="007C1FB7">
              <w:rPr>
                <w:rFonts w:ascii="Arial" w:hAnsi="Arial"/>
              </w:rPr>
              <w:t>/</w:t>
            </w:r>
            <w:r w:rsidR="00F55347">
              <w:rPr>
                <w:rFonts w:ascii="Arial" w:hAnsi="Arial"/>
              </w:rPr>
              <w:t>15</w:t>
            </w:r>
          </w:p>
        </w:tc>
      </w:tr>
      <w:tr w:rsidR="00640E94" w14:paraId="55FE16EE" w14:textId="77777777">
        <w:trPr>
          <w:cantSplit/>
        </w:trPr>
        <w:tc>
          <w:tcPr>
            <w:tcW w:w="9576" w:type="dxa"/>
            <w:gridSpan w:val="3"/>
            <w:tcBorders>
              <w:top w:val="single" w:sz="18" w:space="0" w:color="auto"/>
              <w:bottom w:val="single" w:sz="18" w:space="0" w:color="auto"/>
            </w:tcBorders>
          </w:tcPr>
          <w:p w14:paraId="605DB6AB" w14:textId="77777777" w:rsidR="00640E94" w:rsidRDefault="00640E94">
            <w:pPr>
              <w:pStyle w:val="BodyText"/>
              <w:spacing w:before="0"/>
              <w:rPr>
                <w:rFonts w:ascii="Arial" w:hAnsi="Arial"/>
              </w:rPr>
            </w:pPr>
            <w:r>
              <w:rPr>
                <w:rFonts w:ascii="Arial" w:hAnsi="Arial"/>
              </w:rPr>
              <w:t>Issuer Address</w:t>
            </w:r>
          </w:p>
          <w:p w14:paraId="06359D82" w14:textId="5538F98C" w:rsidR="00640E94" w:rsidRDefault="00D162DA">
            <w:pPr>
              <w:pStyle w:val="BodyText"/>
              <w:spacing w:before="0"/>
              <w:rPr>
                <w:rFonts w:ascii="Arial" w:hAnsi="Arial"/>
              </w:rPr>
            </w:pPr>
            <w:r>
              <w:rPr>
                <w:rFonts w:ascii="Arial" w:hAnsi="Arial"/>
              </w:rPr>
              <w:t>2</w:t>
            </w:r>
            <w:r w:rsidR="00D75726">
              <w:rPr>
                <w:rFonts w:ascii="Arial" w:hAnsi="Arial"/>
              </w:rPr>
              <w:t>201</w:t>
            </w:r>
            <w:r>
              <w:rPr>
                <w:rFonts w:ascii="Arial" w:hAnsi="Arial"/>
              </w:rPr>
              <w:t xml:space="preserve"> NW Corporate Blvd S</w:t>
            </w:r>
            <w:r w:rsidR="00CC2846">
              <w:rPr>
                <w:rFonts w:ascii="Arial" w:hAnsi="Arial"/>
              </w:rPr>
              <w:t>uite 20</w:t>
            </w:r>
            <w:r>
              <w:rPr>
                <w:rFonts w:ascii="Arial" w:hAnsi="Arial"/>
              </w:rPr>
              <w:t>5</w:t>
            </w:r>
            <w:r w:rsidR="00CC2846">
              <w:rPr>
                <w:rFonts w:ascii="Arial" w:hAnsi="Arial"/>
              </w:rPr>
              <w:t xml:space="preserve"> Boca Raton, Fl. 3343</w:t>
            </w:r>
            <w:r>
              <w:rPr>
                <w:rFonts w:ascii="Arial" w:hAnsi="Arial"/>
              </w:rPr>
              <w:t>1</w:t>
            </w:r>
            <w:r w:rsidR="00CC2846">
              <w:rPr>
                <w:rFonts w:ascii="Arial" w:hAnsi="Arial"/>
              </w:rPr>
              <w:t xml:space="preserve"> </w:t>
            </w:r>
          </w:p>
          <w:p w14:paraId="51E84078" w14:textId="77777777" w:rsidR="00640E94" w:rsidRDefault="00640E94">
            <w:pPr>
              <w:pStyle w:val="BodyText"/>
              <w:spacing w:before="0"/>
              <w:rPr>
                <w:rFonts w:ascii="Arial" w:hAnsi="Arial"/>
              </w:rPr>
            </w:pPr>
          </w:p>
        </w:tc>
      </w:tr>
      <w:tr w:rsidR="00640E94" w14:paraId="30C7BB10" w14:textId="77777777">
        <w:tc>
          <w:tcPr>
            <w:tcW w:w="4878" w:type="dxa"/>
            <w:tcBorders>
              <w:top w:val="single" w:sz="18" w:space="0" w:color="auto"/>
              <w:bottom w:val="single" w:sz="18" w:space="0" w:color="auto"/>
              <w:right w:val="single" w:sz="18" w:space="0" w:color="auto"/>
            </w:tcBorders>
          </w:tcPr>
          <w:p w14:paraId="0FC2926A" w14:textId="77777777" w:rsidR="00640E94" w:rsidRDefault="00640E94">
            <w:pPr>
              <w:pStyle w:val="BodyText"/>
              <w:spacing w:before="0"/>
              <w:rPr>
                <w:rFonts w:ascii="Arial" w:hAnsi="Arial"/>
              </w:rPr>
            </w:pPr>
            <w:r>
              <w:rPr>
                <w:rFonts w:ascii="Arial" w:hAnsi="Arial"/>
              </w:rPr>
              <w:t>City/Province/Postal Code</w:t>
            </w:r>
          </w:p>
          <w:p w14:paraId="367799D7" w14:textId="7E74454F" w:rsidR="00640E94" w:rsidRDefault="00CC2846">
            <w:pPr>
              <w:pStyle w:val="BodyText"/>
              <w:spacing w:before="0"/>
              <w:rPr>
                <w:rFonts w:ascii="Arial" w:hAnsi="Arial"/>
              </w:rPr>
            </w:pPr>
            <w:r>
              <w:rPr>
                <w:rFonts w:ascii="Arial" w:hAnsi="Arial"/>
              </w:rPr>
              <w:t>Boca Raton, Fl. 3343</w:t>
            </w:r>
            <w:r w:rsidR="00D162DA">
              <w:rPr>
                <w:rFonts w:ascii="Arial" w:hAnsi="Arial"/>
              </w:rPr>
              <w:t>1</w:t>
            </w:r>
          </w:p>
          <w:p w14:paraId="2555A2D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544AB2" w14:textId="77777777" w:rsidR="00640E94" w:rsidRDefault="00640E94">
            <w:pPr>
              <w:pStyle w:val="BodyText"/>
              <w:spacing w:before="0"/>
              <w:rPr>
                <w:rFonts w:ascii="Arial" w:hAnsi="Arial"/>
              </w:rPr>
            </w:pPr>
            <w:r>
              <w:rPr>
                <w:rFonts w:ascii="Arial" w:hAnsi="Arial"/>
              </w:rPr>
              <w:lastRenderedPageBreak/>
              <w:t>Issuer Fax No.</w:t>
            </w:r>
          </w:p>
          <w:p w14:paraId="79C28AE4" w14:textId="77777777" w:rsidR="00640E94" w:rsidRDefault="00B1510B">
            <w:pPr>
              <w:pStyle w:val="BodyText"/>
              <w:spacing w:before="0"/>
              <w:rPr>
                <w:rFonts w:ascii="Arial" w:hAnsi="Arial"/>
              </w:rPr>
            </w:pPr>
            <w:r>
              <w:rPr>
                <w:rFonts w:ascii="Arial" w:hAnsi="Arial"/>
              </w:rPr>
              <w:t xml:space="preserve">      </w:t>
            </w:r>
            <w:r w:rsidR="00CC2846">
              <w:rPr>
                <w:rFonts w:ascii="Arial" w:hAnsi="Arial"/>
              </w:rPr>
              <w:t>N/A</w:t>
            </w:r>
            <w:r w:rsidR="00640E94">
              <w:rPr>
                <w:rFonts w:ascii="Arial" w:hAnsi="Arial"/>
              </w:rPr>
              <w:t xml:space="preserve">  </w:t>
            </w:r>
          </w:p>
        </w:tc>
        <w:tc>
          <w:tcPr>
            <w:tcW w:w="2898" w:type="dxa"/>
            <w:tcBorders>
              <w:top w:val="single" w:sz="18" w:space="0" w:color="auto"/>
              <w:left w:val="single" w:sz="18" w:space="0" w:color="auto"/>
              <w:bottom w:val="single" w:sz="18" w:space="0" w:color="auto"/>
            </w:tcBorders>
          </w:tcPr>
          <w:p w14:paraId="3757532D" w14:textId="77777777" w:rsidR="00640E94" w:rsidRDefault="00640E94">
            <w:pPr>
              <w:pStyle w:val="BodyText"/>
              <w:spacing w:before="0"/>
              <w:rPr>
                <w:rFonts w:ascii="Arial" w:hAnsi="Arial"/>
              </w:rPr>
            </w:pPr>
            <w:r>
              <w:rPr>
                <w:rFonts w:ascii="Arial" w:hAnsi="Arial"/>
              </w:rPr>
              <w:t>Issuer Telephone No.</w:t>
            </w:r>
          </w:p>
          <w:p w14:paraId="2C1EB30D" w14:textId="77777777" w:rsidR="00640E94" w:rsidRDefault="00640E94">
            <w:pPr>
              <w:pStyle w:val="BodyText"/>
              <w:spacing w:before="0"/>
              <w:rPr>
                <w:rFonts w:ascii="Arial" w:hAnsi="Arial"/>
              </w:rPr>
            </w:pPr>
            <w:r>
              <w:rPr>
                <w:rFonts w:ascii="Arial" w:hAnsi="Arial"/>
              </w:rPr>
              <w:t>(</w:t>
            </w:r>
            <w:r w:rsidR="00CC2846">
              <w:rPr>
                <w:rFonts w:ascii="Arial" w:hAnsi="Arial"/>
              </w:rPr>
              <w:t>561</w:t>
            </w:r>
            <w:r>
              <w:rPr>
                <w:rFonts w:ascii="Arial" w:hAnsi="Arial"/>
              </w:rPr>
              <w:t>)</w:t>
            </w:r>
            <w:r w:rsidR="00CC2846">
              <w:rPr>
                <w:rFonts w:ascii="Arial" w:hAnsi="Arial"/>
              </w:rPr>
              <w:t xml:space="preserve"> 948-5410</w:t>
            </w:r>
          </w:p>
        </w:tc>
      </w:tr>
      <w:tr w:rsidR="00640E94" w14:paraId="2C0C2748" w14:textId="77777777">
        <w:tc>
          <w:tcPr>
            <w:tcW w:w="4878" w:type="dxa"/>
            <w:tcBorders>
              <w:top w:val="single" w:sz="18" w:space="0" w:color="auto"/>
              <w:bottom w:val="single" w:sz="18" w:space="0" w:color="auto"/>
              <w:right w:val="single" w:sz="18" w:space="0" w:color="auto"/>
            </w:tcBorders>
          </w:tcPr>
          <w:p w14:paraId="79601745" w14:textId="77777777" w:rsidR="00640E94" w:rsidRDefault="00640E94">
            <w:pPr>
              <w:pStyle w:val="BodyText"/>
              <w:spacing w:before="0"/>
              <w:rPr>
                <w:rFonts w:ascii="Arial" w:hAnsi="Arial"/>
              </w:rPr>
            </w:pPr>
            <w:r>
              <w:rPr>
                <w:rFonts w:ascii="Arial" w:hAnsi="Arial"/>
              </w:rPr>
              <w:t>Contact Name</w:t>
            </w:r>
          </w:p>
          <w:p w14:paraId="7669B6B0" w14:textId="1D00382F" w:rsidR="00640E94" w:rsidRDefault="005C0DF1">
            <w:pPr>
              <w:pStyle w:val="BodyText"/>
              <w:spacing w:before="0"/>
              <w:rPr>
                <w:rFonts w:ascii="Arial" w:hAnsi="Arial"/>
              </w:rPr>
            </w:pPr>
            <w:r>
              <w:rPr>
                <w:rFonts w:ascii="Arial" w:hAnsi="Arial"/>
              </w:rPr>
              <w:t>Matthew J. Cohen</w:t>
            </w:r>
          </w:p>
          <w:p w14:paraId="50926B42"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C299D6B" w14:textId="77777777" w:rsidR="00640E94" w:rsidRDefault="00640E94">
            <w:pPr>
              <w:pStyle w:val="BodyText"/>
              <w:spacing w:before="0"/>
              <w:rPr>
                <w:rFonts w:ascii="Arial" w:hAnsi="Arial"/>
              </w:rPr>
            </w:pPr>
            <w:r>
              <w:rPr>
                <w:rFonts w:ascii="Arial" w:hAnsi="Arial"/>
              </w:rPr>
              <w:t xml:space="preserve">Contact </w:t>
            </w:r>
            <w:r w:rsidR="00CC2846">
              <w:rPr>
                <w:rFonts w:ascii="Arial" w:hAnsi="Arial"/>
              </w:rPr>
              <w:t>P</w:t>
            </w:r>
            <w:r>
              <w:rPr>
                <w:rFonts w:ascii="Arial" w:hAnsi="Arial"/>
              </w:rPr>
              <w:t>osition</w:t>
            </w:r>
          </w:p>
          <w:p w14:paraId="0388CE91" w14:textId="77777777" w:rsidR="00CC2846" w:rsidRDefault="00CC2846">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32694919" w14:textId="77777777" w:rsidR="00640E94" w:rsidRDefault="00640E94">
            <w:pPr>
              <w:pStyle w:val="BodyText"/>
              <w:spacing w:before="0"/>
              <w:rPr>
                <w:rFonts w:ascii="Arial" w:hAnsi="Arial"/>
              </w:rPr>
            </w:pPr>
            <w:r>
              <w:rPr>
                <w:rFonts w:ascii="Arial" w:hAnsi="Arial"/>
              </w:rPr>
              <w:t>Contact Telephone No.</w:t>
            </w:r>
          </w:p>
          <w:p w14:paraId="0C26154F" w14:textId="77777777" w:rsidR="00CC2846" w:rsidRDefault="00CC2846">
            <w:pPr>
              <w:pStyle w:val="BodyText"/>
              <w:spacing w:before="0"/>
              <w:rPr>
                <w:rFonts w:ascii="Arial" w:hAnsi="Arial"/>
              </w:rPr>
            </w:pPr>
            <w:r>
              <w:rPr>
                <w:rFonts w:ascii="Arial" w:hAnsi="Arial"/>
              </w:rPr>
              <w:t>561-948-5410</w:t>
            </w:r>
          </w:p>
        </w:tc>
      </w:tr>
      <w:tr w:rsidR="00640E94" w14:paraId="25256288" w14:textId="77777777">
        <w:trPr>
          <w:cantSplit/>
        </w:trPr>
        <w:tc>
          <w:tcPr>
            <w:tcW w:w="4878" w:type="dxa"/>
            <w:tcBorders>
              <w:top w:val="single" w:sz="18" w:space="0" w:color="auto"/>
              <w:bottom w:val="single" w:sz="18" w:space="0" w:color="auto"/>
              <w:right w:val="single" w:sz="18" w:space="0" w:color="auto"/>
            </w:tcBorders>
          </w:tcPr>
          <w:p w14:paraId="694BB5BE" w14:textId="77777777" w:rsidR="00640E94" w:rsidRDefault="00640E94">
            <w:pPr>
              <w:pStyle w:val="BodyText"/>
              <w:spacing w:before="0"/>
              <w:rPr>
                <w:rFonts w:ascii="Arial" w:hAnsi="Arial"/>
              </w:rPr>
            </w:pPr>
            <w:r>
              <w:rPr>
                <w:rFonts w:ascii="Arial" w:hAnsi="Arial"/>
              </w:rPr>
              <w:t>Contact Email Address</w:t>
            </w:r>
          </w:p>
          <w:p w14:paraId="188829E5" w14:textId="53D1E8AC" w:rsidR="00640E94" w:rsidRDefault="005C0DF1">
            <w:pPr>
              <w:pStyle w:val="BodyText"/>
              <w:spacing w:before="0"/>
              <w:rPr>
                <w:rFonts w:ascii="Arial" w:hAnsi="Arial"/>
              </w:rPr>
            </w:pPr>
            <w:r>
              <w:rPr>
                <w:rFonts w:ascii="Arial" w:hAnsi="Arial"/>
              </w:rPr>
              <w:t>matt</w:t>
            </w:r>
            <w:r w:rsidR="00653813">
              <w:rPr>
                <w:rFonts w:ascii="Arial" w:hAnsi="Arial"/>
              </w:rPr>
              <w:t>.</w:t>
            </w:r>
            <w:r>
              <w:rPr>
                <w:rFonts w:ascii="Arial" w:hAnsi="Arial"/>
              </w:rPr>
              <w:t>cohen</w:t>
            </w:r>
            <w:r w:rsidR="00CC2846">
              <w:rPr>
                <w:rFonts w:ascii="Arial" w:hAnsi="Arial"/>
              </w:rPr>
              <w:t>@</w:t>
            </w:r>
            <w:r w:rsidR="00653813">
              <w:rPr>
                <w:rFonts w:ascii="Arial" w:hAnsi="Arial"/>
              </w:rPr>
              <w:t>stemholdings</w:t>
            </w:r>
            <w:r w:rsidR="00CC2846">
              <w:rPr>
                <w:rFonts w:ascii="Arial" w:hAnsi="Arial"/>
              </w:rPr>
              <w:t>.com</w:t>
            </w:r>
          </w:p>
        </w:tc>
        <w:tc>
          <w:tcPr>
            <w:tcW w:w="4698" w:type="dxa"/>
            <w:gridSpan w:val="2"/>
            <w:tcBorders>
              <w:top w:val="single" w:sz="18" w:space="0" w:color="auto"/>
              <w:left w:val="single" w:sz="18" w:space="0" w:color="auto"/>
              <w:bottom w:val="single" w:sz="18" w:space="0" w:color="auto"/>
            </w:tcBorders>
          </w:tcPr>
          <w:p w14:paraId="3ABBF0F0" w14:textId="77777777" w:rsidR="00640E94" w:rsidRDefault="00640E94">
            <w:pPr>
              <w:pStyle w:val="BodyText"/>
              <w:spacing w:before="0"/>
              <w:rPr>
                <w:rFonts w:ascii="Arial" w:hAnsi="Arial"/>
              </w:rPr>
            </w:pPr>
            <w:r>
              <w:rPr>
                <w:rFonts w:ascii="Arial" w:hAnsi="Arial"/>
              </w:rPr>
              <w:t>Web Site Address</w:t>
            </w:r>
          </w:p>
          <w:p w14:paraId="5716EA3F" w14:textId="77777777" w:rsidR="00640E94" w:rsidRDefault="00CC2846">
            <w:pPr>
              <w:pStyle w:val="BodyText"/>
              <w:spacing w:before="0"/>
              <w:rPr>
                <w:rFonts w:ascii="Arial" w:hAnsi="Arial"/>
              </w:rPr>
            </w:pPr>
            <w:r>
              <w:rPr>
                <w:rFonts w:ascii="Arial" w:hAnsi="Arial"/>
              </w:rPr>
              <w:t>Stemholdings.com</w:t>
            </w:r>
          </w:p>
        </w:tc>
      </w:tr>
    </w:tbl>
    <w:p w14:paraId="2641C79C"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4BE0" w14:textId="77777777" w:rsidR="00900DA8" w:rsidRDefault="00900DA8">
      <w:r>
        <w:separator/>
      </w:r>
    </w:p>
  </w:endnote>
  <w:endnote w:type="continuationSeparator" w:id="0">
    <w:p w14:paraId="5DC14077" w14:textId="77777777" w:rsidR="00900DA8" w:rsidRDefault="00900DA8">
      <w:r>
        <w:continuationSeparator/>
      </w:r>
    </w:p>
  </w:endnote>
  <w:endnote w:type="continuationNotice" w:id="1">
    <w:p w14:paraId="11321D47" w14:textId="77777777" w:rsidR="00900DA8" w:rsidRDefault="0090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9550"/>
      <w:docPartObj>
        <w:docPartGallery w:val="Page Numbers (Bottom of Page)"/>
        <w:docPartUnique/>
      </w:docPartObj>
    </w:sdtPr>
    <w:sdtEndPr>
      <w:rPr>
        <w:noProof/>
      </w:rPr>
    </w:sdtEndPr>
    <w:sdtContent>
      <w:p w14:paraId="493CAC07" w14:textId="77777777" w:rsidR="00D90FEC" w:rsidRDefault="00D90FEC">
        <w:pPr>
          <w:pStyle w:val="Footer"/>
          <w:jc w:val="center"/>
        </w:pPr>
        <w:r>
          <w:fldChar w:fldCharType="begin"/>
        </w:r>
        <w:r>
          <w:instrText xml:space="preserve"> PAGE   \* MERGEFORMAT </w:instrText>
        </w:r>
        <w:r>
          <w:fldChar w:fldCharType="separate"/>
        </w:r>
        <w:r w:rsidR="0089614A">
          <w:rPr>
            <w:noProof/>
          </w:rPr>
          <w:t>2</w:t>
        </w:r>
        <w:r>
          <w:rPr>
            <w:noProof/>
          </w:rPr>
          <w:fldChar w:fldCharType="end"/>
        </w:r>
      </w:p>
    </w:sdtContent>
  </w:sdt>
  <w:p w14:paraId="37A05BA4" w14:textId="77777777" w:rsidR="00177B16" w:rsidRDefault="00177B16">
    <w:pPr>
      <w:pStyle w:val="Footer"/>
      <w:tabs>
        <w:tab w:val="clear" w:pos="4320"/>
        <w:tab w:val="clear" w:pos="8640"/>
        <w:tab w:val="center" w:pos="4680"/>
        <w:tab w:val="right" w:pos="9360"/>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EBA8" w14:textId="77777777" w:rsidR="00640E94" w:rsidRDefault="00640E94">
    <w:pPr>
      <w:pStyle w:val="Footer"/>
      <w:tabs>
        <w:tab w:val="clear" w:pos="4320"/>
        <w:tab w:val="clear" w:pos="8640"/>
        <w:tab w:val="center" w:pos="4680"/>
        <w:tab w:val="right" w:pos="9360"/>
      </w:tabs>
      <w:rPr>
        <w:b/>
      </w:rPr>
    </w:pPr>
  </w:p>
  <w:p w14:paraId="3F1D8544"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B9918DC" wp14:editId="4B5B9B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F878"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A8E57A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1C53BE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3B20" w14:textId="77777777" w:rsidR="00900DA8" w:rsidRDefault="00900DA8">
      <w:r>
        <w:separator/>
      </w:r>
    </w:p>
  </w:footnote>
  <w:footnote w:type="continuationSeparator" w:id="0">
    <w:p w14:paraId="60B80D0B" w14:textId="77777777" w:rsidR="00900DA8" w:rsidRDefault="00900DA8">
      <w:r>
        <w:continuationSeparator/>
      </w:r>
    </w:p>
  </w:footnote>
  <w:footnote w:type="continuationNotice" w:id="1">
    <w:p w14:paraId="1D65E465" w14:textId="77777777" w:rsidR="00900DA8" w:rsidRDefault="00900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2C0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AD8EA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98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252C5230"/>
    <w:multiLevelType w:val="multilevel"/>
    <w:tmpl w:val="8E8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91290"/>
    <w:multiLevelType w:val="multilevel"/>
    <w:tmpl w:val="868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90BE1"/>
    <w:multiLevelType w:val="multilevel"/>
    <w:tmpl w:val="DF3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538B1"/>
    <w:multiLevelType w:val="multilevel"/>
    <w:tmpl w:val="524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6" w15:restartNumberingAfterBreak="0">
    <w:nsid w:val="63340213"/>
    <w:multiLevelType w:val="multilevel"/>
    <w:tmpl w:val="841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16cid:durableId="733621154">
    <w:abstractNumId w:val="5"/>
  </w:num>
  <w:num w:numId="2" w16cid:durableId="185825724">
    <w:abstractNumId w:val="7"/>
  </w:num>
  <w:num w:numId="3" w16cid:durableId="737675605">
    <w:abstractNumId w:val="0"/>
  </w:num>
  <w:num w:numId="4" w16cid:durableId="66997364">
    <w:abstractNumId w:val="1"/>
  </w:num>
  <w:num w:numId="5" w16cid:durableId="405686531">
    <w:abstractNumId w:val="6"/>
  </w:num>
  <w:num w:numId="6" w16cid:durableId="1863740271">
    <w:abstractNumId w:val="3"/>
  </w:num>
  <w:num w:numId="7" w16cid:durableId="532036953">
    <w:abstractNumId w:val="2"/>
  </w:num>
  <w:num w:numId="8" w16cid:durableId="106360279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32F4"/>
    <w:rsid w:val="00014042"/>
    <w:rsid w:val="00020467"/>
    <w:rsid w:val="0003224F"/>
    <w:rsid w:val="00032331"/>
    <w:rsid w:val="00032B6F"/>
    <w:rsid w:val="00036A29"/>
    <w:rsid w:val="000457D3"/>
    <w:rsid w:val="00050F02"/>
    <w:rsid w:val="00052AF5"/>
    <w:rsid w:val="000557D6"/>
    <w:rsid w:val="00056E1A"/>
    <w:rsid w:val="00061764"/>
    <w:rsid w:val="00073FE7"/>
    <w:rsid w:val="00074D83"/>
    <w:rsid w:val="00080817"/>
    <w:rsid w:val="00081808"/>
    <w:rsid w:val="00081C8B"/>
    <w:rsid w:val="00097AB8"/>
    <w:rsid w:val="000A1726"/>
    <w:rsid w:val="000A1AB1"/>
    <w:rsid w:val="000A377C"/>
    <w:rsid w:val="000A40F2"/>
    <w:rsid w:val="000A566C"/>
    <w:rsid w:val="000A6B31"/>
    <w:rsid w:val="000B0149"/>
    <w:rsid w:val="000C6CF6"/>
    <w:rsid w:val="000D1F4D"/>
    <w:rsid w:val="000E1650"/>
    <w:rsid w:val="000E27A3"/>
    <w:rsid w:val="000E441B"/>
    <w:rsid w:val="000E6C31"/>
    <w:rsid w:val="000F469A"/>
    <w:rsid w:val="00101D2F"/>
    <w:rsid w:val="00101D95"/>
    <w:rsid w:val="00104767"/>
    <w:rsid w:val="00110328"/>
    <w:rsid w:val="001123C2"/>
    <w:rsid w:val="00114797"/>
    <w:rsid w:val="0011486F"/>
    <w:rsid w:val="00115818"/>
    <w:rsid w:val="00116BD8"/>
    <w:rsid w:val="0012361A"/>
    <w:rsid w:val="00140178"/>
    <w:rsid w:val="00167BAB"/>
    <w:rsid w:val="00177B16"/>
    <w:rsid w:val="00184107"/>
    <w:rsid w:val="00186BC9"/>
    <w:rsid w:val="00186F3C"/>
    <w:rsid w:val="001A167A"/>
    <w:rsid w:val="001B0A79"/>
    <w:rsid w:val="001B424B"/>
    <w:rsid w:val="001B4D11"/>
    <w:rsid w:val="001C06C5"/>
    <w:rsid w:val="001C356D"/>
    <w:rsid w:val="001C4228"/>
    <w:rsid w:val="001C6340"/>
    <w:rsid w:val="001C708B"/>
    <w:rsid w:val="001E0AE5"/>
    <w:rsid w:val="001E2070"/>
    <w:rsid w:val="001F620E"/>
    <w:rsid w:val="001F6682"/>
    <w:rsid w:val="00237FD0"/>
    <w:rsid w:val="002405A5"/>
    <w:rsid w:val="00241950"/>
    <w:rsid w:val="0024215A"/>
    <w:rsid w:val="0024543E"/>
    <w:rsid w:val="00245ACD"/>
    <w:rsid w:val="002462E0"/>
    <w:rsid w:val="0025257B"/>
    <w:rsid w:val="0025320C"/>
    <w:rsid w:val="0027005D"/>
    <w:rsid w:val="0027709D"/>
    <w:rsid w:val="00282AE8"/>
    <w:rsid w:val="00283C9E"/>
    <w:rsid w:val="002B7F31"/>
    <w:rsid w:val="002C281E"/>
    <w:rsid w:val="002C7999"/>
    <w:rsid w:val="002D0FD4"/>
    <w:rsid w:val="002D4946"/>
    <w:rsid w:val="002D665F"/>
    <w:rsid w:val="002E23A4"/>
    <w:rsid w:val="002F00EB"/>
    <w:rsid w:val="002F02D6"/>
    <w:rsid w:val="002F7B6A"/>
    <w:rsid w:val="003001A2"/>
    <w:rsid w:val="003067BF"/>
    <w:rsid w:val="003111F3"/>
    <w:rsid w:val="00317D50"/>
    <w:rsid w:val="00320630"/>
    <w:rsid w:val="00320FD1"/>
    <w:rsid w:val="00344438"/>
    <w:rsid w:val="00346B9C"/>
    <w:rsid w:val="003627FB"/>
    <w:rsid w:val="003669A9"/>
    <w:rsid w:val="0037116C"/>
    <w:rsid w:val="00371A64"/>
    <w:rsid w:val="00383524"/>
    <w:rsid w:val="003844B3"/>
    <w:rsid w:val="00387FA8"/>
    <w:rsid w:val="003901D9"/>
    <w:rsid w:val="003B38D9"/>
    <w:rsid w:val="003C23E9"/>
    <w:rsid w:val="003C4B58"/>
    <w:rsid w:val="003D12BB"/>
    <w:rsid w:val="003D4A86"/>
    <w:rsid w:val="003D5482"/>
    <w:rsid w:val="003E105E"/>
    <w:rsid w:val="003E2347"/>
    <w:rsid w:val="003E52C4"/>
    <w:rsid w:val="003E7DAF"/>
    <w:rsid w:val="003F0D49"/>
    <w:rsid w:val="003F5309"/>
    <w:rsid w:val="00400687"/>
    <w:rsid w:val="00401BE6"/>
    <w:rsid w:val="00402CD8"/>
    <w:rsid w:val="00403A47"/>
    <w:rsid w:val="004052CF"/>
    <w:rsid w:val="004053BD"/>
    <w:rsid w:val="00405A9D"/>
    <w:rsid w:val="00432430"/>
    <w:rsid w:val="0045667C"/>
    <w:rsid w:val="0045684C"/>
    <w:rsid w:val="00457608"/>
    <w:rsid w:val="00463704"/>
    <w:rsid w:val="00465278"/>
    <w:rsid w:val="00465CEF"/>
    <w:rsid w:val="0047710D"/>
    <w:rsid w:val="004848E9"/>
    <w:rsid w:val="0048656A"/>
    <w:rsid w:val="004875C5"/>
    <w:rsid w:val="00487F3D"/>
    <w:rsid w:val="00494A90"/>
    <w:rsid w:val="00497F4F"/>
    <w:rsid w:val="004A2088"/>
    <w:rsid w:val="004A5F97"/>
    <w:rsid w:val="004C3C5F"/>
    <w:rsid w:val="004C58F2"/>
    <w:rsid w:val="004D222F"/>
    <w:rsid w:val="004E4AC6"/>
    <w:rsid w:val="004E5BC2"/>
    <w:rsid w:val="00501F54"/>
    <w:rsid w:val="005030D7"/>
    <w:rsid w:val="005116C5"/>
    <w:rsid w:val="00513A17"/>
    <w:rsid w:val="00513AB8"/>
    <w:rsid w:val="005167BC"/>
    <w:rsid w:val="00533BA5"/>
    <w:rsid w:val="00540CCD"/>
    <w:rsid w:val="00544323"/>
    <w:rsid w:val="005453C8"/>
    <w:rsid w:val="00554BB9"/>
    <w:rsid w:val="00556EF2"/>
    <w:rsid w:val="0056576A"/>
    <w:rsid w:val="0057103F"/>
    <w:rsid w:val="0057224C"/>
    <w:rsid w:val="005774CE"/>
    <w:rsid w:val="005811B6"/>
    <w:rsid w:val="00584B16"/>
    <w:rsid w:val="0059031C"/>
    <w:rsid w:val="0059529B"/>
    <w:rsid w:val="00595E4F"/>
    <w:rsid w:val="005A6DAF"/>
    <w:rsid w:val="005A6DDB"/>
    <w:rsid w:val="005B0790"/>
    <w:rsid w:val="005B0B72"/>
    <w:rsid w:val="005C0DF1"/>
    <w:rsid w:val="005C24B9"/>
    <w:rsid w:val="005D096F"/>
    <w:rsid w:val="005D5CA9"/>
    <w:rsid w:val="005D7B01"/>
    <w:rsid w:val="005E0FC0"/>
    <w:rsid w:val="005E298F"/>
    <w:rsid w:val="005E5E8A"/>
    <w:rsid w:val="005E7B50"/>
    <w:rsid w:val="005F0EFA"/>
    <w:rsid w:val="005F6D8F"/>
    <w:rsid w:val="00603B30"/>
    <w:rsid w:val="0060415C"/>
    <w:rsid w:val="00617B12"/>
    <w:rsid w:val="006202F5"/>
    <w:rsid w:val="00620E7F"/>
    <w:rsid w:val="00626A36"/>
    <w:rsid w:val="006329AF"/>
    <w:rsid w:val="00633ED3"/>
    <w:rsid w:val="006345FA"/>
    <w:rsid w:val="00635E9A"/>
    <w:rsid w:val="00640E94"/>
    <w:rsid w:val="0064586D"/>
    <w:rsid w:val="00653813"/>
    <w:rsid w:val="00654700"/>
    <w:rsid w:val="0065693E"/>
    <w:rsid w:val="006706D7"/>
    <w:rsid w:val="006950CA"/>
    <w:rsid w:val="00696241"/>
    <w:rsid w:val="006C676D"/>
    <w:rsid w:val="006C75D7"/>
    <w:rsid w:val="006C7F4E"/>
    <w:rsid w:val="006D0376"/>
    <w:rsid w:val="006D1933"/>
    <w:rsid w:val="006D1A06"/>
    <w:rsid w:val="00701704"/>
    <w:rsid w:val="00713BD1"/>
    <w:rsid w:val="00722E85"/>
    <w:rsid w:val="007359F6"/>
    <w:rsid w:val="00750A0D"/>
    <w:rsid w:val="0075468E"/>
    <w:rsid w:val="00772828"/>
    <w:rsid w:val="00774153"/>
    <w:rsid w:val="007A1134"/>
    <w:rsid w:val="007A584D"/>
    <w:rsid w:val="007A6A81"/>
    <w:rsid w:val="007B0E58"/>
    <w:rsid w:val="007C1FB7"/>
    <w:rsid w:val="007C38DC"/>
    <w:rsid w:val="007C5CDF"/>
    <w:rsid w:val="007E2B1E"/>
    <w:rsid w:val="007E3895"/>
    <w:rsid w:val="00803483"/>
    <w:rsid w:val="00812DCD"/>
    <w:rsid w:val="0081446B"/>
    <w:rsid w:val="0082557D"/>
    <w:rsid w:val="00841A9A"/>
    <w:rsid w:val="00843FD0"/>
    <w:rsid w:val="00874E3A"/>
    <w:rsid w:val="00883A4B"/>
    <w:rsid w:val="00891412"/>
    <w:rsid w:val="00893EA3"/>
    <w:rsid w:val="0089614A"/>
    <w:rsid w:val="008B7E92"/>
    <w:rsid w:val="008C6FD1"/>
    <w:rsid w:val="008D4D99"/>
    <w:rsid w:val="008E1679"/>
    <w:rsid w:val="008E3FCC"/>
    <w:rsid w:val="00900DA8"/>
    <w:rsid w:val="00902905"/>
    <w:rsid w:val="009043DD"/>
    <w:rsid w:val="00910431"/>
    <w:rsid w:val="00922345"/>
    <w:rsid w:val="00922A46"/>
    <w:rsid w:val="009231D6"/>
    <w:rsid w:val="00933AAD"/>
    <w:rsid w:val="0094006F"/>
    <w:rsid w:val="00942E6B"/>
    <w:rsid w:val="0094465B"/>
    <w:rsid w:val="00953FFA"/>
    <w:rsid w:val="00963E83"/>
    <w:rsid w:val="00971A9B"/>
    <w:rsid w:val="00974A18"/>
    <w:rsid w:val="00975A90"/>
    <w:rsid w:val="009773B6"/>
    <w:rsid w:val="00981392"/>
    <w:rsid w:val="00991ED6"/>
    <w:rsid w:val="009934C9"/>
    <w:rsid w:val="00994A7F"/>
    <w:rsid w:val="009A6B6A"/>
    <w:rsid w:val="009A7536"/>
    <w:rsid w:val="009B7D20"/>
    <w:rsid w:val="009C739A"/>
    <w:rsid w:val="009D0367"/>
    <w:rsid w:val="009D3BB2"/>
    <w:rsid w:val="009D4AF6"/>
    <w:rsid w:val="00A02D35"/>
    <w:rsid w:val="00A06ABA"/>
    <w:rsid w:val="00A12D8D"/>
    <w:rsid w:val="00A2266C"/>
    <w:rsid w:val="00A25302"/>
    <w:rsid w:val="00A31D9D"/>
    <w:rsid w:val="00A33693"/>
    <w:rsid w:val="00A412AF"/>
    <w:rsid w:val="00A42A92"/>
    <w:rsid w:val="00A4707D"/>
    <w:rsid w:val="00A47914"/>
    <w:rsid w:val="00A47ED2"/>
    <w:rsid w:val="00A53C7C"/>
    <w:rsid w:val="00A5546A"/>
    <w:rsid w:val="00A6143D"/>
    <w:rsid w:val="00A6638F"/>
    <w:rsid w:val="00A71DFC"/>
    <w:rsid w:val="00A74478"/>
    <w:rsid w:val="00A903F6"/>
    <w:rsid w:val="00A92E04"/>
    <w:rsid w:val="00AB28AD"/>
    <w:rsid w:val="00AC517C"/>
    <w:rsid w:val="00AC5F48"/>
    <w:rsid w:val="00AD09A9"/>
    <w:rsid w:val="00AD5499"/>
    <w:rsid w:val="00AE7876"/>
    <w:rsid w:val="00AF41A4"/>
    <w:rsid w:val="00AF7028"/>
    <w:rsid w:val="00B031FF"/>
    <w:rsid w:val="00B032AF"/>
    <w:rsid w:val="00B04CAE"/>
    <w:rsid w:val="00B11617"/>
    <w:rsid w:val="00B1510B"/>
    <w:rsid w:val="00B15E9A"/>
    <w:rsid w:val="00B21F1B"/>
    <w:rsid w:val="00B22970"/>
    <w:rsid w:val="00B2398A"/>
    <w:rsid w:val="00B23F76"/>
    <w:rsid w:val="00B27EA4"/>
    <w:rsid w:val="00B30E3B"/>
    <w:rsid w:val="00B377B3"/>
    <w:rsid w:val="00B43FEA"/>
    <w:rsid w:val="00B47766"/>
    <w:rsid w:val="00B518F9"/>
    <w:rsid w:val="00B6222E"/>
    <w:rsid w:val="00B6585D"/>
    <w:rsid w:val="00B65DAF"/>
    <w:rsid w:val="00B662DF"/>
    <w:rsid w:val="00B70B71"/>
    <w:rsid w:val="00B77F2A"/>
    <w:rsid w:val="00B853E1"/>
    <w:rsid w:val="00B95D6A"/>
    <w:rsid w:val="00B973AA"/>
    <w:rsid w:val="00BA012A"/>
    <w:rsid w:val="00BD2812"/>
    <w:rsid w:val="00BD2A15"/>
    <w:rsid w:val="00BD3386"/>
    <w:rsid w:val="00BD739B"/>
    <w:rsid w:val="00BF5A6D"/>
    <w:rsid w:val="00BF6AA7"/>
    <w:rsid w:val="00C0199F"/>
    <w:rsid w:val="00C0214A"/>
    <w:rsid w:val="00C059CD"/>
    <w:rsid w:val="00C06B03"/>
    <w:rsid w:val="00C07512"/>
    <w:rsid w:val="00C27A18"/>
    <w:rsid w:val="00C3527D"/>
    <w:rsid w:val="00C35A28"/>
    <w:rsid w:val="00C36AE4"/>
    <w:rsid w:val="00C37F2B"/>
    <w:rsid w:val="00C453D2"/>
    <w:rsid w:val="00C456F7"/>
    <w:rsid w:val="00C46757"/>
    <w:rsid w:val="00C57E01"/>
    <w:rsid w:val="00C6383E"/>
    <w:rsid w:val="00C64B95"/>
    <w:rsid w:val="00C64DCC"/>
    <w:rsid w:val="00C6562B"/>
    <w:rsid w:val="00C65C00"/>
    <w:rsid w:val="00C8243E"/>
    <w:rsid w:val="00C845BE"/>
    <w:rsid w:val="00C8646D"/>
    <w:rsid w:val="00C8718E"/>
    <w:rsid w:val="00C90D44"/>
    <w:rsid w:val="00C93805"/>
    <w:rsid w:val="00C93AE2"/>
    <w:rsid w:val="00CA30F6"/>
    <w:rsid w:val="00CB08B8"/>
    <w:rsid w:val="00CB682D"/>
    <w:rsid w:val="00CB6DBA"/>
    <w:rsid w:val="00CC0F55"/>
    <w:rsid w:val="00CC2846"/>
    <w:rsid w:val="00CC3DF9"/>
    <w:rsid w:val="00CD1A4A"/>
    <w:rsid w:val="00CD5BE0"/>
    <w:rsid w:val="00CF2F04"/>
    <w:rsid w:val="00CF6716"/>
    <w:rsid w:val="00D00A66"/>
    <w:rsid w:val="00D01F0D"/>
    <w:rsid w:val="00D162DA"/>
    <w:rsid w:val="00D254E6"/>
    <w:rsid w:val="00D25AA7"/>
    <w:rsid w:val="00D2650D"/>
    <w:rsid w:val="00D2668C"/>
    <w:rsid w:val="00D36C24"/>
    <w:rsid w:val="00D40042"/>
    <w:rsid w:val="00D402BB"/>
    <w:rsid w:val="00D42F2F"/>
    <w:rsid w:val="00D42F55"/>
    <w:rsid w:val="00D527D0"/>
    <w:rsid w:val="00D559C7"/>
    <w:rsid w:val="00D70A0F"/>
    <w:rsid w:val="00D71E32"/>
    <w:rsid w:val="00D75726"/>
    <w:rsid w:val="00D770C1"/>
    <w:rsid w:val="00D8390B"/>
    <w:rsid w:val="00D841D4"/>
    <w:rsid w:val="00D90FEC"/>
    <w:rsid w:val="00D97D32"/>
    <w:rsid w:val="00DA7B4B"/>
    <w:rsid w:val="00DB019B"/>
    <w:rsid w:val="00DB1384"/>
    <w:rsid w:val="00DB175C"/>
    <w:rsid w:val="00DB38C7"/>
    <w:rsid w:val="00DC2386"/>
    <w:rsid w:val="00DC2445"/>
    <w:rsid w:val="00DD100A"/>
    <w:rsid w:val="00DD4CDE"/>
    <w:rsid w:val="00DD63E7"/>
    <w:rsid w:val="00DD662C"/>
    <w:rsid w:val="00DE1DE2"/>
    <w:rsid w:val="00E0342B"/>
    <w:rsid w:val="00E03592"/>
    <w:rsid w:val="00E17368"/>
    <w:rsid w:val="00E21877"/>
    <w:rsid w:val="00E21BE3"/>
    <w:rsid w:val="00E227C3"/>
    <w:rsid w:val="00E300EA"/>
    <w:rsid w:val="00E33F6B"/>
    <w:rsid w:val="00E36141"/>
    <w:rsid w:val="00E37ECB"/>
    <w:rsid w:val="00E4545B"/>
    <w:rsid w:val="00E570E0"/>
    <w:rsid w:val="00E64941"/>
    <w:rsid w:val="00E6495C"/>
    <w:rsid w:val="00E653D7"/>
    <w:rsid w:val="00E664CD"/>
    <w:rsid w:val="00E66F82"/>
    <w:rsid w:val="00E818ED"/>
    <w:rsid w:val="00E82AB2"/>
    <w:rsid w:val="00E838E3"/>
    <w:rsid w:val="00E83E58"/>
    <w:rsid w:val="00E86265"/>
    <w:rsid w:val="00E9526F"/>
    <w:rsid w:val="00E96191"/>
    <w:rsid w:val="00EA33C7"/>
    <w:rsid w:val="00EA4409"/>
    <w:rsid w:val="00EA4A00"/>
    <w:rsid w:val="00EA62E3"/>
    <w:rsid w:val="00EB464A"/>
    <w:rsid w:val="00EC68D5"/>
    <w:rsid w:val="00ED0A37"/>
    <w:rsid w:val="00EF0432"/>
    <w:rsid w:val="00EF30FC"/>
    <w:rsid w:val="00F0523D"/>
    <w:rsid w:val="00F25C1E"/>
    <w:rsid w:val="00F3083F"/>
    <w:rsid w:val="00F3749F"/>
    <w:rsid w:val="00F45341"/>
    <w:rsid w:val="00F462FF"/>
    <w:rsid w:val="00F55347"/>
    <w:rsid w:val="00F60B71"/>
    <w:rsid w:val="00F7257A"/>
    <w:rsid w:val="00F85C7D"/>
    <w:rsid w:val="00FA774C"/>
    <w:rsid w:val="00FC26A8"/>
    <w:rsid w:val="00FC4B69"/>
    <w:rsid w:val="00FD3A6F"/>
    <w:rsid w:val="00FD46F7"/>
    <w:rsid w:val="00FD6F84"/>
    <w:rsid w:val="00FF0338"/>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3C6FA"/>
  <w15:docId w15:val="{C099BB25-7FF4-42EC-AD4F-F6C58C46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3844B3"/>
    <w:rPr>
      <w:rFonts w:ascii="Helvetica" w:eastAsia="Arial Unicode MS" w:hAnsi="Helvetica" w:cs="Arial Unicode MS"/>
      <w:color w:val="000000"/>
      <w:sz w:val="22"/>
      <w:szCs w:val="22"/>
    </w:rPr>
  </w:style>
  <w:style w:type="character" w:customStyle="1" w:styleId="None">
    <w:name w:val="None"/>
    <w:rsid w:val="003844B3"/>
  </w:style>
  <w:style w:type="paragraph" w:styleId="ListParagraph">
    <w:name w:val="List Paragraph"/>
    <w:basedOn w:val="Normal"/>
    <w:uiPriority w:val="34"/>
    <w:qFormat/>
    <w:rsid w:val="003844B3"/>
    <w:pPr>
      <w:ind w:left="720"/>
      <w:contextualSpacing/>
    </w:pPr>
  </w:style>
  <w:style w:type="paragraph" w:styleId="NormalWeb">
    <w:name w:val="Normal (Web)"/>
    <w:basedOn w:val="Normal"/>
    <w:uiPriority w:val="99"/>
    <w:unhideWhenUsed/>
    <w:rsid w:val="00E818ED"/>
    <w:pPr>
      <w:spacing w:before="100" w:beforeAutospacing="1" w:after="100" w:afterAutospacing="1"/>
    </w:pPr>
    <w:rPr>
      <w:rFonts w:eastAsiaTheme="minorEastAsia"/>
      <w:sz w:val="24"/>
      <w:szCs w:val="24"/>
    </w:rPr>
  </w:style>
  <w:style w:type="character" w:styleId="Emphasis">
    <w:name w:val="Emphasis"/>
    <w:basedOn w:val="DefaultParagraphFont"/>
    <w:uiPriority w:val="20"/>
    <w:qFormat/>
    <w:rsid w:val="00CF2F04"/>
    <w:rPr>
      <w:i/>
      <w:iCs/>
    </w:rPr>
  </w:style>
  <w:style w:type="paragraph" w:styleId="Revision">
    <w:name w:val="Revision"/>
    <w:hidden/>
    <w:uiPriority w:val="99"/>
    <w:semiHidden/>
    <w:rsid w:val="000D1F4D"/>
  </w:style>
  <w:style w:type="paragraph" w:styleId="FootnoteText">
    <w:name w:val="footnote text"/>
    <w:basedOn w:val="Normal"/>
    <w:link w:val="FootnoteTextChar"/>
    <w:uiPriority w:val="99"/>
    <w:semiHidden/>
    <w:unhideWhenUsed/>
    <w:rsid w:val="00AC517C"/>
  </w:style>
  <w:style w:type="character" w:customStyle="1" w:styleId="FootnoteTextChar">
    <w:name w:val="Footnote Text Char"/>
    <w:basedOn w:val="DefaultParagraphFont"/>
    <w:link w:val="FootnoteText"/>
    <w:uiPriority w:val="99"/>
    <w:semiHidden/>
    <w:rsid w:val="00AC517C"/>
  </w:style>
  <w:style w:type="character" w:styleId="FootnoteReference">
    <w:name w:val="footnote reference"/>
    <w:basedOn w:val="DefaultParagraphFont"/>
    <w:uiPriority w:val="99"/>
    <w:semiHidden/>
    <w:unhideWhenUsed/>
    <w:rsid w:val="00AC517C"/>
    <w:rPr>
      <w:vertAlign w:val="superscript"/>
    </w:rPr>
  </w:style>
  <w:style w:type="character" w:customStyle="1" w:styleId="FooterChar">
    <w:name w:val="Footer Char"/>
    <w:basedOn w:val="DefaultParagraphFont"/>
    <w:link w:val="Footer"/>
    <w:uiPriority w:val="99"/>
    <w:rsid w:val="00D90FEC"/>
  </w:style>
  <w:style w:type="character" w:styleId="Hyperlink">
    <w:name w:val="Hyperlink"/>
    <w:basedOn w:val="DefaultParagraphFont"/>
    <w:uiPriority w:val="99"/>
    <w:unhideWhenUsed/>
    <w:rsid w:val="0027709D"/>
    <w:rPr>
      <w:color w:val="0000FF" w:themeColor="hyperlink"/>
      <w:u w:val="single"/>
    </w:rPr>
  </w:style>
  <w:style w:type="character" w:customStyle="1" w:styleId="UnresolvedMention1">
    <w:name w:val="Unresolved Mention1"/>
    <w:basedOn w:val="DefaultParagraphFont"/>
    <w:uiPriority w:val="99"/>
    <w:semiHidden/>
    <w:unhideWhenUsed/>
    <w:rsid w:val="0027709D"/>
    <w:rPr>
      <w:color w:val="605E5C"/>
      <w:shd w:val="clear" w:color="auto" w:fill="E1DFDD"/>
    </w:rPr>
  </w:style>
  <w:style w:type="character" w:styleId="Strong">
    <w:name w:val="Strong"/>
    <w:basedOn w:val="DefaultParagraphFont"/>
    <w:uiPriority w:val="22"/>
    <w:qFormat/>
    <w:rsid w:val="004C58F2"/>
    <w:rPr>
      <w:b/>
      <w:bCs/>
    </w:rPr>
  </w:style>
  <w:style w:type="character" w:styleId="UnresolvedMention">
    <w:name w:val="Unresolved Mention"/>
    <w:basedOn w:val="DefaultParagraphFont"/>
    <w:uiPriority w:val="99"/>
    <w:semiHidden/>
    <w:unhideWhenUsed/>
    <w:rsid w:val="00B6585D"/>
    <w:rPr>
      <w:color w:val="605E5C"/>
      <w:shd w:val="clear" w:color="auto" w:fill="E1DFDD"/>
    </w:rPr>
  </w:style>
  <w:style w:type="character" w:customStyle="1" w:styleId="xn-location">
    <w:name w:val="xn-location"/>
    <w:basedOn w:val="DefaultParagraphFont"/>
    <w:rsid w:val="00056E1A"/>
  </w:style>
  <w:style w:type="character" w:customStyle="1" w:styleId="fpnjyksewe">
    <w:name w:val="fpnjyksewe"/>
    <w:basedOn w:val="DefaultParagraphFont"/>
    <w:rsid w:val="00E8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7595">
      <w:bodyDiv w:val="1"/>
      <w:marLeft w:val="0"/>
      <w:marRight w:val="0"/>
      <w:marTop w:val="0"/>
      <w:marBottom w:val="0"/>
      <w:divBdr>
        <w:top w:val="none" w:sz="0" w:space="0" w:color="auto"/>
        <w:left w:val="none" w:sz="0" w:space="0" w:color="auto"/>
        <w:bottom w:val="none" w:sz="0" w:space="0" w:color="auto"/>
        <w:right w:val="none" w:sz="0" w:space="0" w:color="auto"/>
      </w:divBdr>
      <w:divsChild>
        <w:div w:id="1868568678">
          <w:marLeft w:val="0"/>
          <w:marRight w:val="0"/>
          <w:marTop w:val="0"/>
          <w:marBottom w:val="0"/>
          <w:divBdr>
            <w:top w:val="none" w:sz="0" w:space="0" w:color="auto"/>
            <w:left w:val="none" w:sz="0" w:space="0" w:color="auto"/>
            <w:bottom w:val="none" w:sz="0" w:space="0" w:color="auto"/>
            <w:right w:val="none" w:sz="0" w:space="0" w:color="auto"/>
          </w:divBdr>
        </w:div>
      </w:divsChild>
    </w:div>
    <w:div w:id="113064303">
      <w:bodyDiv w:val="1"/>
      <w:marLeft w:val="0"/>
      <w:marRight w:val="0"/>
      <w:marTop w:val="0"/>
      <w:marBottom w:val="0"/>
      <w:divBdr>
        <w:top w:val="none" w:sz="0" w:space="0" w:color="auto"/>
        <w:left w:val="none" w:sz="0" w:space="0" w:color="auto"/>
        <w:bottom w:val="none" w:sz="0" w:space="0" w:color="auto"/>
        <w:right w:val="none" w:sz="0" w:space="0" w:color="auto"/>
      </w:divBdr>
    </w:div>
    <w:div w:id="132448777">
      <w:bodyDiv w:val="1"/>
      <w:marLeft w:val="0"/>
      <w:marRight w:val="0"/>
      <w:marTop w:val="0"/>
      <w:marBottom w:val="0"/>
      <w:divBdr>
        <w:top w:val="none" w:sz="0" w:space="0" w:color="auto"/>
        <w:left w:val="none" w:sz="0" w:space="0" w:color="auto"/>
        <w:bottom w:val="none" w:sz="0" w:space="0" w:color="auto"/>
        <w:right w:val="none" w:sz="0" w:space="0" w:color="auto"/>
      </w:divBdr>
    </w:div>
    <w:div w:id="234704337">
      <w:bodyDiv w:val="1"/>
      <w:marLeft w:val="0"/>
      <w:marRight w:val="0"/>
      <w:marTop w:val="0"/>
      <w:marBottom w:val="0"/>
      <w:divBdr>
        <w:top w:val="none" w:sz="0" w:space="0" w:color="auto"/>
        <w:left w:val="none" w:sz="0" w:space="0" w:color="auto"/>
        <w:bottom w:val="none" w:sz="0" w:space="0" w:color="auto"/>
        <w:right w:val="none" w:sz="0" w:space="0" w:color="auto"/>
      </w:divBdr>
    </w:div>
    <w:div w:id="326596620">
      <w:bodyDiv w:val="1"/>
      <w:marLeft w:val="0"/>
      <w:marRight w:val="0"/>
      <w:marTop w:val="0"/>
      <w:marBottom w:val="0"/>
      <w:divBdr>
        <w:top w:val="none" w:sz="0" w:space="0" w:color="auto"/>
        <w:left w:val="none" w:sz="0" w:space="0" w:color="auto"/>
        <w:bottom w:val="none" w:sz="0" w:space="0" w:color="auto"/>
        <w:right w:val="none" w:sz="0" w:space="0" w:color="auto"/>
      </w:divBdr>
    </w:div>
    <w:div w:id="354887424">
      <w:bodyDiv w:val="1"/>
      <w:marLeft w:val="0"/>
      <w:marRight w:val="0"/>
      <w:marTop w:val="0"/>
      <w:marBottom w:val="0"/>
      <w:divBdr>
        <w:top w:val="none" w:sz="0" w:space="0" w:color="auto"/>
        <w:left w:val="none" w:sz="0" w:space="0" w:color="auto"/>
        <w:bottom w:val="none" w:sz="0" w:space="0" w:color="auto"/>
        <w:right w:val="none" w:sz="0" w:space="0" w:color="auto"/>
      </w:divBdr>
    </w:div>
    <w:div w:id="451754407">
      <w:bodyDiv w:val="1"/>
      <w:marLeft w:val="0"/>
      <w:marRight w:val="0"/>
      <w:marTop w:val="0"/>
      <w:marBottom w:val="0"/>
      <w:divBdr>
        <w:top w:val="none" w:sz="0" w:space="0" w:color="auto"/>
        <w:left w:val="none" w:sz="0" w:space="0" w:color="auto"/>
        <w:bottom w:val="none" w:sz="0" w:space="0" w:color="auto"/>
        <w:right w:val="none" w:sz="0" w:space="0" w:color="auto"/>
      </w:divBdr>
    </w:div>
    <w:div w:id="490876945">
      <w:bodyDiv w:val="1"/>
      <w:marLeft w:val="0"/>
      <w:marRight w:val="0"/>
      <w:marTop w:val="0"/>
      <w:marBottom w:val="0"/>
      <w:divBdr>
        <w:top w:val="none" w:sz="0" w:space="0" w:color="auto"/>
        <w:left w:val="none" w:sz="0" w:space="0" w:color="auto"/>
        <w:bottom w:val="none" w:sz="0" w:space="0" w:color="auto"/>
        <w:right w:val="none" w:sz="0" w:space="0" w:color="auto"/>
      </w:divBdr>
    </w:div>
    <w:div w:id="498469398">
      <w:bodyDiv w:val="1"/>
      <w:marLeft w:val="0"/>
      <w:marRight w:val="0"/>
      <w:marTop w:val="0"/>
      <w:marBottom w:val="0"/>
      <w:divBdr>
        <w:top w:val="none" w:sz="0" w:space="0" w:color="auto"/>
        <w:left w:val="none" w:sz="0" w:space="0" w:color="auto"/>
        <w:bottom w:val="none" w:sz="0" w:space="0" w:color="auto"/>
        <w:right w:val="none" w:sz="0" w:space="0" w:color="auto"/>
      </w:divBdr>
    </w:div>
    <w:div w:id="556741420">
      <w:bodyDiv w:val="1"/>
      <w:marLeft w:val="0"/>
      <w:marRight w:val="0"/>
      <w:marTop w:val="0"/>
      <w:marBottom w:val="0"/>
      <w:divBdr>
        <w:top w:val="none" w:sz="0" w:space="0" w:color="auto"/>
        <w:left w:val="none" w:sz="0" w:space="0" w:color="auto"/>
        <w:bottom w:val="none" w:sz="0" w:space="0" w:color="auto"/>
        <w:right w:val="none" w:sz="0" w:space="0" w:color="auto"/>
      </w:divBdr>
    </w:div>
    <w:div w:id="574824054">
      <w:bodyDiv w:val="1"/>
      <w:marLeft w:val="0"/>
      <w:marRight w:val="0"/>
      <w:marTop w:val="0"/>
      <w:marBottom w:val="0"/>
      <w:divBdr>
        <w:top w:val="none" w:sz="0" w:space="0" w:color="auto"/>
        <w:left w:val="none" w:sz="0" w:space="0" w:color="auto"/>
        <w:bottom w:val="none" w:sz="0" w:space="0" w:color="auto"/>
        <w:right w:val="none" w:sz="0" w:space="0" w:color="auto"/>
      </w:divBdr>
      <w:divsChild>
        <w:div w:id="1061487964">
          <w:marLeft w:val="150"/>
          <w:marRight w:val="150"/>
          <w:marTop w:val="75"/>
          <w:marBottom w:val="75"/>
          <w:divBdr>
            <w:top w:val="single" w:sz="6" w:space="0" w:color="808080"/>
            <w:left w:val="none" w:sz="0" w:space="0" w:color="auto"/>
            <w:bottom w:val="single" w:sz="6" w:space="0" w:color="808080"/>
            <w:right w:val="none" w:sz="0" w:space="0" w:color="auto"/>
          </w:divBdr>
        </w:div>
      </w:divsChild>
    </w:div>
    <w:div w:id="666710871">
      <w:bodyDiv w:val="1"/>
      <w:marLeft w:val="0"/>
      <w:marRight w:val="0"/>
      <w:marTop w:val="0"/>
      <w:marBottom w:val="0"/>
      <w:divBdr>
        <w:top w:val="none" w:sz="0" w:space="0" w:color="auto"/>
        <w:left w:val="none" w:sz="0" w:space="0" w:color="auto"/>
        <w:bottom w:val="none" w:sz="0" w:space="0" w:color="auto"/>
        <w:right w:val="none" w:sz="0" w:space="0" w:color="auto"/>
      </w:divBdr>
    </w:div>
    <w:div w:id="686836834">
      <w:bodyDiv w:val="1"/>
      <w:marLeft w:val="0"/>
      <w:marRight w:val="0"/>
      <w:marTop w:val="0"/>
      <w:marBottom w:val="0"/>
      <w:divBdr>
        <w:top w:val="none" w:sz="0" w:space="0" w:color="auto"/>
        <w:left w:val="none" w:sz="0" w:space="0" w:color="auto"/>
        <w:bottom w:val="none" w:sz="0" w:space="0" w:color="auto"/>
        <w:right w:val="none" w:sz="0" w:space="0" w:color="auto"/>
      </w:divBdr>
    </w:div>
    <w:div w:id="723021183">
      <w:bodyDiv w:val="1"/>
      <w:marLeft w:val="0"/>
      <w:marRight w:val="0"/>
      <w:marTop w:val="0"/>
      <w:marBottom w:val="0"/>
      <w:divBdr>
        <w:top w:val="none" w:sz="0" w:space="0" w:color="auto"/>
        <w:left w:val="none" w:sz="0" w:space="0" w:color="auto"/>
        <w:bottom w:val="none" w:sz="0" w:space="0" w:color="auto"/>
        <w:right w:val="none" w:sz="0" w:space="0" w:color="auto"/>
      </w:divBdr>
      <w:divsChild>
        <w:div w:id="151413678">
          <w:marLeft w:val="0"/>
          <w:marRight w:val="0"/>
          <w:marTop w:val="0"/>
          <w:marBottom w:val="0"/>
          <w:divBdr>
            <w:top w:val="none" w:sz="0" w:space="0" w:color="auto"/>
            <w:left w:val="none" w:sz="0" w:space="0" w:color="auto"/>
            <w:bottom w:val="none" w:sz="0" w:space="0" w:color="auto"/>
            <w:right w:val="none" w:sz="0" w:space="0" w:color="auto"/>
          </w:divBdr>
        </w:div>
      </w:divsChild>
    </w:div>
    <w:div w:id="933979350">
      <w:bodyDiv w:val="1"/>
      <w:marLeft w:val="0"/>
      <w:marRight w:val="0"/>
      <w:marTop w:val="0"/>
      <w:marBottom w:val="0"/>
      <w:divBdr>
        <w:top w:val="none" w:sz="0" w:space="0" w:color="auto"/>
        <w:left w:val="none" w:sz="0" w:space="0" w:color="auto"/>
        <w:bottom w:val="none" w:sz="0" w:space="0" w:color="auto"/>
        <w:right w:val="none" w:sz="0" w:space="0" w:color="auto"/>
      </w:divBdr>
    </w:div>
    <w:div w:id="966394286">
      <w:bodyDiv w:val="1"/>
      <w:marLeft w:val="0"/>
      <w:marRight w:val="0"/>
      <w:marTop w:val="0"/>
      <w:marBottom w:val="0"/>
      <w:divBdr>
        <w:top w:val="none" w:sz="0" w:space="0" w:color="auto"/>
        <w:left w:val="none" w:sz="0" w:space="0" w:color="auto"/>
        <w:bottom w:val="none" w:sz="0" w:space="0" w:color="auto"/>
        <w:right w:val="none" w:sz="0" w:space="0" w:color="auto"/>
      </w:divBdr>
    </w:div>
    <w:div w:id="1089548573">
      <w:bodyDiv w:val="1"/>
      <w:marLeft w:val="0"/>
      <w:marRight w:val="0"/>
      <w:marTop w:val="0"/>
      <w:marBottom w:val="0"/>
      <w:divBdr>
        <w:top w:val="none" w:sz="0" w:space="0" w:color="auto"/>
        <w:left w:val="none" w:sz="0" w:space="0" w:color="auto"/>
        <w:bottom w:val="none" w:sz="0" w:space="0" w:color="auto"/>
        <w:right w:val="none" w:sz="0" w:space="0" w:color="auto"/>
      </w:divBdr>
    </w:div>
    <w:div w:id="1104883434">
      <w:bodyDiv w:val="1"/>
      <w:marLeft w:val="0"/>
      <w:marRight w:val="0"/>
      <w:marTop w:val="0"/>
      <w:marBottom w:val="0"/>
      <w:divBdr>
        <w:top w:val="none" w:sz="0" w:space="0" w:color="auto"/>
        <w:left w:val="none" w:sz="0" w:space="0" w:color="auto"/>
        <w:bottom w:val="none" w:sz="0" w:space="0" w:color="auto"/>
        <w:right w:val="none" w:sz="0" w:space="0" w:color="auto"/>
      </w:divBdr>
    </w:div>
    <w:div w:id="1156645471">
      <w:bodyDiv w:val="1"/>
      <w:marLeft w:val="0"/>
      <w:marRight w:val="0"/>
      <w:marTop w:val="0"/>
      <w:marBottom w:val="0"/>
      <w:divBdr>
        <w:top w:val="none" w:sz="0" w:space="0" w:color="auto"/>
        <w:left w:val="none" w:sz="0" w:space="0" w:color="auto"/>
        <w:bottom w:val="none" w:sz="0" w:space="0" w:color="auto"/>
        <w:right w:val="none" w:sz="0" w:space="0" w:color="auto"/>
      </w:divBdr>
    </w:div>
    <w:div w:id="1172137284">
      <w:bodyDiv w:val="1"/>
      <w:marLeft w:val="0"/>
      <w:marRight w:val="0"/>
      <w:marTop w:val="0"/>
      <w:marBottom w:val="0"/>
      <w:divBdr>
        <w:top w:val="none" w:sz="0" w:space="0" w:color="auto"/>
        <w:left w:val="none" w:sz="0" w:space="0" w:color="auto"/>
        <w:bottom w:val="none" w:sz="0" w:space="0" w:color="auto"/>
        <w:right w:val="none" w:sz="0" w:space="0" w:color="auto"/>
      </w:divBdr>
    </w:div>
    <w:div w:id="1203128951">
      <w:bodyDiv w:val="1"/>
      <w:marLeft w:val="0"/>
      <w:marRight w:val="0"/>
      <w:marTop w:val="0"/>
      <w:marBottom w:val="0"/>
      <w:divBdr>
        <w:top w:val="none" w:sz="0" w:space="0" w:color="auto"/>
        <w:left w:val="none" w:sz="0" w:space="0" w:color="auto"/>
        <w:bottom w:val="none" w:sz="0" w:space="0" w:color="auto"/>
        <w:right w:val="none" w:sz="0" w:space="0" w:color="auto"/>
      </w:divBdr>
    </w:div>
    <w:div w:id="1259405427">
      <w:bodyDiv w:val="1"/>
      <w:marLeft w:val="0"/>
      <w:marRight w:val="0"/>
      <w:marTop w:val="0"/>
      <w:marBottom w:val="0"/>
      <w:divBdr>
        <w:top w:val="none" w:sz="0" w:space="0" w:color="auto"/>
        <w:left w:val="none" w:sz="0" w:space="0" w:color="auto"/>
        <w:bottom w:val="none" w:sz="0" w:space="0" w:color="auto"/>
        <w:right w:val="none" w:sz="0" w:space="0" w:color="auto"/>
      </w:divBdr>
    </w:div>
    <w:div w:id="1303543364">
      <w:bodyDiv w:val="1"/>
      <w:marLeft w:val="0"/>
      <w:marRight w:val="0"/>
      <w:marTop w:val="0"/>
      <w:marBottom w:val="0"/>
      <w:divBdr>
        <w:top w:val="none" w:sz="0" w:space="0" w:color="auto"/>
        <w:left w:val="none" w:sz="0" w:space="0" w:color="auto"/>
        <w:bottom w:val="none" w:sz="0" w:space="0" w:color="auto"/>
        <w:right w:val="none" w:sz="0" w:space="0" w:color="auto"/>
      </w:divBdr>
      <w:divsChild>
        <w:div w:id="915744072">
          <w:marLeft w:val="0"/>
          <w:marRight w:val="0"/>
          <w:marTop w:val="0"/>
          <w:marBottom w:val="0"/>
          <w:divBdr>
            <w:top w:val="none" w:sz="0" w:space="0" w:color="auto"/>
            <w:left w:val="none" w:sz="0" w:space="0" w:color="auto"/>
            <w:bottom w:val="none" w:sz="0" w:space="0" w:color="auto"/>
            <w:right w:val="none" w:sz="0" w:space="0" w:color="auto"/>
          </w:divBdr>
        </w:div>
      </w:divsChild>
    </w:div>
    <w:div w:id="1329554337">
      <w:bodyDiv w:val="1"/>
      <w:marLeft w:val="0"/>
      <w:marRight w:val="0"/>
      <w:marTop w:val="0"/>
      <w:marBottom w:val="0"/>
      <w:divBdr>
        <w:top w:val="none" w:sz="0" w:space="0" w:color="auto"/>
        <w:left w:val="none" w:sz="0" w:space="0" w:color="auto"/>
        <w:bottom w:val="none" w:sz="0" w:space="0" w:color="auto"/>
        <w:right w:val="none" w:sz="0" w:space="0" w:color="auto"/>
      </w:divBdr>
    </w:div>
    <w:div w:id="1394349541">
      <w:bodyDiv w:val="1"/>
      <w:marLeft w:val="0"/>
      <w:marRight w:val="0"/>
      <w:marTop w:val="0"/>
      <w:marBottom w:val="0"/>
      <w:divBdr>
        <w:top w:val="none" w:sz="0" w:space="0" w:color="auto"/>
        <w:left w:val="none" w:sz="0" w:space="0" w:color="auto"/>
        <w:bottom w:val="none" w:sz="0" w:space="0" w:color="auto"/>
        <w:right w:val="none" w:sz="0" w:space="0" w:color="auto"/>
      </w:divBdr>
    </w:div>
    <w:div w:id="1581255990">
      <w:bodyDiv w:val="1"/>
      <w:marLeft w:val="0"/>
      <w:marRight w:val="0"/>
      <w:marTop w:val="0"/>
      <w:marBottom w:val="0"/>
      <w:divBdr>
        <w:top w:val="none" w:sz="0" w:space="0" w:color="auto"/>
        <w:left w:val="none" w:sz="0" w:space="0" w:color="auto"/>
        <w:bottom w:val="none" w:sz="0" w:space="0" w:color="auto"/>
        <w:right w:val="none" w:sz="0" w:space="0" w:color="auto"/>
      </w:divBdr>
    </w:div>
    <w:div w:id="1694111585">
      <w:bodyDiv w:val="1"/>
      <w:marLeft w:val="0"/>
      <w:marRight w:val="0"/>
      <w:marTop w:val="0"/>
      <w:marBottom w:val="0"/>
      <w:divBdr>
        <w:top w:val="none" w:sz="0" w:space="0" w:color="auto"/>
        <w:left w:val="none" w:sz="0" w:space="0" w:color="auto"/>
        <w:bottom w:val="none" w:sz="0" w:space="0" w:color="auto"/>
        <w:right w:val="none" w:sz="0" w:space="0" w:color="auto"/>
      </w:divBdr>
    </w:div>
    <w:div w:id="1783842830">
      <w:bodyDiv w:val="1"/>
      <w:marLeft w:val="0"/>
      <w:marRight w:val="0"/>
      <w:marTop w:val="0"/>
      <w:marBottom w:val="0"/>
      <w:divBdr>
        <w:top w:val="none" w:sz="0" w:space="0" w:color="auto"/>
        <w:left w:val="none" w:sz="0" w:space="0" w:color="auto"/>
        <w:bottom w:val="none" w:sz="0" w:space="0" w:color="auto"/>
        <w:right w:val="none" w:sz="0" w:space="0" w:color="auto"/>
      </w:divBdr>
    </w:div>
    <w:div w:id="1807965644">
      <w:bodyDiv w:val="1"/>
      <w:marLeft w:val="0"/>
      <w:marRight w:val="0"/>
      <w:marTop w:val="0"/>
      <w:marBottom w:val="0"/>
      <w:divBdr>
        <w:top w:val="none" w:sz="0" w:space="0" w:color="auto"/>
        <w:left w:val="none" w:sz="0" w:space="0" w:color="auto"/>
        <w:bottom w:val="none" w:sz="0" w:space="0" w:color="auto"/>
        <w:right w:val="none" w:sz="0" w:space="0" w:color="auto"/>
      </w:divBdr>
      <w:divsChild>
        <w:div w:id="151457533">
          <w:marLeft w:val="0"/>
          <w:marRight w:val="0"/>
          <w:marTop w:val="0"/>
          <w:marBottom w:val="0"/>
          <w:divBdr>
            <w:top w:val="none" w:sz="0" w:space="0" w:color="auto"/>
            <w:left w:val="none" w:sz="0" w:space="0" w:color="auto"/>
            <w:bottom w:val="none" w:sz="0" w:space="0" w:color="auto"/>
            <w:right w:val="none" w:sz="0" w:space="0" w:color="auto"/>
          </w:divBdr>
          <w:divsChild>
            <w:div w:id="1607347150">
              <w:marLeft w:val="0"/>
              <w:marRight w:val="0"/>
              <w:marTop w:val="0"/>
              <w:marBottom w:val="0"/>
              <w:divBdr>
                <w:top w:val="single" w:sz="36" w:space="0" w:color="00A88F"/>
                <w:left w:val="none" w:sz="0" w:space="0" w:color="auto"/>
                <w:bottom w:val="single" w:sz="6" w:space="0" w:color="00A88F"/>
                <w:right w:val="none" w:sz="0" w:space="0" w:color="auto"/>
              </w:divBdr>
              <w:divsChild>
                <w:div w:id="1170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940">
          <w:marLeft w:val="0"/>
          <w:marRight w:val="0"/>
          <w:marTop w:val="0"/>
          <w:marBottom w:val="0"/>
          <w:divBdr>
            <w:top w:val="none" w:sz="0" w:space="0" w:color="auto"/>
            <w:left w:val="none" w:sz="0" w:space="0" w:color="auto"/>
            <w:bottom w:val="none" w:sz="0" w:space="0" w:color="auto"/>
            <w:right w:val="none" w:sz="0" w:space="0" w:color="auto"/>
          </w:divBdr>
          <w:divsChild>
            <w:div w:id="2794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075">
      <w:bodyDiv w:val="1"/>
      <w:marLeft w:val="0"/>
      <w:marRight w:val="0"/>
      <w:marTop w:val="0"/>
      <w:marBottom w:val="0"/>
      <w:divBdr>
        <w:top w:val="none" w:sz="0" w:space="0" w:color="auto"/>
        <w:left w:val="none" w:sz="0" w:space="0" w:color="auto"/>
        <w:bottom w:val="none" w:sz="0" w:space="0" w:color="auto"/>
        <w:right w:val="none" w:sz="0" w:space="0" w:color="auto"/>
      </w:divBdr>
    </w:div>
    <w:div w:id="1853913492">
      <w:bodyDiv w:val="1"/>
      <w:marLeft w:val="0"/>
      <w:marRight w:val="0"/>
      <w:marTop w:val="0"/>
      <w:marBottom w:val="0"/>
      <w:divBdr>
        <w:top w:val="none" w:sz="0" w:space="0" w:color="auto"/>
        <w:left w:val="none" w:sz="0" w:space="0" w:color="auto"/>
        <w:bottom w:val="none" w:sz="0" w:space="0" w:color="auto"/>
        <w:right w:val="none" w:sz="0" w:space="0" w:color="auto"/>
      </w:divBdr>
    </w:div>
    <w:div w:id="2032755788">
      <w:bodyDiv w:val="1"/>
      <w:marLeft w:val="0"/>
      <w:marRight w:val="0"/>
      <w:marTop w:val="0"/>
      <w:marBottom w:val="0"/>
      <w:divBdr>
        <w:top w:val="none" w:sz="0" w:space="0" w:color="auto"/>
        <w:left w:val="none" w:sz="0" w:space="0" w:color="auto"/>
        <w:bottom w:val="none" w:sz="0" w:space="0" w:color="auto"/>
        <w:right w:val="none" w:sz="0" w:space="0" w:color="auto"/>
      </w:divBdr>
    </w:div>
    <w:div w:id="20442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47DB-0349-4380-89C8-CCCB02C1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Matt Cohen</cp:lastModifiedBy>
  <cp:revision>2</cp:revision>
  <cp:lastPrinted>2022-05-18T14:50:00Z</cp:lastPrinted>
  <dcterms:created xsi:type="dcterms:W3CDTF">2022-07-15T15:49:00Z</dcterms:created>
  <dcterms:modified xsi:type="dcterms:W3CDTF">2022-07-15T15:49:00Z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