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3AE1"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38986E74" w14:textId="77777777"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1F6C4F">
        <w:rPr>
          <w:rFonts w:ascii="Arial" w:hAnsi="Arial"/>
          <w:color w:val="000000"/>
          <w:u w:val="single"/>
        </w:rPr>
        <w:t xml:space="preserve">PROJECT ONE RESOURCES </w:t>
      </w:r>
      <w:r w:rsidR="005B31F1">
        <w:rPr>
          <w:rFonts w:ascii="Arial" w:hAnsi="Arial"/>
          <w:color w:val="000000"/>
          <w:u w:val="single"/>
        </w:rPr>
        <w:t>L</w:t>
      </w:r>
      <w:r w:rsidR="001F6C4F">
        <w:rPr>
          <w:rFonts w:ascii="Arial" w:hAnsi="Arial"/>
          <w:color w:val="000000"/>
          <w:u w:val="single"/>
        </w:rPr>
        <w:t>TD</w:t>
      </w:r>
      <w:r>
        <w:rPr>
          <w:rFonts w:ascii="Arial" w:hAnsi="Arial"/>
          <w:color w:val="000000"/>
          <w:u w:val="single"/>
        </w:rPr>
        <w:t>___</w:t>
      </w:r>
      <w:r>
        <w:rPr>
          <w:rFonts w:ascii="Arial" w:hAnsi="Arial"/>
          <w:color w:val="000000"/>
        </w:rPr>
        <w:t xml:space="preserve"> (the “Issuer”).</w:t>
      </w:r>
    </w:p>
    <w:p w14:paraId="4AD23221" w14:textId="77777777" w:rsidR="005B31F1" w:rsidRDefault="0048706B" w:rsidP="005B31F1">
      <w:pPr>
        <w:pStyle w:val="BodyText"/>
        <w:tabs>
          <w:tab w:val="left" w:pos="7920"/>
          <w:tab w:val="left" w:pos="9180"/>
        </w:tabs>
        <w:rPr>
          <w:rFonts w:ascii="Arial" w:hAnsi="Arial"/>
          <w:color w:val="000000"/>
        </w:rPr>
      </w:pPr>
      <w:r>
        <w:rPr>
          <w:rFonts w:ascii="Arial" w:hAnsi="Arial"/>
          <w:color w:val="000000"/>
        </w:rPr>
        <w:t xml:space="preserve">Trading Symbol: </w:t>
      </w:r>
      <w:r w:rsidR="001F6C4F">
        <w:rPr>
          <w:rFonts w:ascii="Arial" w:hAnsi="Arial"/>
          <w:color w:val="000000"/>
        </w:rPr>
        <w:t>PJO</w:t>
      </w:r>
    </w:p>
    <w:p w14:paraId="7CD9FB98" w14:textId="77777777" w:rsidR="0048706B" w:rsidRDefault="0048706B">
      <w:pPr>
        <w:rPr>
          <w:sz w:val="24"/>
        </w:rPr>
      </w:pPr>
    </w:p>
    <w:p w14:paraId="5195EDBB" w14:textId="623CA73E" w:rsidR="0048706B" w:rsidRDefault="0048706B">
      <w:pPr>
        <w:pStyle w:val="Heading1"/>
        <w:spacing w:line="280" w:lineRule="exact"/>
        <w:rPr>
          <w:rFonts w:ascii="Arial" w:hAnsi="Arial"/>
        </w:rPr>
      </w:pPr>
      <w:r>
        <w:rPr>
          <w:rFonts w:ascii="Arial" w:hAnsi="Arial"/>
        </w:rPr>
        <w:t>SCHEDULE A:</w:t>
      </w:r>
      <w:r>
        <w:rPr>
          <w:rFonts w:ascii="Arial" w:hAnsi="Arial"/>
          <w:b w:val="0"/>
        </w:rPr>
        <w:t xml:space="preserve">  </w:t>
      </w:r>
      <w:r>
        <w:rPr>
          <w:rFonts w:ascii="Arial" w:hAnsi="Arial"/>
        </w:rPr>
        <w:t>FINANCIAL STATEMENTS</w:t>
      </w:r>
    </w:p>
    <w:p w14:paraId="6B1EEE88" w14:textId="77777777" w:rsidR="001B5FEC" w:rsidRDefault="001B5FEC" w:rsidP="001B5FEC">
      <w:pPr>
        <w:jc w:val="center"/>
        <w:rPr>
          <w:b/>
          <w:bCs/>
          <w:sz w:val="24"/>
        </w:rPr>
      </w:pPr>
    </w:p>
    <w:p w14:paraId="6652B8D9" w14:textId="77777777" w:rsidR="007F54B8" w:rsidRPr="00F963B4" w:rsidRDefault="007F54B8" w:rsidP="007F54B8">
      <w:pPr>
        <w:jc w:val="center"/>
        <w:rPr>
          <w:b/>
          <w:bCs/>
        </w:rPr>
      </w:pPr>
      <w:r w:rsidRPr="00F963B4">
        <w:rPr>
          <w:b/>
          <w:bCs/>
          <w:sz w:val="24"/>
        </w:rPr>
        <w:t>PROJECT ONE RESOURCES LTD.</w:t>
      </w:r>
    </w:p>
    <w:p w14:paraId="0E8A589E" w14:textId="77777777" w:rsidR="007F54B8" w:rsidRPr="00F963B4" w:rsidRDefault="007F54B8" w:rsidP="007F54B8">
      <w:pPr>
        <w:jc w:val="center"/>
        <w:rPr>
          <w:b/>
          <w:bCs/>
        </w:rPr>
      </w:pPr>
      <w:r w:rsidRPr="00F963B4">
        <w:rPr>
          <w:b/>
          <w:bCs/>
        </w:rPr>
        <w:br/>
      </w:r>
    </w:p>
    <w:p w14:paraId="6C765B92" w14:textId="77777777" w:rsidR="007F54B8" w:rsidRPr="00F963B4" w:rsidRDefault="007F54B8" w:rsidP="007F54B8">
      <w:pPr>
        <w:jc w:val="center"/>
        <w:rPr>
          <w:b/>
          <w:bCs/>
        </w:rPr>
      </w:pPr>
      <w:r w:rsidRPr="00F963B4">
        <w:rPr>
          <w:b/>
          <w:bCs/>
        </w:rPr>
        <w:t>Condensed Interim Financial Statements</w:t>
      </w:r>
    </w:p>
    <w:p w14:paraId="13A3D665" w14:textId="77777777" w:rsidR="007F54B8" w:rsidRPr="00F963B4" w:rsidRDefault="007F54B8" w:rsidP="007F54B8">
      <w:pPr>
        <w:jc w:val="center"/>
        <w:rPr>
          <w:b/>
          <w:bCs/>
        </w:rPr>
      </w:pPr>
      <w:r w:rsidRPr="00F963B4">
        <w:rPr>
          <w:b/>
          <w:bCs/>
        </w:rPr>
        <w:t>For the three and nine</w:t>
      </w:r>
      <w:r>
        <w:rPr>
          <w:b/>
          <w:bCs/>
        </w:rPr>
        <w:t>-</w:t>
      </w:r>
      <w:r w:rsidRPr="00F963B4">
        <w:rPr>
          <w:b/>
          <w:bCs/>
        </w:rPr>
        <w:t>month periods ended May 31, 202</w:t>
      </w:r>
      <w:r>
        <w:rPr>
          <w:b/>
          <w:bCs/>
        </w:rPr>
        <w:t>1 and 2020</w:t>
      </w:r>
    </w:p>
    <w:p w14:paraId="0F6498F7" w14:textId="77777777" w:rsidR="007F54B8" w:rsidRPr="00F963B4" w:rsidRDefault="007F54B8" w:rsidP="007F54B8">
      <w:pPr>
        <w:jc w:val="center"/>
        <w:rPr>
          <w:b/>
          <w:bCs/>
        </w:rPr>
      </w:pPr>
      <w:r w:rsidRPr="00F963B4">
        <w:rPr>
          <w:b/>
          <w:bCs/>
        </w:rPr>
        <w:t>(Expressed in Canadian Dollars)</w:t>
      </w:r>
    </w:p>
    <w:p w14:paraId="214CFF05" w14:textId="77777777" w:rsidR="007F54B8" w:rsidRDefault="007F54B8" w:rsidP="007F54B8">
      <w:pPr>
        <w:jc w:val="center"/>
        <w:rPr>
          <w:b/>
          <w:bCs/>
        </w:rPr>
        <w:sectPr w:rsidR="007F54B8" w:rsidSect="00322664">
          <w:headerReference w:type="even" r:id="rId7"/>
          <w:headerReference w:type="default" r:id="rId8"/>
          <w:footerReference w:type="default" r:id="rId9"/>
          <w:headerReference w:type="first" r:id="rId10"/>
          <w:pgSz w:w="12240" w:h="15840" w:code="1"/>
          <w:pgMar w:top="1134" w:right="1440" w:bottom="1440" w:left="1440" w:header="720" w:footer="360" w:gutter="0"/>
          <w:cols w:space="720"/>
          <w:docGrid w:linePitch="360"/>
        </w:sectPr>
      </w:pPr>
      <w:r w:rsidRPr="00F963B4">
        <w:rPr>
          <w:b/>
          <w:bCs/>
        </w:rPr>
        <w:t>(Unaudited)</w:t>
      </w:r>
    </w:p>
    <w:p w14:paraId="21E01AA4" w14:textId="77777777" w:rsidR="007F54B8" w:rsidRPr="00F963B4" w:rsidRDefault="007F54B8" w:rsidP="007F54B8">
      <w:pPr>
        <w:jc w:val="center"/>
        <w:rPr>
          <w:b/>
          <w:bCs/>
        </w:rPr>
      </w:pPr>
    </w:p>
    <w:p w14:paraId="2D6AC56B" w14:textId="77777777" w:rsidR="007F54B8" w:rsidRPr="00F963B4" w:rsidRDefault="007F54B8" w:rsidP="007F54B8">
      <w:pPr>
        <w:spacing w:after="160" w:line="259" w:lineRule="auto"/>
        <w:rPr>
          <w:szCs w:val="22"/>
        </w:rPr>
      </w:pPr>
      <w:r w:rsidRPr="00F963B4">
        <w:rPr>
          <w:szCs w:val="22"/>
        </w:rPr>
        <w:br w:type="page"/>
      </w:r>
    </w:p>
    <w:p w14:paraId="74246A6B" w14:textId="77777777" w:rsidR="007F54B8" w:rsidRPr="00F963B4" w:rsidRDefault="007F54B8" w:rsidP="007F54B8">
      <w:pPr>
        <w:pStyle w:val="FSBodyIndent"/>
        <w:jc w:val="center"/>
        <w:rPr>
          <w:rFonts w:ascii="Times New Roman" w:hAnsi="Times New Roman"/>
          <w:b/>
          <w:szCs w:val="22"/>
        </w:rPr>
      </w:pPr>
    </w:p>
    <w:p w14:paraId="34136ED4" w14:textId="77777777" w:rsidR="007F54B8" w:rsidRPr="00F963B4" w:rsidRDefault="007F54B8" w:rsidP="007F54B8">
      <w:pPr>
        <w:rPr>
          <w:b/>
          <w:bCs/>
          <w:sz w:val="24"/>
        </w:rPr>
      </w:pPr>
      <w:r w:rsidRPr="00F963B4">
        <w:rPr>
          <w:b/>
          <w:bCs/>
          <w:sz w:val="24"/>
        </w:rPr>
        <w:t xml:space="preserve">PROJECT ONE RESOURCES LTD. </w:t>
      </w:r>
    </w:p>
    <w:p w14:paraId="688F7A7A" w14:textId="77777777" w:rsidR="007F54B8" w:rsidRPr="00F963B4" w:rsidRDefault="007F54B8" w:rsidP="007F54B8">
      <w:pPr>
        <w:rPr>
          <w:b/>
          <w:bCs/>
        </w:rPr>
      </w:pPr>
      <w:r w:rsidRPr="00F963B4">
        <w:rPr>
          <w:b/>
          <w:bCs/>
        </w:rPr>
        <w:t>Condensed Interim Statements of Financial Position</w:t>
      </w:r>
    </w:p>
    <w:p w14:paraId="635A94C0" w14:textId="77777777" w:rsidR="007F54B8" w:rsidRPr="00F963B4" w:rsidRDefault="007F54B8" w:rsidP="007F54B8">
      <w:pPr>
        <w:rPr>
          <w:b/>
          <w:bCs/>
        </w:rPr>
      </w:pPr>
      <w:r w:rsidRPr="00F963B4">
        <w:rPr>
          <w:b/>
          <w:bCs/>
        </w:rPr>
        <w:t>(Unaudited - Expressed in Canadian Dollars)</w:t>
      </w:r>
    </w:p>
    <w:p w14:paraId="25098250" w14:textId="77777777" w:rsidR="007F54B8" w:rsidRPr="00F963B4" w:rsidRDefault="007F54B8" w:rsidP="007F54B8"/>
    <w:tbl>
      <w:tblPr>
        <w:tblW w:w="9360" w:type="dxa"/>
        <w:tblInd w:w="120" w:type="dxa"/>
        <w:tblLayout w:type="fixed"/>
        <w:tblCellMar>
          <w:left w:w="120" w:type="dxa"/>
          <w:right w:w="120" w:type="dxa"/>
        </w:tblCellMar>
        <w:tblLook w:val="0000" w:firstRow="0" w:lastRow="0" w:firstColumn="0" w:lastColumn="0" w:noHBand="0" w:noVBand="0"/>
      </w:tblPr>
      <w:tblGrid>
        <w:gridCol w:w="5904"/>
        <w:gridCol w:w="288"/>
        <w:gridCol w:w="1440"/>
        <w:gridCol w:w="288"/>
        <w:gridCol w:w="1440"/>
      </w:tblGrid>
      <w:tr w:rsidR="007F54B8" w:rsidRPr="002871B1" w14:paraId="280C2B23" w14:textId="77777777" w:rsidTr="004238EB">
        <w:trPr>
          <w:cantSplit/>
          <w:trHeight w:hRule="exact" w:val="484"/>
        </w:trPr>
        <w:tc>
          <w:tcPr>
            <w:tcW w:w="5904" w:type="dxa"/>
            <w:tcBorders>
              <w:top w:val="single" w:sz="12" w:space="0" w:color="auto"/>
              <w:bottom w:val="single" w:sz="4" w:space="0" w:color="auto"/>
            </w:tcBorders>
            <w:vAlign w:val="bottom"/>
          </w:tcPr>
          <w:p w14:paraId="78D8F480" w14:textId="77777777" w:rsidR="007F54B8" w:rsidRPr="00F963B4" w:rsidRDefault="007F54B8" w:rsidP="004238EB">
            <w:pPr>
              <w:pStyle w:val="Heading2"/>
              <w:keepNext w:val="0"/>
              <w:spacing w:before="0"/>
              <w:rPr>
                <w:rFonts w:ascii="Times New Roman" w:hAnsi="Times New Roman"/>
                <w:b w:val="0"/>
                <w:bCs/>
              </w:rPr>
            </w:pPr>
            <w:r w:rsidRPr="00F963B4">
              <w:rPr>
                <w:rFonts w:ascii="Times New Roman" w:hAnsi="Times New Roman"/>
              </w:rPr>
              <w:t xml:space="preserve">As </w:t>
            </w:r>
            <w:r>
              <w:rPr>
                <w:rFonts w:ascii="Times New Roman" w:hAnsi="Times New Roman"/>
              </w:rPr>
              <w:t>at</w:t>
            </w:r>
          </w:p>
        </w:tc>
        <w:tc>
          <w:tcPr>
            <w:tcW w:w="1728" w:type="dxa"/>
            <w:gridSpan w:val="2"/>
            <w:tcBorders>
              <w:top w:val="single" w:sz="12" w:space="0" w:color="auto"/>
              <w:bottom w:val="single" w:sz="4" w:space="0" w:color="auto"/>
            </w:tcBorders>
            <w:vAlign w:val="bottom"/>
          </w:tcPr>
          <w:p w14:paraId="3628D09B" w14:textId="77777777" w:rsidR="007F54B8" w:rsidRPr="00F963B4" w:rsidRDefault="007F54B8" w:rsidP="004238EB">
            <w:pPr>
              <w:jc w:val="center"/>
              <w:rPr>
                <w:b/>
                <w:bCs/>
              </w:rPr>
            </w:pPr>
            <w:r w:rsidRPr="00F963B4">
              <w:rPr>
                <w:b/>
                <w:bCs/>
              </w:rPr>
              <w:t>May 31,</w:t>
            </w:r>
            <w:r>
              <w:rPr>
                <w:b/>
                <w:bCs/>
              </w:rPr>
              <w:t xml:space="preserve"> </w:t>
            </w:r>
            <w:r w:rsidRPr="00F963B4">
              <w:rPr>
                <w:b/>
                <w:bCs/>
              </w:rPr>
              <w:t>202</w:t>
            </w:r>
            <w:r>
              <w:rPr>
                <w:b/>
                <w:bCs/>
              </w:rPr>
              <w:t>1</w:t>
            </w:r>
          </w:p>
        </w:tc>
        <w:tc>
          <w:tcPr>
            <w:tcW w:w="1728" w:type="dxa"/>
            <w:gridSpan w:val="2"/>
            <w:tcBorders>
              <w:top w:val="single" w:sz="12" w:space="0" w:color="auto"/>
              <w:bottom w:val="single" w:sz="4" w:space="0" w:color="auto"/>
            </w:tcBorders>
            <w:vAlign w:val="bottom"/>
          </w:tcPr>
          <w:p w14:paraId="56D798C2" w14:textId="77777777" w:rsidR="007F54B8" w:rsidRPr="00F963B4" w:rsidRDefault="007F54B8" w:rsidP="004238EB">
            <w:pPr>
              <w:jc w:val="center"/>
              <w:rPr>
                <w:b/>
                <w:bCs/>
              </w:rPr>
            </w:pPr>
            <w:r w:rsidRPr="00F963B4">
              <w:rPr>
                <w:b/>
                <w:bCs/>
              </w:rPr>
              <w:t>August 31, 20</w:t>
            </w:r>
            <w:r>
              <w:rPr>
                <w:b/>
                <w:bCs/>
              </w:rPr>
              <w:t>20</w:t>
            </w:r>
          </w:p>
        </w:tc>
      </w:tr>
      <w:tr w:rsidR="007F54B8" w:rsidRPr="002871B1" w14:paraId="1CF9C937" w14:textId="77777777" w:rsidTr="004238EB">
        <w:trPr>
          <w:cantSplit/>
          <w:trHeight w:hRule="exact" w:val="274"/>
        </w:trPr>
        <w:tc>
          <w:tcPr>
            <w:tcW w:w="5904" w:type="dxa"/>
            <w:tcBorders>
              <w:top w:val="single" w:sz="4" w:space="0" w:color="auto"/>
            </w:tcBorders>
            <w:vAlign w:val="bottom"/>
          </w:tcPr>
          <w:p w14:paraId="75DF9D53" w14:textId="77777777" w:rsidR="007F54B8" w:rsidRPr="00F963B4" w:rsidRDefault="007F54B8" w:rsidP="004238EB">
            <w:pPr>
              <w:pStyle w:val="Heading2"/>
              <w:keepNext w:val="0"/>
              <w:spacing w:before="0"/>
              <w:rPr>
                <w:rFonts w:ascii="Times New Roman" w:hAnsi="Times New Roman"/>
                <w:b w:val="0"/>
                <w:bCs/>
              </w:rPr>
            </w:pPr>
          </w:p>
        </w:tc>
        <w:tc>
          <w:tcPr>
            <w:tcW w:w="288" w:type="dxa"/>
            <w:tcBorders>
              <w:top w:val="single" w:sz="4" w:space="0" w:color="auto"/>
            </w:tcBorders>
            <w:vAlign w:val="bottom"/>
          </w:tcPr>
          <w:p w14:paraId="1EA38186" w14:textId="77777777" w:rsidR="007F54B8" w:rsidRPr="00F963B4" w:rsidRDefault="007F54B8" w:rsidP="004238EB">
            <w:pPr>
              <w:jc w:val="right"/>
            </w:pPr>
          </w:p>
        </w:tc>
        <w:tc>
          <w:tcPr>
            <w:tcW w:w="1440" w:type="dxa"/>
            <w:tcBorders>
              <w:top w:val="single" w:sz="4" w:space="0" w:color="auto"/>
            </w:tcBorders>
            <w:vAlign w:val="bottom"/>
          </w:tcPr>
          <w:p w14:paraId="01ACBBA3" w14:textId="77777777" w:rsidR="007F54B8" w:rsidRPr="00F963B4" w:rsidRDefault="007F54B8" w:rsidP="004238EB">
            <w:pPr>
              <w:pStyle w:val="CommentText"/>
              <w:jc w:val="right"/>
              <w:rPr>
                <w:rFonts w:ascii="Times New Roman" w:hAnsi="Times New Roman"/>
              </w:rPr>
            </w:pPr>
          </w:p>
        </w:tc>
        <w:tc>
          <w:tcPr>
            <w:tcW w:w="288" w:type="dxa"/>
            <w:tcBorders>
              <w:top w:val="single" w:sz="4" w:space="0" w:color="auto"/>
            </w:tcBorders>
            <w:vAlign w:val="bottom"/>
          </w:tcPr>
          <w:p w14:paraId="5AA71A67" w14:textId="77777777" w:rsidR="007F54B8" w:rsidRPr="00F963B4" w:rsidRDefault="007F54B8" w:rsidP="004238EB">
            <w:pPr>
              <w:jc w:val="right"/>
            </w:pPr>
          </w:p>
        </w:tc>
        <w:tc>
          <w:tcPr>
            <w:tcW w:w="1440" w:type="dxa"/>
            <w:tcBorders>
              <w:top w:val="single" w:sz="4" w:space="0" w:color="auto"/>
            </w:tcBorders>
            <w:vAlign w:val="bottom"/>
          </w:tcPr>
          <w:p w14:paraId="57ACD87B" w14:textId="77777777" w:rsidR="007F54B8" w:rsidRPr="00F963B4" w:rsidRDefault="007F54B8" w:rsidP="004238EB">
            <w:pPr>
              <w:pStyle w:val="CommentText"/>
              <w:jc w:val="right"/>
              <w:rPr>
                <w:rFonts w:ascii="Times New Roman" w:hAnsi="Times New Roman"/>
              </w:rPr>
            </w:pPr>
          </w:p>
        </w:tc>
      </w:tr>
      <w:tr w:rsidR="007F54B8" w:rsidRPr="002871B1" w14:paraId="7FABA71E" w14:textId="77777777" w:rsidTr="004238EB">
        <w:trPr>
          <w:cantSplit/>
          <w:trHeight w:hRule="exact" w:val="274"/>
        </w:trPr>
        <w:tc>
          <w:tcPr>
            <w:tcW w:w="5904" w:type="dxa"/>
            <w:vAlign w:val="bottom"/>
          </w:tcPr>
          <w:p w14:paraId="35A9175A" w14:textId="77777777" w:rsidR="007F54B8" w:rsidRPr="00F963B4" w:rsidRDefault="007F54B8" w:rsidP="004238EB">
            <w:pPr>
              <w:rPr>
                <w:b/>
                <w:sz w:val="24"/>
              </w:rPr>
            </w:pPr>
            <w:r w:rsidRPr="00F963B4">
              <w:rPr>
                <w:b/>
                <w:sz w:val="24"/>
              </w:rPr>
              <w:t>Assets</w:t>
            </w:r>
          </w:p>
        </w:tc>
        <w:tc>
          <w:tcPr>
            <w:tcW w:w="288" w:type="dxa"/>
            <w:vAlign w:val="bottom"/>
          </w:tcPr>
          <w:p w14:paraId="32F19F67" w14:textId="77777777" w:rsidR="007F54B8" w:rsidRPr="00F963B4" w:rsidRDefault="007F54B8" w:rsidP="004238EB">
            <w:pPr>
              <w:jc w:val="right"/>
            </w:pPr>
          </w:p>
        </w:tc>
        <w:tc>
          <w:tcPr>
            <w:tcW w:w="1440" w:type="dxa"/>
            <w:vAlign w:val="bottom"/>
          </w:tcPr>
          <w:p w14:paraId="7A7D05BC" w14:textId="77777777" w:rsidR="007F54B8" w:rsidRPr="00F963B4" w:rsidRDefault="007F54B8" w:rsidP="004238EB">
            <w:pPr>
              <w:pStyle w:val="CommentText"/>
              <w:jc w:val="right"/>
              <w:rPr>
                <w:rFonts w:ascii="Times New Roman" w:hAnsi="Times New Roman"/>
              </w:rPr>
            </w:pPr>
          </w:p>
        </w:tc>
        <w:tc>
          <w:tcPr>
            <w:tcW w:w="288" w:type="dxa"/>
            <w:vAlign w:val="bottom"/>
          </w:tcPr>
          <w:p w14:paraId="2951FCE7" w14:textId="77777777" w:rsidR="007F54B8" w:rsidRPr="00F963B4" w:rsidRDefault="007F54B8" w:rsidP="004238EB">
            <w:pPr>
              <w:jc w:val="right"/>
            </w:pPr>
          </w:p>
        </w:tc>
        <w:tc>
          <w:tcPr>
            <w:tcW w:w="1440" w:type="dxa"/>
            <w:vAlign w:val="bottom"/>
          </w:tcPr>
          <w:p w14:paraId="495FEA48" w14:textId="77777777" w:rsidR="007F54B8" w:rsidRPr="00F963B4" w:rsidRDefault="007F54B8" w:rsidP="004238EB">
            <w:pPr>
              <w:pStyle w:val="CommentText"/>
              <w:jc w:val="right"/>
              <w:rPr>
                <w:rFonts w:ascii="Times New Roman" w:hAnsi="Times New Roman"/>
              </w:rPr>
            </w:pPr>
          </w:p>
        </w:tc>
      </w:tr>
      <w:tr w:rsidR="007F54B8" w:rsidRPr="002871B1" w14:paraId="4C14D809" w14:textId="77777777" w:rsidTr="004238EB">
        <w:trPr>
          <w:cantSplit/>
          <w:trHeight w:hRule="exact" w:val="274"/>
        </w:trPr>
        <w:tc>
          <w:tcPr>
            <w:tcW w:w="5904" w:type="dxa"/>
            <w:vAlign w:val="bottom"/>
          </w:tcPr>
          <w:p w14:paraId="7737175E" w14:textId="77777777" w:rsidR="007F54B8" w:rsidRPr="00F963B4" w:rsidRDefault="007F54B8" w:rsidP="004238EB"/>
        </w:tc>
        <w:tc>
          <w:tcPr>
            <w:tcW w:w="288" w:type="dxa"/>
            <w:vAlign w:val="bottom"/>
          </w:tcPr>
          <w:p w14:paraId="17885987" w14:textId="77777777" w:rsidR="007F54B8" w:rsidRPr="00F963B4" w:rsidRDefault="007F54B8" w:rsidP="004238EB">
            <w:pPr>
              <w:jc w:val="right"/>
            </w:pPr>
          </w:p>
        </w:tc>
        <w:tc>
          <w:tcPr>
            <w:tcW w:w="1440" w:type="dxa"/>
            <w:vAlign w:val="bottom"/>
          </w:tcPr>
          <w:p w14:paraId="64DF4491" w14:textId="77777777" w:rsidR="007F54B8" w:rsidRPr="00F963B4" w:rsidRDefault="007F54B8" w:rsidP="004238EB">
            <w:pPr>
              <w:pStyle w:val="CommentText"/>
              <w:jc w:val="right"/>
              <w:rPr>
                <w:rFonts w:ascii="Times New Roman" w:hAnsi="Times New Roman"/>
              </w:rPr>
            </w:pPr>
          </w:p>
        </w:tc>
        <w:tc>
          <w:tcPr>
            <w:tcW w:w="288" w:type="dxa"/>
            <w:vAlign w:val="bottom"/>
          </w:tcPr>
          <w:p w14:paraId="6456552D" w14:textId="77777777" w:rsidR="007F54B8" w:rsidRPr="00F963B4" w:rsidRDefault="007F54B8" w:rsidP="004238EB">
            <w:pPr>
              <w:jc w:val="right"/>
            </w:pPr>
          </w:p>
        </w:tc>
        <w:tc>
          <w:tcPr>
            <w:tcW w:w="1440" w:type="dxa"/>
            <w:vAlign w:val="bottom"/>
          </w:tcPr>
          <w:p w14:paraId="5F0E8BC4" w14:textId="77777777" w:rsidR="007F54B8" w:rsidRPr="00F963B4" w:rsidRDefault="007F54B8" w:rsidP="004238EB">
            <w:pPr>
              <w:pStyle w:val="CommentText"/>
              <w:jc w:val="right"/>
              <w:rPr>
                <w:rFonts w:ascii="Times New Roman" w:hAnsi="Times New Roman"/>
              </w:rPr>
            </w:pPr>
          </w:p>
        </w:tc>
      </w:tr>
      <w:tr w:rsidR="007F54B8" w:rsidRPr="002871B1" w14:paraId="1CB57347" w14:textId="77777777" w:rsidTr="004238EB">
        <w:trPr>
          <w:cantSplit/>
          <w:trHeight w:hRule="exact" w:val="274"/>
        </w:trPr>
        <w:tc>
          <w:tcPr>
            <w:tcW w:w="5904" w:type="dxa"/>
            <w:vAlign w:val="bottom"/>
          </w:tcPr>
          <w:p w14:paraId="56B0B872" w14:textId="77777777" w:rsidR="007F54B8" w:rsidRPr="00F963B4" w:rsidRDefault="007F54B8" w:rsidP="004238EB">
            <w:pPr>
              <w:rPr>
                <w:b/>
              </w:rPr>
            </w:pPr>
            <w:r w:rsidRPr="00F963B4">
              <w:rPr>
                <w:b/>
              </w:rPr>
              <w:t>Current</w:t>
            </w:r>
          </w:p>
        </w:tc>
        <w:tc>
          <w:tcPr>
            <w:tcW w:w="288" w:type="dxa"/>
            <w:vAlign w:val="bottom"/>
          </w:tcPr>
          <w:p w14:paraId="54A0CBD3" w14:textId="77777777" w:rsidR="007F54B8" w:rsidRPr="00F963B4" w:rsidRDefault="007F54B8" w:rsidP="004238EB">
            <w:pPr>
              <w:jc w:val="right"/>
            </w:pPr>
          </w:p>
        </w:tc>
        <w:tc>
          <w:tcPr>
            <w:tcW w:w="1440" w:type="dxa"/>
            <w:vAlign w:val="bottom"/>
          </w:tcPr>
          <w:p w14:paraId="37B83266" w14:textId="77777777" w:rsidR="007F54B8" w:rsidRPr="00F963B4" w:rsidRDefault="007F54B8" w:rsidP="004238EB">
            <w:pPr>
              <w:pStyle w:val="CommentText"/>
              <w:jc w:val="right"/>
              <w:rPr>
                <w:rFonts w:ascii="Times New Roman" w:hAnsi="Times New Roman"/>
              </w:rPr>
            </w:pPr>
          </w:p>
        </w:tc>
        <w:tc>
          <w:tcPr>
            <w:tcW w:w="288" w:type="dxa"/>
            <w:vAlign w:val="bottom"/>
          </w:tcPr>
          <w:p w14:paraId="3072373E" w14:textId="77777777" w:rsidR="007F54B8" w:rsidRPr="00F963B4" w:rsidRDefault="007F54B8" w:rsidP="004238EB">
            <w:pPr>
              <w:jc w:val="right"/>
            </w:pPr>
          </w:p>
        </w:tc>
        <w:tc>
          <w:tcPr>
            <w:tcW w:w="1440" w:type="dxa"/>
            <w:vAlign w:val="bottom"/>
          </w:tcPr>
          <w:p w14:paraId="28BE043D" w14:textId="77777777" w:rsidR="007F54B8" w:rsidRPr="00F963B4" w:rsidRDefault="007F54B8" w:rsidP="004238EB">
            <w:pPr>
              <w:pStyle w:val="CommentText"/>
              <w:jc w:val="right"/>
              <w:rPr>
                <w:rFonts w:ascii="Times New Roman" w:hAnsi="Times New Roman"/>
              </w:rPr>
            </w:pPr>
          </w:p>
        </w:tc>
      </w:tr>
      <w:tr w:rsidR="007F54B8" w:rsidRPr="002871B1" w14:paraId="53248D47" w14:textId="77777777" w:rsidTr="004238EB">
        <w:trPr>
          <w:cantSplit/>
          <w:trHeight w:hRule="exact" w:val="274"/>
        </w:trPr>
        <w:tc>
          <w:tcPr>
            <w:tcW w:w="5904" w:type="dxa"/>
            <w:vAlign w:val="bottom"/>
          </w:tcPr>
          <w:p w14:paraId="78141978" w14:textId="77777777" w:rsidR="007F54B8" w:rsidRPr="00F963B4" w:rsidRDefault="007F54B8" w:rsidP="004238EB">
            <w:pPr>
              <w:ind w:left="150"/>
            </w:pPr>
            <w:r w:rsidRPr="00F963B4">
              <w:t>Cash</w:t>
            </w:r>
          </w:p>
        </w:tc>
        <w:tc>
          <w:tcPr>
            <w:tcW w:w="288" w:type="dxa"/>
            <w:vAlign w:val="bottom"/>
          </w:tcPr>
          <w:p w14:paraId="36221704" w14:textId="77777777" w:rsidR="007F54B8" w:rsidRPr="00F963B4" w:rsidRDefault="007F54B8" w:rsidP="004238EB">
            <w:pPr>
              <w:jc w:val="right"/>
            </w:pPr>
            <w:r w:rsidRPr="00F963B4">
              <w:t>$</w:t>
            </w:r>
          </w:p>
        </w:tc>
        <w:tc>
          <w:tcPr>
            <w:tcW w:w="1440" w:type="dxa"/>
            <w:vAlign w:val="bottom"/>
          </w:tcPr>
          <w:p w14:paraId="54D9C932" w14:textId="77777777" w:rsidR="007F54B8" w:rsidRPr="00F963B4" w:rsidRDefault="007F54B8" w:rsidP="004238EB">
            <w:pPr>
              <w:pStyle w:val="CommentText"/>
              <w:jc w:val="right"/>
              <w:rPr>
                <w:rFonts w:ascii="Times New Roman" w:hAnsi="Times New Roman"/>
              </w:rPr>
            </w:pPr>
            <w:r>
              <w:rPr>
                <w:rFonts w:ascii="Times New Roman" w:hAnsi="Times New Roman"/>
              </w:rPr>
              <w:t>336,094</w:t>
            </w:r>
          </w:p>
        </w:tc>
        <w:tc>
          <w:tcPr>
            <w:tcW w:w="288" w:type="dxa"/>
            <w:vAlign w:val="bottom"/>
          </w:tcPr>
          <w:p w14:paraId="42086DB6" w14:textId="77777777" w:rsidR="007F54B8" w:rsidRPr="00F963B4" w:rsidRDefault="007F54B8" w:rsidP="004238EB">
            <w:pPr>
              <w:jc w:val="right"/>
            </w:pPr>
            <w:r w:rsidRPr="00F963B4">
              <w:t>$</w:t>
            </w:r>
          </w:p>
        </w:tc>
        <w:tc>
          <w:tcPr>
            <w:tcW w:w="1440" w:type="dxa"/>
            <w:vAlign w:val="bottom"/>
          </w:tcPr>
          <w:p w14:paraId="5865C432" w14:textId="77777777" w:rsidR="007F54B8" w:rsidRPr="00F963B4" w:rsidRDefault="007F54B8" w:rsidP="004238EB">
            <w:pPr>
              <w:pStyle w:val="CommentText"/>
              <w:jc w:val="right"/>
              <w:rPr>
                <w:rFonts w:ascii="Times New Roman" w:hAnsi="Times New Roman"/>
              </w:rPr>
            </w:pPr>
            <w:r>
              <w:rPr>
                <w:rFonts w:ascii="Times New Roman" w:hAnsi="Times New Roman"/>
              </w:rPr>
              <w:t>597,959</w:t>
            </w:r>
          </w:p>
        </w:tc>
      </w:tr>
      <w:tr w:rsidR="007F54B8" w:rsidRPr="002871B1" w14:paraId="310B46F8" w14:textId="77777777" w:rsidTr="004238EB">
        <w:trPr>
          <w:cantSplit/>
          <w:trHeight w:hRule="exact" w:val="274"/>
        </w:trPr>
        <w:tc>
          <w:tcPr>
            <w:tcW w:w="5904" w:type="dxa"/>
            <w:vAlign w:val="bottom"/>
          </w:tcPr>
          <w:p w14:paraId="3C4CB1D6" w14:textId="77777777" w:rsidR="007F54B8" w:rsidRPr="00F963B4" w:rsidRDefault="007F54B8" w:rsidP="004238EB">
            <w:pPr>
              <w:ind w:left="150"/>
            </w:pPr>
            <w:r w:rsidRPr="00F963B4">
              <w:t>Receivable</w:t>
            </w:r>
            <w:r>
              <w:t>s (notes 5 and 6)</w:t>
            </w:r>
          </w:p>
        </w:tc>
        <w:tc>
          <w:tcPr>
            <w:tcW w:w="288" w:type="dxa"/>
            <w:vAlign w:val="bottom"/>
          </w:tcPr>
          <w:p w14:paraId="654F3ECC" w14:textId="77777777" w:rsidR="007F54B8" w:rsidRPr="00F963B4" w:rsidRDefault="007F54B8" w:rsidP="004238EB">
            <w:pPr>
              <w:jc w:val="right"/>
            </w:pPr>
          </w:p>
        </w:tc>
        <w:tc>
          <w:tcPr>
            <w:tcW w:w="1440" w:type="dxa"/>
            <w:vAlign w:val="bottom"/>
          </w:tcPr>
          <w:p w14:paraId="2C291311" w14:textId="77777777" w:rsidR="007F54B8" w:rsidRPr="00F963B4" w:rsidRDefault="007F54B8" w:rsidP="004238EB">
            <w:pPr>
              <w:pStyle w:val="CommentText"/>
              <w:jc w:val="right"/>
              <w:rPr>
                <w:rFonts w:ascii="Times New Roman" w:hAnsi="Times New Roman"/>
              </w:rPr>
            </w:pPr>
            <w:r>
              <w:rPr>
                <w:rFonts w:ascii="Times New Roman" w:hAnsi="Times New Roman"/>
              </w:rPr>
              <w:t>11,93</w:t>
            </w:r>
            <w:r w:rsidRPr="00F963B4">
              <w:rPr>
                <w:rFonts w:ascii="Times New Roman" w:hAnsi="Times New Roman"/>
              </w:rPr>
              <w:t>1</w:t>
            </w:r>
          </w:p>
        </w:tc>
        <w:tc>
          <w:tcPr>
            <w:tcW w:w="288" w:type="dxa"/>
            <w:vAlign w:val="bottom"/>
          </w:tcPr>
          <w:p w14:paraId="3ECD4FCA" w14:textId="77777777" w:rsidR="007F54B8" w:rsidRPr="00F963B4" w:rsidRDefault="007F54B8" w:rsidP="004238EB">
            <w:pPr>
              <w:jc w:val="right"/>
            </w:pPr>
          </w:p>
        </w:tc>
        <w:tc>
          <w:tcPr>
            <w:tcW w:w="1440" w:type="dxa"/>
            <w:vAlign w:val="bottom"/>
          </w:tcPr>
          <w:p w14:paraId="657ABF57" w14:textId="77777777" w:rsidR="007F54B8" w:rsidRPr="00F963B4" w:rsidRDefault="007F54B8" w:rsidP="004238EB">
            <w:pPr>
              <w:pStyle w:val="CommentText"/>
              <w:jc w:val="right"/>
              <w:rPr>
                <w:rFonts w:ascii="Times New Roman" w:hAnsi="Times New Roman"/>
              </w:rPr>
            </w:pPr>
            <w:r>
              <w:rPr>
                <w:rFonts w:ascii="Times New Roman" w:hAnsi="Times New Roman"/>
              </w:rPr>
              <w:t>8,393</w:t>
            </w:r>
          </w:p>
        </w:tc>
      </w:tr>
      <w:tr w:rsidR="007F54B8" w:rsidRPr="002871B1" w14:paraId="5C3B3459" w14:textId="77777777" w:rsidTr="004238EB">
        <w:trPr>
          <w:cantSplit/>
          <w:trHeight w:hRule="exact" w:val="274"/>
        </w:trPr>
        <w:tc>
          <w:tcPr>
            <w:tcW w:w="5904" w:type="dxa"/>
            <w:tcBorders>
              <w:bottom w:val="single" w:sz="4" w:space="0" w:color="auto"/>
            </w:tcBorders>
            <w:vAlign w:val="bottom"/>
          </w:tcPr>
          <w:p w14:paraId="18AE742F" w14:textId="77777777" w:rsidR="007F54B8" w:rsidRPr="00F963B4" w:rsidRDefault="007F54B8" w:rsidP="004238EB">
            <w:pPr>
              <w:ind w:left="150"/>
            </w:pPr>
            <w:r w:rsidRPr="00F963B4">
              <w:t>Prepaid expenses</w:t>
            </w:r>
          </w:p>
        </w:tc>
        <w:tc>
          <w:tcPr>
            <w:tcW w:w="288" w:type="dxa"/>
            <w:tcBorders>
              <w:bottom w:val="single" w:sz="4" w:space="0" w:color="auto"/>
            </w:tcBorders>
            <w:vAlign w:val="bottom"/>
          </w:tcPr>
          <w:p w14:paraId="77ABEB9D" w14:textId="77777777" w:rsidR="007F54B8" w:rsidRPr="00F963B4" w:rsidRDefault="007F54B8" w:rsidP="004238EB">
            <w:pPr>
              <w:jc w:val="right"/>
            </w:pPr>
          </w:p>
        </w:tc>
        <w:tc>
          <w:tcPr>
            <w:tcW w:w="1440" w:type="dxa"/>
            <w:tcBorders>
              <w:bottom w:val="single" w:sz="4" w:space="0" w:color="auto"/>
            </w:tcBorders>
            <w:vAlign w:val="bottom"/>
          </w:tcPr>
          <w:p w14:paraId="197ADD40"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p>
        </w:tc>
        <w:tc>
          <w:tcPr>
            <w:tcW w:w="288" w:type="dxa"/>
            <w:tcBorders>
              <w:bottom w:val="single" w:sz="4" w:space="0" w:color="auto"/>
            </w:tcBorders>
            <w:vAlign w:val="bottom"/>
          </w:tcPr>
          <w:p w14:paraId="1986936E" w14:textId="77777777" w:rsidR="007F54B8" w:rsidRPr="00F963B4" w:rsidRDefault="007F54B8" w:rsidP="004238EB">
            <w:pPr>
              <w:jc w:val="right"/>
            </w:pPr>
          </w:p>
        </w:tc>
        <w:tc>
          <w:tcPr>
            <w:tcW w:w="1440" w:type="dxa"/>
            <w:tcBorders>
              <w:bottom w:val="single" w:sz="4" w:space="0" w:color="auto"/>
            </w:tcBorders>
            <w:vAlign w:val="bottom"/>
          </w:tcPr>
          <w:p w14:paraId="5AD298C2" w14:textId="77777777" w:rsidR="007F54B8" w:rsidRPr="00F963B4" w:rsidRDefault="007F54B8" w:rsidP="004238EB">
            <w:pPr>
              <w:pStyle w:val="CommentText"/>
              <w:jc w:val="right"/>
              <w:rPr>
                <w:rFonts w:ascii="Times New Roman" w:hAnsi="Times New Roman"/>
              </w:rPr>
            </w:pPr>
            <w:r>
              <w:rPr>
                <w:rFonts w:ascii="Times New Roman" w:hAnsi="Times New Roman"/>
              </w:rPr>
              <w:t>27,000</w:t>
            </w:r>
          </w:p>
        </w:tc>
      </w:tr>
      <w:tr w:rsidR="007F54B8" w:rsidRPr="002871B1" w14:paraId="08890537" w14:textId="77777777" w:rsidTr="004238EB">
        <w:trPr>
          <w:cantSplit/>
          <w:trHeight w:hRule="exact" w:val="274"/>
        </w:trPr>
        <w:tc>
          <w:tcPr>
            <w:tcW w:w="5904" w:type="dxa"/>
            <w:tcBorders>
              <w:top w:val="single" w:sz="4" w:space="0" w:color="auto"/>
            </w:tcBorders>
            <w:vAlign w:val="bottom"/>
          </w:tcPr>
          <w:p w14:paraId="66542D6B" w14:textId="77777777" w:rsidR="007F54B8" w:rsidRPr="00F963B4" w:rsidDel="00982D5D" w:rsidRDefault="007F54B8" w:rsidP="004238EB">
            <w:pPr>
              <w:rPr>
                <w:b/>
              </w:rPr>
            </w:pPr>
          </w:p>
        </w:tc>
        <w:tc>
          <w:tcPr>
            <w:tcW w:w="288" w:type="dxa"/>
            <w:tcBorders>
              <w:top w:val="single" w:sz="4" w:space="0" w:color="auto"/>
            </w:tcBorders>
            <w:vAlign w:val="bottom"/>
          </w:tcPr>
          <w:p w14:paraId="465F6213" w14:textId="77777777" w:rsidR="007F54B8" w:rsidRPr="00F963B4" w:rsidRDefault="007F54B8" w:rsidP="004238EB">
            <w:pPr>
              <w:jc w:val="right"/>
            </w:pPr>
          </w:p>
        </w:tc>
        <w:tc>
          <w:tcPr>
            <w:tcW w:w="1440" w:type="dxa"/>
            <w:tcBorders>
              <w:top w:val="single" w:sz="4" w:space="0" w:color="auto"/>
            </w:tcBorders>
            <w:vAlign w:val="bottom"/>
          </w:tcPr>
          <w:p w14:paraId="54424493" w14:textId="77777777" w:rsidR="007F54B8" w:rsidRPr="00F963B4" w:rsidRDefault="007F54B8" w:rsidP="004238EB">
            <w:pPr>
              <w:pStyle w:val="CommentText"/>
              <w:jc w:val="right"/>
              <w:rPr>
                <w:rFonts w:ascii="Times New Roman" w:hAnsi="Times New Roman"/>
              </w:rPr>
            </w:pPr>
          </w:p>
        </w:tc>
        <w:tc>
          <w:tcPr>
            <w:tcW w:w="288" w:type="dxa"/>
            <w:tcBorders>
              <w:top w:val="single" w:sz="4" w:space="0" w:color="auto"/>
            </w:tcBorders>
            <w:vAlign w:val="bottom"/>
          </w:tcPr>
          <w:p w14:paraId="0D4D94CC" w14:textId="77777777" w:rsidR="007F54B8" w:rsidRPr="00F963B4" w:rsidRDefault="007F54B8" w:rsidP="004238EB">
            <w:pPr>
              <w:jc w:val="right"/>
            </w:pPr>
          </w:p>
        </w:tc>
        <w:tc>
          <w:tcPr>
            <w:tcW w:w="1440" w:type="dxa"/>
            <w:tcBorders>
              <w:top w:val="single" w:sz="4" w:space="0" w:color="auto"/>
            </w:tcBorders>
            <w:vAlign w:val="bottom"/>
          </w:tcPr>
          <w:p w14:paraId="7451FDF8" w14:textId="77777777" w:rsidR="007F54B8" w:rsidRPr="00F963B4" w:rsidRDefault="007F54B8" w:rsidP="004238EB">
            <w:pPr>
              <w:pStyle w:val="CommentText"/>
              <w:jc w:val="right"/>
              <w:rPr>
                <w:rFonts w:ascii="Times New Roman" w:hAnsi="Times New Roman"/>
              </w:rPr>
            </w:pPr>
          </w:p>
        </w:tc>
      </w:tr>
      <w:tr w:rsidR="007F54B8" w:rsidRPr="002871B1" w14:paraId="5C88D089" w14:textId="77777777" w:rsidTr="004238EB">
        <w:trPr>
          <w:cantSplit/>
          <w:trHeight w:hRule="exact" w:val="274"/>
        </w:trPr>
        <w:tc>
          <w:tcPr>
            <w:tcW w:w="5904" w:type="dxa"/>
            <w:vAlign w:val="bottom"/>
          </w:tcPr>
          <w:p w14:paraId="0B99B4AC" w14:textId="77777777" w:rsidR="007F54B8" w:rsidRPr="00F963B4" w:rsidRDefault="007F54B8" w:rsidP="004238EB"/>
        </w:tc>
        <w:tc>
          <w:tcPr>
            <w:tcW w:w="288" w:type="dxa"/>
            <w:vAlign w:val="bottom"/>
          </w:tcPr>
          <w:p w14:paraId="22B4EBF9" w14:textId="77777777" w:rsidR="007F54B8" w:rsidRPr="00F963B4" w:rsidRDefault="007F54B8" w:rsidP="004238EB">
            <w:pPr>
              <w:jc w:val="right"/>
            </w:pPr>
          </w:p>
        </w:tc>
        <w:tc>
          <w:tcPr>
            <w:tcW w:w="1440" w:type="dxa"/>
            <w:vAlign w:val="bottom"/>
          </w:tcPr>
          <w:p w14:paraId="11CD7FDC" w14:textId="77777777" w:rsidR="007F54B8" w:rsidRPr="00F963B4" w:rsidRDefault="007F54B8" w:rsidP="004238EB">
            <w:pPr>
              <w:pStyle w:val="CommentText"/>
              <w:jc w:val="right"/>
              <w:rPr>
                <w:rFonts w:ascii="Times New Roman" w:hAnsi="Times New Roman"/>
              </w:rPr>
            </w:pPr>
            <w:r>
              <w:rPr>
                <w:rFonts w:ascii="Times New Roman" w:hAnsi="Times New Roman"/>
              </w:rPr>
              <w:t>348,025</w:t>
            </w:r>
          </w:p>
        </w:tc>
        <w:tc>
          <w:tcPr>
            <w:tcW w:w="288" w:type="dxa"/>
            <w:vAlign w:val="bottom"/>
          </w:tcPr>
          <w:p w14:paraId="13AECA94" w14:textId="77777777" w:rsidR="007F54B8" w:rsidRPr="00F963B4" w:rsidRDefault="007F54B8" w:rsidP="004238EB">
            <w:pPr>
              <w:jc w:val="right"/>
            </w:pPr>
          </w:p>
        </w:tc>
        <w:tc>
          <w:tcPr>
            <w:tcW w:w="1440" w:type="dxa"/>
            <w:vAlign w:val="bottom"/>
          </w:tcPr>
          <w:p w14:paraId="339E5753" w14:textId="77777777" w:rsidR="007F54B8" w:rsidRPr="00F963B4" w:rsidRDefault="007F54B8" w:rsidP="004238EB">
            <w:pPr>
              <w:pStyle w:val="CommentText"/>
              <w:jc w:val="right"/>
              <w:rPr>
                <w:rFonts w:ascii="Times New Roman" w:hAnsi="Times New Roman"/>
              </w:rPr>
            </w:pPr>
            <w:r>
              <w:rPr>
                <w:rFonts w:ascii="Times New Roman" w:hAnsi="Times New Roman"/>
              </w:rPr>
              <w:t>633,352</w:t>
            </w:r>
          </w:p>
        </w:tc>
      </w:tr>
      <w:tr w:rsidR="007F54B8" w:rsidRPr="002871B1" w14:paraId="0E14DAE3" w14:textId="77777777" w:rsidTr="004238EB">
        <w:trPr>
          <w:cantSplit/>
          <w:trHeight w:hRule="exact" w:val="274"/>
        </w:trPr>
        <w:tc>
          <w:tcPr>
            <w:tcW w:w="5904" w:type="dxa"/>
            <w:tcBorders>
              <w:bottom w:val="single" w:sz="4" w:space="0" w:color="auto"/>
            </w:tcBorders>
            <w:vAlign w:val="bottom"/>
          </w:tcPr>
          <w:p w14:paraId="07B4F941" w14:textId="77777777" w:rsidR="007F54B8" w:rsidRPr="00F963B4" w:rsidRDefault="007F54B8" w:rsidP="004238EB">
            <w:pPr>
              <w:ind w:left="164"/>
            </w:pPr>
            <w:r w:rsidRPr="00F963B4">
              <w:t>Mineral property (note 4)</w:t>
            </w:r>
          </w:p>
        </w:tc>
        <w:tc>
          <w:tcPr>
            <w:tcW w:w="288" w:type="dxa"/>
            <w:tcBorders>
              <w:bottom w:val="single" w:sz="4" w:space="0" w:color="auto"/>
            </w:tcBorders>
            <w:vAlign w:val="bottom"/>
          </w:tcPr>
          <w:p w14:paraId="44CAF227" w14:textId="77777777" w:rsidR="007F54B8" w:rsidRPr="00F963B4" w:rsidRDefault="007F54B8" w:rsidP="004238EB">
            <w:pPr>
              <w:jc w:val="right"/>
            </w:pPr>
          </w:p>
        </w:tc>
        <w:tc>
          <w:tcPr>
            <w:tcW w:w="1440" w:type="dxa"/>
            <w:tcBorders>
              <w:bottom w:val="single" w:sz="4" w:space="0" w:color="auto"/>
            </w:tcBorders>
            <w:vAlign w:val="bottom"/>
          </w:tcPr>
          <w:p w14:paraId="38B89D35" w14:textId="77777777" w:rsidR="007F54B8" w:rsidRPr="00F963B4" w:rsidRDefault="007F54B8" w:rsidP="004238EB">
            <w:pPr>
              <w:pStyle w:val="CommentText"/>
              <w:jc w:val="right"/>
              <w:rPr>
                <w:rFonts w:ascii="Times New Roman" w:hAnsi="Times New Roman"/>
              </w:rPr>
            </w:pPr>
            <w:r>
              <w:rPr>
                <w:rFonts w:ascii="Times New Roman" w:hAnsi="Times New Roman"/>
              </w:rPr>
              <w:t>1</w:t>
            </w:r>
          </w:p>
        </w:tc>
        <w:tc>
          <w:tcPr>
            <w:tcW w:w="288" w:type="dxa"/>
            <w:tcBorders>
              <w:bottom w:val="single" w:sz="4" w:space="0" w:color="auto"/>
            </w:tcBorders>
            <w:vAlign w:val="bottom"/>
          </w:tcPr>
          <w:p w14:paraId="1D73C855" w14:textId="77777777" w:rsidR="007F54B8" w:rsidRPr="00F963B4" w:rsidRDefault="007F54B8" w:rsidP="004238EB">
            <w:pPr>
              <w:jc w:val="right"/>
            </w:pPr>
          </w:p>
        </w:tc>
        <w:tc>
          <w:tcPr>
            <w:tcW w:w="1440" w:type="dxa"/>
            <w:tcBorders>
              <w:bottom w:val="single" w:sz="4" w:space="0" w:color="auto"/>
            </w:tcBorders>
            <w:vAlign w:val="bottom"/>
          </w:tcPr>
          <w:p w14:paraId="7DD922B1" w14:textId="77777777" w:rsidR="007F54B8" w:rsidRPr="00F963B4" w:rsidRDefault="007F54B8" w:rsidP="004238EB">
            <w:pPr>
              <w:pStyle w:val="CommentText"/>
              <w:jc w:val="right"/>
              <w:rPr>
                <w:rFonts w:ascii="Times New Roman" w:hAnsi="Times New Roman"/>
              </w:rPr>
            </w:pPr>
            <w:r>
              <w:rPr>
                <w:rFonts w:ascii="Times New Roman" w:hAnsi="Times New Roman"/>
              </w:rPr>
              <w:t>1</w:t>
            </w:r>
          </w:p>
        </w:tc>
      </w:tr>
      <w:tr w:rsidR="007F54B8" w:rsidRPr="002871B1" w14:paraId="62367955" w14:textId="77777777" w:rsidTr="004238EB">
        <w:trPr>
          <w:cantSplit/>
          <w:trHeight w:hRule="exact" w:val="274"/>
        </w:trPr>
        <w:tc>
          <w:tcPr>
            <w:tcW w:w="5904" w:type="dxa"/>
            <w:tcBorders>
              <w:top w:val="single" w:sz="4" w:space="0" w:color="auto"/>
            </w:tcBorders>
            <w:vAlign w:val="bottom"/>
          </w:tcPr>
          <w:p w14:paraId="511DF03C" w14:textId="77777777" w:rsidR="007F54B8" w:rsidRPr="00F963B4" w:rsidRDefault="007F54B8" w:rsidP="004238EB">
            <w:pPr>
              <w:rPr>
                <w:b/>
              </w:rPr>
            </w:pPr>
          </w:p>
        </w:tc>
        <w:tc>
          <w:tcPr>
            <w:tcW w:w="288" w:type="dxa"/>
            <w:tcBorders>
              <w:top w:val="single" w:sz="4" w:space="0" w:color="auto"/>
            </w:tcBorders>
            <w:vAlign w:val="bottom"/>
          </w:tcPr>
          <w:p w14:paraId="0496095D" w14:textId="77777777" w:rsidR="007F54B8" w:rsidRPr="00F963B4" w:rsidRDefault="007F54B8" w:rsidP="004238EB">
            <w:pPr>
              <w:jc w:val="right"/>
            </w:pPr>
          </w:p>
        </w:tc>
        <w:tc>
          <w:tcPr>
            <w:tcW w:w="1440" w:type="dxa"/>
            <w:tcBorders>
              <w:top w:val="single" w:sz="4" w:space="0" w:color="auto"/>
            </w:tcBorders>
            <w:vAlign w:val="bottom"/>
          </w:tcPr>
          <w:p w14:paraId="0AF1E6EA" w14:textId="77777777" w:rsidR="007F54B8" w:rsidRPr="00F963B4" w:rsidRDefault="007F54B8" w:rsidP="004238EB">
            <w:pPr>
              <w:pStyle w:val="CommentText"/>
              <w:jc w:val="right"/>
              <w:rPr>
                <w:rFonts w:ascii="Times New Roman" w:hAnsi="Times New Roman"/>
                <w:bCs/>
              </w:rPr>
            </w:pPr>
          </w:p>
        </w:tc>
        <w:tc>
          <w:tcPr>
            <w:tcW w:w="288" w:type="dxa"/>
            <w:tcBorders>
              <w:top w:val="single" w:sz="4" w:space="0" w:color="auto"/>
            </w:tcBorders>
            <w:vAlign w:val="bottom"/>
          </w:tcPr>
          <w:p w14:paraId="7D346656" w14:textId="77777777" w:rsidR="007F54B8" w:rsidRPr="00F963B4" w:rsidRDefault="007F54B8" w:rsidP="004238EB">
            <w:pPr>
              <w:jc w:val="right"/>
            </w:pPr>
          </w:p>
        </w:tc>
        <w:tc>
          <w:tcPr>
            <w:tcW w:w="1440" w:type="dxa"/>
            <w:tcBorders>
              <w:top w:val="single" w:sz="4" w:space="0" w:color="auto"/>
            </w:tcBorders>
            <w:vAlign w:val="bottom"/>
          </w:tcPr>
          <w:p w14:paraId="5E46EE72" w14:textId="77777777" w:rsidR="007F54B8" w:rsidRPr="00F963B4" w:rsidRDefault="007F54B8" w:rsidP="004238EB">
            <w:pPr>
              <w:pStyle w:val="CommentText"/>
              <w:jc w:val="right"/>
              <w:rPr>
                <w:rFonts w:ascii="Times New Roman" w:hAnsi="Times New Roman"/>
              </w:rPr>
            </w:pPr>
          </w:p>
        </w:tc>
      </w:tr>
      <w:tr w:rsidR="007F54B8" w:rsidRPr="002871B1" w14:paraId="35E5E4FE" w14:textId="77777777" w:rsidTr="004238EB">
        <w:trPr>
          <w:cantSplit/>
          <w:trHeight w:hRule="exact" w:val="274"/>
        </w:trPr>
        <w:tc>
          <w:tcPr>
            <w:tcW w:w="5904" w:type="dxa"/>
            <w:vAlign w:val="bottom"/>
          </w:tcPr>
          <w:p w14:paraId="5ED99DA0" w14:textId="77777777" w:rsidR="007F54B8" w:rsidRPr="00F963B4" w:rsidRDefault="007F54B8" w:rsidP="004238EB">
            <w:pPr>
              <w:ind w:left="164"/>
              <w:rPr>
                <w:b/>
              </w:rPr>
            </w:pPr>
          </w:p>
        </w:tc>
        <w:tc>
          <w:tcPr>
            <w:tcW w:w="288" w:type="dxa"/>
            <w:vAlign w:val="bottom"/>
          </w:tcPr>
          <w:p w14:paraId="5D80E49B" w14:textId="77777777" w:rsidR="007F54B8" w:rsidRPr="00F963B4" w:rsidRDefault="007F54B8" w:rsidP="004238EB">
            <w:pPr>
              <w:jc w:val="right"/>
            </w:pPr>
            <w:r w:rsidRPr="00F963B4">
              <w:t>$</w:t>
            </w:r>
          </w:p>
        </w:tc>
        <w:tc>
          <w:tcPr>
            <w:tcW w:w="1440" w:type="dxa"/>
            <w:vAlign w:val="bottom"/>
          </w:tcPr>
          <w:p w14:paraId="34CEF436" w14:textId="77777777" w:rsidR="007F54B8" w:rsidRPr="00F963B4" w:rsidRDefault="007F54B8" w:rsidP="004238EB">
            <w:pPr>
              <w:pStyle w:val="CommentText"/>
              <w:jc w:val="right"/>
              <w:rPr>
                <w:rFonts w:ascii="Times New Roman" w:hAnsi="Times New Roman"/>
              </w:rPr>
            </w:pPr>
            <w:r>
              <w:rPr>
                <w:rFonts w:ascii="Times New Roman" w:hAnsi="Times New Roman"/>
                <w:bCs/>
              </w:rPr>
              <w:t>348,026</w:t>
            </w:r>
          </w:p>
        </w:tc>
        <w:tc>
          <w:tcPr>
            <w:tcW w:w="288" w:type="dxa"/>
            <w:vAlign w:val="bottom"/>
          </w:tcPr>
          <w:p w14:paraId="027B96A9" w14:textId="77777777" w:rsidR="007F54B8" w:rsidRPr="00F963B4" w:rsidRDefault="007F54B8" w:rsidP="004238EB">
            <w:pPr>
              <w:jc w:val="right"/>
            </w:pPr>
            <w:r w:rsidRPr="00F963B4">
              <w:t>$</w:t>
            </w:r>
          </w:p>
        </w:tc>
        <w:tc>
          <w:tcPr>
            <w:tcW w:w="1440" w:type="dxa"/>
            <w:vAlign w:val="bottom"/>
          </w:tcPr>
          <w:p w14:paraId="5A4F791B" w14:textId="77777777" w:rsidR="007F54B8" w:rsidRPr="00F963B4" w:rsidRDefault="007F54B8" w:rsidP="004238EB">
            <w:pPr>
              <w:pStyle w:val="CommentText"/>
              <w:jc w:val="right"/>
              <w:rPr>
                <w:rFonts w:ascii="Times New Roman" w:hAnsi="Times New Roman"/>
              </w:rPr>
            </w:pPr>
            <w:r>
              <w:rPr>
                <w:rFonts w:ascii="Times New Roman" w:hAnsi="Times New Roman"/>
              </w:rPr>
              <w:t>633,353</w:t>
            </w:r>
          </w:p>
        </w:tc>
      </w:tr>
      <w:tr w:rsidR="007F54B8" w:rsidRPr="002871B1" w14:paraId="3CFC140D" w14:textId="77777777" w:rsidTr="004238EB">
        <w:trPr>
          <w:cantSplit/>
          <w:trHeight w:hRule="exact" w:val="274"/>
        </w:trPr>
        <w:tc>
          <w:tcPr>
            <w:tcW w:w="5904" w:type="dxa"/>
            <w:tcBorders>
              <w:top w:val="single" w:sz="12" w:space="0" w:color="auto"/>
            </w:tcBorders>
            <w:vAlign w:val="bottom"/>
          </w:tcPr>
          <w:p w14:paraId="4F8EA922" w14:textId="77777777" w:rsidR="007F54B8" w:rsidRPr="00F963B4" w:rsidRDefault="007F54B8" w:rsidP="004238EB"/>
        </w:tc>
        <w:tc>
          <w:tcPr>
            <w:tcW w:w="288" w:type="dxa"/>
            <w:tcBorders>
              <w:top w:val="single" w:sz="12" w:space="0" w:color="auto"/>
            </w:tcBorders>
            <w:vAlign w:val="bottom"/>
          </w:tcPr>
          <w:p w14:paraId="2EFB546B" w14:textId="77777777" w:rsidR="007F54B8" w:rsidRPr="00F963B4" w:rsidRDefault="007F54B8" w:rsidP="004238EB">
            <w:pPr>
              <w:jc w:val="right"/>
            </w:pPr>
          </w:p>
        </w:tc>
        <w:tc>
          <w:tcPr>
            <w:tcW w:w="1440" w:type="dxa"/>
            <w:tcBorders>
              <w:top w:val="single" w:sz="12" w:space="0" w:color="auto"/>
            </w:tcBorders>
            <w:vAlign w:val="bottom"/>
          </w:tcPr>
          <w:p w14:paraId="7AE26941" w14:textId="77777777" w:rsidR="007F54B8" w:rsidRPr="00F963B4" w:rsidRDefault="007F54B8" w:rsidP="004238EB">
            <w:pPr>
              <w:pStyle w:val="CommentText"/>
              <w:jc w:val="right"/>
              <w:rPr>
                <w:rFonts w:ascii="Times New Roman" w:hAnsi="Times New Roman"/>
              </w:rPr>
            </w:pPr>
          </w:p>
        </w:tc>
        <w:tc>
          <w:tcPr>
            <w:tcW w:w="288" w:type="dxa"/>
            <w:tcBorders>
              <w:top w:val="single" w:sz="12" w:space="0" w:color="auto"/>
            </w:tcBorders>
            <w:vAlign w:val="bottom"/>
          </w:tcPr>
          <w:p w14:paraId="5AECE164" w14:textId="77777777" w:rsidR="007F54B8" w:rsidRPr="00F963B4" w:rsidRDefault="007F54B8" w:rsidP="004238EB">
            <w:pPr>
              <w:jc w:val="right"/>
            </w:pPr>
          </w:p>
        </w:tc>
        <w:tc>
          <w:tcPr>
            <w:tcW w:w="1440" w:type="dxa"/>
            <w:tcBorders>
              <w:top w:val="single" w:sz="12" w:space="0" w:color="auto"/>
            </w:tcBorders>
            <w:vAlign w:val="bottom"/>
          </w:tcPr>
          <w:p w14:paraId="4C8FA00E" w14:textId="77777777" w:rsidR="007F54B8" w:rsidRPr="00F963B4" w:rsidRDefault="007F54B8" w:rsidP="004238EB">
            <w:pPr>
              <w:pStyle w:val="CommentText"/>
              <w:jc w:val="right"/>
              <w:rPr>
                <w:rFonts w:ascii="Times New Roman" w:hAnsi="Times New Roman"/>
              </w:rPr>
            </w:pPr>
          </w:p>
        </w:tc>
      </w:tr>
      <w:tr w:rsidR="007F54B8" w:rsidRPr="002871B1" w14:paraId="5729B3B5" w14:textId="77777777" w:rsidTr="004238EB">
        <w:trPr>
          <w:cantSplit/>
          <w:trHeight w:hRule="exact" w:val="274"/>
        </w:trPr>
        <w:tc>
          <w:tcPr>
            <w:tcW w:w="5904" w:type="dxa"/>
            <w:vAlign w:val="bottom"/>
          </w:tcPr>
          <w:p w14:paraId="2D99FDD5" w14:textId="77777777" w:rsidR="007F54B8" w:rsidRPr="00F963B4" w:rsidRDefault="007F54B8" w:rsidP="004238EB">
            <w:pPr>
              <w:rPr>
                <w:b/>
                <w:sz w:val="24"/>
              </w:rPr>
            </w:pPr>
            <w:r w:rsidRPr="00F963B4">
              <w:rPr>
                <w:b/>
                <w:sz w:val="24"/>
              </w:rPr>
              <w:t>Liabilities and Shareholders’ Equity</w:t>
            </w:r>
          </w:p>
        </w:tc>
        <w:tc>
          <w:tcPr>
            <w:tcW w:w="288" w:type="dxa"/>
            <w:vAlign w:val="bottom"/>
          </w:tcPr>
          <w:p w14:paraId="07AB9652" w14:textId="77777777" w:rsidR="007F54B8" w:rsidRPr="00F963B4" w:rsidRDefault="007F54B8" w:rsidP="004238EB">
            <w:pPr>
              <w:jc w:val="right"/>
            </w:pPr>
          </w:p>
        </w:tc>
        <w:tc>
          <w:tcPr>
            <w:tcW w:w="1440" w:type="dxa"/>
            <w:vAlign w:val="bottom"/>
          </w:tcPr>
          <w:p w14:paraId="5CB27545" w14:textId="77777777" w:rsidR="007F54B8" w:rsidRPr="00F963B4" w:rsidRDefault="007F54B8" w:rsidP="004238EB">
            <w:pPr>
              <w:pStyle w:val="CommentText"/>
              <w:jc w:val="right"/>
              <w:rPr>
                <w:rFonts w:ascii="Times New Roman" w:hAnsi="Times New Roman"/>
              </w:rPr>
            </w:pPr>
          </w:p>
        </w:tc>
        <w:tc>
          <w:tcPr>
            <w:tcW w:w="288" w:type="dxa"/>
            <w:vAlign w:val="bottom"/>
          </w:tcPr>
          <w:p w14:paraId="4549BBB9" w14:textId="77777777" w:rsidR="007F54B8" w:rsidRPr="00F963B4" w:rsidRDefault="007F54B8" w:rsidP="004238EB">
            <w:pPr>
              <w:jc w:val="right"/>
            </w:pPr>
          </w:p>
        </w:tc>
        <w:tc>
          <w:tcPr>
            <w:tcW w:w="1440" w:type="dxa"/>
            <w:vAlign w:val="bottom"/>
          </w:tcPr>
          <w:p w14:paraId="38B37203" w14:textId="77777777" w:rsidR="007F54B8" w:rsidRPr="00F963B4" w:rsidRDefault="007F54B8" w:rsidP="004238EB">
            <w:pPr>
              <w:pStyle w:val="CommentText"/>
              <w:jc w:val="right"/>
              <w:rPr>
                <w:rFonts w:ascii="Times New Roman" w:hAnsi="Times New Roman"/>
              </w:rPr>
            </w:pPr>
          </w:p>
        </w:tc>
      </w:tr>
      <w:tr w:rsidR="007F54B8" w:rsidRPr="002871B1" w14:paraId="1F49AAC1" w14:textId="77777777" w:rsidTr="004238EB">
        <w:trPr>
          <w:cantSplit/>
          <w:trHeight w:hRule="exact" w:val="274"/>
        </w:trPr>
        <w:tc>
          <w:tcPr>
            <w:tcW w:w="5904" w:type="dxa"/>
            <w:vAlign w:val="bottom"/>
          </w:tcPr>
          <w:p w14:paraId="75DFFFB1" w14:textId="77777777" w:rsidR="007F54B8" w:rsidRPr="00F963B4" w:rsidRDefault="007F54B8" w:rsidP="004238EB"/>
        </w:tc>
        <w:tc>
          <w:tcPr>
            <w:tcW w:w="288" w:type="dxa"/>
            <w:vAlign w:val="bottom"/>
          </w:tcPr>
          <w:p w14:paraId="2D611A72" w14:textId="77777777" w:rsidR="007F54B8" w:rsidRPr="00F963B4" w:rsidRDefault="007F54B8" w:rsidP="004238EB">
            <w:pPr>
              <w:jc w:val="right"/>
            </w:pPr>
          </w:p>
        </w:tc>
        <w:tc>
          <w:tcPr>
            <w:tcW w:w="1440" w:type="dxa"/>
            <w:vAlign w:val="bottom"/>
          </w:tcPr>
          <w:p w14:paraId="014045AF" w14:textId="77777777" w:rsidR="007F54B8" w:rsidRPr="00F963B4" w:rsidRDefault="007F54B8" w:rsidP="004238EB">
            <w:pPr>
              <w:pStyle w:val="CommentText"/>
              <w:jc w:val="right"/>
              <w:rPr>
                <w:rFonts w:ascii="Times New Roman" w:hAnsi="Times New Roman"/>
              </w:rPr>
            </w:pPr>
          </w:p>
        </w:tc>
        <w:tc>
          <w:tcPr>
            <w:tcW w:w="288" w:type="dxa"/>
            <w:vAlign w:val="bottom"/>
          </w:tcPr>
          <w:p w14:paraId="19BDFBE1" w14:textId="77777777" w:rsidR="007F54B8" w:rsidRPr="00F963B4" w:rsidRDefault="007F54B8" w:rsidP="004238EB">
            <w:pPr>
              <w:jc w:val="right"/>
            </w:pPr>
          </w:p>
        </w:tc>
        <w:tc>
          <w:tcPr>
            <w:tcW w:w="1440" w:type="dxa"/>
            <w:vAlign w:val="bottom"/>
          </w:tcPr>
          <w:p w14:paraId="2874AE26" w14:textId="77777777" w:rsidR="007F54B8" w:rsidRPr="00F963B4" w:rsidRDefault="007F54B8" w:rsidP="004238EB">
            <w:pPr>
              <w:pStyle w:val="CommentText"/>
              <w:jc w:val="right"/>
              <w:rPr>
                <w:rFonts w:ascii="Times New Roman" w:hAnsi="Times New Roman"/>
              </w:rPr>
            </w:pPr>
          </w:p>
        </w:tc>
      </w:tr>
      <w:tr w:rsidR="007F54B8" w:rsidRPr="002871B1" w14:paraId="1B2C8A39" w14:textId="77777777" w:rsidTr="004238EB">
        <w:trPr>
          <w:cantSplit/>
          <w:trHeight w:hRule="exact" w:val="274"/>
        </w:trPr>
        <w:tc>
          <w:tcPr>
            <w:tcW w:w="5904" w:type="dxa"/>
            <w:vAlign w:val="bottom"/>
          </w:tcPr>
          <w:p w14:paraId="6828801F" w14:textId="77777777" w:rsidR="007F54B8" w:rsidRPr="00F963B4" w:rsidRDefault="007F54B8" w:rsidP="004238EB">
            <w:r w:rsidRPr="00F963B4">
              <w:rPr>
                <w:b/>
                <w:sz w:val="24"/>
              </w:rPr>
              <w:t>Liabilities</w:t>
            </w:r>
          </w:p>
        </w:tc>
        <w:tc>
          <w:tcPr>
            <w:tcW w:w="288" w:type="dxa"/>
            <w:vAlign w:val="bottom"/>
          </w:tcPr>
          <w:p w14:paraId="74C80AD3" w14:textId="77777777" w:rsidR="007F54B8" w:rsidRPr="00F963B4" w:rsidRDefault="007F54B8" w:rsidP="004238EB">
            <w:pPr>
              <w:jc w:val="right"/>
            </w:pPr>
          </w:p>
        </w:tc>
        <w:tc>
          <w:tcPr>
            <w:tcW w:w="1440" w:type="dxa"/>
            <w:vAlign w:val="bottom"/>
          </w:tcPr>
          <w:p w14:paraId="395435D7" w14:textId="77777777" w:rsidR="007F54B8" w:rsidRPr="00F963B4" w:rsidRDefault="007F54B8" w:rsidP="004238EB">
            <w:pPr>
              <w:pStyle w:val="CommentText"/>
              <w:jc w:val="right"/>
              <w:rPr>
                <w:rFonts w:ascii="Times New Roman" w:hAnsi="Times New Roman"/>
              </w:rPr>
            </w:pPr>
          </w:p>
        </w:tc>
        <w:tc>
          <w:tcPr>
            <w:tcW w:w="288" w:type="dxa"/>
            <w:vAlign w:val="bottom"/>
          </w:tcPr>
          <w:p w14:paraId="6EA2563D" w14:textId="77777777" w:rsidR="007F54B8" w:rsidRPr="00F963B4" w:rsidRDefault="007F54B8" w:rsidP="004238EB">
            <w:pPr>
              <w:jc w:val="right"/>
            </w:pPr>
          </w:p>
        </w:tc>
        <w:tc>
          <w:tcPr>
            <w:tcW w:w="1440" w:type="dxa"/>
            <w:vAlign w:val="bottom"/>
          </w:tcPr>
          <w:p w14:paraId="64D359E5" w14:textId="77777777" w:rsidR="007F54B8" w:rsidRPr="00F963B4" w:rsidRDefault="007F54B8" w:rsidP="004238EB">
            <w:pPr>
              <w:pStyle w:val="CommentText"/>
              <w:jc w:val="right"/>
              <w:rPr>
                <w:rFonts w:ascii="Times New Roman" w:hAnsi="Times New Roman"/>
              </w:rPr>
            </w:pPr>
          </w:p>
        </w:tc>
      </w:tr>
      <w:tr w:rsidR="007F54B8" w:rsidRPr="002871B1" w14:paraId="42601E09" w14:textId="77777777" w:rsidTr="004238EB">
        <w:trPr>
          <w:cantSplit/>
          <w:trHeight w:hRule="exact" w:val="274"/>
        </w:trPr>
        <w:tc>
          <w:tcPr>
            <w:tcW w:w="5904" w:type="dxa"/>
            <w:vAlign w:val="bottom"/>
          </w:tcPr>
          <w:p w14:paraId="16BF72FE" w14:textId="77777777" w:rsidR="007F54B8" w:rsidRPr="00F963B4" w:rsidRDefault="007F54B8" w:rsidP="004238EB">
            <w:pPr>
              <w:ind w:left="30"/>
              <w:rPr>
                <w:b/>
              </w:rPr>
            </w:pPr>
            <w:r w:rsidRPr="00F963B4">
              <w:rPr>
                <w:b/>
              </w:rPr>
              <w:t>Current</w:t>
            </w:r>
          </w:p>
        </w:tc>
        <w:tc>
          <w:tcPr>
            <w:tcW w:w="288" w:type="dxa"/>
            <w:vAlign w:val="bottom"/>
          </w:tcPr>
          <w:p w14:paraId="49AB3C49" w14:textId="77777777" w:rsidR="007F54B8" w:rsidRPr="00F963B4" w:rsidRDefault="007F54B8" w:rsidP="004238EB">
            <w:pPr>
              <w:jc w:val="right"/>
            </w:pPr>
          </w:p>
        </w:tc>
        <w:tc>
          <w:tcPr>
            <w:tcW w:w="1440" w:type="dxa"/>
            <w:vAlign w:val="bottom"/>
          </w:tcPr>
          <w:p w14:paraId="49349755" w14:textId="77777777" w:rsidR="007F54B8" w:rsidRPr="00F963B4" w:rsidRDefault="007F54B8" w:rsidP="004238EB">
            <w:pPr>
              <w:pStyle w:val="CommentText"/>
              <w:jc w:val="right"/>
              <w:rPr>
                <w:rFonts w:ascii="Times New Roman" w:hAnsi="Times New Roman"/>
              </w:rPr>
            </w:pPr>
          </w:p>
        </w:tc>
        <w:tc>
          <w:tcPr>
            <w:tcW w:w="288" w:type="dxa"/>
            <w:vAlign w:val="bottom"/>
          </w:tcPr>
          <w:p w14:paraId="019E776B" w14:textId="77777777" w:rsidR="007F54B8" w:rsidRPr="00F963B4" w:rsidRDefault="007F54B8" w:rsidP="004238EB">
            <w:pPr>
              <w:jc w:val="right"/>
            </w:pPr>
          </w:p>
        </w:tc>
        <w:tc>
          <w:tcPr>
            <w:tcW w:w="1440" w:type="dxa"/>
            <w:vAlign w:val="bottom"/>
          </w:tcPr>
          <w:p w14:paraId="3757E7B0" w14:textId="77777777" w:rsidR="007F54B8" w:rsidRPr="00F963B4" w:rsidRDefault="007F54B8" w:rsidP="004238EB">
            <w:pPr>
              <w:pStyle w:val="CommentText"/>
              <w:jc w:val="right"/>
              <w:rPr>
                <w:rFonts w:ascii="Times New Roman" w:hAnsi="Times New Roman"/>
              </w:rPr>
            </w:pPr>
          </w:p>
        </w:tc>
      </w:tr>
      <w:tr w:rsidR="007F54B8" w:rsidRPr="002871B1" w14:paraId="6294285A" w14:textId="77777777" w:rsidTr="004238EB">
        <w:trPr>
          <w:cantSplit/>
          <w:trHeight w:hRule="exact" w:val="274"/>
        </w:trPr>
        <w:tc>
          <w:tcPr>
            <w:tcW w:w="5904" w:type="dxa"/>
            <w:vAlign w:val="bottom"/>
          </w:tcPr>
          <w:p w14:paraId="7C6D0F11" w14:textId="77777777" w:rsidR="007F54B8" w:rsidRPr="00F963B4" w:rsidRDefault="007F54B8" w:rsidP="004238EB">
            <w:pPr>
              <w:ind w:left="164"/>
            </w:pPr>
            <w:r w:rsidRPr="00F963B4">
              <w:t xml:space="preserve">Accounts </w:t>
            </w:r>
            <w:r>
              <w:t>p</w:t>
            </w:r>
            <w:r w:rsidRPr="00F963B4">
              <w:t>ayable</w:t>
            </w:r>
            <w:r>
              <w:t xml:space="preserve"> and accrued liabilities (note 6)</w:t>
            </w:r>
          </w:p>
        </w:tc>
        <w:tc>
          <w:tcPr>
            <w:tcW w:w="288" w:type="dxa"/>
            <w:vAlign w:val="bottom"/>
          </w:tcPr>
          <w:p w14:paraId="7EE7EA2B" w14:textId="77777777" w:rsidR="007F54B8" w:rsidRPr="00F963B4" w:rsidRDefault="007F54B8" w:rsidP="004238EB">
            <w:pPr>
              <w:jc w:val="right"/>
            </w:pPr>
            <w:r w:rsidRPr="00F963B4">
              <w:t>$</w:t>
            </w:r>
          </w:p>
        </w:tc>
        <w:tc>
          <w:tcPr>
            <w:tcW w:w="1440" w:type="dxa"/>
            <w:vAlign w:val="bottom"/>
          </w:tcPr>
          <w:p w14:paraId="220F8283" w14:textId="77777777" w:rsidR="007F54B8" w:rsidRPr="00F963B4" w:rsidRDefault="007F54B8" w:rsidP="004238EB">
            <w:pPr>
              <w:pStyle w:val="CommentText"/>
              <w:jc w:val="right"/>
              <w:rPr>
                <w:rFonts w:ascii="Times New Roman" w:hAnsi="Times New Roman"/>
              </w:rPr>
            </w:pPr>
            <w:r>
              <w:rPr>
                <w:rFonts w:ascii="Times New Roman" w:hAnsi="Times New Roman"/>
              </w:rPr>
              <w:t>35,3</w:t>
            </w:r>
            <w:r w:rsidRPr="00F963B4">
              <w:rPr>
                <w:rFonts w:ascii="Times New Roman" w:hAnsi="Times New Roman"/>
              </w:rPr>
              <w:t>0</w:t>
            </w:r>
            <w:r>
              <w:rPr>
                <w:rFonts w:ascii="Times New Roman" w:hAnsi="Times New Roman"/>
              </w:rPr>
              <w:t>9</w:t>
            </w:r>
          </w:p>
        </w:tc>
        <w:tc>
          <w:tcPr>
            <w:tcW w:w="288" w:type="dxa"/>
            <w:vAlign w:val="bottom"/>
          </w:tcPr>
          <w:p w14:paraId="480E9E0D" w14:textId="77777777" w:rsidR="007F54B8" w:rsidRPr="00F963B4" w:rsidRDefault="007F54B8" w:rsidP="004238EB">
            <w:pPr>
              <w:jc w:val="right"/>
            </w:pPr>
            <w:r w:rsidRPr="00F963B4">
              <w:t>$</w:t>
            </w:r>
          </w:p>
        </w:tc>
        <w:tc>
          <w:tcPr>
            <w:tcW w:w="1440" w:type="dxa"/>
            <w:vAlign w:val="bottom"/>
          </w:tcPr>
          <w:p w14:paraId="73D236FB" w14:textId="77777777" w:rsidR="007F54B8" w:rsidRPr="00F963B4" w:rsidRDefault="007F54B8" w:rsidP="004238EB">
            <w:pPr>
              <w:pStyle w:val="CommentText"/>
              <w:jc w:val="right"/>
              <w:rPr>
                <w:rFonts w:ascii="Times New Roman" w:hAnsi="Times New Roman"/>
              </w:rPr>
            </w:pPr>
            <w:r>
              <w:rPr>
                <w:rFonts w:ascii="Times New Roman" w:hAnsi="Times New Roman"/>
              </w:rPr>
              <w:t>24,014</w:t>
            </w:r>
          </w:p>
        </w:tc>
      </w:tr>
      <w:tr w:rsidR="007F54B8" w:rsidRPr="002871B1" w14:paraId="26D7090D" w14:textId="77777777" w:rsidTr="004238EB">
        <w:trPr>
          <w:cantSplit/>
          <w:trHeight w:hRule="exact" w:val="274"/>
        </w:trPr>
        <w:tc>
          <w:tcPr>
            <w:tcW w:w="5904" w:type="dxa"/>
            <w:tcBorders>
              <w:top w:val="single" w:sz="4" w:space="0" w:color="auto"/>
            </w:tcBorders>
            <w:vAlign w:val="bottom"/>
          </w:tcPr>
          <w:p w14:paraId="68DCF78F" w14:textId="77777777" w:rsidR="007F54B8" w:rsidRPr="00F963B4" w:rsidRDefault="007F54B8" w:rsidP="004238EB"/>
        </w:tc>
        <w:tc>
          <w:tcPr>
            <w:tcW w:w="288" w:type="dxa"/>
            <w:tcBorders>
              <w:top w:val="single" w:sz="4" w:space="0" w:color="auto"/>
            </w:tcBorders>
            <w:vAlign w:val="bottom"/>
          </w:tcPr>
          <w:p w14:paraId="00121440" w14:textId="77777777" w:rsidR="007F54B8" w:rsidRPr="00F963B4" w:rsidRDefault="007F54B8" w:rsidP="004238EB">
            <w:pPr>
              <w:jc w:val="right"/>
            </w:pPr>
          </w:p>
        </w:tc>
        <w:tc>
          <w:tcPr>
            <w:tcW w:w="1440" w:type="dxa"/>
            <w:tcBorders>
              <w:top w:val="single" w:sz="4" w:space="0" w:color="auto"/>
            </w:tcBorders>
            <w:vAlign w:val="bottom"/>
          </w:tcPr>
          <w:p w14:paraId="509F92EC" w14:textId="77777777" w:rsidR="007F54B8" w:rsidRPr="00F963B4" w:rsidRDefault="007F54B8" w:rsidP="004238EB">
            <w:pPr>
              <w:pStyle w:val="CommentText"/>
              <w:jc w:val="right"/>
              <w:rPr>
                <w:rFonts w:ascii="Times New Roman" w:hAnsi="Times New Roman"/>
              </w:rPr>
            </w:pPr>
          </w:p>
        </w:tc>
        <w:tc>
          <w:tcPr>
            <w:tcW w:w="288" w:type="dxa"/>
            <w:tcBorders>
              <w:top w:val="single" w:sz="4" w:space="0" w:color="auto"/>
            </w:tcBorders>
            <w:vAlign w:val="bottom"/>
          </w:tcPr>
          <w:p w14:paraId="14D44001" w14:textId="77777777" w:rsidR="007F54B8" w:rsidRPr="00F963B4" w:rsidRDefault="007F54B8" w:rsidP="004238EB">
            <w:pPr>
              <w:jc w:val="right"/>
            </w:pPr>
          </w:p>
        </w:tc>
        <w:tc>
          <w:tcPr>
            <w:tcW w:w="1440" w:type="dxa"/>
            <w:tcBorders>
              <w:top w:val="single" w:sz="4" w:space="0" w:color="auto"/>
            </w:tcBorders>
            <w:vAlign w:val="bottom"/>
          </w:tcPr>
          <w:p w14:paraId="2DA8266E" w14:textId="77777777" w:rsidR="007F54B8" w:rsidRPr="00F963B4" w:rsidRDefault="007F54B8" w:rsidP="004238EB">
            <w:pPr>
              <w:pStyle w:val="CommentText"/>
              <w:jc w:val="right"/>
              <w:rPr>
                <w:rFonts w:ascii="Times New Roman" w:hAnsi="Times New Roman"/>
              </w:rPr>
            </w:pPr>
          </w:p>
        </w:tc>
      </w:tr>
      <w:tr w:rsidR="007F54B8" w:rsidRPr="002871B1" w14:paraId="157D2020" w14:textId="77777777" w:rsidTr="004238EB">
        <w:trPr>
          <w:cantSplit/>
          <w:trHeight w:hRule="exact" w:val="274"/>
        </w:trPr>
        <w:tc>
          <w:tcPr>
            <w:tcW w:w="5904" w:type="dxa"/>
            <w:vAlign w:val="bottom"/>
          </w:tcPr>
          <w:p w14:paraId="22830F51" w14:textId="77777777" w:rsidR="007F54B8" w:rsidRPr="00F963B4" w:rsidRDefault="007F54B8" w:rsidP="004238EB">
            <w:r>
              <w:rPr>
                <w:b/>
                <w:sz w:val="24"/>
              </w:rPr>
              <w:t xml:space="preserve">Shareholders’ </w:t>
            </w:r>
            <w:r w:rsidRPr="00F963B4">
              <w:rPr>
                <w:b/>
                <w:sz w:val="24"/>
              </w:rPr>
              <w:t>Equity</w:t>
            </w:r>
          </w:p>
        </w:tc>
        <w:tc>
          <w:tcPr>
            <w:tcW w:w="288" w:type="dxa"/>
            <w:vAlign w:val="bottom"/>
          </w:tcPr>
          <w:p w14:paraId="18EF56DE" w14:textId="77777777" w:rsidR="007F54B8" w:rsidRPr="00F963B4" w:rsidRDefault="007F54B8" w:rsidP="004238EB">
            <w:pPr>
              <w:jc w:val="right"/>
            </w:pPr>
          </w:p>
        </w:tc>
        <w:tc>
          <w:tcPr>
            <w:tcW w:w="1440" w:type="dxa"/>
            <w:vAlign w:val="bottom"/>
          </w:tcPr>
          <w:p w14:paraId="30E43E38" w14:textId="77777777" w:rsidR="007F54B8" w:rsidRPr="00F963B4" w:rsidRDefault="007F54B8" w:rsidP="004238EB">
            <w:pPr>
              <w:pStyle w:val="CommentText"/>
              <w:jc w:val="right"/>
              <w:rPr>
                <w:rFonts w:ascii="Times New Roman" w:hAnsi="Times New Roman"/>
              </w:rPr>
            </w:pPr>
          </w:p>
        </w:tc>
        <w:tc>
          <w:tcPr>
            <w:tcW w:w="288" w:type="dxa"/>
            <w:vAlign w:val="bottom"/>
          </w:tcPr>
          <w:p w14:paraId="3F33AD54" w14:textId="77777777" w:rsidR="007F54B8" w:rsidRPr="00F963B4" w:rsidRDefault="007F54B8" w:rsidP="004238EB">
            <w:pPr>
              <w:jc w:val="right"/>
            </w:pPr>
          </w:p>
        </w:tc>
        <w:tc>
          <w:tcPr>
            <w:tcW w:w="1440" w:type="dxa"/>
            <w:vAlign w:val="bottom"/>
          </w:tcPr>
          <w:p w14:paraId="3C8D5831" w14:textId="77777777" w:rsidR="007F54B8" w:rsidRPr="00F963B4" w:rsidRDefault="007F54B8" w:rsidP="004238EB">
            <w:pPr>
              <w:pStyle w:val="CommentText"/>
              <w:jc w:val="right"/>
              <w:rPr>
                <w:rFonts w:ascii="Times New Roman" w:hAnsi="Times New Roman"/>
              </w:rPr>
            </w:pPr>
          </w:p>
        </w:tc>
      </w:tr>
      <w:tr w:rsidR="007F54B8" w:rsidRPr="002871B1" w14:paraId="4062A60D" w14:textId="77777777" w:rsidTr="004238EB">
        <w:trPr>
          <w:cantSplit/>
          <w:trHeight w:hRule="exact" w:val="274"/>
        </w:trPr>
        <w:tc>
          <w:tcPr>
            <w:tcW w:w="5904" w:type="dxa"/>
            <w:vAlign w:val="bottom"/>
          </w:tcPr>
          <w:p w14:paraId="7C463AAC" w14:textId="77777777" w:rsidR="007F54B8" w:rsidRPr="00F963B4" w:rsidRDefault="007F54B8" w:rsidP="004238EB">
            <w:pPr>
              <w:ind w:left="30"/>
              <w:rPr>
                <w:b/>
              </w:rPr>
            </w:pPr>
            <w:r w:rsidRPr="00F963B4">
              <w:rPr>
                <w:b/>
              </w:rPr>
              <w:t xml:space="preserve">Common Shares </w:t>
            </w:r>
            <w:r w:rsidRPr="00F963B4">
              <w:t xml:space="preserve">(note </w:t>
            </w:r>
            <w:r>
              <w:t>5</w:t>
            </w:r>
            <w:r w:rsidRPr="00F963B4">
              <w:t>)</w:t>
            </w:r>
          </w:p>
        </w:tc>
        <w:tc>
          <w:tcPr>
            <w:tcW w:w="288" w:type="dxa"/>
            <w:vAlign w:val="bottom"/>
          </w:tcPr>
          <w:p w14:paraId="2D45CA87" w14:textId="77777777" w:rsidR="007F54B8" w:rsidRPr="00F963B4" w:rsidRDefault="007F54B8" w:rsidP="004238EB">
            <w:pPr>
              <w:jc w:val="right"/>
            </w:pPr>
          </w:p>
        </w:tc>
        <w:tc>
          <w:tcPr>
            <w:tcW w:w="1440" w:type="dxa"/>
            <w:vAlign w:val="bottom"/>
          </w:tcPr>
          <w:p w14:paraId="69776233" w14:textId="77777777" w:rsidR="007F54B8" w:rsidRPr="00F963B4" w:rsidRDefault="007F54B8" w:rsidP="004238EB">
            <w:pPr>
              <w:pStyle w:val="CommentText"/>
              <w:jc w:val="right"/>
              <w:rPr>
                <w:rFonts w:ascii="Times New Roman" w:hAnsi="Times New Roman"/>
              </w:rPr>
            </w:pPr>
            <w:r>
              <w:rPr>
                <w:rFonts w:ascii="Times New Roman" w:hAnsi="Times New Roman"/>
              </w:rPr>
              <w:t>1,230,862</w:t>
            </w:r>
          </w:p>
        </w:tc>
        <w:tc>
          <w:tcPr>
            <w:tcW w:w="288" w:type="dxa"/>
            <w:vAlign w:val="bottom"/>
          </w:tcPr>
          <w:p w14:paraId="23FF3178" w14:textId="77777777" w:rsidR="007F54B8" w:rsidRPr="00F963B4" w:rsidRDefault="007F54B8" w:rsidP="004238EB">
            <w:pPr>
              <w:jc w:val="right"/>
            </w:pPr>
          </w:p>
        </w:tc>
        <w:tc>
          <w:tcPr>
            <w:tcW w:w="1440" w:type="dxa"/>
            <w:vAlign w:val="bottom"/>
          </w:tcPr>
          <w:p w14:paraId="10199480" w14:textId="77777777" w:rsidR="007F54B8" w:rsidRPr="00F963B4" w:rsidRDefault="007F54B8" w:rsidP="004238EB">
            <w:pPr>
              <w:pStyle w:val="CommentText"/>
              <w:jc w:val="right"/>
              <w:rPr>
                <w:rFonts w:ascii="Times New Roman" w:hAnsi="Times New Roman"/>
              </w:rPr>
            </w:pPr>
            <w:r>
              <w:rPr>
                <w:rFonts w:ascii="Times New Roman" w:hAnsi="Times New Roman"/>
              </w:rPr>
              <w:t>1,152,897</w:t>
            </w:r>
          </w:p>
        </w:tc>
      </w:tr>
      <w:tr w:rsidR="007F54B8" w:rsidRPr="002871B1" w14:paraId="0A471DD1" w14:textId="77777777" w:rsidTr="004238EB">
        <w:trPr>
          <w:cantSplit/>
          <w:trHeight w:hRule="exact" w:val="274"/>
        </w:trPr>
        <w:tc>
          <w:tcPr>
            <w:tcW w:w="5904" w:type="dxa"/>
            <w:vAlign w:val="bottom"/>
          </w:tcPr>
          <w:p w14:paraId="2389195D" w14:textId="77777777" w:rsidR="007F54B8" w:rsidRPr="00F963B4" w:rsidRDefault="007F54B8" w:rsidP="004238EB">
            <w:pPr>
              <w:ind w:left="30"/>
              <w:rPr>
                <w:b/>
              </w:rPr>
            </w:pPr>
            <w:r w:rsidRPr="00F963B4">
              <w:rPr>
                <w:b/>
              </w:rPr>
              <w:t>Reserve</w:t>
            </w:r>
            <w:r>
              <w:rPr>
                <w:b/>
              </w:rPr>
              <w:t>s</w:t>
            </w:r>
            <w:r w:rsidRPr="00F963B4">
              <w:rPr>
                <w:b/>
              </w:rPr>
              <w:t xml:space="preserve"> </w:t>
            </w:r>
            <w:r w:rsidRPr="00F963B4">
              <w:t xml:space="preserve">(note </w:t>
            </w:r>
            <w:r>
              <w:t>5</w:t>
            </w:r>
            <w:r w:rsidRPr="00F963B4">
              <w:t>)</w:t>
            </w:r>
          </w:p>
        </w:tc>
        <w:tc>
          <w:tcPr>
            <w:tcW w:w="288" w:type="dxa"/>
            <w:vAlign w:val="bottom"/>
          </w:tcPr>
          <w:p w14:paraId="5D9EDA0D" w14:textId="77777777" w:rsidR="007F54B8" w:rsidRPr="00F963B4" w:rsidRDefault="007F54B8" w:rsidP="004238EB">
            <w:pPr>
              <w:jc w:val="right"/>
            </w:pPr>
          </w:p>
        </w:tc>
        <w:tc>
          <w:tcPr>
            <w:tcW w:w="1440" w:type="dxa"/>
            <w:vAlign w:val="bottom"/>
          </w:tcPr>
          <w:p w14:paraId="322019B0" w14:textId="77777777" w:rsidR="007F54B8" w:rsidRPr="00F963B4" w:rsidRDefault="007F54B8" w:rsidP="004238EB">
            <w:pPr>
              <w:pStyle w:val="CommentText"/>
              <w:jc w:val="right"/>
              <w:rPr>
                <w:rFonts w:ascii="Times New Roman" w:hAnsi="Times New Roman"/>
              </w:rPr>
            </w:pPr>
            <w:r>
              <w:rPr>
                <w:rFonts w:ascii="Times New Roman" w:hAnsi="Times New Roman"/>
              </w:rPr>
              <w:t>128,264</w:t>
            </w:r>
          </w:p>
        </w:tc>
        <w:tc>
          <w:tcPr>
            <w:tcW w:w="288" w:type="dxa"/>
            <w:vAlign w:val="bottom"/>
          </w:tcPr>
          <w:p w14:paraId="14863D2C" w14:textId="77777777" w:rsidR="007F54B8" w:rsidRPr="00F963B4" w:rsidRDefault="007F54B8" w:rsidP="004238EB">
            <w:pPr>
              <w:jc w:val="right"/>
            </w:pPr>
          </w:p>
        </w:tc>
        <w:tc>
          <w:tcPr>
            <w:tcW w:w="1440" w:type="dxa"/>
            <w:vAlign w:val="bottom"/>
          </w:tcPr>
          <w:p w14:paraId="7CE5785A" w14:textId="77777777" w:rsidR="007F54B8" w:rsidRPr="00F963B4" w:rsidRDefault="007F54B8" w:rsidP="004238EB">
            <w:pPr>
              <w:pStyle w:val="CommentText"/>
              <w:jc w:val="right"/>
              <w:rPr>
                <w:rFonts w:ascii="Times New Roman" w:hAnsi="Times New Roman"/>
              </w:rPr>
            </w:pPr>
            <w:r>
              <w:rPr>
                <w:rFonts w:ascii="Times New Roman" w:hAnsi="Times New Roman"/>
              </w:rPr>
              <w:t>134,469</w:t>
            </w:r>
          </w:p>
        </w:tc>
      </w:tr>
      <w:tr w:rsidR="007F54B8" w:rsidRPr="002871B1" w14:paraId="58AECAE6" w14:textId="77777777" w:rsidTr="004238EB">
        <w:trPr>
          <w:cantSplit/>
          <w:trHeight w:hRule="exact" w:val="274"/>
        </w:trPr>
        <w:tc>
          <w:tcPr>
            <w:tcW w:w="5904" w:type="dxa"/>
            <w:vAlign w:val="bottom"/>
          </w:tcPr>
          <w:p w14:paraId="654F9DFC" w14:textId="77777777" w:rsidR="007F54B8" w:rsidRPr="00F963B4" w:rsidRDefault="007F54B8" w:rsidP="004238EB">
            <w:pPr>
              <w:ind w:left="30"/>
              <w:rPr>
                <w:b/>
              </w:rPr>
            </w:pPr>
            <w:r w:rsidRPr="00F963B4">
              <w:rPr>
                <w:b/>
              </w:rPr>
              <w:t>Deficit</w:t>
            </w:r>
          </w:p>
        </w:tc>
        <w:tc>
          <w:tcPr>
            <w:tcW w:w="288" w:type="dxa"/>
            <w:vAlign w:val="bottom"/>
          </w:tcPr>
          <w:p w14:paraId="3A6CBC31" w14:textId="77777777" w:rsidR="007F54B8" w:rsidRPr="00F963B4" w:rsidRDefault="007F54B8" w:rsidP="004238EB">
            <w:pPr>
              <w:jc w:val="right"/>
            </w:pPr>
          </w:p>
        </w:tc>
        <w:tc>
          <w:tcPr>
            <w:tcW w:w="1440" w:type="dxa"/>
            <w:vAlign w:val="bottom"/>
          </w:tcPr>
          <w:p w14:paraId="787C7000"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r>
              <w:rPr>
                <w:rFonts w:ascii="Times New Roman" w:hAnsi="Times New Roman"/>
              </w:rPr>
              <w:t>1,046,409</w:t>
            </w:r>
            <w:r w:rsidRPr="00F963B4">
              <w:rPr>
                <w:rFonts w:ascii="Times New Roman" w:hAnsi="Times New Roman"/>
              </w:rPr>
              <w:t>)</w:t>
            </w:r>
          </w:p>
        </w:tc>
        <w:tc>
          <w:tcPr>
            <w:tcW w:w="288" w:type="dxa"/>
            <w:vAlign w:val="bottom"/>
          </w:tcPr>
          <w:p w14:paraId="58E1A5C9" w14:textId="77777777" w:rsidR="007F54B8" w:rsidRPr="00F963B4" w:rsidRDefault="007F54B8" w:rsidP="004238EB">
            <w:pPr>
              <w:jc w:val="right"/>
            </w:pPr>
          </w:p>
        </w:tc>
        <w:tc>
          <w:tcPr>
            <w:tcW w:w="1440" w:type="dxa"/>
            <w:vAlign w:val="bottom"/>
          </w:tcPr>
          <w:p w14:paraId="63A1FE89"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r>
              <w:rPr>
                <w:rFonts w:ascii="Times New Roman" w:hAnsi="Times New Roman"/>
              </w:rPr>
              <w:t>678,027</w:t>
            </w:r>
            <w:r w:rsidRPr="00F963B4">
              <w:rPr>
                <w:rFonts w:ascii="Times New Roman" w:hAnsi="Times New Roman"/>
              </w:rPr>
              <w:t>)</w:t>
            </w:r>
          </w:p>
        </w:tc>
      </w:tr>
      <w:tr w:rsidR="007F54B8" w:rsidRPr="002871B1" w14:paraId="1449AF3B" w14:textId="77777777" w:rsidTr="004238EB">
        <w:trPr>
          <w:cantSplit/>
          <w:trHeight w:hRule="exact" w:val="274"/>
        </w:trPr>
        <w:tc>
          <w:tcPr>
            <w:tcW w:w="5904" w:type="dxa"/>
            <w:tcBorders>
              <w:top w:val="single" w:sz="4" w:space="0" w:color="auto"/>
            </w:tcBorders>
            <w:vAlign w:val="bottom"/>
          </w:tcPr>
          <w:p w14:paraId="44AAC06E" w14:textId="77777777" w:rsidR="007F54B8" w:rsidRPr="00F963B4" w:rsidRDefault="007F54B8" w:rsidP="004238EB">
            <w:pPr>
              <w:ind w:left="164"/>
            </w:pPr>
          </w:p>
        </w:tc>
        <w:tc>
          <w:tcPr>
            <w:tcW w:w="288" w:type="dxa"/>
            <w:tcBorders>
              <w:top w:val="single" w:sz="4" w:space="0" w:color="auto"/>
            </w:tcBorders>
            <w:vAlign w:val="bottom"/>
          </w:tcPr>
          <w:p w14:paraId="65A524DC" w14:textId="77777777" w:rsidR="007F54B8" w:rsidRPr="00F963B4" w:rsidRDefault="007F54B8" w:rsidP="004238EB">
            <w:pPr>
              <w:jc w:val="right"/>
            </w:pPr>
          </w:p>
        </w:tc>
        <w:tc>
          <w:tcPr>
            <w:tcW w:w="1440" w:type="dxa"/>
            <w:tcBorders>
              <w:top w:val="single" w:sz="4" w:space="0" w:color="auto"/>
            </w:tcBorders>
            <w:vAlign w:val="bottom"/>
          </w:tcPr>
          <w:p w14:paraId="0B83F127" w14:textId="77777777" w:rsidR="007F54B8" w:rsidRPr="00F963B4" w:rsidRDefault="007F54B8" w:rsidP="004238EB">
            <w:pPr>
              <w:pStyle w:val="CommentText"/>
              <w:jc w:val="right"/>
              <w:rPr>
                <w:rFonts w:ascii="Times New Roman" w:hAnsi="Times New Roman"/>
              </w:rPr>
            </w:pPr>
          </w:p>
        </w:tc>
        <w:tc>
          <w:tcPr>
            <w:tcW w:w="288" w:type="dxa"/>
            <w:tcBorders>
              <w:top w:val="single" w:sz="4" w:space="0" w:color="auto"/>
            </w:tcBorders>
            <w:vAlign w:val="bottom"/>
          </w:tcPr>
          <w:p w14:paraId="5FC727DA" w14:textId="77777777" w:rsidR="007F54B8" w:rsidRPr="00F963B4" w:rsidRDefault="007F54B8" w:rsidP="004238EB">
            <w:pPr>
              <w:jc w:val="right"/>
            </w:pPr>
          </w:p>
        </w:tc>
        <w:tc>
          <w:tcPr>
            <w:tcW w:w="1440" w:type="dxa"/>
            <w:tcBorders>
              <w:top w:val="single" w:sz="4" w:space="0" w:color="auto"/>
            </w:tcBorders>
            <w:vAlign w:val="bottom"/>
          </w:tcPr>
          <w:p w14:paraId="7650C95B" w14:textId="77777777" w:rsidR="007F54B8" w:rsidRPr="00F963B4" w:rsidRDefault="007F54B8" w:rsidP="004238EB">
            <w:pPr>
              <w:pStyle w:val="CommentText"/>
              <w:jc w:val="right"/>
              <w:rPr>
                <w:rFonts w:ascii="Times New Roman" w:hAnsi="Times New Roman"/>
              </w:rPr>
            </w:pPr>
          </w:p>
        </w:tc>
      </w:tr>
      <w:tr w:rsidR="007F54B8" w:rsidRPr="002871B1" w14:paraId="0513B528" w14:textId="77777777" w:rsidTr="004238EB">
        <w:trPr>
          <w:cantSplit/>
          <w:trHeight w:hRule="exact" w:val="261"/>
        </w:trPr>
        <w:tc>
          <w:tcPr>
            <w:tcW w:w="5904" w:type="dxa"/>
            <w:tcBorders>
              <w:bottom w:val="single" w:sz="4" w:space="0" w:color="auto"/>
            </w:tcBorders>
            <w:vAlign w:val="bottom"/>
          </w:tcPr>
          <w:p w14:paraId="69D437FB" w14:textId="77777777" w:rsidR="007F54B8" w:rsidRPr="00F963B4" w:rsidRDefault="007F54B8" w:rsidP="004238EB">
            <w:pPr>
              <w:rPr>
                <w:b/>
              </w:rPr>
            </w:pPr>
          </w:p>
        </w:tc>
        <w:tc>
          <w:tcPr>
            <w:tcW w:w="288" w:type="dxa"/>
            <w:tcBorders>
              <w:bottom w:val="single" w:sz="4" w:space="0" w:color="auto"/>
            </w:tcBorders>
            <w:vAlign w:val="bottom"/>
          </w:tcPr>
          <w:p w14:paraId="0D749850" w14:textId="77777777" w:rsidR="007F54B8" w:rsidRPr="00F963B4" w:rsidRDefault="007F54B8" w:rsidP="004238EB">
            <w:pPr>
              <w:jc w:val="right"/>
            </w:pPr>
          </w:p>
        </w:tc>
        <w:tc>
          <w:tcPr>
            <w:tcW w:w="1440" w:type="dxa"/>
            <w:tcBorders>
              <w:bottom w:val="single" w:sz="4" w:space="0" w:color="auto"/>
            </w:tcBorders>
            <w:vAlign w:val="bottom"/>
          </w:tcPr>
          <w:p w14:paraId="4D03FFC4" w14:textId="77777777" w:rsidR="007F54B8" w:rsidRPr="00F963B4" w:rsidRDefault="007F54B8" w:rsidP="004238EB">
            <w:pPr>
              <w:pStyle w:val="CommentText"/>
              <w:jc w:val="right"/>
              <w:rPr>
                <w:rFonts w:ascii="Times New Roman" w:hAnsi="Times New Roman"/>
              </w:rPr>
            </w:pPr>
            <w:r>
              <w:rPr>
                <w:rFonts w:ascii="Times New Roman" w:hAnsi="Times New Roman"/>
              </w:rPr>
              <w:t>312,717</w:t>
            </w:r>
          </w:p>
        </w:tc>
        <w:tc>
          <w:tcPr>
            <w:tcW w:w="288" w:type="dxa"/>
            <w:tcBorders>
              <w:bottom w:val="single" w:sz="4" w:space="0" w:color="auto"/>
            </w:tcBorders>
            <w:vAlign w:val="bottom"/>
          </w:tcPr>
          <w:p w14:paraId="2D77DFB7" w14:textId="77777777" w:rsidR="007F54B8" w:rsidRPr="00F963B4" w:rsidRDefault="007F54B8" w:rsidP="004238EB">
            <w:pPr>
              <w:jc w:val="right"/>
            </w:pPr>
          </w:p>
        </w:tc>
        <w:tc>
          <w:tcPr>
            <w:tcW w:w="1440" w:type="dxa"/>
            <w:tcBorders>
              <w:bottom w:val="single" w:sz="4" w:space="0" w:color="auto"/>
            </w:tcBorders>
            <w:vAlign w:val="bottom"/>
          </w:tcPr>
          <w:p w14:paraId="6ACE3D54" w14:textId="77777777" w:rsidR="007F54B8" w:rsidRPr="00F963B4" w:rsidRDefault="007F54B8" w:rsidP="004238EB">
            <w:pPr>
              <w:pStyle w:val="CommentText"/>
              <w:jc w:val="right"/>
              <w:rPr>
                <w:rFonts w:ascii="Times New Roman" w:hAnsi="Times New Roman"/>
              </w:rPr>
            </w:pPr>
            <w:r>
              <w:rPr>
                <w:rFonts w:ascii="Times New Roman" w:hAnsi="Times New Roman"/>
              </w:rPr>
              <w:t>609,339</w:t>
            </w:r>
          </w:p>
        </w:tc>
      </w:tr>
      <w:tr w:rsidR="007F54B8" w:rsidRPr="002871B1" w14:paraId="377CF140" w14:textId="77777777" w:rsidTr="004238EB">
        <w:trPr>
          <w:cantSplit/>
          <w:trHeight w:hRule="exact" w:val="274"/>
        </w:trPr>
        <w:tc>
          <w:tcPr>
            <w:tcW w:w="5904" w:type="dxa"/>
            <w:tcBorders>
              <w:top w:val="single" w:sz="4" w:space="0" w:color="auto"/>
            </w:tcBorders>
            <w:vAlign w:val="bottom"/>
          </w:tcPr>
          <w:p w14:paraId="601979E6" w14:textId="77777777" w:rsidR="007F54B8" w:rsidRPr="00F963B4" w:rsidRDefault="007F54B8" w:rsidP="004238EB"/>
        </w:tc>
        <w:tc>
          <w:tcPr>
            <w:tcW w:w="288" w:type="dxa"/>
            <w:tcBorders>
              <w:top w:val="single" w:sz="4" w:space="0" w:color="auto"/>
            </w:tcBorders>
            <w:vAlign w:val="bottom"/>
          </w:tcPr>
          <w:p w14:paraId="4C665980" w14:textId="77777777" w:rsidR="007F54B8" w:rsidRPr="00F963B4" w:rsidRDefault="007F54B8" w:rsidP="004238EB">
            <w:pPr>
              <w:jc w:val="right"/>
            </w:pPr>
          </w:p>
        </w:tc>
        <w:tc>
          <w:tcPr>
            <w:tcW w:w="1440" w:type="dxa"/>
            <w:tcBorders>
              <w:top w:val="single" w:sz="4" w:space="0" w:color="auto"/>
            </w:tcBorders>
            <w:vAlign w:val="bottom"/>
          </w:tcPr>
          <w:p w14:paraId="0D846163" w14:textId="77777777" w:rsidR="007F54B8" w:rsidRPr="00F963B4" w:rsidRDefault="007F54B8" w:rsidP="004238EB">
            <w:pPr>
              <w:pStyle w:val="CommentText"/>
              <w:jc w:val="right"/>
              <w:rPr>
                <w:rFonts w:ascii="Times New Roman" w:hAnsi="Times New Roman"/>
              </w:rPr>
            </w:pPr>
          </w:p>
        </w:tc>
        <w:tc>
          <w:tcPr>
            <w:tcW w:w="288" w:type="dxa"/>
            <w:tcBorders>
              <w:top w:val="single" w:sz="4" w:space="0" w:color="auto"/>
            </w:tcBorders>
            <w:vAlign w:val="bottom"/>
          </w:tcPr>
          <w:p w14:paraId="2A98DD4C" w14:textId="77777777" w:rsidR="007F54B8" w:rsidRPr="00F963B4" w:rsidRDefault="007F54B8" w:rsidP="004238EB">
            <w:pPr>
              <w:jc w:val="right"/>
            </w:pPr>
          </w:p>
        </w:tc>
        <w:tc>
          <w:tcPr>
            <w:tcW w:w="1440" w:type="dxa"/>
            <w:tcBorders>
              <w:top w:val="single" w:sz="4" w:space="0" w:color="auto"/>
            </w:tcBorders>
            <w:vAlign w:val="bottom"/>
          </w:tcPr>
          <w:p w14:paraId="456E6747" w14:textId="77777777" w:rsidR="007F54B8" w:rsidRPr="00F963B4" w:rsidRDefault="007F54B8" w:rsidP="004238EB">
            <w:pPr>
              <w:pStyle w:val="CommentText"/>
              <w:jc w:val="right"/>
              <w:rPr>
                <w:rFonts w:ascii="Times New Roman" w:hAnsi="Times New Roman"/>
              </w:rPr>
            </w:pPr>
          </w:p>
        </w:tc>
      </w:tr>
      <w:tr w:rsidR="007F54B8" w:rsidRPr="002871B1" w14:paraId="5285B1D4" w14:textId="77777777" w:rsidTr="004238EB">
        <w:trPr>
          <w:cantSplit/>
          <w:trHeight w:hRule="exact" w:val="274"/>
        </w:trPr>
        <w:tc>
          <w:tcPr>
            <w:tcW w:w="5904" w:type="dxa"/>
            <w:tcBorders>
              <w:bottom w:val="single" w:sz="12" w:space="0" w:color="auto"/>
            </w:tcBorders>
            <w:vAlign w:val="bottom"/>
          </w:tcPr>
          <w:p w14:paraId="4F3FF1A6" w14:textId="77777777" w:rsidR="007F54B8" w:rsidRPr="00F963B4" w:rsidRDefault="007F54B8" w:rsidP="004238EB">
            <w:pPr>
              <w:rPr>
                <w:b/>
              </w:rPr>
            </w:pPr>
          </w:p>
        </w:tc>
        <w:tc>
          <w:tcPr>
            <w:tcW w:w="288" w:type="dxa"/>
            <w:tcBorders>
              <w:bottom w:val="single" w:sz="12" w:space="0" w:color="auto"/>
            </w:tcBorders>
            <w:vAlign w:val="bottom"/>
          </w:tcPr>
          <w:p w14:paraId="63265F7E" w14:textId="77777777" w:rsidR="007F54B8" w:rsidRPr="00F963B4" w:rsidRDefault="007F54B8" w:rsidP="004238EB">
            <w:pPr>
              <w:jc w:val="right"/>
            </w:pPr>
            <w:r w:rsidRPr="00F963B4">
              <w:t>$</w:t>
            </w:r>
          </w:p>
        </w:tc>
        <w:tc>
          <w:tcPr>
            <w:tcW w:w="1440" w:type="dxa"/>
            <w:tcBorders>
              <w:bottom w:val="single" w:sz="12" w:space="0" w:color="auto"/>
            </w:tcBorders>
            <w:vAlign w:val="bottom"/>
          </w:tcPr>
          <w:p w14:paraId="522A5E15" w14:textId="77777777" w:rsidR="007F54B8" w:rsidRPr="00F963B4" w:rsidRDefault="007F54B8" w:rsidP="004238EB">
            <w:pPr>
              <w:pStyle w:val="CommentText"/>
              <w:jc w:val="right"/>
              <w:rPr>
                <w:rFonts w:ascii="Times New Roman" w:hAnsi="Times New Roman"/>
              </w:rPr>
            </w:pPr>
            <w:r>
              <w:rPr>
                <w:rFonts w:ascii="Times New Roman" w:hAnsi="Times New Roman"/>
              </w:rPr>
              <w:t>348,026</w:t>
            </w:r>
          </w:p>
        </w:tc>
        <w:tc>
          <w:tcPr>
            <w:tcW w:w="288" w:type="dxa"/>
            <w:tcBorders>
              <w:bottom w:val="single" w:sz="12" w:space="0" w:color="auto"/>
            </w:tcBorders>
            <w:vAlign w:val="bottom"/>
          </w:tcPr>
          <w:p w14:paraId="3E682864" w14:textId="77777777" w:rsidR="007F54B8" w:rsidRPr="00F963B4" w:rsidRDefault="007F54B8" w:rsidP="004238EB">
            <w:pPr>
              <w:jc w:val="right"/>
            </w:pPr>
            <w:r w:rsidRPr="00F963B4">
              <w:t>$</w:t>
            </w:r>
          </w:p>
        </w:tc>
        <w:tc>
          <w:tcPr>
            <w:tcW w:w="1440" w:type="dxa"/>
            <w:tcBorders>
              <w:bottom w:val="single" w:sz="12" w:space="0" w:color="auto"/>
            </w:tcBorders>
            <w:vAlign w:val="bottom"/>
          </w:tcPr>
          <w:p w14:paraId="3CE25939" w14:textId="77777777" w:rsidR="007F54B8" w:rsidRPr="00F963B4" w:rsidRDefault="007F54B8" w:rsidP="004238EB">
            <w:pPr>
              <w:pStyle w:val="CommentText"/>
              <w:jc w:val="right"/>
              <w:rPr>
                <w:rFonts w:ascii="Times New Roman" w:hAnsi="Times New Roman"/>
              </w:rPr>
            </w:pPr>
            <w:r>
              <w:rPr>
                <w:rFonts w:ascii="Times New Roman" w:hAnsi="Times New Roman"/>
              </w:rPr>
              <w:t>633,353</w:t>
            </w:r>
          </w:p>
        </w:tc>
      </w:tr>
    </w:tbl>
    <w:p w14:paraId="6E03EED9" w14:textId="77777777" w:rsidR="007F54B8" w:rsidRPr="00F963B4" w:rsidRDefault="007F54B8" w:rsidP="007F54B8"/>
    <w:p w14:paraId="27EEFD0F" w14:textId="77777777" w:rsidR="007F54B8" w:rsidRPr="00F963B4" w:rsidRDefault="007F54B8" w:rsidP="007F54B8">
      <w:pPr>
        <w:jc w:val="both"/>
        <w:rPr>
          <w:lang w:val="en-CA"/>
        </w:rPr>
      </w:pPr>
    </w:p>
    <w:p w14:paraId="166EF69A" w14:textId="77777777" w:rsidR="007F54B8" w:rsidRPr="00F963B4" w:rsidRDefault="007F54B8" w:rsidP="007F54B8">
      <w:pPr>
        <w:jc w:val="both"/>
        <w:rPr>
          <w:lang w:val="en-CA"/>
        </w:rPr>
      </w:pPr>
      <w:r w:rsidRPr="00F963B4">
        <w:rPr>
          <w:lang w:val="en-CA"/>
        </w:rPr>
        <w:t>Approved on behalf of the Board:</w:t>
      </w:r>
    </w:p>
    <w:p w14:paraId="39F736BB" w14:textId="77777777" w:rsidR="007F54B8" w:rsidRPr="00F963B4" w:rsidRDefault="007F54B8" w:rsidP="007F54B8">
      <w:pPr>
        <w:jc w:val="both"/>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88"/>
        <w:gridCol w:w="4536"/>
      </w:tblGrid>
      <w:tr w:rsidR="007F54B8" w:rsidRPr="002871B1" w14:paraId="61CAA61B" w14:textId="77777777" w:rsidTr="004238EB">
        <w:tc>
          <w:tcPr>
            <w:tcW w:w="4536" w:type="dxa"/>
            <w:tcBorders>
              <w:bottom w:val="single" w:sz="4" w:space="0" w:color="auto"/>
            </w:tcBorders>
            <w:vAlign w:val="bottom"/>
          </w:tcPr>
          <w:p w14:paraId="5BFB7408" w14:textId="77777777" w:rsidR="007F54B8" w:rsidRPr="00F963B4" w:rsidRDefault="007F54B8" w:rsidP="004238EB">
            <w:pPr>
              <w:jc w:val="center"/>
              <w:rPr>
                <w:rFonts w:ascii="Times New Roman" w:hAnsi="Times New Roman"/>
                <w:i/>
                <w:szCs w:val="20"/>
              </w:rPr>
            </w:pPr>
            <w:r w:rsidRPr="00F963B4">
              <w:rPr>
                <w:rFonts w:ascii="Times New Roman" w:hAnsi="Times New Roman"/>
                <w:i/>
                <w:szCs w:val="20"/>
              </w:rPr>
              <w:t>“Ronald Shenton” (signed)</w:t>
            </w:r>
          </w:p>
        </w:tc>
        <w:tc>
          <w:tcPr>
            <w:tcW w:w="288" w:type="dxa"/>
            <w:vAlign w:val="bottom"/>
          </w:tcPr>
          <w:p w14:paraId="589F376A" w14:textId="77777777" w:rsidR="007F54B8" w:rsidRPr="00F963B4" w:rsidRDefault="007F54B8" w:rsidP="004238EB">
            <w:pPr>
              <w:jc w:val="center"/>
              <w:rPr>
                <w:rFonts w:ascii="Times New Roman" w:hAnsi="Times New Roman"/>
                <w:szCs w:val="20"/>
              </w:rPr>
            </w:pPr>
          </w:p>
        </w:tc>
        <w:tc>
          <w:tcPr>
            <w:tcW w:w="4536" w:type="dxa"/>
            <w:tcBorders>
              <w:bottom w:val="single" w:sz="4" w:space="0" w:color="auto"/>
            </w:tcBorders>
            <w:vAlign w:val="bottom"/>
          </w:tcPr>
          <w:p w14:paraId="6F1DB58C" w14:textId="77777777" w:rsidR="007F54B8" w:rsidRPr="00F963B4" w:rsidRDefault="007F54B8" w:rsidP="004238EB">
            <w:pPr>
              <w:jc w:val="center"/>
              <w:rPr>
                <w:rFonts w:ascii="Times New Roman" w:hAnsi="Times New Roman"/>
                <w:i/>
                <w:szCs w:val="20"/>
              </w:rPr>
            </w:pPr>
            <w:r w:rsidRPr="00F963B4">
              <w:rPr>
                <w:rFonts w:ascii="Times New Roman" w:hAnsi="Times New Roman"/>
                <w:i/>
                <w:szCs w:val="20"/>
              </w:rPr>
              <w:t>“Brian Roberts” (signed)</w:t>
            </w:r>
          </w:p>
        </w:tc>
      </w:tr>
      <w:tr w:rsidR="007F54B8" w:rsidRPr="002871B1" w14:paraId="0304690E" w14:textId="77777777" w:rsidTr="004238EB">
        <w:tc>
          <w:tcPr>
            <w:tcW w:w="4536" w:type="dxa"/>
            <w:tcBorders>
              <w:top w:val="single" w:sz="4" w:space="0" w:color="auto"/>
            </w:tcBorders>
            <w:vAlign w:val="bottom"/>
          </w:tcPr>
          <w:p w14:paraId="36534987" w14:textId="77777777" w:rsidR="007F54B8" w:rsidRPr="00F963B4" w:rsidRDefault="007F54B8" w:rsidP="004238EB">
            <w:pPr>
              <w:jc w:val="center"/>
              <w:rPr>
                <w:rFonts w:ascii="Times New Roman" w:hAnsi="Times New Roman"/>
                <w:szCs w:val="20"/>
              </w:rPr>
            </w:pPr>
            <w:r w:rsidRPr="00F963B4">
              <w:rPr>
                <w:rFonts w:ascii="Times New Roman" w:hAnsi="Times New Roman"/>
                <w:szCs w:val="20"/>
              </w:rPr>
              <w:t>Director</w:t>
            </w:r>
          </w:p>
        </w:tc>
        <w:tc>
          <w:tcPr>
            <w:tcW w:w="288" w:type="dxa"/>
            <w:vAlign w:val="bottom"/>
          </w:tcPr>
          <w:p w14:paraId="34389337" w14:textId="77777777" w:rsidR="007F54B8" w:rsidRPr="00F963B4" w:rsidRDefault="007F54B8" w:rsidP="004238EB">
            <w:pPr>
              <w:jc w:val="center"/>
              <w:rPr>
                <w:rFonts w:ascii="Times New Roman" w:hAnsi="Times New Roman"/>
                <w:szCs w:val="20"/>
              </w:rPr>
            </w:pPr>
          </w:p>
        </w:tc>
        <w:tc>
          <w:tcPr>
            <w:tcW w:w="4536" w:type="dxa"/>
            <w:tcBorders>
              <w:top w:val="single" w:sz="4" w:space="0" w:color="auto"/>
            </w:tcBorders>
            <w:vAlign w:val="bottom"/>
          </w:tcPr>
          <w:p w14:paraId="79747048" w14:textId="77777777" w:rsidR="007F54B8" w:rsidRPr="00F963B4" w:rsidRDefault="007F54B8" w:rsidP="004238EB">
            <w:pPr>
              <w:jc w:val="center"/>
              <w:rPr>
                <w:rFonts w:ascii="Times New Roman" w:hAnsi="Times New Roman"/>
                <w:szCs w:val="20"/>
              </w:rPr>
            </w:pPr>
            <w:r w:rsidRPr="00F963B4">
              <w:rPr>
                <w:rFonts w:ascii="Times New Roman" w:hAnsi="Times New Roman"/>
                <w:szCs w:val="20"/>
              </w:rPr>
              <w:t>Director</w:t>
            </w:r>
          </w:p>
        </w:tc>
      </w:tr>
    </w:tbl>
    <w:p w14:paraId="5B3EEAF7" w14:textId="77777777" w:rsidR="007F54B8" w:rsidRPr="00F963B4" w:rsidRDefault="007F54B8" w:rsidP="007F54B8">
      <w:pPr>
        <w:pStyle w:val="Footer"/>
        <w:tabs>
          <w:tab w:val="clear" w:pos="4320"/>
          <w:tab w:val="clear" w:pos="8640"/>
        </w:tabs>
        <w:ind w:right="180"/>
        <w:rPr>
          <w:u w:val="single"/>
        </w:rPr>
        <w:sectPr w:rsidR="007F54B8" w:rsidRPr="00F963B4" w:rsidSect="00797DA9">
          <w:footerReference w:type="default" r:id="rId11"/>
          <w:type w:val="continuous"/>
          <w:pgSz w:w="12240" w:h="15840" w:code="1"/>
          <w:pgMar w:top="1134" w:right="1440" w:bottom="1440" w:left="1440" w:header="720" w:footer="360" w:gutter="0"/>
          <w:pgNumType w:start="2"/>
          <w:cols w:space="720"/>
          <w:docGrid w:linePitch="360"/>
        </w:sectPr>
      </w:pPr>
    </w:p>
    <w:p w14:paraId="17C8FE5F" w14:textId="77777777" w:rsidR="007F54B8" w:rsidRPr="00F963B4" w:rsidRDefault="007F54B8" w:rsidP="007F54B8">
      <w:pPr>
        <w:rPr>
          <w:b/>
          <w:bCs/>
          <w:sz w:val="24"/>
        </w:rPr>
      </w:pPr>
      <w:r w:rsidRPr="00F963B4">
        <w:rPr>
          <w:b/>
          <w:bCs/>
          <w:sz w:val="24"/>
        </w:rPr>
        <w:lastRenderedPageBreak/>
        <w:t xml:space="preserve">PROJECT ONE RESOURCES LTD. </w:t>
      </w:r>
    </w:p>
    <w:p w14:paraId="14D33790" w14:textId="77777777" w:rsidR="007F54B8" w:rsidRPr="00F963B4" w:rsidRDefault="007F54B8" w:rsidP="007F54B8">
      <w:pPr>
        <w:rPr>
          <w:b/>
          <w:bCs/>
        </w:rPr>
      </w:pPr>
      <w:r w:rsidRPr="00F963B4">
        <w:rPr>
          <w:b/>
          <w:bCs/>
        </w:rPr>
        <w:t>Condensed Interim Statements of Comprehensive Loss</w:t>
      </w:r>
    </w:p>
    <w:p w14:paraId="060759DF" w14:textId="77777777" w:rsidR="007F54B8" w:rsidRPr="00F963B4" w:rsidRDefault="007F54B8" w:rsidP="007F54B8">
      <w:pPr>
        <w:rPr>
          <w:b/>
          <w:bCs/>
        </w:rPr>
      </w:pPr>
      <w:r w:rsidRPr="00F963B4">
        <w:rPr>
          <w:b/>
          <w:bCs/>
        </w:rPr>
        <w:t>(Unaudited – Expressed in Canadian Dollars)</w:t>
      </w:r>
    </w:p>
    <w:p w14:paraId="630F6938" w14:textId="77777777" w:rsidR="007F54B8" w:rsidRPr="00F963B4" w:rsidRDefault="007F54B8" w:rsidP="007F54B8">
      <w:pPr>
        <w:rPr>
          <w:b/>
          <w:bCs/>
        </w:rPr>
      </w:pPr>
    </w:p>
    <w:p w14:paraId="614485CC" w14:textId="77777777" w:rsidR="007F54B8" w:rsidRPr="00F963B4" w:rsidRDefault="007F54B8" w:rsidP="007F54B8">
      <w:pPr>
        <w:rPr>
          <w:b/>
          <w:bCs/>
          <w:sz w:val="24"/>
        </w:rPr>
      </w:pPr>
    </w:p>
    <w:tbl>
      <w:tblPr>
        <w:tblW w:w="13866" w:type="dxa"/>
        <w:tblInd w:w="-22" w:type="dxa"/>
        <w:tblLayout w:type="fixed"/>
        <w:tblCellMar>
          <w:left w:w="120" w:type="dxa"/>
          <w:right w:w="120" w:type="dxa"/>
        </w:tblCellMar>
        <w:tblLook w:val="0000" w:firstRow="0" w:lastRow="0" w:firstColumn="0" w:lastColumn="0" w:noHBand="0" w:noVBand="0"/>
      </w:tblPr>
      <w:tblGrid>
        <w:gridCol w:w="6082"/>
        <w:gridCol w:w="450"/>
        <w:gridCol w:w="1500"/>
        <w:gridCol w:w="435"/>
        <w:gridCol w:w="1515"/>
        <w:gridCol w:w="435"/>
        <w:gridCol w:w="1515"/>
        <w:gridCol w:w="480"/>
        <w:gridCol w:w="1454"/>
      </w:tblGrid>
      <w:tr w:rsidR="007F54B8" w:rsidRPr="002871B1" w14:paraId="56F4AF32" w14:textId="77777777" w:rsidTr="004238EB">
        <w:trPr>
          <w:cantSplit/>
          <w:trHeight w:val="302"/>
        </w:trPr>
        <w:tc>
          <w:tcPr>
            <w:tcW w:w="6082" w:type="dxa"/>
            <w:tcBorders>
              <w:top w:val="single" w:sz="12" w:space="0" w:color="auto"/>
              <w:bottom w:val="single" w:sz="4" w:space="0" w:color="auto"/>
            </w:tcBorders>
            <w:vAlign w:val="bottom"/>
          </w:tcPr>
          <w:p w14:paraId="1CCDD800" w14:textId="77777777" w:rsidR="007F54B8" w:rsidRPr="00F963B4" w:rsidRDefault="007F54B8" w:rsidP="004238EB">
            <w:pPr>
              <w:pStyle w:val="Heading2"/>
              <w:keepNext w:val="0"/>
              <w:spacing w:before="0"/>
              <w:rPr>
                <w:rFonts w:ascii="Times New Roman" w:hAnsi="Times New Roman"/>
                <w:bCs/>
              </w:rPr>
            </w:pPr>
          </w:p>
        </w:tc>
        <w:tc>
          <w:tcPr>
            <w:tcW w:w="1950" w:type="dxa"/>
            <w:gridSpan w:val="2"/>
            <w:tcBorders>
              <w:top w:val="single" w:sz="12" w:space="0" w:color="auto"/>
              <w:bottom w:val="single" w:sz="4" w:space="0" w:color="auto"/>
            </w:tcBorders>
            <w:vAlign w:val="bottom"/>
          </w:tcPr>
          <w:p w14:paraId="1FE43944" w14:textId="77777777" w:rsidR="007F54B8" w:rsidRPr="00F963B4" w:rsidRDefault="007F54B8" w:rsidP="004238EB">
            <w:pPr>
              <w:jc w:val="center"/>
              <w:rPr>
                <w:b/>
                <w:bCs/>
              </w:rPr>
            </w:pPr>
            <w:r w:rsidRPr="00F963B4">
              <w:rPr>
                <w:b/>
                <w:bCs/>
              </w:rPr>
              <w:t>For the 3</w:t>
            </w:r>
            <w:r>
              <w:rPr>
                <w:b/>
                <w:bCs/>
              </w:rPr>
              <w:t>-</w:t>
            </w:r>
            <w:r w:rsidRPr="00F963B4">
              <w:rPr>
                <w:b/>
                <w:bCs/>
              </w:rPr>
              <w:t>Month Period Ended May 31, 202</w:t>
            </w:r>
            <w:r>
              <w:rPr>
                <w:b/>
                <w:bCs/>
              </w:rPr>
              <w:t>1</w:t>
            </w:r>
          </w:p>
        </w:tc>
        <w:tc>
          <w:tcPr>
            <w:tcW w:w="1950" w:type="dxa"/>
            <w:gridSpan w:val="2"/>
            <w:tcBorders>
              <w:top w:val="single" w:sz="12" w:space="0" w:color="auto"/>
              <w:bottom w:val="single" w:sz="4" w:space="0" w:color="auto"/>
            </w:tcBorders>
          </w:tcPr>
          <w:p w14:paraId="1175A133" w14:textId="77777777" w:rsidR="007F54B8" w:rsidRPr="00F963B4" w:rsidRDefault="007F54B8" w:rsidP="004238EB">
            <w:pPr>
              <w:jc w:val="center"/>
              <w:rPr>
                <w:b/>
                <w:bCs/>
              </w:rPr>
            </w:pPr>
            <w:r w:rsidRPr="00F963B4">
              <w:rPr>
                <w:b/>
                <w:bCs/>
              </w:rPr>
              <w:t>For the 3</w:t>
            </w:r>
            <w:r>
              <w:rPr>
                <w:b/>
                <w:bCs/>
              </w:rPr>
              <w:t>-</w:t>
            </w:r>
            <w:r w:rsidRPr="00F963B4">
              <w:rPr>
                <w:b/>
                <w:bCs/>
              </w:rPr>
              <w:t>Month Period Ended May 31, 20</w:t>
            </w:r>
            <w:r>
              <w:rPr>
                <w:b/>
                <w:bCs/>
              </w:rPr>
              <w:t>20</w:t>
            </w:r>
          </w:p>
        </w:tc>
        <w:tc>
          <w:tcPr>
            <w:tcW w:w="1950" w:type="dxa"/>
            <w:gridSpan w:val="2"/>
            <w:tcBorders>
              <w:top w:val="single" w:sz="12" w:space="0" w:color="auto"/>
              <w:bottom w:val="single" w:sz="4" w:space="0" w:color="auto"/>
            </w:tcBorders>
          </w:tcPr>
          <w:p w14:paraId="68B5DD8B" w14:textId="77777777" w:rsidR="007F54B8" w:rsidRPr="00F963B4" w:rsidRDefault="007F54B8" w:rsidP="004238EB">
            <w:pPr>
              <w:jc w:val="center"/>
              <w:rPr>
                <w:b/>
                <w:bCs/>
              </w:rPr>
            </w:pPr>
            <w:r w:rsidRPr="00F963B4">
              <w:rPr>
                <w:b/>
                <w:bCs/>
              </w:rPr>
              <w:t>For the 9</w:t>
            </w:r>
            <w:r>
              <w:rPr>
                <w:b/>
                <w:bCs/>
              </w:rPr>
              <w:t>-</w:t>
            </w:r>
            <w:r w:rsidRPr="00F963B4">
              <w:rPr>
                <w:b/>
                <w:bCs/>
              </w:rPr>
              <w:t>Month Period Ended May 31, 202</w:t>
            </w:r>
            <w:r>
              <w:rPr>
                <w:b/>
                <w:bCs/>
              </w:rPr>
              <w:t>1</w:t>
            </w:r>
          </w:p>
        </w:tc>
        <w:tc>
          <w:tcPr>
            <w:tcW w:w="1934" w:type="dxa"/>
            <w:gridSpan w:val="2"/>
            <w:tcBorders>
              <w:top w:val="single" w:sz="12" w:space="0" w:color="auto"/>
              <w:bottom w:val="single" w:sz="4" w:space="0" w:color="auto"/>
            </w:tcBorders>
          </w:tcPr>
          <w:p w14:paraId="24010A4B" w14:textId="77777777" w:rsidR="007F54B8" w:rsidRPr="00F963B4" w:rsidRDefault="007F54B8" w:rsidP="004238EB">
            <w:pPr>
              <w:jc w:val="center"/>
              <w:rPr>
                <w:b/>
                <w:bCs/>
              </w:rPr>
            </w:pPr>
            <w:r w:rsidRPr="00F963B4">
              <w:rPr>
                <w:b/>
                <w:bCs/>
              </w:rPr>
              <w:t>For the 9</w:t>
            </w:r>
            <w:r>
              <w:rPr>
                <w:b/>
                <w:bCs/>
              </w:rPr>
              <w:t>-</w:t>
            </w:r>
            <w:r w:rsidRPr="00F963B4">
              <w:rPr>
                <w:b/>
                <w:bCs/>
              </w:rPr>
              <w:t>Month Period Ended May 31, 20</w:t>
            </w:r>
            <w:r>
              <w:rPr>
                <w:b/>
                <w:bCs/>
              </w:rPr>
              <w:t>20</w:t>
            </w:r>
          </w:p>
        </w:tc>
      </w:tr>
      <w:tr w:rsidR="007F54B8" w:rsidRPr="002871B1" w14:paraId="3B49320D" w14:textId="77777777" w:rsidTr="004238EB">
        <w:trPr>
          <w:cantSplit/>
          <w:trHeight w:hRule="exact" w:val="274"/>
        </w:trPr>
        <w:tc>
          <w:tcPr>
            <w:tcW w:w="6082" w:type="dxa"/>
            <w:tcBorders>
              <w:top w:val="single" w:sz="4" w:space="0" w:color="auto"/>
            </w:tcBorders>
            <w:vAlign w:val="bottom"/>
          </w:tcPr>
          <w:p w14:paraId="03F1E3BD" w14:textId="77777777" w:rsidR="007F54B8" w:rsidRPr="00F963B4" w:rsidRDefault="007F54B8" w:rsidP="004238EB">
            <w:pPr>
              <w:pStyle w:val="Heading2"/>
              <w:keepNext w:val="0"/>
              <w:spacing w:before="0"/>
              <w:rPr>
                <w:rFonts w:ascii="Times New Roman" w:hAnsi="Times New Roman"/>
                <w:bCs/>
              </w:rPr>
            </w:pPr>
          </w:p>
        </w:tc>
        <w:tc>
          <w:tcPr>
            <w:tcW w:w="450" w:type="dxa"/>
            <w:tcBorders>
              <w:top w:val="single" w:sz="4" w:space="0" w:color="auto"/>
            </w:tcBorders>
            <w:vAlign w:val="bottom"/>
          </w:tcPr>
          <w:p w14:paraId="71BA8394" w14:textId="77777777" w:rsidR="007F54B8" w:rsidRPr="00F963B4" w:rsidRDefault="007F54B8" w:rsidP="004238EB">
            <w:pPr>
              <w:jc w:val="right"/>
            </w:pPr>
          </w:p>
        </w:tc>
        <w:tc>
          <w:tcPr>
            <w:tcW w:w="1500" w:type="dxa"/>
            <w:tcBorders>
              <w:top w:val="single" w:sz="4" w:space="0" w:color="auto"/>
            </w:tcBorders>
            <w:vAlign w:val="bottom"/>
          </w:tcPr>
          <w:p w14:paraId="1B56AE44" w14:textId="77777777" w:rsidR="007F54B8" w:rsidRPr="00F963B4" w:rsidRDefault="007F54B8" w:rsidP="004238EB">
            <w:pPr>
              <w:pStyle w:val="CommentText"/>
              <w:jc w:val="right"/>
              <w:rPr>
                <w:rFonts w:ascii="Times New Roman" w:hAnsi="Times New Roman"/>
              </w:rPr>
            </w:pPr>
          </w:p>
        </w:tc>
        <w:tc>
          <w:tcPr>
            <w:tcW w:w="435" w:type="dxa"/>
            <w:tcBorders>
              <w:top w:val="single" w:sz="4" w:space="0" w:color="auto"/>
            </w:tcBorders>
            <w:vAlign w:val="bottom"/>
          </w:tcPr>
          <w:p w14:paraId="676836F3" w14:textId="77777777" w:rsidR="007F54B8" w:rsidRPr="00F963B4" w:rsidRDefault="007F54B8" w:rsidP="004238EB">
            <w:pPr>
              <w:pStyle w:val="CommentText"/>
              <w:jc w:val="right"/>
              <w:rPr>
                <w:rFonts w:ascii="Times New Roman" w:hAnsi="Times New Roman"/>
              </w:rPr>
            </w:pPr>
          </w:p>
        </w:tc>
        <w:tc>
          <w:tcPr>
            <w:tcW w:w="1515" w:type="dxa"/>
            <w:tcBorders>
              <w:top w:val="single" w:sz="4" w:space="0" w:color="auto"/>
            </w:tcBorders>
          </w:tcPr>
          <w:p w14:paraId="2410F6B9" w14:textId="77777777" w:rsidR="007F54B8" w:rsidRPr="00F963B4" w:rsidRDefault="007F54B8" w:rsidP="004238EB">
            <w:pPr>
              <w:pStyle w:val="CommentText"/>
              <w:jc w:val="right"/>
              <w:rPr>
                <w:rFonts w:ascii="Times New Roman" w:hAnsi="Times New Roman"/>
              </w:rPr>
            </w:pPr>
          </w:p>
        </w:tc>
        <w:tc>
          <w:tcPr>
            <w:tcW w:w="435" w:type="dxa"/>
            <w:tcBorders>
              <w:top w:val="single" w:sz="4" w:space="0" w:color="auto"/>
            </w:tcBorders>
            <w:vAlign w:val="bottom"/>
          </w:tcPr>
          <w:p w14:paraId="39D5E702" w14:textId="77777777" w:rsidR="007F54B8" w:rsidRPr="00F963B4" w:rsidRDefault="007F54B8" w:rsidP="004238EB">
            <w:pPr>
              <w:pStyle w:val="CommentText"/>
              <w:jc w:val="right"/>
              <w:rPr>
                <w:rFonts w:ascii="Times New Roman" w:hAnsi="Times New Roman"/>
              </w:rPr>
            </w:pPr>
          </w:p>
        </w:tc>
        <w:tc>
          <w:tcPr>
            <w:tcW w:w="1515" w:type="dxa"/>
            <w:tcBorders>
              <w:top w:val="single" w:sz="4" w:space="0" w:color="auto"/>
            </w:tcBorders>
          </w:tcPr>
          <w:p w14:paraId="5E0BFC5C" w14:textId="77777777" w:rsidR="007F54B8" w:rsidRPr="00F963B4" w:rsidRDefault="007F54B8" w:rsidP="004238EB">
            <w:pPr>
              <w:pStyle w:val="CommentText"/>
              <w:jc w:val="right"/>
              <w:rPr>
                <w:rFonts w:ascii="Times New Roman" w:hAnsi="Times New Roman"/>
              </w:rPr>
            </w:pPr>
          </w:p>
        </w:tc>
        <w:tc>
          <w:tcPr>
            <w:tcW w:w="480" w:type="dxa"/>
            <w:tcBorders>
              <w:top w:val="single" w:sz="4" w:space="0" w:color="auto"/>
            </w:tcBorders>
            <w:vAlign w:val="bottom"/>
          </w:tcPr>
          <w:p w14:paraId="0CDD3DF3" w14:textId="77777777" w:rsidR="007F54B8" w:rsidRPr="00F963B4" w:rsidRDefault="007F54B8" w:rsidP="004238EB">
            <w:pPr>
              <w:pStyle w:val="CommentText"/>
              <w:jc w:val="right"/>
              <w:rPr>
                <w:rFonts w:ascii="Times New Roman" w:hAnsi="Times New Roman"/>
              </w:rPr>
            </w:pPr>
          </w:p>
        </w:tc>
        <w:tc>
          <w:tcPr>
            <w:tcW w:w="1454" w:type="dxa"/>
            <w:tcBorders>
              <w:top w:val="single" w:sz="4" w:space="0" w:color="auto"/>
            </w:tcBorders>
          </w:tcPr>
          <w:p w14:paraId="1E9E55AB" w14:textId="77777777" w:rsidR="007F54B8" w:rsidRPr="00F963B4" w:rsidRDefault="007F54B8" w:rsidP="004238EB">
            <w:pPr>
              <w:pStyle w:val="CommentText"/>
              <w:jc w:val="right"/>
              <w:rPr>
                <w:rFonts w:ascii="Times New Roman" w:hAnsi="Times New Roman"/>
              </w:rPr>
            </w:pPr>
          </w:p>
        </w:tc>
      </w:tr>
      <w:tr w:rsidR="007F54B8" w:rsidRPr="002871B1" w14:paraId="7E2F42E7" w14:textId="77777777" w:rsidTr="004238EB">
        <w:trPr>
          <w:cantSplit/>
          <w:trHeight w:hRule="exact" w:val="274"/>
        </w:trPr>
        <w:tc>
          <w:tcPr>
            <w:tcW w:w="6082" w:type="dxa"/>
            <w:vAlign w:val="bottom"/>
          </w:tcPr>
          <w:p w14:paraId="0211E7A8" w14:textId="77777777" w:rsidR="007F54B8" w:rsidRPr="00F963B4" w:rsidDel="00E0256F" w:rsidRDefault="007F54B8" w:rsidP="004238EB">
            <w:pPr>
              <w:rPr>
                <w:b/>
              </w:rPr>
            </w:pPr>
            <w:r w:rsidRPr="00F963B4">
              <w:rPr>
                <w:b/>
              </w:rPr>
              <w:t>Expenses</w:t>
            </w:r>
          </w:p>
        </w:tc>
        <w:tc>
          <w:tcPr>
            <w:tcW w:w="450" w:type="dxa"/>
            <w:vAlign w:val="bottom"/>
          </w:tcPr>
          <w:p w14:paraId="03F0BDB9" w14:textId="77777777" w:rsidR="007F54B8" w:rsidRPr="00F963B4" w:rsidRDefault="007F54B8" w:rsidP="004238EB">
            <w:pPr>
              <w:jc w:val="right"/>
            </w:pPr>
          </w:p>
        </w:tc>
        <w:tc>
          <w:tcPr>
            <w:tcW w:w="1500" w:type="dxa"/>
            <w:vAlign w:val="bottom"/>
          </w:tcPr>
          <w:p w14:paraId="45AB23B2" w14:textId="77777777" w:rsidR="007F54B8" w:rsidRPr="00F963B4" w:rsidRDefault="007F54B8" w:rsidP="004238EB">
            <w:pPr>
              <w:pStyle w:val="CommentText"/>
              <w:jc w:val="right"/>
              <w:rPr>
                <w:rFonts w:ascii="Times New Roman" w:hAnsi="Times New Roman"/>
              </w:rPr>
            </w:pPr>
          </w:p>
        </w:tc>
        <w:tc>
          <w:tcPr>
            <w:tcW w:w="435" w:type="dxa"/>
            <w:vAlign w:val="bottom"/>
          </w:tcPr>
          <w:p w14:paraId="51854B0E" w14:textId="77777777" w:rsidR="007F54B8" w:rsidRPr="00F963B4" w:rsidRDefault="007F54B8" w:rsidP="004238EB">
            <w:pPr>
              <w:pStyle w:val="CommentText"/>
              <w:jc w:val="right"/>
              <w:rPr>
                <w:rFonts w:ascii="Times New Roman" w:hAnsi="Times New Roman"/>
              </w:rPr>
            </w:pPr>
          </w:p>
        </w:tc>
        <w:tc>
          <w:tcPr>
            <w:tcW w:w="1515" w:type="dxa"/>
          </w:tcPr>
          <w:p w14:paraId="019D3C1F" w14:textId="77777777" w:rsidR="007F54B8" w:rsidRPr="00F963B4" w:rsidRDefault="007F54B8" w:rsidP="004238EB">
            <w:pPr>
              <w:pStyle w:val="CommentText"/>
              <w:jc w:val="right"/>
              <w:rPr>
                <w:rFonts w:ascii="Times New Roman" w:hAnsi="Times New Roman"/>
              </w:rPr>
            </w:pPr>
          </w:p>
        </w:tc>
        <w:tc>
          <w:tcPr>
            <w:tcW w:w="435" w:type="dxa"/>
            <w:vAlign w:val="bottom"/>
          </w:tcPr>
          <w:p w14:paraId="0818112F" w14:textId="77777777" w:rsidR="007F54B8" w:rsidRPr="00F963B4" w:rsidRDefault="007F54B8" w:rsidP="004238EB">
            <w:pPr>
              <w:pStyle w:val="CommentText"/>
              <w:jc w:val="right"/>
              <w:rPr>
                <w:rFonts w:ascii="Times New Roman" w:hAnsi="Times New Roman"/>
              </w:rPr>
            </w:pPr>
          </w:p>
        </w:tc>
        <w:tc>
          <w:tcPr>
            <w:tcW w:w="1515" w:type="dxa"/>
          </w:tcPr>
          <w:p w14:paraId="1E57FA17" w14:textId="77777777" w:rsidR="007F54B8" w:rsidRPr="00F963B4" w:rsidRDefault="007F54B8" w:rsidP="004238EB">
            <w:pPr>
              <w:pStyle w:val="CommentText"/>
              <w:jc w:val="right"/>
              <w:rPr>
                <w:rFonts w:ascii="Times New Roman" w:hAnsi="Times New Roman"/>
              </w:rPr>
            </w:pPr>
          </w:p>
        </w:tc>
        <w:tc>
          <w:tcPr>
            <w:tcW w:w="480" w:type="dxa"/>
            <w:vAlign w:val="bottom"/>
          </w:tcPr>
          <w:p w14:paraId="3022044F" w14:textId="77777777" w:rsidR="007F54B8" w:rsidRPr="00F963B4" w:rsidRDefault="007F54B8" w:rsidP="004238EB">
            <w:pPr>
              <w:pStyle w:val="CommentText"/>
              <w:jc w:val="right"/>
              <w:rPr>
                <w:rFonts w:ascii="Times New Roman" w:hAnsi="Times New Roman"/>
              </w:rPr>
            </w:pPr>
          </w:p>
        </w:tc>
        <w:tc>
          <w:tcPr>
            <w:tcW w:w="1454" w:type="dxa"/>
          </w:tcPr>
          <w:p w14:paraId="240C1285" w14:textId="77777777" w:rsidR="007F54B8" w:rsidRPr="00F963B4" w:rsidRDefault="007F54B8" w:rsidP="004238EB">
            <w:pPr>
              <w:pStyle w:val="CommentText"/>
              <w:jc w:val="right"/>
              <w:rPr>
                <w:rFonts w:ascii="Times New Roman" w:hAnsi="Times New Roman"/>
              </w:rPr>
            </w:pPr>
          </w:p>
        </w:tc>
      </w:tr>
      <w:tr w:rsidR="007F54B8" w:rsidRPr="002871B1" w14:paraId="3FDE3FED" w14:textId="77777777" w:rsidTr="004238EB">
        <w:trPr>
          <w:cantSplit/>
          <w:trHeight w:hRule="exact" w:val="274"/>
        </w:trPr>
        <w:tc>
          <w:tcPr>
            <w:tcW w:w="6082" w:type="dxa"/>
            <w:vAlign w:val="bottom"/>
          </w:tcPr>
          <w:p w14:paraId="7626A485" w14:textId="77777777" w:rsidR="007F54B8" w:rsidRPr="00F963B4" w:rsidRDefault="007F54B8" w:rsidP="004238EB">
            <w:pPr>
              <w:ind w:left="255"/>
            </w:pPr>
            <w:r>
              <w:t>Accounting and audit fees</w:t>
            </w:r>
          </w:p>
        </w:tc>
        <w:tc>
          <w:tcPr>
            <w:tcW w:w="450" w:type="dxa"/>
            <w:vAlign w:val="bottom"/>
          </w:tcPr>
          <w:p w14:paraId="438269A5" w14:textId="77777777" w:rsidR="007F54B8" w:rsidRPr="00F963B4" w:rsidRDefault="007F54B8" w:rsidP="004238EB">
            <w:pPr>
              <w:jc w:val="right"/>
            </w:pPr>
            <w:r w:rsidRPr="00C7127D">
              <w:t>$</w:t>
            </w:r>
          </w:p>
        </w:tc>
        <w:tc>
          <w:tcPr>
            <w:tcW w:w="1500" w:type="dxa"/>
            <w:vAlign w:val="bottom"/>
          </w:tcPr>
          <w:p w14:paraId="7D1BA4FF" w14:textId="77777777" w:rsidR="007F54B8" w:rsidRPr="00F963B4" w:rsidRDefault="007F54B8" w:rsidP="004238EB">
            <w:pPr>
              <w:pStyle w:val="CommentText"/>
              <w:jc w:val="right"/>
              <w:rPr>
                <w:rFonts w:ascii="Times New Roman" w:hAnsi="Times New Roman"/>
              </w:rPr>
            </w:pPr>
            <w:r>
              <w:rPr>
                <w:rFonts w:ascii="Times New Roman" w:hAnsi="Times New Roman"/>
              </w:rPr>
              <w:t>-</w:t>
            </w:r>
          </w:p>
        </w:tc>
        <w:tc>
          <w:tcPr>
            <w:tcW w:w="435" w:type="dxa"/>
            <w:vAlign w:val="bottom"/>
          </w:tcPr>
          <w:p w14:paraId="2895C479" w14:textId="77777777" w:rsidR="007F54B8" w:rsidRPr="00F963B4" w:rsidRDefault="007F54B8" w:rsidP="004238EB">
            <w:pPr>
              <w:pStyle w:val="CommentText"/>
              <w:jc w:val="right"/>
              <w:rPr>
                <w:rFonts w:ascii="Times New Roman" w:hAnsi="Times New Roman"/>
              </w:rPr>
            </w:pPr>
            <w:r w:rsidRPr="00C7127D">
              <w:rPr>
                <w:rFonts w:ascii="Times New Roman" w:hAnsi="Times New Roman"/>
              </w:rPr>
              <w:t>$</w:t>
            </w:r>
          </w:p>
        </w:tc>
        <w:tc>
          <w:tcPr>
            <w:tcW w:w="1515" w:type="dxa"/>
            <w:vAlign w:val="bottom"/>
          </w:tcPr>
          <w:p w14:paraId="149F16EC" w14:textId="77777777" w:rsidR="007F54B8" w:rsidRPr="00F963B4" w:rsidRDefault="007F54B8" w:rsidP="004238EB">
            <w:pPr>
              <w:pStyle w:val="CommentText"/>
              <w:jc w:val="right"/>
              <w:rPr>
                <w:rFonts w:ascii="Times New Roman" w:hAnsi="Times New Roman"/>
              </w:rPr>
            </w:pPr>
            <w:r>
              <w:rPr>
                <w:rFonts w:ascii="Times New Roman" w:hAnsi="Times New Roman"/>
              </w:rPr>
              <w:t>2,000</w:t>
            </w:r>
          </w:p>
        </w:tc>
        <w:tc>
          <w:tcPr>
            <w:tcW w:w="435" w:type="dxa"/>
            <w:vAlign w:val="bottom"/>
          </w:tcPr>
          <w:p w14:paraId="363F21B8" w14:textId="77777777" w:rsidR="007F54B8" w:rsidRPr="00F963B4" w:rsidRDefault="007F54B8" w:rsidP="004238EB">
            <w:pPr>
              <w:pStyle w:val="CommentText"/>
              <w:jc w:val="right"/>
              <w:rPr>
                <w:rFonts w:ascii="Times New Roman" w:hAnsi="Times New Roman"/>
              </w:rPr>
            </w:pPr>
            <w:r w:rsidRPr="00C7127D">
              <w:rPr>
                <w:rFonts w:ascii="Times New Roman" w:hAnsi="Times New Roman"/>
              </w:rPr>
              <w:t>$</w:t>
            </w:r>
          </w:p>
        </w:tc>
        <w:tc>
          <w:tcPr>
            <w:tcW w:w="1515" w:type="dxa"/>
            <w:vAlign w:val="bottom"/>
          </w:tcPr>
          <w:p w14:paraId="2EFD5C59" w14:textId="77777777" w:rsidR="007F54B8" w:rsidRPr="00F963B4" w:rsidRDefault="007F54B8" w:rsidP="004238EB">
            <w:pPr>
              <w:pStyle w:val="CommentText"/>
              <w:jc w:val="right"/>
              <w:rPr>
                <w:rFonts w:ascii="Times New Roman" w:hAnsi="Times New Roman"/>
              </w:rPr>
            </w:pPr>
            <w:r>
              <w:rPr>
                <w:rFonts w:ascii="Times New Roman" w:hAnsi="Times New Roman"/>
              </w:rPr>
              <w:t>12,665</w:t>
            </w:r>
          </w:p>
        </w:tc>
        <w:tc>
          <w:tcPr>
            <w:tcW w:w="480" w:type="dxa"/>
            <w:vAlign w:val="bottom"/>
          </w:tcPr>
          <w:p w14:paraId="48CC8744" w14:textId="77777777" w:rsidR="007F54B8" w:rsidRPr="00F963B4" w:rsidRDefault="007F54B8" w:rsidP="004238EB">
            <w:pPr>
              <w:pStyle w:val="CommentText"/>
              <w:jc w:val="right"/>
              <w:rPr>
                <w:rFonts w:ascii="Times New Roman" w:hAnsi="Times New Roman"/>
              </w:rPr>
            </w:pPr>
            <w:r w:rsidRPr="00C7127D">
              <w:rPr>
                <w:rFonts w:ascii="Times New Roman" w:hAnsi="Times New Roman"/>
              </w:rPr>
              <w:t>$</w:t>
            </w:r>
          </w:p>
        </w:tc>
        <w:tc>
          <w:tcPr>
            <w:tcW w:w="1454" w:type="dxa"/>
            <w:vAlign w:val="bottom"/>
          </w:tcPr>
          <w:p w14:paraId="696E19BC"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2,</w:t>
            </w:r>
            <w:r>
              <w:rPr>
                <w:rFonts w:ascii="Times New Roman" w:hAnsi="Times New Roman"/>
              </w:rPr>
              <w:t>791</w:t>
            </w:r>
          </w:p>
        </w:tc>
      </w:tr>
      <w:tr w:rsidR="007F54B8" w:rsidRPr="002871B1" w14:paraId="32D54AEA" w14:textId="77777777" w:rsidTr="004238EB">
        <w:trPr>
          <w:cantSplit/>
          <w:trHeight w:hRule="exact" w:val="274"/>
        </w:trPr>
        <w:tc>
          <w:tcPr>
            <w:tcW w:w="6082" w:type="dxa"/>
            <w:vAlign w:val="bottom"/>
          </w:tcPr>
          <w:p w14:paraId="4C473FE3" w14:textId="77777777" w:rsidR="007F54B8" w:rsidRPr="00F963B4" w:rsidRDefault="007F54B8" w:rsidP="004238EB">
            <w:pPr>
              <w:ind w:left="255"/>
            </w:pPr>
            <w:r w:rsidRPr="00F963B4">
              <w:t>Advertising and promotion</w:t>
            </w:r>
            <w:r>
              <w:t xml:space="preserve"> (note 1)</w:t>
            </w:r>
          </w:p>
        </w:tc>
        <w:tc>
          <w:tcPr>
            <w:tcW w:w="450" w:type="dxa"/>
            <w:vAlign w:val="bottom"/>
          </w:tcPr>
          <w:p w14:paraId="646ACAAB" w14:textId="77777777" w:rsidR="007F54B8" w:rsidRPr="00C7127D" w:rsidRDefault="007F54B8" w:rsidP="004238EB">
            <w:pPr>
              <w:jc w:val="right"/>
            </w:pPr>
          </w:p>
        </w:tc>
        <w:tc>
          <w:tcPr>
            <w:tcW w:w="1500" w:type="dxa"/>
            <w:vAlign w:val="bottom"/>
          </w:tcPr>
          <w:p w14:paraId="6FEDEED7" w14:textId="77777777" w:rsidR="007F54B8" w:rsidRDefault="007F54B8" w:rsidP="004238EB">
            <w:pPr>
              <w:pStyle w:val="CommentText"/>
              <w:jc w:val="right"/>
              <w:rPr>
                <w:rFonts w:ascii="Times New Roman" w:hAnsi="Times New Roman"/>
              </w:rPr>
            </w:pPr>
            <w:r>
              <w:rPr>
                <w:rFonts w:ascii="Times New Roman" w:hAnsi="Times New Roman"/>
              </w:rPr>
              <w:t>7,000</w:t>
            </w:r>
          </w:p>
        </w:tc>
        <w:tc>
          <w:tcPr>
            <w:tcW w:w="435" w:type="dxa"/>
            <w:vAlign w:val="bottom"/>
          </w:tcPr>
          <w:p w14:paraId="15F09D74" w14:textId="77777777" w:rsidR="007F54B8" w:rsidRPr="00C7127D" w:rsidRDefault="007F54B8" w:rsidP="004238EB">
            <w:pPr>
              <w:pStyle w:val="CommentText"/>
              <w:jc w:val="right"/>
              <w:rPr>
                <w:rFonts w:ascii="Times New Roman" w:hAnsi="Times New Roman"/>
              </w:rPr>
            </w:pPr>
          </w:p>
        </w:tc>
        <w:tc>
          <w:tcPr>
            <w:tcW w:w="1515" w:type="dxa"/>
            <w:vAlign w:val="bottom"/>
          </w:tcPr>
          <w:p w14:paraId="4AD51B9E" w14:textId="77777777" w:rsidR="007F54B8" w:rsidRDefault="007F54B8" w:rsidP="004238EB">
            <w:pPr>
              <w:pStyle w:val="CommentText"/>
              <w:jc w:val="right"/>
              <w:rPr>
                <w:rFonts w:ascii="Times New Roman" w:hAnsi="Times New Roman"/>
              </w:rPr>
            </w:pPr>
            <w:r>
              <w:rPr>
                <w:rFonts w:ascii="Times New Roman" w:hAnsi="Times New Roman"/>
              </w:rPr>
              <w:t>-</w:t>
            </w:r>
          </w:p>
        </w:tc>
        <w:tc>
          <w:tcPr>
            <w:tcW w:w="435" w:type="dxa"/>
            <w:vAlign w:val="bottom"/>
          </w:tcPr>
          <w:p w14:paraId="6C916A3E" w14:textId="77777777" w:rsidR="007F54B8" w:rsidRPr="00C7127D" w:rsidRDefault="007F54B8" w:rsidP="004238EB">
            <w:pPr>
              <w:pStyle w:val="CommentText"/>
              <w:jc w:val="right"/>
              <w:rPr>
                <w:rFonts w:ascii="Times New Roman" w:hAnsi="Times New Roman"/>
              </w:rPr>
            </w:pPr>
          </w:p>
        </w:tc>
        <w:tc>
          <w:tcPr>
            <w:tcW w:w="1515" w:type="dxa"/>
            <w:vAlign w:val="bottom"/>
          </w:tcPr>
          <w:p w14:paraId="21A5B14E" w14:textId="77777777" w:rsidR="007F54B8" w:rsidRPr="00F963B4" w:rsidRDefault="007F54B8" w:rsidP="004238EB">
            <w:pPr>
              <w:pStyle w:val="CommentText"/>
              <w:jc w:val="right"/>
              <w:rPr>
                <w:rFonts w:ascii="Times New Roman" w:hAnsi="Times New Roman"/>
              </w:rPr>
            </w:pPr>
            <w:r>
              <w:rPr>
                <w:rFonts w:ascii="Times New Roman" w:hAnsi="Times New Roman"/>
              </w:rPr>
              <w:t>33,550</w:t>
            </w:r>
          </w:p>
        </w:tc>
        <w:tc>
          <w:tcPr>
            <w:tcW w:w="480" w:type="dxa"/>
            <w:vAlign w:val="bottom"/>
          </w:tcPr>
          <w:p w14:paraId="6C8FBCA6" w14:textId="77777777" w:rsidR="007F54B8" w:rsidRPr="00C7127D" w:rsidRDefault="007F54B8" w:rsidP="004238EB">
            <w:pPr>
              <w:pStyle w:val="CommentText"/>
              <w:jc w:val="right"/>
              <w:rPr>
                <w:rFonts w:ascii="Times New Roman" w:hAnsi="Times New Roman"/>
              </w:rPr>
            </w:pPr>
          </w:p>
        </w:tc>
        <w:tc>
          <w:tcPr>
            <w:tcW w:w="1454" w:type="dxa"/>
            <w:vAlign w:val="bottom"/>
          </w:tcPr>
          <w:p w14:paraId="614518CD"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2,157</w:t>
            </w:r>
          </w:p>
        </w:tc>
      </w:tr>
      <w:tr w:rsidR="007F54B8" w:rsidRPr="002871B1" w14:paraId="34C37DB3" w14:textId="77777777" w:rsidTr="004238EB">
        <w:trPr>
          <w:cantSplit/>
          <w:trHeight w:hRule="exact" w:val="274"/>
        </w:trPr>
        <w:tc>
          <w:tcPr>
            <w:tcW w:w="6082" w:type="dxa"/>
            <w:vAlign w:val="bottom"/>
          </w:tcPr>
          <w:p w14:paraId="3BA7AFB3" w14:textId="77777777" w:rsidR="007F54B8" w:rsidRPr="00F30535" w:rsidRDefault="007F54B8" w:rsidP="004238EB">
            <w:pPr>
              <w:ind w:left="255"/>
            </w:pPr>
            <w:r w:rsidRPr="00F30535">
              <w:t>Consulting fees (note</w:t>
            </w:r>
            <w:r>
              <w:t>s</w:t>
            </w:r>
            <w:r w:rsidRPr="00F30535">
              <w:t xml:space="preserve"> </w:t>
            </w:r>
            <w:r>
              <w:t>1 and 6</w:t>
            </w:r>
            <w:r w:rsidRPr="00F30535">
              <w:t>)</w:t>
            </w:r>
          </w:p>
        </w:tc>
        <w:tc>
          <w:tcPr>
            <w:tcW w:w="450" w:type="dxa"/>
            <w:vAlign w:val="bottom"/>
          </w:tcPr>
          <w:p w14:paraId="2B0C44D0" w14:textId="77777777" w:rsidR="007F54B8" w:rsidRPr="00F963B4" w:rsidRDefault="007F54B8" w:rsidP="004238EB">
            <w:pPr>
              <w:jc w:val="right"/>
            </w:pPr>
          </w:p>
        </w:tc>
        <w:tc>
          <w:tcPr>
            <w:tcW w:w="1500" w:type="dxa"/>
            <w:vAlign w:val="bottom"/>
          </w:tcPr>
          <w:p w14:paraId="10B8B0CA" w14:textId="77777777" w:rsidR="007F54B8" w:rsidRPr="00F963B4" w:rsidRDefault="007F54B8" w:rsidP="004238EB">
            <w:pPr>
              <w:pStyle w:val="CommentText"/>
              <w:jc w:val="right"/>
              <w:rPr>
                <w:rFonts w:ascii="Times New Roman" w:hAnsi="Times New Roman"/>
              </w:rPr>
            </w:pPr>
            <w:r>
              <w:rPr>
                <w:rFonts w:ascii="Times New Roman" w:hAnsi="Times New Roman"/>
              </w:rPr>
              <w:t>39,600</w:t>
            </w:r>
          </w:p>
        </w:tc>
        <w:tc>
          <w:tcPr>
            <w:tcW w:w="435" w:type="dxa"/>
            <w:vAlign w:val="bottom"/>
          </w:tcPr>
          <w:p w14:paraId="1862E4F7" w14:textId="77777777" w:rsidR="007F54B8" w:rsidRPr="00F963B4" w:rsidRDefault="007F54B8" w:rsidP="004238EB">
            <w:pPr>
              <w:pStyle w:val="CommentText"/>
              <w:jc w:val="right"/>
              <w:rPr>
                <w:rFonts w:ascii="Times New Roman" w:hAnsi="Times New Roman"/>
              </w:rPr>
            </w:pPr>
          </w:p>
        </w:tc>
        <w:tc>
          <w:tcPr>
            <w:tcW w:w="1515" w:type="dxa"/>
            <w:vAlign w:val="bottom"/>
          </w:tcPr>
          <w:p w14:paraId="24F69852"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17,000</w:t>
            </w:r>
          </w:p>
        </w:tc>
        <w:tc>
          <w:tcPr>
            <w:tcW w:w="435" w:type="dxa"/>
            <w:vAlign w:val="bottom"/>
          </w:tcPr>
          <w:p w14:paraId="233E4B4C" w14:textId="77777777" w:rsidR="007F54B8" w:rsidRPr="00F963B4" w:rsidRDefault="007F54B8" w:rsidP="004238EB">
            <w:pPr>
              <w:pStyle w:val="CommentText"/>
              <w:jc w:val="right"/>
              <w:rPr>
                <w:rFonts w:ascii="Times New Roman" w:hAnsi="Times New Roman"/>
              </w:rPr>
            </w:pPr>
          </w:p>
        </w:tc>
        <w:tc>
          <w:tcPr>
            <w:tcW w:w="1515" w:type="dxa"/>
            <w:vAlign w:val="bottom"/>
          </w:tcPr>
          <w:p w14:paraId="27DB5D5B" w14:textId="77777777" w:rsidR="007F54B8" w:rsidRPr="00F963B4" w:rsidRDefault="007F54B8" w:rsidP="004238EB">
            <w:pPr>
              <w:pStyle w:val="CommentText"/>
              <w:jc w:val="right"/>
              <w:rPr>
                <w:rFonts w:ascii="Times New Roman" w:hAnsi="Times New Roman"/>
              </w:rPr>
            </w:pPr>
            <w:r>
              <w:rPr>
                <w:rFonts w:ascii="Times New Roman" w:hAnsi="Times New Roman"/>
              </w:rPr>
              <w:t>189,311</w:t>
            </w:r>
          </w:p>
        </w:tc>
        <w:tc>
          <w:tcPr>
            <w:tcW w:w="480" w:type="dxa"/>
            <w:vAlign w:val="bottom"/>
          </w:tcPr>
          <w:p w14:paraId="25992F1F" w14:textId="77777777" w:rsidR="007F54B8" w:rsidRPr="00F963B4" w:rsidRDefault="007F54B8" w:rsidP="004238EB">
            <w:pPr>
              <w:pStyle w:val="CommentText"/>
              <w:jc w:val="right"/>
              <w:rPr>
                <w:rFonts w:ascii="Times New Roman" w:hAnsi="Times New Roman"/>
              </w:rPr>
            </w:pPr>
          </w:p>
        </w:tc>
        <w:tc>
          <w:tcPr>
            <w:tcW w:w="1454" w:type="dxa"/>
            <w:vAlign w:val="bottom"/>
          </w:tcPr>
          <w:p w14:paraId="00B1818C"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48,500</w:t>
            </w:r>
          </w:p>
        </w:tc>
      </w:tr>
      <w:tr w:rsidR="007F54B8" w:rsidRPr="002871B1" w14:paraId="75E46C6B" w14:textId="77777777" w:rsidTr="004238EB">
        <w:trPr>
          <w:cantSplit/>
          <w:trHeight w:hRule="exact" w:val="274"/>
        </w:trPr>
        <w:tc>
          <w:tcPr>
            <w:tcW w:w="6082" w:type="dxa"/>
            <w:vAlign w:val="bottom"/>
          </w:tcPr>
          <w:p w14:paraId="4ABA0B74" w14:textId="77777777" w:rsidR="007F54B8" w:rsidRPr="00F30535" w:rsidRDefault="007F54B8" w:rsidP="004238EB">
            <w:pPr>
              <w:ind w:left="255"/>
            </w:pPr>
            <w:r w:rsidRPr="00F30535">
              <w:t>Exploration and evaluation expenditures (note 4)</w:t>
            </w:r>
          </w:p>
        </w:tc>
        <w:tc>
          <w:tcPr>
            <w:tcW w:w="450" w:type="dxa"/>
            <w:vAlign w:val="bottom"/>
          </w:tcPr>
          <w:p w14:paraId="5E5634CC" w14:textId="77777777" w:rsidR="007F54B8" w:rsidRPr="00F963B4" w:rsidRDefault="007F54B8" w:rsidP="004238EB">
            <w:pPr>
              <w:jc w:val="right"/>
            </w:pPr>
          </w:p>
        </w:tc>
        <w:tc>
          <w:tcPr>
            <w:tcW w:w="1500" w:type="dxa"/>
            <w:vAlign w:val="bottom"/>
          </w:tcPr>
          <w:p w14:paraId="2C345B90" w14:textId="77777777" w:rsidR="007F54B8" w:rsidRPr="00F963B4" w:rsidRDefault="007F54B8" w:rsidP="004238EB">
            <w:pPr>
              <w:pStyle w:val="CommentText"/>
              <w:jc w:val="right"/>
              <w:rPr>
                <w:rFonts w:ascii="Times New Roman" w:hAnsi="Times New Roman"/>
              </w:rPr>
            </w:pPr>
            <w:r>
              <w:rPr>
                <w:rFonts w:ascii="Times New Roman" w:hAnsi="Times New Roman"/>
              </w:rPr>
              <w:t>(3,414)</w:t>
            </w:r>
          </w:p>
        </w:tc>
        <w:tc>
          <w:tcPr>
            <w:tcW w:w="435" w:type="dxa"/>
            <w:vAlign w:val="bottom"/>
          </w:tcPr>
          <w:p w14:paraId="6FA97AE7" w14:textId="77777777" w:rsidR="007F54B8" w:rsidRPr="00F963B4" w:rsidRDefault="007F54B8" w:rsidP="004238EB">
            <w:pPr>
              <w:pStyle w:val="CommentText"/>
              <w:jc w:val="right"/>
              <w:rPr>
                <w:rFonts w:ascii="Times New Roman" w:hAnsi="Times New Roman"/>
              </w:rPr>
            </w:pPr>
          </w:p>
        </w:tc>
        <w:tc>
          <w:tcPr>
            <w:tcW w:w="1515" w:type="dxa"/>
            <w:vAlign w:val="bottom"/>
          </w:tcPr>
          <w:p w14:paraId="53DCD6B8" w14:textId="77777777" w:rsidR="007F54B8" w:rsidRPr="00F963B4" w:rsidRDefault="007F54B8" w:rsidP="004238EB">
            <w:pPr>
              <w:pStyle w:val="CommentText"/>
              <w:jc w:val="right"/>
              <w:rPr>
                <w:rFonts w:ascii="Times New Roman" w:hAnsi="Times New Roman"/>
              </w:rPr>
            </w:pPr>
            <w:r>
              <w:rPr>
                <w:rFonts w:ascii="Times New Roman" w:hAnsi="Times New Roman"/>
              </w:rPr>
              <w:t>(14,003)</w:t>
            </w:r>
          </w:p>
        </w:tc>
        <w:tc>
          <w:tcPr>
            <w:tcW w:w="435" w:type="dxa"/>
            <w:vAlign w:val="bottom"/>
          </w:tcPr>
          <w:p w14:paraId="5A2632C6" w14:textId="77777777" w:rsidR="007F54B8" w:rsidRPr="00F963B4" w:rsidRDefault="007F54B8" w:rsidP="004238EB">
            <w:pPr>
              <w:pStyle w:val="CommentText"/>
              <w:jc w:val="right"/>
              <w:rPr>
                <w:rFonts w:ascii="Times New Roman" w:hAnsi="Times New Roman"/>
              </w:rPr>
            </w:pPr>
          </w:p>
        </w:tc>
        <w:tc>
          <w:tcPr>
            <w:tcW w:w="1515" w:type="dxa"/>
            <w:vAlign w:val="bottom"/>
          </w:tcPr>
          <w:p w14:paraId="0676BF48" w14:textId="77777777" w:rsidR="007F54B8" w:rsidRPr="00F963B4" w:rsidRDefault="007F54B8" w:rsidP="004238EB">
            <w:pPr>
              <w:pStyle w:val="CommentText"/>
              <w:jc w:val="right"/>
              <w:rPr>
                <w:rFonts w:ascii="Times New Roman" w:hAnsi="Times New Roman"/>
              </w:rPr>
            </w:pPr>
            <w:r>
              <w:rPr>
                <w:rFonts w:ascii="Times New Roman" w:hAnsi="Times New Roman"/>
              </w:rPr>
              <w:t>86</w:t>
            </w:r>
          </w:p>
        </w:tc>
        <w:tc>
          <w:tcPr>
            <w:tcW w:w="480" w:type="dxa"/>
            <w:vAlign w:val="bottom"/>
          </w:tcPr>
          <w:p w14:paraId="1494EF79" w14:textId="77777777" w:rsidR="007F54B8" w:rsidRPr="00F963B4" w:rsidRDefault="007F54B8" w:rsidP="004238EB">
            <w:pPr>
              <w:pStyle w:val="CommentText"/>
              <w:jc w:val="right"/>
              <w:rPr>
                <w:rFonts w:ascii="Times New Roman" w:hAnsi="Times New Roman"/>
              </w:rPr>
            </w:pPr>
          </w:p>
        </w:tc>
        <w:tc>
          <w:tcPr>
            <w:tcW w:w="1454" w:type="dxa"/>
            <w:vAlign w:val="bottom"/>
          </w:tcPr>
          <w:p w14:paraId="30B39EEB"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2,565</w:t>
            </w:r>
          </w:p>
        </w:tc>
      </w:tr>
      <w:tr w:rsidR="007F54B8" w:rsidRPr="002871B1" w14:paraId="1A682CB3" w14:textId="77777777" w:rsidTr="004238EB">
        <w:trPr>
          <w:cantSplit/>
          <w:trHeight w:hRule="exact" w:val="274"/>
        </w:trPr>
        <w:tc>
          <w:tcPr>
            <w:tcW w:w="6082" w:type="dxa"/>
            <w:vAlign w:val="bottom"/>
          </w:tcPr>
          <w:p w14:paraId="572036E9" w14:textId="77777777" w:rsidR="007F54B8" w:rsidRPr="00F30535" w:rsidRDefault="007F54B8" w:rsidP="004238EB">
            <w:pPr>
              <w:ind w:left="255"/>
            </w:pPr>
            <w:r w:rsidRPr="00F30535">
              <w:t>Filing fees</w:t>
            </w:r>
          </w:p>
        </w:tc>
        <w:tc>
          <w:tcPr>
            <w:tcW w:w="450" w:type="dxa"/>
            <w:vAlign w:val="bottom"/>
          </w:tcPr>
          <w:p w14:paraId="09E7742C" w14:textId="77777777" w:rsidR="007F54B8" w:rsidRPr="00F963B4" w:rsidRDefault="007F54B8" w:rsidP="004238EB">
            <w:pPr>
              <w:jc w:val="right"/>
            </w:pPr>
          </w:p>
        </w:tc>
        <w:tc>
          <w:tcPr>
            <w:tcW w:w="1500" w:type="dxa"/>
            <w:vAlign w:val="bottom"/>
          </w:tcPr>
          <w:p w14:paraId="0F606233" w14:textId="77777777" w:rsidR="007F54B8" w:rsidRPr="00F963B4" w:rsidRDefault="007F54B8" w:rsidP="004238EB">
            <w:pPr>
              <w:pStyle w:val="CommentText"/>
              <w:jc w:val="right"/>
              <w:rPr>
                <w:rFonts w:ascii="Times New Roman" w:hAnsi="Times New Roman"/>
              </w:rPr>
            </w:pPr>
            <w:r>
              <w:rPr>
                <w:rFonts w:ascii="Times New Roman" w:hAnsi="Times New Roman"/>
              </w:rPr>
              <w:t>4,950</w:t>
            </w:r>
          </w:p>
        </w:tc>
        <w:tc>
          <w:tcPr>
            <w:tcW w:w="435" w:type="dxa"/>
            <w:vAlign w:val="bottom"/>
          </w:tcPr>
          <w:p w14:paraId="7FA40A6D" w14:textId="77777777" w:rsidR="007F54B8" w:rsidRPr="00F963B4" w:rsidRDefault="007F54B8" w:rsidP="004238EB">
            <w:pPr>
              <w:pStyle w:val="CommentText"/>
              <w:jc w:val="right"/>
              <w:rPr>
                <w:rFonts w:ascii="Times New Roman" w:hAnsi="Times New Roman"/>
              </w:rPr>
            </w:pPr>
          </w:p>
        </w:tc>
        <w:tc>
          <w:tcPr>
            <w:tcW w:w="1515" w:type="dxa"/>
            <w:vAlign w:val="bottom"/>
          </w:tcPr>
          <w:p w14:paraId="5330F7E0"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3,946</w:t>
            </w:r>
          </w:p>
        </w:tc>
        <w:tc>
          <w:tcPr>
            <w:tcW w:w="435" w:type="dxa"/>
            <w:vAlign w:val="bottom"/>
          </w:tcPr>
          <w:p w14:paraId="18A22505" w14:textId="77777777" w:rsidR="007F54B8" w:rsidRPr="00F963B4" w:rsidRDefault="007F54B8" w:rsidP="004238EB">
            <w:pPr>
              <w:pStyle w:val="CommentText"/>
              <w:jc w:val="right"/>
              <w:rPr>
                <w:rFonts w:ascii="Times New Roman" w:hAnsi="Times New Roman"/>
              </w:rPr>
            </w:pPr>
          </w:p>
        </w:tc>
        <w:tc>
          <w:tcPr>
            <w:tcW w:w="1515" w:type="dxa"/>
            <w:vAlign w:val="bottom"/>
          </w:tcPr>
          <w:p w14:paraId="1F72DFB9"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1</w:t>
            </w:r>
            <w:r>
              <w:rPr>
                <w:rFonts w:ascii="Times New Roman" w:hAnsi="Times New Roman"/>
              </w:rPr>
              <w:t>2,868</w:t>
            </w:r>
          </w:p>
        </w:tc>
        <w:tc>
          <w:tcPr>
            <w:tcW w:w="480" w:type="dxa"/>
            <w:vAlign w:val="bottom"/>
          </w:tcPr>
          <w:p w14:paraId="14FD8ACF" w14:textId="77777777" w:rsidR="007F54B8" w:rsidRPr="00F963B4" w:rsidRDefault="007F54B8" w:rsidP="004238EB">
            <w:pPr>
              <w:pStyle w:val="CommentText"/>
              <w:jc w:val="right"/>
              <w:rPr>
                <w:rFonts w:ascii="Times New Roman" w:hAnsi="Times New Roman"/>
              </w:rPr>
            </w:pPr>
          </w:p>
        </w:tc>
        <w:tc>
          <w:tcPr>
            <w:tcW w:w="1454" w:type="dxa"/>
            <w:vAlign w:val="bottom"/>
          </w:tcPr>
          <w:p w14:paraId="5DC2EF6E" w14:textId="77777777" w:rsidR="007F54B8" w:rsidRPr="00F963B4" w:rsidRDefault="007F54B8" w:rsidP="004238EB">
            <w:pPr>
              <w:pStyle w:val="CommentText"/>
              <w:jc w:val="right"/>
              <w:rPr>
                <w:rFonts w:ascii="Times New Roman" w:hAnsi="Times New Roman"/>
              </w:rPr>
            </w:pPr>
            <w:r>
              <w:rPr>
                <w:rFonts w:ascii="Times New Roman" w:hAnsi="Times New Roman"/>
              </w:rPr>
              <w:t>14</w:t>
            </w:r>
            <w:r w:rsidRPr="00F963B4">
              <w:rPr>
                <w:rFonts w:ascii="Times New Roman" w:hAnsi="Times New Roman"/>
              </w:rPr>
              <w:t>,</w:t>
            </w:r>
            <w:r>
              <w:rPr>
                <w:rFonts w:ascii="Times New Roman" w:hAnsi="Times New Roman"/>
              </w:rPr>
              <w:t>213</w:t>
            </w:r>
          </w:p>
        </w:tc>
      </w:tr>
      <w:tr w:rsidR="007F54B8" w:rsidRPr="002871B1" w14:paraId="4B3CB23D" w14:textId="77777777" w:rsidTr="004238EB">
        <w:trPr>
          <w:cantSplit/>
          <w:trHeight w:hRule="exact" w:val="274"/>
        </w:trPr>
        <w:tc>
          <w:tcPr>
            <w:tcW w:w="6082" w:type="dxa"/>
            <w:vAlign w:val="bottom"/>
          </w:tcPr>
          <w:p w14:paraId="29878B6C" w14:textId="77777777" w:rsidR="007F54B8" w:rsidRPr="00F30535" w:rsidRDefault="007F54B8" w:rsidP="004238EB">
            <w:pPr>
              <w:ind w:left="255"/>
            </w:pPr>
            <w:r w:rsidRPr="00F30535">
              <w:t>Interest and bank charges</w:t>
            </w:r>
          </w:p>
        </w:tc>
        <w:tc>
          <w:tcPr>
            <w:tcW w:w="450" w:type="dxa"/>
            <w:vAlign w:val="bottom"/>
          </w:tcPr>
          <w:p w14:paraId="4FFC7125" w14:textId="77777777" w:rsidR="007F54B8" w:rsidRPr="00F963B4" w:rsidRDefault="007F54B8" w:rsidP="004238EB">
            <w:pPr>
              <w:jc w:val="right"/>
            </w:pPr>
          </w:p>
        </w:tc>
        <w:tc>
          <w:tcPr>
            <w:tcW w:w="1500" w:type="dxa"/>
            <w:vAlign w:val="bottom"/>
          </w:tcPr>
          <w:p w14:paraId="228D7A26" w14:textId="77777777" w:rsidR="007F54B8" w:rsidRPr="00F963B4" w:rsidRDefault="007F54B8" w:rsidP="004238EB">
            <w:pPr>
              <w:pStyle w:val="CommentText"/>
              <w:jc w:val="right"/>
              <w:rPr>
                <w:rFonts w:ascii="Times New Roman" w:hAnsi="Times New Roman"/>
              </w:rPr>
            </w:pPr>
            <w:r>
              <w:rPr>
                <w:rFonts w:ascii="Times New Roman" w:hAnsi="Times New Roman"/>
              </w:rPr>
              <w:t>12</w:t>
            </w:r>
          </w:p>
        </w:tc>
        <w:tc>
          <w:tcPr>
            <w:tcW w:w="435" w:type="dxa"/>
            <w:vAlign w:val="bottom"/>
          </w:tcPr>
          <w:p w14:paraId="2893D840" w14:textId="77777777" w:rsidR="007F54B8" w:rsidRPr="00F963B4" w:rsidRDefault="007F54B8" w:rsidP="004238EB">
            <w:pPr>
              <w:pStyle w:val="CommentText"/>
              <w:jc w:val="right"/>
              <w:rPr>
                <w:rFonts w:ascii="Times New Roman" w:hAnsi="Times New Roman"/>
              </w:rPr>
            </w:pPr>
          </w:p>
        </w:tc>
        <w:tc>
          <w:tcPr>
            <w:tcW w:w="1515" w:type="dxa"/>
            <w:vAlign w:val="bottom"/>
          </w:tcPr>
          <w:p w14:paraId="4ADBDDED"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111</w:t>
            </w:r>
          </w:p>
        </w:tc>
        <w:tc>
          <w:tcPr>
            <w:tcW w:w="435" w:type="dxa"/>
            <w:vAlign w:val="bottom"/>
          </w:tcPr>
          <w:p w14:paraId="6FDD9C4B" w14:textId="77777777" w:rsidR="007F54B8" w:rsidRPr="00F963B4" w:rsidRDefault="007F54B8" w:rsidP="004238EB">
            <w:pPr>
              <w:pStyle w:val="CommentText"/>
              <w:jc w:val="right"/>
              <w:rPr>
                <w:rFonts w:ascii="Times New Roman" w:hAnsi="Times New Roman"/>
              </w:rPr>
            </w:pPr>
          </w:p>
        </w:tc>
        <w:tc>
          <w:tcPr>
            <w:tcW w:w="1515" w:type="dxa"/>
            <w:vAlign w:val="bottom"/>
          </w:tcPr>
          <w:p w14:paraId="23C1E93A" w14:textId="77777777" w:rsidR="007F54B8" w:rsidRPr="00F963B4" w:rsidRDefault="007F54B8" w:rsidP="004238EB">
            <w:pPr>
              <w:pStyle w:val="CommentText"/>
              <w:jc w:val="right"/>
              <w:rPr>
                <w:rFonts w:ascii="Times New Roman" w:hAnsi="Times New Roman"/>
              </w:rPr>
            </w:pPr>
            <w:r>
              <w:rPr>
                <w:rFonts w:ascii="Times New Roman" w:hAnsi="Times New Roman"/>
              </w:rPr>
              <w:t>760</w:t>
            </w:r>
          </w:p>
        </w:tc>
        <w:tc>
          <w:tcPr>
            <w:tcW w:w="480" w:type="dxa"/>
            <w:vAlign w:val="bottom"/>
          </w:tcPr>
          <w:p w14:paraId="611D12D6" w14:textId="77777777" w:rsidR="007F54B8" w:rsidRPr="00F963B4" w:rsidRDefault="007F54B8" w:rsidP="004238EB">
            <w:pPr>
              <w:pStyle w:val="CommentText"/>
              <w:jc w:val="right"/>
              <w:rPr>
                <w:rFonts w:ascii="Times New Roman" w:hAnsi="Times New Roman"/>
              </w:rPr>
            </w:pPr>
          </w:p>
        </w:tc>
        <w:tc>
          <w:tcPr>
            <w:tcW w:w="1454" w:type="dxa"/>
            <w:vAlign w:val="bottom"/>
          </w:tcPr>
          <w:p w14:paraId="3368817F"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625</w:t>
            </w:r>
          </w:p>
        </w:tc>
      </w:tr>
      <w:tr w:rsidR="007F54B8" w:rsidRPr="002871B1" w14:paraId="3F413EFF" w14:textId="77777777" w:rsidTr="004238EB">
        <w:trPr>
          <w:cantSplit/>
          <w:trHeight w:hRule="exact" w:val="274"/>
        </w:trPr>
        <w:tc>
          <w:tcPr>
            <w:tcW w:w="6082" w:type="dxa"/>
            <w:vAlign w:val="bottom"/>
          </w:tcPr>
          <w:p w14:paraId="728EA47A" w14:textId="77777777" w:rsidR="007F54B8" w:rsidRPr="00F30535" w:rsidRDefault="007F54B8" w:rsidP="004238EB">
            <w:pPr>
              <w:ind w:left="255"/>
            </w:pPr>
            <w:r w:rsidRPr="00F30535">
              <w:t>Legal fees (note 1)</w:t>
            </w:r>
          </w:p>
        </w:tc>
        <w:tc>
          <w:tcPr>
            <w:tcW w:w="450" w:type="dxa"/>
            <w:vAlign w:val="bottom"/>
          </w:tcPr>
          <w:p w14:paraId="6548BFC0" w14:textId="77777777" w:rsidR="007F54B8" w:rsidRPr="00F963B4" w:rsidRDefault="007F54B8" w:rsidP="004238EB">
            <w:pPr>
              <w:jc w:val="right"/>
            </w:pPr>
          </w:p>
        </w:tc>
        <w:tc>
          <w:tcPr>
            <w:tcW w:w="1500" w:type="dxa"/>
            <w:vAlign w:val="bottom"/>
          </w:tcPr>
          <w:p w14:paraId="32F10417" w14:textId="77777777" w:rsidR="007F54B8" w:rsidRPr="00F963B4" w:rsidRDefault="007F54B8" w:rsidP="004238EB">
            <w:pPr>
              <w:pStyle w:val="CommentText"/>
              <w:jc w:val="right"/>
              <w:rPr>
                <w:rFonts w:ascii="Times New Roman" w:hAnsi="Times New Roman"/>
              </w:rPr>
            </w:pPr>
            <w:r>
              <w:rPr>
                <w:rFonts w:ascii="Times New Roman" w:hAnsi="Times New Roman"/>
              </w:rPr>
              <w:t>42,011</w:t>
            </w:r>
          </w:p>
        </w:tc>
        <w:tc>
          <w:tcPr>
            <w:tcW w:w="435" w:type="dxa"/>
            <w:vAlign w:val="bottom"/>
          </w:tcPr>
          <w:p w14:paraId="6336A9F0" w14:textId="77777777" w:rsidR="007F54B8" w:rsidRPr="00F963B4" w:rsidRDefault="007F54B8" w:rsidP="004238EB">
            <w:pPr>
              <w:pStyle w:val="CommentText"/>
              <w:jc w:val="right"/>
              <w:rPr>
                <w:rFonts w:ascii="Times New Roman" w:hAnsi="Times New Roman"/>
              </w:rPr>
            </w:pPr>
          </w:p>
        </w:tc>
        <w:tc>
          <w:tcPr>
            <w:tcW w:w="1515" w:type="dxa"/>
            <w:vAlign w:val="bottom"/>
          </w:tcPr>
          <w:p w14:paraId="4322563F" w14:textId="77777777" w:rsidR="007F54B8" w:rsidRPr="00F963B4" w:rsidRDefault="007F54B8" w:rsidP="004238EB">
            <w:pPr>
              <w:pStyle w:val="CommentText"/>
              <w:jc w:val="right"/>
              <w:rPr>
                <w:rFonts w:ascii="Times New Roman" w:hAnsi="Times New Roman"/>
              </w:rPr>
            </w:pPr>
            <w:r>
              <w:rPr>
                <w:rFonts w:ascii="Times New Roman" w:hAnsi="Times New Roman"/>
              </w:rPr>
              <w:t>7</w:t>
            </w:r>
            <w:r w:rsidRPr="00F963B4">
              <w:rPr>
                <w:rFonts w:ascii="Times New Roman" w:hAnsi="Times New Roman"/>
              </w:rPr>
              <w:t>,012</w:t>
            </w:r>
          </w:p>
        </w:tc>
        <w:tc>
          <w:tcPr>
            <w:tcW w:w="435" w:type="dxa"/>
            <w:vAlign w:val="bottom"/>
          </w:tcPr>
          <w:p w14:paraId="1753849C" w14:textId="77777777" w:rsidR="007F54B8" w:rsidRPr="00F963B4" w:rsidRDefault="007F54B8" w:rsidP="004238EB">
            <w:pPr>
              <w:pStyle w:val="CommentText"/>
              <w:jc w:val="right"/>
              <w:rPr>
                <w:rFonts w:ascii="Times New Roman" w:hAnsi="Times New Roman"/>
              </w:rPr>
            </w:pPr>
          </w:p>
        </w:tc>
        <w:tc>
          <w:tcPr>
            <w:tcW w:w="1515" w:type="dxa"/>
            <w:vAlign w:val="bottom"/>
          </w:tcPr>
          <w:p w14:paraId="7A13005A" w14:textId="77777777" w:rsidR="007F54B8" w:rsidRPr="00F963B4" w:rsidRDefault="007F54B8" w:rsidP="004238EB">
            <w:pPr>
              <w:pStyle w:val="CommentText"/>
              <w:jc w:val="right"/>
              <w:rPr>
                <w:rFonts w:ascii="Times New Roman" w:hAnsi="Times New Roman"/>
              </w:rPr>
            </w:pPr>
            <w:r>
              <w:rPr>
                <w:rFonts w:ascii="Times New Roman" w:hAnsi="Times New Roman"/>
              </w:rPr>
              <w:t>114,247</w:t>
            </w:r>
          </w:p>
        </w:tc>
        <w:tc>
          <w:tcPr>
            <w:tcW w:w="480" w:type="dxa"/>
            <w:vAlign w:val="bottom"/>
          </w:tcPr>
          <w:p w14:paraId="460178ED" w14:textId="77777777" w:rsidR="007F54B8" w:rsidRPr="00F963B4" w:rsidRDefault="007F54B8" w:rsidP="004238EB">
            <w:pPr>
              <w:pStyle w:val="CommentText"/>
              <w:jc w:val="right"/>
              <w:rPr>
                <w:rFonts w:ascii="Times New Roman" w:hAnsi="Times New Roman"/>
              </w:rPr>
            </w:pPr>
          </w:p>
        </w:tc>
        <w:tc>
          <w:tcPr>
            <w:tcW w:w="1454" w:type="dxa"/>
            <w:vAlign w:val="bottom"/>
          </w:tcPr>
          <w:p w14:paraId="4188FC3B" w14:textId="77777777" w:rsidR="007F54B8" w:rsidRPr="00F963B4" w:rsidRDefault="007F54B8" w:rsidP="004238EB">
            <w:pPr>
              <w:pStyle w:val="CommentText"/>
              <w:jc w:val="right"/>
              <w:rPr>
                <w:rFonts w:ascii="Times New Roman" w:hAnsi="Times New Roman"/>
              </w:rPr>
            </w:pPr>
            <w:r>
              <w:rPr>
                <w:rFonts w:ascii="Times New Roman" w:hAnsi="Times New Roman"/>
              </w:rPr>
              <w:t>8,145</w:t>
            </w:r>
          </w:p>
        </w:tc>
      </w:tr>
      <w:tr w:rsidR="007F54B8" w:rsidRPr="002871B1" w14:paraId="335CB50F" w14:textId="77777777" w:rsidTr="004238EB">
        <w:trPr>
          <w:cantSplit/>
          <w:trHeight w:hRule="exact" w:val="274"/>
        </w:trPr>
        <w:tc>
          <w:tcPr>
            <w:tcW w:w="6082" w:type="dxa"/>
            <w:vAlign w:val="bottom"/>
          </w:tcPr>
          <w:p w14:paraId="451A9521" w14:textId="77777777" w:rsidR="007F54B8" w:rsidRDefault="007F54B8" w:rsidP="004238EB">
            <w:pPr>
              <w:ind w:left="255"/>
            </w:pPr>
            <w:r>
              <w:t>Office expense</w:t>
            </w:r>
          </w:p>
        </w:tc>
        <w:tc>
          <w:tcPr>
            <w:tcW w:w="450" w:type="dxa"/>
            <w:vAlign w:val="bottom"/>
          </w:tcPr>
          <w:p w14:paraId="27D7DA52" w14:textId="77777777" w:rsidR="007F54B8" w:rsidRPr="00F963B4" w:rsidRDefault="007F54B8" w:rsidP="004238EB">
            <w:pPr>
              <w:jc w:val="right"/>
            </w:pPr>
          </w:p>
        </w:tc>
        <w:tc>
          <w:tcPr>
            <w:tcW w:w="1500" w:type="dxa"/>
            <w:vAlign w:val="bottom"/>
          </w:tcPr>
          <w:p w14:paraId="1EDF52A2" w14:textId="77777777" w:rsidR="007F54B8" w:rsidRDefault="007F54B8" w:rsidP="004238EB">
            <w:pPr>
              <w:pStyle w:val="CommentText"/>
              <w:jc w:val="right"/>
              <w:rPr>
                <w:rFonts w:ascii="Times New Roman" w:hAnsi="Times New Roman"/>
              </w:rPr>
            </w:pPr>
            <w:r>
              <w:rPr>
                <w:rFonts w:ascii="Times New Roman" w:hAnsi="Times New Roman"/>
              </w:rPr>
              <w:t>-</w:t>
            </w:r>
          </w:p>
        </w:tc>
        <w:tc>
          <w:tcPr>
            <w:tcW w:w="435" w:type="dxa"/>
            <w:vAlign w:val="bottom"/>
          </w:tcPr>
          <w:p w14:paraId="7871D854" w14:textId="77777777" w:rsidR="007F54B8" w:rsidRPr="00F963B4" w:rsidRDefault="007F54B8" w:rsidP="004238EB">
            <w:pPr>
              <w:pStyle w:val="CommentText"/>
              <w:jc w:val="right"/>
              <w:rPr>
                <w:rFonts w:ascii="Times New Roman" w:hAnsi="Times New Roman"/>
              </w:rPr>
            </w:pPr>
          </w:p>
        </w:tc>
        <w:tc>
          <w:tcPr>
            <w:tcW w:w="1515" w:type="dxa"/>
            <w:vAlign w:val="bottom"/>
          </w:tcPr>
          <w:p w14:paraId="428519A8" w14:textId="77777777" w:rsidR="007F54B8" w:rsidRDefault="007F54B8" w:rsidP="004238EB">
            <w:pPr>
              <w:pStyle w:val="CommentText"/>
              <w:jc w:val="right"/>
              <w:rPr>
                <w:rFonts w:ascii="Times New Roman" w:hAnsi="Times New Roman"/>
              </w:rPr>
            </w:pPr>
            <w:r>
              <w:rPr>
                <w:rFonts w:ascii="Times New Roman" w:hAnsi="Times New Roman"/>
              </w:rPr>
              <w:t>-</w:t>
            </w:r>
          </w:p>
        </w:tc>
        <w:tc>
          <w:tcPr>
            <w:tcW w:w="435" w:type="dxa"/>
            <w:vAlign w:val="bottom"/>
          </w:tcPr>
          <w:p w14:paraId="073627B6" w14:textId="77777777" w:rsidR="007F54B8" w:rsidRPr="00F963B4" w:rsidRDefault="007F54B8" w:rsidP="004238EB">
            <w:pPr>
              <w:pStyle w:val="CommentText"/>
              <w:jc w:val="right"/>
              <w:rPr>
                <w:rFonts w:ascii="Times New Roman" w:hAnsi="Times New Roman"/>
              </w:rPr>
            </w:pPr>
          </w:p>
        </w:tc>
        <w:tc>
          <w:tcPr>
            <w:tcW w:w="1515" w:type="dxa"/>
            <w:vAlign w:val="bottom"/>
          </w:tcPr>
          <w:p w14:paraId="439E3740" w14:textId="77777777" w:rsidR="007F54B8" w:rsidRDefault="007F54B8" w:rsidP="004238EB">
            <w:pPr>
              <w:pStyle w:val="CommentText"/>
              <w:jc w:val="right"/>
              <w:rPr>
                <w:rFonts w:ascii="Times New Roman" w:hAnsi="Times New Roman"/>
              </w:rPr>
            </w:pPr>
            <w:r>
              <w:rPr>
                <w:rFonts w:ascii="Times New Roman" w:hAnsi="Times New Roman"/>
              </w:rPr>
              <w:t>30</w:t>
            </w:r>
          </w:p>
        </w:tc>
        <w:tc>
          <w:tcPr>
            <w:tcW w:w="480" w:type="dxa"/>
            <w:vAlign w:val="bottom"/>
          </w:tcPr>
          <w:p w14:paraId="27BA6CB1" w14:textId="77777777" w:rsidR="007F54B8" w:rsidRPr="00F963B4" w:rsidRDefault="007F54B8" w:rsidP="004238EB">
            <w:pPr>
              <w:pStyle w:val="CommentText"/>
              <w:jc w:val="right"/>
              <w:rPr>
                <w:rFonts w:ascii="Times New Roman" w:hAnsi="Times New Roman"/>
              </w:rPr>
            </w:pPr>
          </w:p>
        </w:tc>
        <w:tc>
          <w:tcPr>
            <w:tcW w:w="1454" w:type="dxa"/>
            <w:vAlign w:val="bottom"/>
          </w:tcPr>
          <w:p w14:paraId="35E87EFE" w14:textId="77777777" w:rsidR="007F54B8" w:rsidRDefault="007F54B8" w:rsidP="004238EB">
            <w:pPr>
              <w:pStyle w:val="CommentText"/>
              <w:jc w:val="right"/>
              <w:rPr>
                <w:rFonts w:ascii="Times New Roman" w:hAnsi="Times New Roman"/>
              </w:rPr>
            </w:pPr>
            <w:r>
              <w:rPr>
                <w:rFonts w:ascii="Times New Roman" w:hAnsi="Times New Roman"/>
              </w:rPr>
              <w:t>-</w:t>
            </w:r>
          </w:p>
        </w:tc>
      </w:tr>
      <w:tr w:rsidR="007F54B8" w:rsidRPr="002871B1" w14:paraId="46718073" w14:textId="77777777" w:rsidTr="004238EB">
        <w:trPr>
          <w:cantSplit/>
          <w:trHeight w:hRule="exact" w:val="274"/>
        </w:trPr>
        <w:tc>
          <w:tcPr>
            <w:tcW w:w="6082" w:type="dxa"/>
            <w:vAlign w:val="bottom"/>
          </w:tcPr>
          <w:p w14:paraId="069AD1AD" w14:textId="77777777" w:rsidR="007F54B8" w:rsidRPr="00F963B4" w:rsidRDefault="007F54B8" w:rsidP="004238EB">
            <w:pPr>
              <w:ind w:left="255"/>
            </w:pPr>
            <w:r w:rsidRPr="00F963B4">
              <w:t>Rent</w:t>
            </w:r>
          </w:p>
        </w:tc>
        <w:tc>
          <w:tcPr>
            <w:tcW w:w="450" w:type="dxa"/>
            <w:vAlign w:val="bottom"/>
          </w:tcPr>
          <w:p w14:paraId="7C6A896C" w14:textId="77777777" w:rsidR="007F54B8" w:rsidRPr="00F963B4" w:rsidRDefault="007F54B8" w:rsidP="004238EB">
            <w:pPr>
              <w:jc w:val="right"/>
            </w:pPr>
          </w:p>
        </w:tc>
        <w:tc>
          <w:tcPr>
            <w:tcW w:w="1500" w:type="dxa"/>
            <w:vAlign w:val="bottom"/>
          </w:tcPr>
          <w:p w14:paraId="1E27018D"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p>
        </w:tc>
        <w:tc>
          <w:tcPr>
            <w:tcW w:w="435" w:type="dxa"/>
            <w:vAlign w:val="bottom"/>
          </w:tcPr>
          <w:p w14:paraId="597347E0" w14:textId="77777777" w:rsidR="007F54B8" w:rsidRPr="00F963B4" w:rsidRDefault="007F54B8" w:rsidP="004238EB">
            <w:pPr>
              <w:pStyle w:val="CommentText"/>
              <w:jc w:val="right"/>
              <w:rPr>
                <w:rFonts w:ascii="Times New Roman" w:hAnsi="Times New Roman"/>
              </w:rPr>
            </w:pPr>
          </w:p>
        </w:tc>
        <w:tc>
          <w:tcPr>
            <w:tcW w:w="1515" w:type="dxa"/>
            <w:vAlign w:val="bottom"/>
          </w:tcPr>
          <w:p w14:paraId="36994B6B"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p>
        </w:tc>
        <w:tc>
          <w:tcPr>
            <w:tcW w:w="435" w:type="dxa"/>
            <w:vAlign w:val="bottom"/>
          </w:tcPr>
          <w:p w14:paraId="31EF290E" w14:textId="77777777" w:rsidR="007F54B8" w:rsidRPr="00F963B4" w:rsidRDefault="007F54B8" w:rsidP="004238EB">
            <w:pPr>
              <w:pStyle w:val="CommentText"/>
              <w:jc w:val="right"/>
              <w:rPr>
                <w:rFonts w:ascii="Times New Roman" w:hAnsi="Times New Roman"/>
              </w:rPr>
            </w:pPr>
          </w:p>
        </w:tc>
        <w:tc>
          <w:tcPr>
            <w:tcW w:w="1515" w:type="dxa"/>
            <w:vAlign w:val="bottom"/>
          </w:tcPr>
          <w:p w14:paraId="3F06C81E" w14:textId="77777777" w:rsidR="007F54B8" w:rsidRPr="00F963B4" w:rsidRDefault="007F54B8" w:rsidP="004238EB">
            <w:pPr>
              <w:pStyle w:val="CommentText"/>
              <w:jc w:val="right"/>
              <w:rPr>
                <w:rFonts w:ascii="Times New Roman" w:hAnsi="Times New Roman"/>
              </w:rPr>
            </w:pPr>
            <w:r>
              <w:rPr>
                <w:rFonts w:ascii="Times New Roman" w:hAnsi="Times New Roman"/>
              </w:rPr>
              <w:t>-</w:t>
            </w:r>
          </w:p>
        </w:tc>
        <w:tc>
          <w:tcPr>
            <w:tcW w:w="480" w:type="dxa"/>
            <w:vAlign w:val="bottom"/>
          </w:tcPr>
          <w:p w14:paraId="0237EC10" w14:textId="77777777" w:rsidR="007F54B8" w:rsidRPr="00F963B4" w:rsidRDefault="007F54B8" w:rsidP="004238EB">
            <w:pPr>
              <w:pStyle w:val="CommentText"/>
              <w:jc w:val="right"/>
              <w:rPr>
                <w:rFonts w:ascii="Times New Roman" w:hAnsi="Times New Roman"/>
              </w:rPr>
            </w:pPr>
          </w:p>
        </w:tc>
        <w:tc>
          <w:tcPr>
            <w:tcW w:w="1454" w:type="dxa"/>
            <w:vAlign w:val="bottom"/>
          </w:tcPr>
          <w:p w14:paraId="3667C807"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1,500</w:t>
            </w:r>
          </w:p>
        </w:tc>
      </w:tr>
      <w:tr w:rsidR="007F54B8" w:rsidRPr="002871B1" w14:paraId="2F6DE23F" w14:textId="77777777" w:rsidTr="004238EB">
        <w:trPr>
          <w:cantSplit/>
          <w:trHeight w:hRule="exact" w:val="274"/>
        </w:trPr>
        <w:tc>
          <w:tcPr>
            <w:tcW w:w="6082" w:type="dxa"/>
            <w:vAlign w:val="bottom"/>
          </w:tcPr>
          <w:p w14:paraId="0B598656" w14:textId="77777777" w:rsidR="007F54B8" w:rsidRPr="00F963B4" w:rsidRDefault="007F54B8" w:rsidP="004238EB">
            <w:pPr>
              <w:ind w:left="255"/>
            </w:pPr>
            <w:r>
              <w:t>Share-based compensation (note 5)</w:t>
            </w:r>
          </w:p>
        </w:tc>
        <w:tc>
          <w:tcPr>
            <w:tcW w:w="450" w:type="dxa"/>
            <w:vAlign w:val="bottom"/>
          </w:tcPr>
          <w:p w14:paraId="04833A75" w14:textId="77777777" w:rsidR="007F54B8" w:rsidRPr="00F963B4" w:rsidRDefault="007F54B8" w:rsidP="004238EB">
            <w:pPr>
              <w:jc w:val="right"/>
            </w:pPr>
          </w:p>
        </w:tc>
        <w:tc>
          <w:tcPr>
            <w:tcW w:w="1500" w:type="dxa"/>
            <w:vAlign w:val="bottom"/>
          </w:tcPr>
          <w:p w14:paraId="39664A3C" w14:textId="77777777" w:rsidR="007F54B8" w:rsidRPr="00F963B4" w:rsidRDefault="007F54B8" w:rsidP="004238EB">
            <w:pPr>
              <w:pStyle w:val="CommentText"/>
              <w:jc w:val="right"/>
              <w:rPr>
                <w:rFonts w:ascii="Times New Roman" w:hAnsi="Times New Roman"/>
              </w:rPr>
            </w:pPr>
            <w:r>
              <w:rPr>
                <w:rFonts w:ascii="Times New Roman" w:hAnsi="Times New Roman"/>
              </w:rPr>
              <w:t>-</w:t>
            </w:r>
          </w:p>
        </w:tc>
        <w:tc>
          <w:tcPr>
            <w:tcW w:w="435" w:type="dxa"/>
            <w:vAlign w:val="bottom"/>
          </w:tcPr>
          <w:p w14:paraId="243AAE53" w14:textId="77777777" w:rsidR="007F54B8" w:rsidRPr="00F963B4" w:rsidRDefault="007F54B8" w:rsidP="004238EB">
            <w:pPr>
              <w:pStyle w:val="CommentText"/>
              <w:jc w:val="right"/>
              <w:rPr>
                <w:rFonts w:ascii="Times New Roman" w:hAnsi="Times New Roman"/>
              </w:rPr>
            </w:pPr>
          </w:p>
        </w:tc>
        <w:tc>
          <w:tcPr>
            <w:tcW w:w="1515" w:type="dxa"/>
            <w:vAlign w:val="bottom"/>
          </w:tcPr>
          <w:p w14:paraId="7A3E6769" w14:textId="77777777" w:rsidR="007F54B8" w:rsidRPr="00F963B4" w:rsidRDefault="007F54B8" w:rsidP="004238EB">
            <w:pPr>
              <w:pStyle w:val="CommentText"/>
              <w:jc w:val="right"/>
              <w:rPr>
                <w:rFonts w:ascii="Times New Roman" w:hAnsi="Times New Roman"/>
              </w:rPr>
            </w:pPr>
            <w:r>
              <w:rPr>
                <w:rFonts w:ascii="Times New Roman" w:hAnsi="Times New Roman"/>
              </w:rPr>
              <w:t>-</w:t>
            </w:r>
          </w:p>
        </w:tc>
        <w:tc>
          <w:tcPr>
            <w:tcW w:w="435" w:type="dxa"/>
            <w:vAlign w:val="bottom"/>
          </w:tcPr>
          <w:p w14:paraId="47122F5D" w14:textId="77777777" w:rsidR="007F54B8" w:rsidRPr="00F963B4" w:rsidRDefault="007F54B8" w:rsidP="004238EB">
            <w:pPr>
              <w:pStyle w:val="CommentText"/>
              <w:jc w:val="right"/>
              <w:rPr>
                <w:rFonts w:ascii="Times New Roman" w:hAnsi="Times New Roman"/>
              </w:rPr>
            </w:pPr>
          </w:p>
        </w:tc>
        <w:tc>
          <w:tcPr>
            <w:tcW w:w="1515" w:type="dxa"/>
            <w:vAlign w:val="bottom"/>
          </w:tcPr>
          <w:p w14:paraId="1FAFE551" w14:textId="77777777" w:rsidR="007F54B8" w:rsidRPr="00F963B4" w:rsidRDefault="007F54B8" w:rsidP="004238EB">
            <w:pPr>
              <w:pStyle w:val="CommentText"/>
              <w:jc w:val="right"/>
              <w:rPr>
                <w:rFonts w:ascii="Times New Roman" w:hAnsi="Times New Roman"/>
              </w:rPr>
            </w:pPr>
            <w:r>
              <w:rPr>
                <w:rFonts w:ascii="Times New Roman" w:hAnsi="Times New Roman"/>
              </w:rPr>
              <w:t>166,200</w:t>
            </w:r>
          </w:p>
        </w:tc>
        <w:tc>
          <w:tcPr>
            <w:tcW w:w="480" w:type="dxa"/>
            <w:vAlign w:val="bottom"/>
          </w:tcPr>
          <w:p w14:paraId="39FD28CC" w14:textId="77777777" w:rsidR="007F54B8" w:rsidRPr="00F963B4" w:rsidRDefault="007F54B8" w:rsidP="004238EB">
            <w:pPr>
              <w:pStyle w:val="CommentText"/>
              <w:jc w:val="right"/>
              <w:rPr>
                <w:rFonts w:ascii="Times New Roman" w:hAnsi="Times New Roman"/>
              </w:rPr>
            </w:pPr>
          </w:p>
        </w:tc>
        <w:tc>
          <w:tcPr>
            <w:tcW w:w="1454" w:type="dxa"/>
            <w:vAlign w:val="bottom"/>
          </w:tcPr>
          <w:p w14:paraId="4012E1D1" w14:textId="77777777" w:rsidR="007F54B8" w:rsidRPr="00F963B4" w:rsidRDefault="007F54B8" w:rsidP="004238EB">
            <w:pPr>
              <w:pStyle w:val="CommentText"/>
              <w:jc w:val="right"/>
              <w:rPr>
                <w:rFonts w:ascii="Times New Roman" w:hAnsi="Times New Roman"/>
              </w:rPr>
            </w:pPr>
            <w:r>
              <w:rPr>
                <w:rFonts w:ascii="Times New Roman" w:hAnsi="Times New Roman"/>
              </w:rPr>
              <w:t>-</w:t>
            </w:r>
          </w:p>
        </w:tc>
      </w:tr>
      <w:tr w:rsidR="007F54B8" w:rsidRPr="002871B1" w14:paraId="22968FB2" w14:textId="77777777" w:rsidTr="004238EB">
        <w:trPr>
          <w:cantSplit/>
          <w:trHeight w:hRule="exact" w:val="274"/>
        </w:trPr>
        <w:tc>
          <w:tcPr>
            <w:tcW w:w="6082" w:type="dxa"/>
            <w:vAlign w:val="bottom"/>
          </w:tcPr>
          <w:p w14:paraId="258D6421" w14:textId="77777777" w:rsidR="007F54B8" w:rsidRPr="00F963B4" w:rsidRDefault="007F54B8" w:rsidP="004238EB">
            <w:pPr>
              <w:ind w:left="255"/>
            </w:pPr>
            <w:r w:rsidRPr="00F963B4">
              <w:t>Travel</w:t>
            </w:r>
          </w:p>
        </w:tc>
        <w:tc>
          <w:tcPr>
            <w:tcW w:w="450" w:type="dxa"/>
            <w:vAlign w:val="bottom"/>
          </w:tcPr>
          <w:p w14:paraId="3C470647" w14:textId="77777777" w:rsidR="007F54B8" w:rsidRPr="00F963B4" w:rsidRDefault="007F54B8" w:rsidP="004238EB">
            <w:pPr>
              <w:jc w:val="right"/>
            </w:pPr>
          </w:p>
        </w:tc>
        <w:tc>
          <w:tcPr>
            <w:tcW w:w="1500" w:type="dxa"/>
            <w:vAlign w:val="bottom"/>
          </w:tcPr>
          <w:p w14:paraId="0BC8A5CB" w14:textId="77777777" w:rsidR="007F54B8" w:rsidRPr="00F963B4" w:rsidRDefault="007F54B8" w:rsidP="004238EB">
            <w:pPr>
              <w:pStyle w:val="CommentText"/>
              <w:jc w:val="right"/>
              <w:rPr>
                <w:rFonts w:ascii="Times New Roman" w:hAnsi="Times New Roman"/>
              </w:rPr>
            </w:pPr>
            <w:r>
              <w:rPr>
                <w:rFonts w:ascii="Times New Roman" w:hAnsi="Times New Roman"/>
              </w:rPr>
              <w:t>-</w:t>
            </w:r>
          </w:p>
        </w:tc>
        <w:tc>
          <w:tcPr>
            <w:tcW w:w="435" w:type="dxa"/>
            <w:vAlign w:val="bottom"/>
          </w:tcPr>
          <w:p w14:paraId="2B8D019D" w14:textId="77777777" w:rsidR="007F54B8" w:rsidRPr="00F963B4" w:rsidRDefault="007F54B8" w:rsidP="004238EB">
            <w:pPr>
              <w:pStyle w:val="CommentText"/>
              <w:jc w:val="right"/>
              <w:rPr>
                <w:rFonts w:ascii="Times New Roman" w:hAnsi="Times New Roman"/>
              </w:rPr>
            </w:pPr>
          </w:p>
        </w:tc>
        <w:tc>
          <w:tcPr>
            <w:tcW w:w="1515" w:type="dxa"/>
            <w:vAlign w:val="bottom"/>
          </w:tcPr>
          <w:p w14:paraId="5B83A599"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326</w:t>
            </w:r>
          </w:p>
        </w:tc>
        <w:tc>
          <w:tcPr>
            <w:tcW w:w="435" w:type="dxa"/>
            <w:vAlign w:val="bottom"/>
          </w:tcPr>
          <w:p w14:paraId="6474B5F2" w14:textId="77777777" w:rsidR="007F54B8" w:rsidRPr="00F963B4" w:rsidRDefault="007F54B8" w:rsidP="004238EB">
            <w:pPr>
              <w:pStyle w:val="CommentText"/>
              <w:jc w:val="right"/>
              <w:rPr>
                <w:rFonts w:ascii="Times New Roman" w:hAnsi="Times New Roman"/>
              </w:rPr>
            </w:pPr>
          </w:p>
        </w:tc>
        <w:tc>
          <w:tcPr>
            <w:tcW w:w="1515" w:type="dxa"/>
            <w:vAlign w:val="bottom"/>
          </w:tcPr>
          <w:p w14:paraId="6C74FD2C" w14:textId="77777777" w:rsidR="007F54B8" w:rsidRPr="00F963B4" w:rsidRDefault="007F54B8" w:rsidP="004238EB">
            <w:pPr>
              <w:pStyle w:val="CommentText"/>
              <w:jc w:val="right"/>
              <w:rPr>
                <w:rFonts w:ascii="Times New Roman" w:hAnsi="Times New Roman"/>
              </w:rPr>
            </w:pPr>
            <w:r>
              <w:rPr>
                <w:rFonts w:ascii="Times New Roman" w:hAnsi="Times New Roman"/>
              </w:rPr>
              <w:t>646</w:t>
            </w:r>
          </w:p>
        </w:tc>
        <w:tc>
          <w:tcPr>
            <w:tcW w:w="480" w:type="dxa"/>
            <w:vAlign w:val="bottom"/>
          </w:tcPr>
          <w:p w14:paraId="5F216F47" w14:textId="77777777" w:rsidR="007F54B8" w:rsidRPr="00F963B4" w:rsidRDefault="007F54B8" w:rsidP="004238EB">
            <w:pPr>
              <w:pStyle w:val="CommentText"/>
              <w:jc w:val="right"/>
              <w:rPr>
                <w:rFonts w:ascii="Times New Roman" w:hAnsi="Times New Roman"/>
              </w:rPr>
            </w:pPr>
          </w:p>
        </w:tc>
        <w:tc>
          <w:tcPr>
            <w:tcW w:w="1454" w:type="dxa"/>
            <w:vAlign w:val="bottom"/>
          </w:tcPr>
          <w:p w14:paraId="20B6DF05"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830</w:t>
            </w:r>
          </w:p>
        </w:tc>
      </w:tr>
      <w:tr w:rsidR="007F54B8" w:rsidRPr="002871B1" w14:paraId="35687FD1" w14:textId="77777777" w:rsidTr="004238EB">
        <w:trPr>
          <w:cantSplit/>
          <w:trHeight w:hRule="exact" w:val="274"/>
        </w:trPr>
        <w:tc>
          <w:tcPr>
            <w:tcW w:w="6082" w:type="dxa"/>
            <w:vAlign w:val="bottom"/>
          </w:tcPr>
          <w:p w14:paraId="05136115" w14:textId="77777777" w:rsidR="007F54B8" w:rsidRPr="00F963B4" w:rsidRDefault="007F54B8" w:rsidP="004238EB">
            <w:pPr>
              <w:ind w:left="255"/>
            </w:pPr>
            <w:r w:rsidRPr="00F963B4">
              <w:t>Website</w:t>
            </w:r>
          </w:p>
        </w:tc>
        <w:tc>
          <w:tcPr>
            <w:tcW w:w="450" w:type="dxa"/>
            <w:tcBorders>
              <w:bottom w:val="single" w:sz="4" w:space="0" w:color="auto"/>
            </w:tcBorders>
            <w:vAlign w:val="bottom"/>
          </w:tcPr>
          <w:p w14:paraId="538005B2" w14:textId="77777777" w:rsidR="007F54B8" w:rsidRPr="00F963B4" w:rsidRDefault="007F54B8" w:rsidP="004238EB">
            <w:pPr>
              <w:jc w:val="right"/>
            </w:pPr>
          </w:p>
        </w:tc>
        <w:tc>
          <w:tcPr>
            <w:tcW w:w="1500" w:type="dxa"/>
            <w:tcBorders>
              <w:bottom w:val="single" w:sz="4" w:space="0" w:color="auto"/>
            </w:tcBorders>
            <w:vAlign w:val="bottom"/>
          </w:tcPr>
          <w:p w14:paraId="716757CD" w14:textId="77777777" w:rsidR="007F54B8" w:rsidRPr="00F963B4" w:rsidRDefault="007F54B8" w:rsidP="004238EB">
            <w:pPr>
              <w:pStyle w:val="CommentText"/>
              <w:jc w:val="right"/>
              <w:rPr>
                <w:rFonts w:ascii="Times New Roman" w:hAnsi="Times New Roman"/>
              </w:rPr>
            </w:pPr>
            <w:r>
              <w:rPr>
                <w:rFonts w:ascii="Times New Roman" w:hAnsi="Times New Roman"/>
              </w:rPr>
              <w:t>280</w:t>
            </w:r>
          </w:p>
        </w:tc>
        <w:tc>
          <w:tcPr>
            <w:tcW w:w="435" w:type="dxa"/>
            <w:vAlign w:val="bottom"/>
          </w:tcPr>
          <w:p w14:paraId="24A04105" w14:textId="77777777" w:rsidR="007F54B8" w:rsidRPr="00F963B4" w:rsidRDefault="007F54B8" w:rsidP="004238EB">
            <w:pPr>
              <w:pStyle w:val="CommentText"/>
              <w:jc w:val="right"/>
              <w:rPr>
                <w:rFonts w:ascii="Times New Roman" w:hAnsi="Times New Roman"/>
              </w:rPr>
            </w:pPr>
          </w:p>
        </w:tc>
        <w:tc>
          <w:tcPr>
            <w:tcW w:w="1515" w:type="dxa"/>
            <w:vAlign w:val="bottom"/>
          </w:tcPr>
          <w:p w14:paraId="32EB25DF"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p>
        </w:tc>
        <w:tc>
          <w:tcPr>
            <w:tcW w:w="435" w:type="dxa"/>
            <w:vAlign w:val="bottom"/>
          </w:tcPr>
          <w:p w14:paraId="0218B9AD" w14:textId="77777777" w:rsidR="007F54B8" w:rsidRPr="00F963B4" w:rsidRDefault="007F54B8" w:rsidP="004238EB">
            <w:pPr>
              <w:pStyle w:val="CommentText"/>
              <w:jc w:val="right"/>
              <w:rPr>
                <w:rFonts w:ascii="Times New Roman" w:hAnsi="Times New Roman"/>
              </w:rPr>
            </w:pPr>
          </w:p>
        </w:tc>
        <w:tc>
          <w:tcPr>
            <w:tcW w:w="1515" w:type="dxa"/>
            <w:vAlign w:val="bottom"/>
          </w:tcPr>
          <w:p w14:paraId="0997D746" w14:textId="77777777" w:rsidR="007F54B8" w:rsidRPr="00F963B4" w:rsidRDefault="007F54B8" w:rsidP="004238EB">
            <w:pPr>
              <w:pStyle w:val="CommentText"/>
              <w:jc w:val="right"/>
              <w:rPr>
                <w:rFonts w:ascii="Times New Roman" w:hAnsi="Times New Roman"/>
              </w:rPr>
            </w:pPr>
            <w:r>
              <w:rPr>
                <w:rFonts w:ascii="Times New Roman" w:hAnsi="Times New Roman"/>
              </w:rPr>
              <w:t>4,219</w:t>
            </w:r>
          </w:p>
        </w:tc>
        <w:tc>
          <w:tcPr>
            <w:tcW w:w="480" w:type="dxa"/>
            <w:vAlign w:val="bottom"/>
          </w:tcPr>
          <w:p w14:paraId="212A5F77" w14:textId="77777777" w:rsidR="007F54B8" w:rsidRPr="00F963B4" w:rsidRDefault="007F54B8" w:rsidP="004238EB">
            <w:pPr>
              <w:pStyle w:val="CommentText"/>
              <w:jc w:val="right"/>
              <w:rPr>
                <w:rFonts w:ascii="Times New Roman" w:hAnsi="Times New Roman"/>
              </w:rPr>
            </w:pPr>
          </w:p>
        </w:tc>
        <w:tc>
          <w:tcPr>
            <w:tcW w:w="1454" w:type="dxa"/>
            <w:vAlign w:val="bottom"/>
          </w:tcPr>
          <w:p w14:paraId="719D2A31"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3,728</w:t>
            </w:r>
          </w:p>
        </w:tc>
      </w:tr>
      <w:tr w:rsidR="007F54B8" w:rsidRPr="002871B1" w14:paraId="03A54AD8" w14:textId="77777777" w:rsidTr="004238EB">
        <w:trPr>
          <w:cantSplit/>
          <w:trHeight w:hRule="exact" w:val="274"/>
        </w:trPr>
        <w:tc>
          <w:tcPr>
            <w:tcW w:w="6082" w:type="dxa"/>
            <w:tcBorders>
              <w:top w:val="single" w:sz="4" w:space="0" w:color="auto"/>
            </w:tcBorders>
            <w:vAlign w:val="bottom"/>
          </w:tcPr>
          <w:p w14:paraId="04FC4747" w14:textId="77777777" w:rsidR="007F54B8" w:rsidRPr="00F963B4" w:rsidRDefault="007F54B8" w:rsidP="004238EB">
            <w:pPr>
              <w:rPr>
                <w:b/>
              </w:rPr>
            </w:pPr>
          </w:p>
        </w:tc>
        <w:tc>
          <w:tcPr>
            <w:tcW w:w="450" w:type="dxa"/>
            <w:tcBorders>
              <w:top w:val="single" w:sz="4" w:space="0" w:color="auto"/>
            </w:tcBorders>
            <w:vAlign w:val="bottom"/>
          </w:tcPr>
          <w:p w14:paraId="5D4713CE" w14:textId="77777777" w:rsidR="007F54B8" w:rsidRPr="00F963B4" w:rsidRDefault="007F54B8" w:rsidP="004238EB">
            <w:pPr>
              <w:jc w:val="right"/>
            </w:pPr>
          </w:p>
        </w:tc>
        <w:tc>
          <w:tcPr>
            <w:tcW w:w="1500" w:type="dxa"/>
            <w:tcBorders>
              <w:top w:val="single" w:sz="4" w:space="0" w:color="auto"/>
            </w:tcBorders>
            <w:vAlign w:val="bottom"/>
          </w:tcPr>
          <w:p w14:paraId="0ACFBBB4" w14:textId="77777777" w:rsidR="007F54B8" w:rsidRPr="00F963B4" w:rsidRDefault="007F54B8" w:rsidP="004238EB">
            <w:pPr>
              <w:pStyle w:val="CommentText"/>
              <w:jc w:val="right"/>
              <w:rPr>
                <w:rFonts w:ascii="Times New Roman" w:hAnsi="Times New Roman"/>
              </w:rPr>
            </w:pPr>
          </w:p>
        </w:tc>
        <w:tc>
          <w:tcPr>
            <w:tcW w:w="435" w:type="dxa"/>
            <w:tcBorders>
              <w:top w:val="single" w:sz="4" w:space="0" w:color="auto"/>
            </w:tcBorders>
            <w:vAlign w:val="bottom"/>
          </w:tcPr>
          <w:p w14:paraId="5E609126" w14:textId="77777777" w:rsidR="007F54B8" w:rsidRPr="00F963B4" w:rsidRDefault="007F54B8" w:rsidP="004238EB">
            <w:pPr>
              <w:pStyle w:val="CommentText"/>
              <w:jc w:val="right"/>
              <w:rPr>
                <w:rFonts w:ascii="Times New Roman" w:hAnsi="Times New Roman"/>
              </w:rPr>
            </w:pPr>
          </w:p>
        </w:tc>
        <w:tc>
          <w:tcPr>
            <w:tcW w:w="1515" w:type="dxa"/>
            <w:tcBorders>
              <w:top w:val="single" w:sz="4" w:space="0" w:color="auto"/>
            </w:tcBorders>
            <w:vAlign w:val="bottom"/>
          </w:tcPr>
          <w:p w14:paraId="39AD57D1" w14:textId="77777777" w:rsidR="007F54B8" w:rsidRPr="00F963B4" w:rsidRDefault="007F54B8" w:rsidP="004238EB">
            <w:pPr>
              <w:pStyle w:val="CommentText"/>
              <w:jc w:val="right"/>
              <w:rPr>
                <w:rFonts w:ascii="Times New Roman" w:hAnsi="Times New Roman"/>
              </w:rPr>
            </w:pPr>
          </w:p>
        </w:tc>
        <w:tc>
          <w:tcPr>
            <w:tcW w:w="435" w:type="dxa"/>
            <w:tcBorders>
              <w:top w:val="single" w:sz="4" w:space="0" w:color="auto"/>
            </w:tcBorders>
            <w:vAlign w:val="bottom"/>
          </w:tcPr>
          <w:p w14:paraId="4A0EADD0" w14:textId="77777777" w:rsidR="007F54B8" w:rsidRPr="00F963B4" w:rsidRDefault="007F54B8" w:rsidP="004238EB">
            <w:pPr>
              <w:pStyle w:val="CommentText"/>
              <w:jc w:val="right"/>
              <w:rPr>
                <w:rFonts w:ascii="Times New Roman" w:hAnsi="Times New Roman"/>
              </w:rPr>
            </w:pPr>
          </w:p>
        </w:tc>
        <w:tc>
          <w:tcPr>
            <w:tcW w:w="1515" w:type="dxa"/>
            <w:tcBorders>
              <w:top w:val="single" w:sz="4" w:space="0" w:color="auto"/>
            </w:tcBorders>
            <w:vAlign w:val="bottom"/>
          </w:tcPr>
          <w:p w14:paraId="302EE9F1" w14:textId="77777777" w:rsidR="007F54B8" w:rsidRPr="00F963B4" w:rsidRDefault="007F54B8" w:rsidP="004238EB">
            <w:pPr>
              <w:pStyle w:val="CommentText"/>
              <w:jc w:val="right"/>
              <w:rPr>
                <w:rFonts w:ascii="Times New Roman" w:hAnsi="Times New Roman"/>
              </w:rPr>
            </w:pPr>
          </w:p>
        </w:tc>
        <w:tc>
          <w:tcPr>
            <w:tcW w:w="480" w:type="dxa"/>
            <w:tcBorders>
              <w:top w:val="single" w:sz="4" w:space="0" w:color="auto"/>
            </w:tcBorders>
            <w:vAlign w:val="bottom"/>
          </w:tcPr>
          <w:p w14:paraId="12D1932D" w14:textId="77777777" w:rsidR="007F54B8" w:rsidRPr="00F963B4" w:rsidRDefault="007F54B8" w:rsidP="004238EB">
            <w:pPr>
              <w:pStyle w:val="CommentText"/>
              <w:jc w:val="right"/>
              <w:rPr>
                <w:rFonts w:ascii="Times New Roman" w:hAnsi="Times New Roman"/>
              </w:rPr>
            </w:pPr>
          </w:p>
        </w:tc>
        <w:tc>
          <w:tcPr>
            <w:tcW w:w="1454" w:type="dxa"/>
            <w:tcBorders>
              <w:top w:val="single" w:sz="4" w:space="0" w:color="auto"/>
            </w:tcBorders>
            <w:vAlign w:val="bottom"/>
          </w:tcPr>
          <w:p w14:paraId="0D07E9E9" w14:textId="77777777" w:rsidR="007F54B8" w:rsidRPr="00F963B4" w:rsidRDefault="007F54B8" w:rsidP="004238EB">
            <w:pPr>
              <w:pStyle w:val="CommentText"/>
              <w:jc w:val="right"/>
              <w:rPr>
                <w:rFonts w:ascii="Times New Roman" w:hAnsi="Times New Roman"/>
              </w:rPr>
            </w:pPr>
          </w:p>
        </w:tc>
      </w:tr>
      <w:tr w:rsidR="007F54B8" w:rsidRPr="002871B1" w14:paraId="03330F30" w14:textId="77777777" w:rsidTr="004238EB">
        <w:trPr>
          <w:cantSplit/>
          <w:trHeight w:hRule="exact" w:val="274"/>
        </w:trPr>
        <w:tc>
          <w:tcPr>
            <w:tcW w:w="6082" w:type="dxa"/>
            <w:tcBorders>
              <w:bottom w:val="double" w:sz="4" w:space="0" w:color="auto"/>
            </w:tcBorders>
            <w:vAlign w:val="bottom"/>
          </w:tcPr>
          <w:p w14:paraId="7734E09C" w14:textId="77777777" w:rsidR="007F54B8" w:rsidRPr="00F963B4" w:rsidRDefault="007F54B8" w:rsidP="004238EB">
            <w:pPr>
              <w:rPr>
                <w:b/>
              </w:rPr>
            </w:pPr>
            <w:r w:rsidRPr="00F963B4">
              <w:rPr>
                <w:b/>
              </w:rPr>
              <w:t xml:space="preserve">Net </w:t>
            </w:r>
            <w:r>
              <w:rPr>
                <w:b/>
              </w:rPr>
              <w:t>l</w:t>
            </w:r>
            <w:r w:rsidRPr="00F963B4">
              <w:rPr>
                <w:b/>
              </w:rPr>
              <w:t xml:space="preserve">oss and </w:t>
            </w:r>
            <w:r>
              <w:rPr>
                <w:b/>
              </w:rPr>
              <w:t>c</w:t>
            </w:r>
            <w:r w:rsidRPr="00F963B4">
              <w:rPr>
                <w:b/>
              </w:rPr>
              <w:t xml:space="preserve">omprehensive loss for the </w:t>
            </w:r>
            <w:r>
              <w:rPr>
                <w:b/>
              </w:rPr>
              <w:t>p</w:t>
            </w:r>
            <w:r w:rsidRPr="00F963B4">
              <w:rPr>
                <w:b/>
              </w:rPr>
              <w:t>eriod</w:t>
            </w:r>
          </w:p>
        </w:tc>
        <w:tc>
          <w:tcPr>
            <w:tcW w:w="450" w:type="dxa"/>
            <w:tcBorders>
              <w:bottom w:val="double" w:sz="4" w:space="0" w:color="auto"/>
            </w:tcBorders>
            <w:vAlign w:val="bottom"/>
          </w:tcPr>
          <w:p w14:paraId="4299BDF4" w14:textId="77777777" w:rsidR="007F54B8" w:rsidRPr="00F963B4" w:rsidRDefault="007F54B8" w:rsidP="004238EB">
            <w:pPr>
              <w:jc w:val="right"/>
            </w:pPr>
            <w:r w:rsidRPr="00F963B4">
              <w:t>$</w:t>
            </w:r>
          </w:p>
        </w:tc>
        <w:tc>
          <w:tcPr>
            <w:tcW w:w="1500" w:type="dxa"/>
            <w:tcBorders>
              <w:bottom w:val="double" w:sz="4" w:space="0" w:color="auto"/>
            </w:tcBorders>
            <w:vAlign w:val="bottom"/>
          </w:tcPr>
          <w:p w14:paraId="1F190818" w14:textId="77777777" w:rsidR="007F54B8" w:rsidRPr="00F963B4" w:rsidRDefault="007F54B8" w:rsidP="004238EB">
            <w:pPr>
              <w:pStyle w:val="CommentText"/>
              <w:jc w:val="right"/>
              <w:rPr>
                <w:rFonts w:ascii="Times New Roman" w:hAnsi="Times New Roman"/>
              </w:rPr>
            </w:pPr>
            <w:r>
              <w:rPr>
                <w:rFonts w:ascii="Times New Roman" w:hAnsi="Times New Roman"/>
              </w:rPr>
              <w:t>90,439</w:t>
            </w:r>
          </w:p>
        </w:tc>
        <w:tc>
          <w:tcPr>
            <w:tcW w:w="435" w:type="dxa"/>
            <w:tcBorders>
              <w:bottom w:val="double" w:sz="4" w:space="0" w:color="auto"/>
            </w:tcBorders>
            <w:vAlign w:val="bottom"/>
          </w:tcPr>
          <w:p w14:paraId="1E583B04"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p>
        </w:tc>
        <w:tc>
          <w:tcPr>
            <w:tcW w:w="1515" w:type="dxa"/>
            <w:tcBorders>
              <w:bottom w:val="double" w:sz="4" w:space="0" w:color="auto"/>
            </w:tcBorders>
            <w:vAlign w:val="bottom"/>
          </w:tcPr>
          <w:p w14:paraId="39DCC811" w14:textId="77777777" w:rsidR="007F54B8" w:rsidRPr="00F963B4" w:rsidRDefault="007F54B8" w:rsidP="004238EB">
            <w:pPr>
              <w:pStyle w:val="CommentText"/>
              <w:jc w:val="right"/>
              <w:rPr>
                <w:rFonts w:ascii="Times New Roman" w:hAnsi="Times New Roman"/>
              </w:rPr>
            </w:pPr>
            <w:r>
              <w:rPr>
                <w:rFonts w:ascii="Times New Roman" w:hAnsi="Times New Roman"/>
              </w:rPr>
              <w:t>16,392</w:t>
            </w:r>
          </w:p>
        </w:tc>
        <w:tc>
          <w:tcPr>
            <w:tcW w:w="435" w:type="dxa"/>
            <w:tcBorders>
              <w:bottom w:val="double" w:sz="4" w:space="0" w:color="auto"/>
            </w:tcBorders>
            <w:vAlign w:val="bottom"/>
          </w:tcPr>
          <w:p w14:paraId="65F4162E"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p>
        </w:tc>
        <w:tc>
          <w:tcPr>
            <w:tcW w:w="1515" w:type="dxa"/>
            <w:tcBorders>
              <w:bottom w:val="double" w:sz="4" w:space="0" w:color="auto"/>
            </w:tcBorders>
            <w:vAlign w:val="bottom"/>
          </w:tcPr>
          <w:p w14:paraId="6003D307" w14:textId="77777777" w:rsidR="007F54B8" w:rsidRPr="00F963B4" w:rsidRDefault="007F54B8" w:rsidP="004238EB">
            <w:pPr>
              <w:pStyle w:val="CommentText"/>
              <w:jc w:val="right"/>
              <w:rPr>
                <w:rFonts w:ascii="Times New Roman" w:hAnsi="Times New Roman"/>
              </w:rPr>
            </w:pPr>
            <w:r>
              <w:rPr>
                <w:rFonts w:ascii="Times New Roman" w:hAnsi="Times New Roman"/>
              </w:rPr>
              <w:t>534,582</w:t>
            </w:r>
          </w:p>
        </w:tc>
        <w:tc>
          <w:tcPr>
            <w:tcW w:w="480" w:type="dxa"/>
            <w:tcBorders>
              <w:bottom w:val="double" w:sz="4" w:space="0" w:color="auto"/>
            </w:tcBorders>
            <w:vAlign w:val="bottom"/>
          </w:tcPr>
          <w:p w14:paraId="0DC3981A"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p>
        </w:tc>
        <w:tc>
          <w:tcPr>
            <w:tcW w:w="1454" w:type="dxa"/>
            <w:tcBorders>
              <w:bottom w:val="double" w:sz="4" w:space="0" w:color="auto"/>
            </w:tcBorders>
            <w:vAlign w:val="bottom"/>
          </w:tcPr>
          <w:p w14:paraId="23AEC7C8"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85,054</w:t>
            </w:r>
          </w:p>
        </w:tc>
      </w:tr>
      <w:tr w:rsidR="007F54B8" w:rsidRPr="002871B1" w14:paraId="4281C804" w14:textId="77777777" w:rsidTr="004238EB">
        <w:trPr>
          <w:cantSplit/>
          <w:trHeight w:hRule="exact" w:val="274"/>
        </w:trPr>
        <w:tc>
          <w:tcPr>
            <w:tcW w:w="6082" w:type="dxa"/>
            <w:tcBorders>
              <w:top w:val="double" w:sz="4" w:space="0" w:color="auto"/>
              <w:bottom w:val="single" w:sz="4" w:space="0" w:color="auto"/>
            </w:tcBorders>
            <w:vAlign w:val="bottom"/>
          </w:tcPr>
          <w:p w14:paraId="58DA5B82" w14:textId="77777777" w:rsidR="007F54B8" w:rsidRPr="00F963B4" w:rsidRDefault="007F54B8" w:rsidP="004238EB">
            <w:pPr>
              <w:rPr>
                <w:b/>
              </w:rPr>
            </w:pPr>
            <w:r w:rsidRPr="00F963B4">
              <w:rPr>
                <w:b/>
              </w:rPr>
              <w:t>Basic and diluted loss per common share</w:t>
            </w:r>
          </w:p>
        </w:tc>
        <w:tc>
          <w:tcPr>
            <w:tcW w:w="450" w:type="dxa"/>
            <w:tcBorders>
              <w:bottom w:val="single" w:sz="4" w:space="0" w:color="auto"/>
            </w:tcBorders>
            <w:vAlign w:val="bottom"/>
          </w:tcPr>
          <w:p w14:paraId="4BF57779" w14:textId="77777777" w:rsidR="007F54B8" w:rsidRPr="00F963B4" w:rsidRDefault="007F54B8" w:rsidP="004238EB">
            <w:pPr>
              <w:jc w:val="right"/>
            </w:pPr>
            <w:r w:rsidRPr="00E40DCA">
              <w:t>$</w:t>
            </w:r>
          </w:p>
        </w:tc>
        <w:tc>
          <w:tcPr>
            <w:tcW w:w="1500" w:type="dxa"/>
            <w:tcBorders>
              <w:bottom w:val="single" w:sz="4" w:space="0" w:color="auto"/>
            </w:tcBorders>
            <w:vAlign w:val="bottom"/>
          </w:tcPr>
          <w:p w14:paraId="22F5475B" w14:textId="77777777" w:rsidR="007F54B8" w:rsidRPr="00F30535" w:rsidRDefault="007F54B8" w:rsidP="004238EB">
            <w:pPr>
              <w:pStyle w:val="CommentText"/>
              <w:jc w:val="right"/>
              <w:rPr>
                <w:rFonts w:ascii="Times New Roman" w:hAnsi="Times New Roman"/>
              </w:rPr>
            </w:pPr>
            <w:r w:rsidRPr="00F30535">
              <w:rPr>
                <w:rFonts w:ascii="Times New Roman" w:hAnsi="Times New Roman"/>
              </w:rPr>
              <w:t>0.0</w:t>
            </w:r>
            <w:r>
              <w:rPr>
                <w:rFonts w:ascii="Times New Roman" w:hAnsi="Times New Roman"/>
              </w:rPr>
              <w:t>1</w:t>
            </w:r>
          </w:p>
        </w:tc>
        <w:tc>
          <w:tcPr>
            <w:tcW w:w="435" w:type="dxa"/>
            <w:tcBorders>
              <w:bottom w:val="single" w:sz="4" w:space="0" w:color="auto"/>
            </w:tcBorders>
            <w:vAlign w:val="bottom"/>
          </w:tcPr>
          <w:p w14:paraId="36BF4533" w14:textId="77777777" w:rsidR="007F54B8" w:rsidRPr="00F30535" w:rsidRDefault="007F54B8" w:rsidP="004238EB">
            <w:pPr>
              <w:pStyle w:val="CommentText"/>
              <w:jc w:val="right"/>
              <w:rPr>
                <w:rFonts w:ascii="Times New Roman" w:hAnsi="Times New Roman"/>
              </w:rPr>
            </w:pPr>
            <w:r w:rsidRPr="00F30535">
              <w:rPr>
                <w:rFonts w:ascii="Times New Roman" w:hAnsi="Times New Roman"/>
              </w:rPr>
              <w:t>$</w:t>
            </w:r>
          </w:p>
        </w:tc>
        <w:tc>
          <w:tcPr>
            <w:tcW w:w="1515" w:type="dxa"/>
            <w:tcBorders>
              <w:bottom w:val="single" w:sz="4" w:space="0" w:color="auto"/>
            </w:tcBorders>
            <w:vAlign w:val="bottom"/>
          </w:tcPr>
          <w:p w14:paraId="62CE98E1" w14:textId="77777777" w:rsidR="007F54B8" w:rsidRPr="00F30535" w:rsidRDefault="007F54B8" w:rsidP="004238EB">
            <w:pPr>
              <w:pStyle w:val="CommentText"/>
              <w:jc w:val="right"/>
              <w:rPr>
                <w:rFonts w:ascii="Times New Roman" w:hAnsi="Times New Roman"/>
              </w:rPr>
            </w:pPr>
            <w:r w:rsidRPr="00F30535">
              <w:rPr>
                <w:rFonts w:ascii="Times New Roman" w:hAnsi="Times New Roman"/>
              </w:rPr>
              <w:t>0.00</w:t>
            </w:r>
          </w:p>
        </w:tc>
        <w:tc>
          <w:tcPr>
            <w:tcW w:w="435" w:type="dxa"/>
            <w:tcBorders>
              <w:bottom w:val="single" w:sz="4" w:space="0" w:color="auto"/>
            </w:tcBorders>
            <w:vAlign w:val="bottom"/>
          </w:tcPr>
          <w:p w14:paraId="2ACBEA66" w14:textId="77777777" w:rsidR="007F54B8" w:rsidRPr="00F30535" w:rsidRDefault="007F54B8" w:rsidP="004238EB">
            <w:pPr>
              <w:pStyle w:val="CommentText"/>
              <w:jc w:val="right"/>
              <w:rPr>
                <w:rFonts w:ascii="Times New Roman" w:hAnsi="Times New Roman"/>
              </w:rPr>
            </w:pPr>
            <w:r w:rsidRPr="00F30535">
              <w:rPr>
                <w:rFonts w:ascii="Times New Roman" w:hAnsi="Times New Roman"/>
              </w:rPr>
              <w:t>$</w:t>
            </w:r>
          </w:p>
        </w:tc>
        <w:tc>
          <w:tcPr>
            <w:tcW w:w="1515" w:type="dxa"/>
            <w:tcBorders>
              <w:bottom w:val="single" w:sz="4" w:space="0" w:color="auto"/>
            </w:tcBorders>
            <w:vAlign w:val="bottom"/>
          </w:tcPr>
          <w:p w14:paraId="6BEC0BCA" w14:textId="77777777" w:rsidR="007F54B8" w:rsidRPr="00F30535" w:rsidRDefault="007F54B8" w:rsidP="004238EB">
            <w:pPr>
              <w:pStyle w:val="CommentText"/>
              <w:jc w:val="right"/>
              <w:rPr>
                <w:rFonts w:ascii="Times New Roman" w:hAnsi="Times New Roman"/>
              </w:rPr>
            </w:pPr>
            <w:r w:rsidRPr="00F30535">
              <w:rPr>
                <w:rFonts w:ascii="Times New Roman" w:hAnsi="Times New Roman"/>
              </w:rPr>
              <w:t>0.0</w:t>
            </w:r>
            <w:r>
              <w:rPr>
                <w:rFonts w:ascii="Times New Roman" w:hAnsi="Times New Roman"/>
              </w:rPr>
              <w:t>4</w:t>
            </w:r>
          </w:p>
        </w:tc>
        <w:tc>
          <w:tcPr>
            <w:tcW w:w="480" w:type="dxa"/>
            <w:tcBorders>
              <w:bottom w:val="single" w:sz="4" w:space="0" w:color="auto"/>
            </w:tcBorders>
            <w:vAlign w:val="bottom"/>
          </w:tcPr>
          <w:p w14:paraId="598D4230" w14:textId="77777777" w:rsidR="007F54B8" w:rsidRPr="00F30535" w:rsidRDefault="007F54B8" w:rsidP="004238EB">
            <w:pPr>
              <w:pStyle w:val="CommentText"/>
              <w:jc w:val="right"/>
              <w:rPr>
                <w:rFonts w:ascii="Times New Roman" w:hAnsi="Times New Roman"/>
              </w:rPr>
            </w:pPr>
            <w:r w:rsidRPr="00F30535">
              <w:rPr>
                <w:rFonts w:ascii="Times New Roman" w:hAnsi="Times New Roman"/>
              </w:rPr>
              <w:t>$</w:t>
            </w:r>
          </w:p>
        </w:tc>
        <w:tc>
          <w:tcPr>
            <w:tcW w:w="1454" w:type="dxa"/>
            <w:tcBorders>
              <w:bottom w:val="single" w:sz="4" w:space="0" w:color="auto"/>
            </w:tcBorders>
            <w:vAlign w:val="bottom"/>
          </w:tcPr>
          <w:p w14:paraId="1B310461" w14:textId="77777777" w:rsidR="007F54B8" w:rsidRPr="00F30535" w:rsidRDefault="007F54B8" w:rsidP="004238EB">
            <w:pPr>
              <w:pStyle w:val="CommentText"/>
              <w:jc w:val="right"/>
              <w:rPr>
                <w:rFonts w:ascii="Times New Roman" w:hAnsi="Times New Roman"/>
              </w:rPr>
            </w:pPr>
            <w:r w:rsidRPr="00F30535">
              <w:rPr>
                <w:rFonts w:ascii="Times New Roman" w:hAnsi="Times New Roman"/>
              </w:rPr>
              <w:t>0.0</w:t>
            </w:r>
            <w:r>
              <w:rPr>
                <w:rFonts w:ascii="Times New Roman" w:hAnsi="Times New Roman"/>
              </w:rPr>
              <w:t>1</w:t>
            </w:r>
          </w:p>
        </w:tc>
      </w:tr>
      <w:tr w:rsidR="007F54B8" w:rsidRPr="002871B1" w14:paraId="1B9B9BCF" w14:textId="77777777" w:rsidTr="004238EB">
        <w:trPr>
          <w:cantSplit/>
          <w:trHeight w:hRule="exact" w:val="274"/>
        </w:trPr>
        <w:tc>
          <w:tcPr>
            <w:tcW w:w="6082" w:type="dxa"/>
            <w:tcBorders>
              <w:top w:val="single" w:sz="4" w:space="0" w:color="auto"/>
              <w:bottom w:val="single" w:sz="4" w:space="0" w:color="auto"/>
            </w:tcBorders>
            <w:vAlign w:val="bottom"/>
          </w:tcPr>
          <w:p w14:paraId="07E325F0" w14:textId="77777777" w:rsidR="007F54B8" w:rsidRPr="00F963B4" w:rsidRDefault="007F54B8" w:rsidP="004238EB">
            <w:pPr>
              <w:rPr>
                <w:b/>
              </w:rPr>
            </w:pPr>
            <w:r w:rsidRPr="00F963B4">
              <w:rPr>
                <w:b/>
              </w:rPr>
              <w:t>Weighted average number of outstanding shares</w:t>
            </w:r>
          </w:p>
        </w:tc>
        <w:tc>
          <w:tcPr>
            <w:tcW w:w="450" w:type="dxa"/>
            <w:tcBorders>
              <w:top w:val="single" w:sz="4" w:space="0" w:color="auto"/>
              <w:bottom w:val="single" w:sz="4" w:space="0" w:color="auto"/>
            </w:tcBorders>
            <w:vAlign w:val="bottom"/>
          </w:tcPr>
          <w:p w14:paraId="30330B8E" w14:textId="77777777" w:rsidR="007F54B8" w:rsidRPr="00F963B4" w:rsidRDefault="007F54B8" w:rsidP="004238EB">
            <w:pPr>
              <w:jc w:val="right"/>
            </w:pPr>
          </w:p>
        </w:tc>
        <w:tc>
          <w:tcPr>
            <w:tcW w:w="1500" w:type="dxa"/>
            <w:tcBorders>
              <w:top w:val="single" w:sz="4" w:space="0" w:color="auto"/>
              <w:bottom w:val="single" w:sz="4" w:space="0" w:color="auto"/>
            </w:tcBorders>
            <w:vAlign w:val="bottom"/>
          </w:tcPr>
          <w:p w14:paraId="314F163C" w14:textId="77777777" w:rsidR="007F54B8" w:rsidRPr="00F30535" w:rsidRDefault="007F54B8" w:rsidP="004238EB">
            <w:pPr>
              <w:pStyle w:val="CommentText"/>
              <w:jc w:val="right"/>
              <w:rPr>
                <w:rFonts w:ascii="Times New Roman" w:hAnsi="Times New Roman"/>
              </w:rPr>
            </w:pPr>
            <w:r>
              <w:rPr>
                <w:rFonts w:ascii="Times New Roman" w:hAnsi="Times New Roman"/>
              </w:rPr>
              <w:t>14,134,242</w:t>
            </w:r>
          </w:p>
        </w:tc>
        <w:tc>
          <w:tcPr>
            <w:tcW w:w="435" w:type="dxa"/>
            <w:tcBorders>
              <w:top w:val="single" w:sz="4" w:space="0" w:color="auto"/>
              <w:bottom w:val="single" w:sz="4" w:space="0" w:color="auto"/>
            </w:tcBorders>
            <w:vAlign w:val="bottom"/>
          </w:tcPr>
          <w:p w14:paraId="4214D8DC" w14:textId="77777777" w:rsidR="007F54B8" w:rsidRPr="00F30535" w:rsidRDefault="007F54B8" w:rsidP="004238EB">
            <w:pPr>
              <w:pStyle w:val="CommentText"/>
              <w:jc w:val="right"/>
              <w:rPr>
                <w:rFonts w:ascii="Times New Roman" w:hAnsi="Times New Roman"/>
              </w:rPr>
            </w:pPr>
          </w:p>
        </w:tc>
        <w:tc>
          <w:tcPr>
            <w:tcW w:w="1515" w:type="dxa"/>
            <w:tcBorders>
              <w:top w:val="single" w:sz="4" w:space="0" w:color="auto"/>
              <w:bottom w:val="single" w:sz="4" w:space="0" w:color="auto"/>
            </w:tcBorders>
            <w:vAlign w:val="bottom"/>
          </w:tcPr>
          <w:p w14:paraId="34D03A54" w14:textId="77777777" w:rsidR="007F54B8" w:rsidRPr="00F30535" w:rsidRDefault="007F54B8" w:rsidP="004238EB">
            <w:pPr>
              <w:pStyle w:val="CommentText"/>
              <w:jc w:val="right"/>
              <w:rPr>
                <w:rFonts w:ascii="Times New Roman" w:hAnsi="Times New Roman"/>
              </w:rPr>
            </w:pPr>
            <w:r w:rsidRPr="00F30535">
              <w:rPr>
                <w:rFonts w:ascii="Times New Roman" w:hAnsi="Times New Roman"/>
              </w:rPr>
              <w:t>9,794,527</w:t>
            </w:r>
          </w:p>
        </w:tc>
        <w:tc>
          <w:tcPr>
            <w:tcW w:w="435" w:type="dxa"/>
            <w:tcBorders>
              <w:top w:val="single" w:sz="4" w:space="0" w:color="auto"/>
              <w:bottom w:val="single" w:sz="4" w:space="0" w:color="auto"/>
            </w:tcBorders>
            <w:vAlign w:val="bottom"/>
          </w:tcPr>
          <w:p w14:paraId="335A6A27" w14:textId="77777777" w:rsidR="007F54B8" w:rsidRPr="00F30535" w:rsidRDefault="007F54B8" w:rsidP="004238EB">
            <w:pPr>
              <w:pStyle w:val="CommentText"/>
              <w:jc w:val="right"/>
              <w:rPr>
                <w:rFonts w:ascii="Times New Roman" w:hAnsi="Times New Roman"/>
              </w:rPr>
            </w:pPr>
          </w:p>
        </w:tc>
        <w:tc>
          <w:tcPr>
            <w:tcW w:w="1515" w:type="dxa"/>
            <w:tcBorders>
              <w:top w:val="single" w:sz="4" w:space="0" w:color="auto"/>
              <w:bottom w:val="single" w:sz="4" w:space="0" w:color="auto"/>
            </w:tcBorders>
            <w:vAlign w:val="bottom"/>
          </w:tcPr>
          <w:p w14:paraId="2EA73881" w14:textId="77777777" w:rsidR="007F54B8" w:rsidRPr="00F30535" w:rsidRDefault="007F54B8" w:rsidP="004238EB">
            <w:pPr>
              <w:pStyle w:val="CommentText"/>
              <w:jc w:val="right"/>
              <w:rPr>
                <w:rFonts w:ascii="Times New Roman" w:hAnsi="Times New Roman"/>
              </w:rPr>
            </w:pPr>
            <w:r>
              <w:rPr>
                <w:rFonts w:ascii="Times New Roman" w:hAnsi="Times New Roman"/>
              </w:rPr>
              <w:t>14,004,731</w:t>
            </w:r>
          </w:p>
        </w:tc>
        <w:tc>
          <w:tcPr>
            <w:tcW w:w="480" w:type="dxa"/>
            <w:tcBorders>
              <w:top w:val="single" w:sz="4" w:space="0" w:color="auto"/>
              <w:bottom w:val="single" w:sz="4" w:space="0" w:color="auto"/>
            </w:tcBorders>
            <w:vAlign w:val="bottom"/>
          </w:tcPr>
          <w:p w14:paraId="602F7AA3" w14:textId="77777777" w:rsidR="007F54B8" w:rsidRPr="00F30535" w:rsidRDefault="007F54B8" w:rsidP="004238EB">
            <w:pPr>
              <w:pStyle w:val="CommentText"/>
              <w:jc w:val="right"/>
              <w:rPr>
                <w:rFonts w:ascii="Times New Roman" w:hAnsi="Times New Roman"/>
              </w:rPr>
            </w:pPr>
          </w:p>
        </w:tc>
        <w:tc>
          <w:tcPr>
            <w:tcW w:w="1454" w:type="dxa"/>
            <w:tcBorders>
              <w:top w:val="single" w:sz="4" w:space="0" w:color="auto"/>
              <w:bottom w:val="single" w:sz="4" w:space="0" w:color="auto"/>
            </w:tcBorders>
            <w:vAlign w:val="bottom"/>
          </w:tcPr>
          <w:p w14:paraId="1880ADE3" w14:textId="77777777" w:rsidR="007F54B8" w:rsidRPr="00F30535" w:rsidRDefault="007F54B8" w:rsidP="004238EB">
            <w:pPr>
              <w:pStyle w:val="CommentText"/>
              <w:jc w:val="right"/>
              <w:rPr>
                <w:rFonts w:ascii="Times New Roman" w:hAnsi="Times New Roman"/>
              </w:rPr>
            </w:pPr>
            <w:r w:rsidRPr="00F30535">
              <w:rPr>
                <w:rFonts w:ascii="Times New Roman" w:hAnsi="Times New Roman"/>
              </w:rPr>
              <w:t>9,821,426</w:t>
            </w:r>
          </w:p>
        </w:tc>
      </w:tr>
      <w:tr w:rsidR="007F54B8" w:rsidRPr="002871B1" w14:paraId="6433EAA6" w14:textId="77777777" w:rsidTr="004238EB">
        <w:trPr>
          <w:cantSplit/>
          <w:trHeight w:hRule="exact" w:val="435"/>
        </w:trPr>
        <w:tc>
          <w:tcPr>
            <w:tcW w:w="6082" w:type="dxa"/>
            <w:tcBorders>
              <w:top w:val="single" w:sz="4" w:space="0" w:color="auto"/>
            </w:tcBorders>
            <w:vAlign w:val="bottom"/>
          </w:tcPr>
          <w:p w14:paraId="3BB50C79" w14:textId="77777777" w:rsidR="007F54B8" w:rsidRPr="00F963B4" w:rsidRDefault="007F54B8" w:rsidP="004238EB">
            <w:pPr>
              <w:rPr>
                <w:b/>
              </w:rPr>
            </w:pPr>
          </w:p>
        </w:tc>
        <w:tc>
          <w:tcPr>
            <w:tcW w:w="450" w:type="dxa"/>
            <w:tcBorders>
              <w:top w:val="single" w:sz="4" w:space="0" w:color="auto"/>
            </w:tcBorders>
            <w:vAlign w:val="bottom"/>
          </w:tcPr>
          <w:p w14:paraId="2BAC413F" w14:textId="77777777" w:rsidR="007F54B8" w:rsidRPr="00F963B4" w:rsidRDefault="007F54B8" w:rsidP="004238EB">
            <w:pPr>
              <w:jc w:val="right"/>
            </w:pPr>
          </w:p>
        </w:tc>
        <w:tc>
          <w:tcPr>
            <w:tcW w:w="1500" w:type="dxa"/>
            <w:tcBorders>
              <w:top w:val="single" w:sz="4" w:space="0" w:color="auto"/>
            </w:tcBorders>
            <w:vAlign w:val="bottom"/>
          </w:tcPr>
          <w:p w14:paraId="0A4FC5B6" w14:textId="77777777" w:rsidR="007F54B8" w:rsidRPr="00F963B4" w:rsidRDefault="007F54B8" w:rsidP="004238EB">
            <w:pPr>
              <w:pStyle w:val="CommentText"/>
              <w:jc w:val="right"/>
              <w:rPr>
                <w:rFonts w:ascii="Times New Roman" w:hAnsi="Times New Roman"/>
              </w:rPr>
            </w:pPr>
          </w:p>
        </w:tc>
        <w:tc>
          <w:tcPr>
            <w:tcW w:w="435" w:type="dxa"/>
            <w:tcBorders>
              <w:top w:val="single" w:sz="4" w:space="0" w:color="auto"/>
            </w:tcBorders>
            <w:vAlign w:val="bottom"/>
          </w:tcPr>
          <w:p w14:paraId="316096F5" w14:textId="77777777" w:rsidR="007F54B8" w:rsidRPr="00F963B4" w:rsidRDefault="007F54B8" w:rsidP="004238EB">
            <w:pPr>
              <w:pStyle w:val="CommentText"/>
              <w:jc w:val="right"/>
              <w:rPr>
                <w:rFonts w:ascii="Times New Roman" w:hAnsi="Times New Roman"/>
              </w:rPr>
            </w:pPr>
          </w:p>
        </w:tc>
        <w:tc>
          <w:tcPr>
            <w:tcW w:w="1515" w:type="dxa"/>
            <w:tcBorders>
              <w:top w:val="single" w:sz="4" w:space="0" w:color="auto"/>
            </w:tcBorders>
            <w:vAlign w:val="bottom"/>
          </w:tcPr>
          <w:p w14:paraId="618C058D" w14:textId="77777777" w:rsidR="007F54B8" w:rsidRPr="00F963B4" w:rsidRDefault="007F54B8" w:rsidP="004238EB">
            <w:pPr>
              <w:pStyle w:val="CommentText"/>
              <w:jc w:val="right"/>
              <w:rPr>
                <w:rFonts w:ascii="Times New Roman" w:hAnsi="Times New Roman"/>
              </w:rPr>
            </w:pPr>
          </w:p>
        </w:tc>
        <w:tc>
          <w:tcPr>
            <w:tcW w:w="435" w:type="dxa"/>
            <w:tcBorders>
              <w:top w:val="single" w:sz="4" w:space="0" w:color="auto"/>
            </w:tcBorders>
            <w:vAlign w:val="bottom"/>
          </w:tcPr>
          <w:p w14:paraId="53BDD62D" w14:textId="77777777" w:rsidR="007F54B8" w:rsidRPr="00F963B4" w:rsidRDefault="007F54B8" w:rsidP="004238EB">
            <w:pPr>
              <w:pStyle w:val="CommentText"/>
              <w:jc w:val="right"/>
              <w:rPr>
                <w:rFonts w:ascii="Times New Roman" w:hAnsi="Times New Roman"/>
              </w:rPr>
            </w:pPr>
          </w:p>
        </w:tc>
        <w:tc>
          <w:tcPr>
            <w:tcW w:w="1515" w:type="dxa"/>
            <w:tcBorders>
              <w:top w:val="single" w:sz="4" w:space="0" w:color="auto"/>
            </w:tcBorders>
            <w:vAlign w:val="bottom"/>
          </w:tcPr>
          <w:p w14:paraId="34CE6207" w14:textId="77777777" w:rsidR="007F54B8" w:rsidRPr="00F963B4" w:rsidRDefault="007F54B8" w:rsidP="004238EB">
            <w:pPr>
              <w:pStyle w:val="CommentText"/>
              <w:jc w:val="right"/>
              <w:rPr>
                <w:rFonts w:ascii="Times New Roman" w:hAnsi="Times New Roman"/>
              </w:rPr>
            </w:pPr>
          </w:p>
        </w:tc>
        <w:tc>
          <w:tcPr>
            <w:tcW w:w="480" w:type="dxa"/>
            <w:tcBorders>
              <w:top w:val="single" w:sz="4" w:space="0" w:color="auto"/>
            </w:tcBorders>
            <w:vAlign w:val="bottom"/>
          </w:tcPr>
          <w:p w14:paraId="6C936CAC" w14:textId="77777777" w:rsidR="007F54B8" w:rsidRPr="00F963B4" w:rsidRDefault="007F54B8" w:rsidP="004238EB">
            <w:pPr>
              <w:pStyle w:val="CommentText"/>
              <w:jc w:val="right"/>
              <w:rPr>
                <w:rFonts w:ascii="Times New Roman" w:hAnsi="Times New Roman"/>
              </w:rPr>
            </w:pPr>
          </w:p>
        </w:tc>
        <w:tc>
          <w:tcPr>
            <w:tcW w:w="1454" w:type="dxa"/>
            <w:tcBorders>
              <w:top w:val="single" w:sz="4" w:space="0" w:color="auto"/>
            </w:tcBorders>
            <w:vAlign w:val="bottom"/>
          </w:tcPr>
          <w:p w14:paraId="6EBD0349" w14:textId="77777777" w:rsidR="007F54B8" w:rsidRPr="00F963B4" w:rsidRDefault="007F54B8" w:rsidP="004238EB">
            <w:pPr>
              <w:pStyle w:val="CommentText"/>
              <w:jc w:val="right"/>
              <w:rPr>
                <w:rFonts w:ascii="Times New Roman" w:hAnsi="Times New Roman"/>
              </w:rPr>
            </w:pPr>
          </w:p>
        </w:tc>
      </w:tr>
    </w:tbl>
    <w:p w14:paraId="36BDC822" w14:textId="77777777" w:rsidR="007F54B8" w:rsidRPr="00F963B4" w:rsidRDefault="007F54B8" w:rsidP="007F54B8">
      <w:pPr>
        <w:rPr>
          <w:b/>
          <w:bCs/>
          <w:sz w:val="24"/>
        </w:rPr>
      </w:pPr>
    </w:p>
    <w:p w14:paraId="29B3946C" w14:textId="77777777" w:rsidR="007F54B8" w:rsidRPr="00F963B4" w:rsidRDefault="007F54B8" w:rsidP="007F54B8">
      <w:pPr>
        <w:pageBreakBefore/>
        <w:rPr>
          <w:b/>
          <w:bCs/>
          <w:sz w:val="24"/>
        </w:rPr>
        <w:sectPr w:rsidR="007F54B8" w:rsidRPr="00F963B4" w:rsidSect="00C55D40">
          <w:headerReference w:type="even" r:id="rId12"/>
          <w:headerReference w:type="default" r:id="rId13"/>
          <w:footerReference w:type="default" r:id="rId14"/>
          <w:headerReference w:type="first" r:id="rId15"/>
          <w:pgSz w:w="15840" w:h="12240" w:orient="landscape" w:code="1"/>
          <w:pgMar w:top="1440" w:right="1440" w:bottom="1440" w:left="1440" w:header="720" w:footer="360" w:gutter="0"/>
          <w:cols w:space="720"/>
          <w:docGrid w:linePitch="360"/>
        </w:sectPr>
      </w:pPr>
    </w:p>
    <w:p w14:paraId="6951C56E" w14:textId="77777777" w:rsidR="007F54B8" w:rsidRPr="00F963B4" w:rsidRDefault="007F54B8" w:rsidP="007F54B8">
      <w:pPr>
        <w:rPr>
          <w:b/>
          <w:bCs/>
          <w:sz w:val="24"/>
        </w:rPr>
      </w:pPr>
      <w:r w:rsidRPr="00F963B4">
        <w:rPr>
          <w:b/>
          <w:bCs/>
          <w:sz w:val="24"/>
        </w:rPr>
        <w:lastRenderedPageBreak/>
        <w:t xml:space="preserve">PROJECT ONE RESOURCES LTD. </w:t>
      </w:r>
    </w:p>
    <w:p w14:paraId="010FF0C5" w14:textId="77777777" w:rsidR="007F54B8" w:rsidRPr="00F963B4" w:rsidRDefault="007F54B8" w:rsidP="007F54B8">
      <w:pPr>
        <w:rPr>
          <w:b/>
          <w:bCs/>
        </w:rPr>
      </w:pPr>
      <w:r w:rsidRPr="00F963B4">
        <w:rPr>
          <w:b/>
          <w:bCs/>
        </w:rPr>
        <w:t>Condensed Interim Statements of Changes in Shareholders’ Equity</w:t>
      </w:r>
    </w:p>
    <w:p w14:paraId="5B9466F1" w14:textId="77777777" w:rsidR="007F54B8" w:rsidRPr="00F963B4" w:rsidRDefault="007F54B8" w:rsidP="007F54B8">
      <w:r w:rsidRPr="00F963B4">
        <w:rPr>
          <w:b/>
          <w:bCs/>
        </w:rPr>
        <w:t>(Unaudited - Expressed in Canadian Dollars)</w:t>
      </w:r>
    </w:p>
    <w:p w14:paraId="673E204A" w14:textId="77777777" w:rsidR="007F54B8" w:rsidRPr="00F963B4" w:rsidRDefault="007F54B8" w:rsidP="007F54B8"/>
    <w:tbl>
      <w:tblPr>
        <w:tblW w:w="12960" w:type="dxa"/>
        <w:tblInd w:w="108" w:type="dxa"/>
        <w:tblLayout w:type="fixed"/>
        <w:tblLook w:val="04A0" w:firstRow="1" w:lastRow="0" w:firstColumn="1" w:lastColumn="0" w:noHBand="0" w:noVBand="1"/>
      </w:tblPr>
      <w:tblGrid>
        <w:gridCol w:w="5854"/>
        <w:gridCol w:w="1422"/>
        <w:gridCol w:w="1421"/>
        <w:gridCol w:w="1275"/>
        <w:gridCol w:w="1350"/>
        <w:gridCol w:w="1638"/>
      </w:tblGrid>
      <w:tr w:rsidR="007F54B8" w:rsidRPr="002871B1" w14:paraId="01712306" w14:textId="77777777" w:rsidTr="004238EB">
        <w:trPr>
          <w:trHeight w:val="300"/>
        </w:trPr>
        <w:tc>
          <w:tcPr>
            <w:tcW w:w="5854" w:type="dxa"/>
            <w:tcBorders>
              <w:top w:val="single" w:sz="12" w:space="0" w:color="auto"/>
              <w:left w:val="nil"/>
              <w:right w:val="nil"/>
            </w:tcBorders>
            <w:shd w:val="clear" w:color="000000" w:fill="FFFFFF"/>
            <w:noWrap/>
            <w:vAlign w:val="bottom"/>
          </w:tcPr>
          <w:p w14:paraId="55699C09" w14:textId="77777777" w:rsidR="007F54B8" w:rsidRPr="00F963B4" w:rsidRDefault="007F54B8" w:rsidP="004238EB">
            <w:pPr>
              <w:jc w:val="right"/>
              <w:rPr>
                <w:color w:val="000000"/>
                <w:lang w:val="en-CA" w:eastAsia="zh-TW"/>
              </w:rPr>
            </w:pPr>
          </w:p>
        </w:tc>
        <w:tc>
          <w:tcPr>
            <w:tcW w:w="2843" w:type="dxa"/>
            <w:gridSpan w:val="2"/>
            <w:tcBorders>
              <w:top w:val="single" w:sz="12" w:space="0" w:color="auto"/>
              <w:left w:val="nil"/>
              <w:right w:val="nil"/>
            </w:tcBorders>
            <w:shd w:val="clear" w:color="000000" w:fill="FFFFFF"/>
            <w:noWrap/>
            <w:vAlign w:val="bottom"/>
          </w:tcPr>
          <w:p w14:paraId="4F93E75A" w14:textId="77777777" w:rsidR="007F54B8" w:rsidRPr="00F963B4" w:rsidRDefault="007F54B8" w:rsidP="004238EB">
            <w:pPr>
              <w:jc w:val="center"/>
              <w:rPr>
                <w:b/>
                <w:color w:val="000000"/>
                <w:lang w:val="en-CA" w:eastAsia="zh-TW"/>
              </w:rPr>
            </w:pPr>
            <w:r w:rsidRPr="00F963B4">
              <w:rPr>
                <w:b/>
                <w:color w:val="000000"/>
                <w:lang w:val="en-CA" w:eastAsia="zh-TW"/>
              </w:rPr>
              <w:t>Common Shares</w:t>
            </w:r>
          </w:p>
        </w:tc>
        <w:tc>
          <w:tcPr>
            <w:tcW w:w="1275" w:type="dxa"/>
            <w:tcBorders>
              <w:top w:val="single" w:sz="12" w:space="0" w:color="auto"/>
              <w:left w:val="nil"/>
              <w:right w:val="nil"/>
            </w:tcBorders>
            <w:shd w:val="clear" w:color="000000" w:fill="FFFFFF"/>
          </w:tcPr>
          <w:p w14:paraId="781F389D" w14:textId="77777777" w:rsidR="007F54B8" w:rsidRPr="00F963B4" w:rsidRDefault="007F54B8" w:rsidP="004238EB">
            <w:pPr>
              <w:jc w:val="center"/>
              <w:rPr>
                <w:b/>
                <w:color w:val="000000"/>
                <w:lang w:val="en-CA" w:eastAsia="zh-TW"/>
              </w:rPr>
            </w:pPr>
          </w:p>
        </w:tc>
        <w:tc>
          <w:tcPr>
            <w:tcW w:w="1350" w:type="dxa"/>
            <w:tcBorders>
              <w:top w:val="single" w:sz="12" w:space="0" w:color="auto"/>
              <w:left w:val="nil"/>
              <w:right w:val="nil"/>
            </w:tcBorders>
            <w:shd w:val="clear" w:color="000000" w:fill="FFFFFF"/>
            <w:vAlign w:val="bottom"/>
          </w:tcPr>
          <w:p w14:paraId="60CBE5D4" w14:textId="77777777" w:rsidR="007F54B8" w:rsidRPr="00F963B4" w:rsidRDefault="007F54B8" w:rsidP="004238EB">
            <w:pPr>
              <w:jc w:val="center"/>
              <w:rPr>
                <w:b/>
                <w:color w:val="000000"/>
                <w:lang w:val="en-CA" w:eastAsia="zh-TW"/>
              </w:rPr>
            </w:pPr>
          </w:p>
        </w:tc>
        <w:tc>
          <w:tcPr>
            <w:tcW w:w="1638" w:type="dxa"/>
            <w:tcBorders>
              <w:top w:val="single" w:sz="12" w:space="0" w:color="auto"/>
              <w:left w:val="nil"/>
              <w:right w:val="nil"/>
            </w:tcBorders>
            <w:shd w:val="clear" w:color="000000" w:fill="FFFFFF"/>
            <w:noWrap/>
            <w:vAlign w:val="bottom"/>
          </w:tcPr>
          <w:p w14:paraId="093CED88" w14:textId="77777777" w:rsidR="007F54B8" w:rsidRPr="00F963B4" w:rsidRDefault="007F54B8" w:rsidP="004238EB">
            <w:pPr>
              <w:jc w:val="center"/>
              <w:rPr>
                <w:b/>
                <w:color w:val="000000"/>
                <w:lang w:val="en-CA" w:eastAsia="zh-TW"/>
              </w:rPr>
            </w:pPr>
          </w:p>
        </w:tc>
      </w:tr>
      <w:tr w:rsidR="007F54B8" w:rsidRPr="002871B1" w14:paraId="01452BCC" w14:textId="77777777" w:rsidTr="004238EB">
        <w:trPr>
          <w:trHeight w:val="300"/>
        </w:trPr>
        <w:tc>
          <w:tcPr>
            <w:tcW w:w="5854" w:type="dxa"/>
            <w:tcBorders>
              <w:left w:val="nil"/>
              <w:right w:val="nil"/>
            </w:tcBorders>
            <w:shd w:val="clear" w:color="000000" w:fill="FFFFFF"/>
            <w:noWrap/>
            <w:vAlign w:val="bottom"/>
            <w:hideMark/>
          </w:tcPr>
          <w:p w14:paraId="6C593B86" w14:textId="77777777" w:rsidR="007F54B8" w:rsidRPr="00F963B4" w:rsidRDefault="007F54B8" w:rsidP="004238EB">
            <w:pPr>
              <w:jc w:val="right"/>
              <w:rPr>
                <w:color w:val="000000"/>
                <w:lang w:val="en-CA" w:eastAsia="zh-TW"/>
              </w:rPr>
            </w:pPr>
            <w:r w:rsidRPr="00F963B4">
              <w:rPr>
                <w:color w:val="000000"/>
                <w:lang w:val="en-CA" w:eastAsia="zh-TW"/>
              </w:rPr>
              <w:t> </w:t>
            </w:r>
          </w:p>
        </w:tc>
        <w:tc>
          <w:tcPr>
            <w:tcW w:w="1422" w:type="dxa"/>
            <w:tcBorders>
              <w:left w:val="nil"/>
              <w:right w:val="nil"/>
            </w:tcBorders>
            <w:shd w:val="clear" w:color="000000" w:fill="FFFFFF"/>
            <w:noWrap/>
            <w:vAlign w:val="bottom"/>
            <w:hideMark/>
          </w:tcPr>
          <w:p w14:paraId="364D732D" w14:textId="77777777" w:rsidR="007F54B8" w:rsidRPr="00F963B4" w:rsidRDefault="007F54B8" w:rsidP="004238EB">
            <w:pPr>
              <w:jc w:val="center"/>
              <w:rPr>
                <w:b/>
                <w:color w:val="000000"/>
                <w:lang w:val="en-CA" w:eastAsia="zh-TW"/>
              </w:rPr>
            </w:pPr>
            <w:r w:rsidRPr="00F963B4">
              <w:rPr>
                <w:b/>
                <w:color w:val="000000"/>
                <w:lang w:val="en-CA" w:eastAsia="zh-TW"/>
              </w:rPr>
              <w:t>Number</w:t>
            </w:r>
          </w:p>
        </w:tc>
        <w:tc>
          <w:tcPr>
            <w:tcW w:w="1421" w:type="dxa"/>
            <w:tcBorders>
              <w:left w:val="nil"/>
              <w:right w:val="nil"/>
            </w:tcBorders>
            <w:shd w:val="clear" w:color="000000" w:fill="FFFFFF"/>
            <w:noWrap/>
            <w:vAlign w:val="bottom"/>
            <w:hideMark/>
          </w:tcPr>
          <w:p w14:paraId="54484F27" w14:textId="77777777" w:rsidR="007F54B8" w:rsidRPr="00F963B4" w:rsidRDefault="007F54B8" w:rsidP="004238EB">
            <w:pPr>
              <w:jc w:val="center"/>
              <w:rPr>
                <w:b/>
                <w:color w:val="000000"/>
                <w:lang w:val="en-CA" w:eastAsia="zh-TW"/>
              </w:rPr>
            </w:pPr>
            <w:r w:rsidRPr="00F963B4">
              <w:rPr>
                <w:b/>
                <w:color w:val="000000"/>
                <w:lang w:val="en-CA" w:eastAsia="zh-TW"/>
              </w:rPr>
              <w:t>Amount</w:t>
            </w:r>
          </w:p>
        </w:tc>
        <w:tc>
          <w:tcPr>
            <w:tcW w:w="1275" w:type="dxa"/>
            <w:tcBorders>
              <w:left w:val="nil"/>
              <w:right w:val="nil"/>
            </w:tcBorders>
            <w:shd w:val="clear" w:color="000000" w:fill="FFFFFF"/>
            <w:vAlign w:val="bottom"/>
          </w:tcPr>
          <w:p w14:paraId="751161C8" w14:textId="77777777" w:rsidR="007F54B8" w:rsidRPr="00F963B4" w:rsidRDefault="007F54B8" w:rsidP="004238EB">
            <w:pPr>
              <w:jc w:val="center"/>
              <w:rPr>
                <w:b/>
                <w:color w:val="000000"/>
                <w:lang w:val="en-CA" w:eastAsia="zh-TW"/>
              </w:rPr>
            </w:pPr>
            <w:r w:rsidRPr="00F963B4">
              <w:rPr>
                <w:b/>
                <w:color w:val="000000"/>
                <w:lang w:val="en-CA" w:eastAsia="zh-TW"/>
              </w:rPr>
              <w:t>Reserve</w:t>
            </w:r>
            <w:r>
              <w:rPr>
                <w:b/>
                <w:color w:val="000000"/>
                <w:lang w:val="en-CA" w:eastAsia="zh-TW"/>
              </w:rPr>
              <w:t>s</w:t>
            </w:r>
          </w:p>
        </w:tc>
        <w:tc>
          <w:tcPr>
            <w:tcW w:w="1350" w:type="dxa"/>
            <w:tcBorders>
              <w:left w:val="nil"/>
              <w:right w:val="nil"/>
            </w:tcBorders>
            <w:shd w:val="clear" w:color="000000" w:fill="FFFFFF"/>
            <w:vAlign w:val="bottom"/>
          </w:tcPr>
          <w:p w14:paraId="36E134F6" w14:textId="77777777" w:rsidR="007F54B8" w:rsidRPr="00F963B4" w:rsidRDefault="007F54B8" w:rsidP="004238EB">
            <w:pPr>
              <w:jc w:val="center"/>
              <w:rPr>
                <w:b/>
                <w:color w:val="000000"/>
                <w:lang w:val="en-CA" w:eastAsia="zh-TW"/>
              </w:rPr>
            </w:pPr>
            <w:r w:rsidRPr="00F963B4">
              <w:rPr>
                <w:b/>
                <w:color w:val="000000"/>
                <w:lang w:val="en-CA" w:eastAsia="zh-TW"/>
              </w:rPr>
              <w:t>Deficit</w:t>
            </w:r>
          </w:p>
        </w:tc>
        <w:tc>
          <w:tcPr>
            <w:tcW w:w="1638" w:type="dxa"/>
            <w:tcBorders>
              <w:left w:val="nil"/>
              <w:right w:val="nil"/>
            </w:tcBorders>
            <w:shd w:val="clear" w:color="000000" w:fill="FFFFFF"/>
            <w:noWrap/>
            <w:vAlign w:val="bottom"/>
            <w:hideMark/>
          </w:tcPr>
          <w:p w14:paraId="78B98C38" w14:textId="77777777" w:rsidR="007F54B8" w:rsidRPr="00F963B4" w:rsidRDefault="007F54B8" w:rsidP="004238EB">
            <w:pPr>
              <w:jc w:val="center"/>
              <w:rPr>
                <w:b/>
                <w:color w:val="000000"/>
                <w:lang w:val="en-CA" w:eastAsia="zh-TW"/>
              </w:rPr>
            </w:pPr>
            <w:r w:rsidRPr="00F963B4">
              <w:rPr>
                <w:b/>
                <w:color w:val="000000"/>
                <w:lang w:val="en-CA" w:eastAsia="zh-TW"/>
              </w:rPr>
              <w:t>Total Shareholders’ Equity</w:t>
            </w:r>
          </w:p>
        </w:tc>
      </w:tr>
      <w:tr w:rsidR="007F54B8" w:rsidRPr="002871B1" w14:paraId="39DDC908" w14:textId="77777777" w:rsidTr="004238EB">
        <w:trPr>
          <w:trHeight w:val="300"/>
        </w:trPr>
        <w:tc>
          <w:tcPr>
            <w:tcW w:w="5854" w:type="dxa"/>
            <w:tcBorders>
              <w:top w:val="nil"/>
              <w:left w:val="nil"/>
              <w:bottom w:val="single" w:sz="4" w:space="0" w:color="auto"/>
              <w:right w:val="nil"/>
            </w:tcBorders>
            <w:shd w:val="clear" w:color="000000" w:fill="FFFFFF"/>
            <w:noWrap/>
            <w:vAlign w:val="bottom"/>
            <w:hideMark/>
          </w:tcPr>
          <w:p w14:paraId="55ADD081" w14:textId="77777777" w:rsidR="007F54B8" w:rsidRPr="00F963B4" w:rsidRDefault="007F54B8" w:rsidP="004238EB">
            <w:pPr>
              <w:jc w:val="right"/>
              <w:rPr>
                <w:color w:val="000000"/>
                <w:lang w:val="en-CA" w:eastAsia="zh-TW"/>
              </w:rPr>
            </w:pPr>
            <w:r w:rsidRPr="00F963B4">
              <w:rPr>
                <w:color w:val="000000"/>
                <w:lang w:val="en-CA" w:eastAsia="zh-TW"/>
              </w:rPr>
              <w:t> </w:t>
            </w:r>
          </w:p>
        </w:tc>
        <w:tc>
          <w:tcPr>
            <w:tcW w:w="1422" w:type="dxa"/>
            <w:tcBorders>
              <w:top w:val="nil"/>
              <w:left w:val="nil"/>
              <w:bottom w:val="single" w:sz="4" w:space="0" w:color="auto"/>
              <w:right w:val="nil"/>
            </w:tcBorders>
            <w:shd w:val="clear" w:color="000000" w:fill="FFFFFF"/>
            <w:noWrap/>
            <w:vAlign w:val="bottom"/>
            <w:hideMark/>
          </w:tcPr>
          <w:p w14:paraId="0824C2D4" w14:textId="77777777" w:rsidR="007F54B8" w:rsidRPr="00F963B4" w:rsidRDefault="007F54B8" w:rsidP="004238EB">
            <w:pPr>
              <w:jc w:val="center"/>
              <w:rPr>
                <w:b/>
                <w:color w:val="000000"/>
                <w:lang w:val="en-CA" w:eastAsia="zh-TW"/>
              </w:rPr>
            </w:pPr>
            <w:r w:rsidRPr="00F963B4">
              <w:rPr>
                <w:b/>
                <w:color w:val="000000"/>
                <w:lang w:val="en-CA" w:eastAsia="zh-TW"/>
              </w:rPr>
              <w:t>Outstanding</w:t>
            </w:r>
          </w:p>
        </w:tc>
        <w:tc>
          <w:tcPr>
            <w:tcW w:w="1421" w:type="dxa"/>
            <w:tcBorders>
              <w:top w:val="nil"/>
              <w:left w:val="nil"/>
              <w:bottom w:val="single" w:sz="4" w:space="0" w:color="auto"/>
              <w:right w:val="nil"/>
            </w:tcBorders>
            <w:shd w:val="clear" w:color="000000" w:fill="FFFFFF"/>
            <w:noWrap/>
            <w:vAlign w:val="bottom"/>
            <w:hideMark/>
          </w:tcPr>
          <w:p w14:paraId="0552F56B" w14:textId="77777777" w:rsidR="007F54B8" w:rsidRPr="00F963B4" w:rsidRDefault="007F54B8" w:rsidP="004238EB">
            <w:pPr>
              <w:jc w:val="center"/>
              <w:rPr>
                <w:b/>
                <w:color w:val="000000"/>
                <w:lang w:val="en-CA" w:eastAsia="zh-TW"/>
              </w:rPr>
            </w:pPr>
            <w:r w:rsidRPr="00F963B4">
              <w:rPr>
                <w:b/>
                <w:color w:val="000000"/>
                <w:lang w:val="en-CA" w:eastAsia="zh-TW"/>
              </w:rPr>
              <w:t>$</w:t>
            </w:r>
          </w:p>
        </w:tc>
        <w:tc>
          <w:tcPr>
            <w:tcW w:w="1275" w:type="dxa"/>
            <w:tcBorders>
              <w:top w:val="nil"/>
              <w:left w:val="nil"/>
              <w:bottom w:val="single" w:sz="4" w:space="0" w:color="auto"/>
              <w:right w:val="nil"/>
            </w:tcBorders>
            <w:shd w:val="clear" w:color="000000" w:fill="FFFFFF"/>
            <w:vAlign w:val="bottom"/>
          </w:tcPr>
          <w:p w14:paraId="5A9DB866" w14:textId="77777777" w:rsidR="007F54B8" w:rsidRPr="00F963B4" w:rsidRDefault="007F54B8" w:rsidP="004238EB">
            <w:pPr>
              <w:jc w:val="center"/>
              <w:rPr>
                <w:b/>
                <w:color w:val="000000"/>
                <w:lang w:val="en-CA" w:eastAsia="zh-TW"/>
              </w:rPr>
            </w:pPr>
            <w:r w:rsidRPr="00F963B4">
              <w:rPr>
                <w:b/>
                <w:color w:val="000000"/>
                <w:lang w:val="en-CA" w:eastAsia="zh-TW"/>
              </w:rPr>
              <w:t>$</w:t>
            </w:r>
          </w:p>
        </w:tc>
        <w:tc>
          <w:tcPr>
            <w:tcW w:w="1350" w:type="dxa"/>
            <w:tcBorders>
              <w:top w:val="nil"/>
              <w:left w:val="nil"/>
              <w:bottom w:val="single" w:sz="4" w:space="0" w:color="auto"/>
              <w:right w:val="nil"/>
            </w:tcBorders>
            <w:shd w:val="clear" w:color="000000" w:fill="FFFFFF"/>
            <w:vAlign w:val="bottom"/>
          </w:tcPr>
          <w:p w14:paraId="6FB81989" w14:textId="77777777" w:rsidR="007F54B8" w:rsidRPr="00F963B4" w:rsidRDefault="007F54B8" w:rsidP="004238EB">
            <w:pPr>
              <w:jc w:val="center"/>
              <w:rPr>
                <w:b/>
                <w:color w:val="000000"/>
                <w:lang w:val="en-CA" w:eastAsia="zh-TW"/>
              </w:rPr>
            </w:pPr>
            <w:r w:rsidRPr="00F963B4">
              <w:rPr>
                <w:b/>
                <w:color w:val="000000"/>
                <w:lang w:val="en-CA" w:eastAsia="zh-TW"/>
              </w:rPr>
              <w:t>$</w:t>
            </w:r>
          </w:p>
        </w:tc>
        <w:tc>
          <w:tcPr>
            <w:tcW w:w="1638" w:type="dxa"/>
            <w:tcBorders>
              <w:top w:val="nil"/>
              <w:left w:val="nil"/>
              <w:bottom w:val="single" w:sz="4" w:space="0" w:color="auto"/>
              <w:right w:val="nil"/>
            </w:tcBorders>
            <w:shd w:val="clear" w:color="000000" w:fill="FFFFFF"/>
            <w:noWrap/>
            <w:vAlign w:val="bottom"/>
            <w:hideMark/>
          </w:tcPr>
          <w:p w14:paraId="04B89FF9" w14:textId="77777777" w:rsidR="007F54B8" w:rsidRPr="00F963B4" w:rsidRDefault="007F54B8" w:rsidP="004238EB">
            <w:pPr>
              <w:jc w:val="center"/>
              <w:rPr>
                <w:b/>
                <w:color w:val="000000"/>
                <w:lang w:val="en-CA" w:eastAsia="zh-TW"/>
              </w:rPr>
            </w:pPr>
            <w:r w:rsidRPr="00F963B4">
              <w:rPr>
                <w:b/>
                <w:color w:val="000000"/>
                <w:lang w:val="en-CA" w:eastAsia="zh-TW"/>
              </w:rPr>
              <w:t>$</w:t>
            </w:r>
          </w:p>
        </w:tc>
      </w:tr>
      <w:tr w:rsidR="007F54B8" w:rsidRPr="002871B1" w14:paraId="7DBC29DB" w14:textId="77777777" w:rsidTr="004238EB">
        <w:trPr>
          <w:trHeight w:val="300"/>
        </w:trPr>
        <w:tc>
          <w:tcPr>
            <w:tcW w:w="5854" w:type="dxa"/>
            <w:tcBorders>
              <w:top w:val="single" w:sz="4" w:space="0" w:color="auto"/>
              <w:left w:val="nil"/>
              <w:right w:val="nil"/>
            </w:tcBorders>
            <w:shd w:val="clear" w:color="000000" w:fill="FFFFFF"/>
            <w:vAlign w:val="bottom"/>
            <w:hideMark/>
          </w:tcPr>
          <w:p w14:paraId="0C760CE1" w14:textId="77777777" w:rsidR="007F54B8" w:rsidRPr="00F963B4" w:rsidRDefault="007F54B8" w:rsidP="004238EB">
            <w:pPr>
              <w:ind w:left="171" w:hanging="171"/>
              <w:rPr>
                <w:color w:val="000000"/>
                <w:lang w:val="en-CA" w:eastAsia="zh-TW"/>
              </w:rPr>
            </w:pPr>
          </w:p>
        </w:tc>
        <w:tc>
          <w:tcPr>
            <w:tcW w:w="1422" w:type="dxa"/>
            <w:tcBorders>
              <w:top w:val="single" w:sz="4" w:space="0" w:color="auto"/>
              <w:left w:val="nil"/>
              <w:right w:val="nil"/>
            </w:tcBorders>
            <w:shd w:val="clear" w:color="000000" w:fill="FFFFFF"/>
            <w:noWrap/>
            <w:vAlign w:val="bottom"/>
          </w:tcPr>
          <w:p w14:paraId="27D8C677" w14:textId="77777777" w:rsidR="007F54B8" w:rsidRPr="00F963B4" w:rsidRDefault="007F54B8" w:rsidP="004238EB">
            <w:pPr>
              <w:jc w:val="right"/>
              <w:rPr>
                <w:color w:val="000000"/>
                <w:lang w:val="en-CA" w:eastAsia="zh-TW"/>
              </w:rPr>
            </w:pPr>
          </w:p>
        </w:tc>
        <w:tc>
          <w:tcPr>
            <w:tcW w:w="1421" w:type="dxa"/>
            <w:tcBorders>
              <w:top w:val="single" w:sz="4" w:space="0" w:color="auto"/>
              <w:left w:val="nil"/>
              <w:right w:val="nil"/>
            </w:tcBorders>
            <w:shd w:val="clear" w:color="000000" w:fill="FFFFFF"/>
            <w:noWrap/>
            <w:vAlign w:val="bottom"/>
          </w:tcPr>
          <w:p w14:paraId="42429BF2" w14:textId="77777777" w:rsidR="007F54B8" w:rsidRPr="00F963B4" w:rsidRDefault="007F54B8" w:rsidP="004238EB">
            <w:pPr>
              <w:jc w:val="right"/>
              <w:rPr>
                <w:color w:val="000000"/>
                <w:lang w:val="en-CA" w:eastAsia="zh-TW"/>
              </w:rPr>
            </w:pPr>
          </w:p>
        </w:tc>
        <w:tc>
          <w:tcPr>
            <w:tcW w:w="1275" w:type="dxa"/>
            <w:tcBorders>
              <w:top w:val="single" w:sz="4" w:space="0" w:color="auto"/>
              <w:left w:val="nil"/>
              <w:right w:val="nil"/>
            </w:tcBorders>
            <w:shd w:val="clear" w:color="000000" w:fill="FFFFFF"/>
          </w:tcPr>
          <w:p w14:paraId="10656F27" w14:textId="77777777" w:rsidR="007F54B8" w:rsidRPr="00F963B4" w:rsidRDefault="007F54B8" w:rsidP="004238EB">
            <w:pPr>
              <w:jc w:val="right"/>
              <w:rPr>
                <w:color w:val="000000"/>
                <w:lang w:val="en-CA" w:eastAsia="zh-TW"/>
              </w:rPr>
            </w:pPr>
          </w:p>
        </w:tc>
        <w:tc>
          <w:tcPr>
            <w:tcW w:w="1350" w:type="dxa"/>
            <w:tcBorders>
              <w:top w:val="single" w:sz="4" w:space="0" w:color="auto"/>
              <w:left w:val="nil"/>
              <w:right w:val="nil"/>
            </w:tcBorders>
            <w:shd w:val="clear" w:color="000000" w:fill="FFFFFF"/>
            <w:vAlign w:val="bottom"/>
          </w:tcPr>
          <w:p w14:paraId="1E65F5A6" w14:textId="77777777" w:rsidR="007F54B8" w:rsidRPr="00F963B4" w:rsidRDefault="007F54B8" w:rsidP="004238EB">
            <w:pPr>
              <w:jc w:val="right"/>
              <w:rPr>
                <w:color w:val="000000"/>
                <w:lang w:val="en-CA" w:eastAsia="zh-TW"/>
              </w:rPr>
            </w:pPr>
          </w:p>
        </w:tc>
        <w:tc>
          <w:tcPr>
            <w:tcW w:w="1638" w:type="dxa"/>
            <w:tcBorders>
              <w:top w:val="single" w:sz="4" w:space="0" w:color="auto"/>
              <w:left w:val="nil"/>
              <w:right w:val="nil"/>
            </w:tcBorders>
            <w:shd w:val="clear" w:color="000000" w:fill="FFFFFF"/>
            <w:noWrap/>
            <w:vAlign w:val="bottom"/>
          </w:tcPr>
          <w:p w14:paraId="488DA9E9" w14:textId="77777777" w:rsidR="007F54B8" w:rsidRPr="00F963B4" w:rsidDel="00146247" w:rsidRDefault="007F54B8" w:rsidP="004238EB">
            <w:pPr>
              <w:jc w:val="right"/>
              <w:rPr>
                <w:color w:val="000000"/>
                <w:lang w:val="en-CA" w:eastAsia="zh-TW"/>
              </w:rPr>
            </w:pPr>
          </w:p>
        </w:tc>
      </w:tr>
      <w:tr w:rsidR="007F54B8" w:rsidRPr="002871B1" w14:paraId="7AF0C432" w14:textId="77777777" w:rsidTr="004238EB">
        <w:trPr>
          <w:trHeight w:val="315"/>
        </w:trPr>
        <w:tc>
          <w:tcPr>
            <w:tcW w:w="5854" w:type="dxa"/>
            <w:tcBorders>
              <w:left w:val="nil"/>
              <w:right w:val="nil"/>
            </w:tcBorders>
            <w:shd w:val="clear" w:color="000000" w:fill="FFFFFF"/>
            <w:vAlign w:val="bottom"/>
            <w:hideMark/>
          </w:tcPr>
          <w:p w14:paraId="369EAB13" w14:textId="77777777" w:rsidR="007F54B8" w:rsidRPr="00F963B4" w:rsidRDefault="007F54B8" w:rsidP="004238EB">
            <w:pPr>
              <w:ind w:left="171" w:hanging="171"/>
              <w:rPr>
                <w:b/>
                <w:color w:val="000000"/>
                <w:lang w:val="en-CA" w:eastAsia="zh-TW"/>
              </w:rPr>
            </w:pPr>
            <w:r w:rsidRPr="00F963B4">
              <w:rPr>
                <w:b/>
                <w:color w:val="000000"/>
                <w:lang w:val="en-CA" w:eastAsia="zh-TW"/>
              </w:rPr>
              <w:t>Balance, August 31, 2019</w:t>
            </w:r>
          </w:p>
        </w:tc>
        <w:tc>
          <w:tcPr>
            <w:tcW w:w="1422" w:type="dxa"/>
            <w:tcBorders>
              <w:left w:val="nil"/>
              <w:right w:val="nil"/>
            </w:tcBorders>
            <w:shd w:val="clear" w:color="000000" w:fill="FFFFFF"/>
            <w:noWrap/>
            <w:vAlign w:val="bottom"/>
          </w:tcPr>
          <w:p w14:paraId="0015BCC4" w14:textId="77777777" w:rsidR="007F54B8" w:rsidRPr="00F963B4" w:rsidRDefault="007F54B8" w:rsidP="004238EB">
            <w:pPr>
              <w:jc w:val="right"/>
              <w:rPr>
                <w:color w:val="000000"/>
                <w:lang w:val="en-CA" w:eastAsia="zh-TW"/>
              </w:rPr>
            </w:pPr>
            <w:r w:rsidRPr="00F963B4">
              <w:rPr>
                <w:color w:val="000000"/>
                <w:lang w:val="en-CA" w:eastAsia="zh-TW"/>
              </w:rPr>
              <w:t>9,840,777</w:t>
            </w:r>
          </w:p>
        </w:tc>
        <w:tc>
          <w:tcPr>
            <w:tcW w:w="1421" w:type="dxa"/>
            <w:tcBorders>
              <w:left w:val="nil"/>
              <w:right w:val="nil"/>
            </w:tcBorders>
            <w:shd w:val="clear" w:color="000000" w:fill="FFFFFF"/>
            <w:noWrap/>
            <w:vAlign w:val="bottom"/>
          </w:tcPr>
          <w:p w14:paraId="5CF75BE8" w14:textId="77777777" w:rsidR="007F54B8" w:rsidRPr="00F963B4" w:rsidRDefault="007F54B8" w:rsidP="004238EB">
            <w:pPr>
              <w:jc w:val="right"/>
              <w:rPr>
                <w:color w:val="000000"/>
                <w:lang w:val="en-CA" w:eastAsia="zh-TW"/>
              </w:rPr>
            </w:pPr>
            <w:r w:rsidRPr="00F963B4">
              <w:rPr>
                <w:color w:val="000000"/>
                <w:lang w:val="en-CA" w:eastAsia="zh-TW"/>
              </w:rPr>
              <w:t>421,449</w:t>
            </w:r>
          </w:p>
        </w:tc>
        <w:tc>
          <w:tcPr>
            <w:tcW w:w="1275" w:type="dxa"/>
            <w:tcBorders>
              <w:left w:val="nil"/>
              <w:right w:val="nil"/>
            </w:tcBorders>
            <w:shd w:val="clear" w:color="000000" w:fill="FFFFFF"/>
            <w:vAlign w:val="bottom"/>
          </w:tcPr>
          <w:p w14:paraId="188DAFAC" w14:textId="77777777" w:rsidR="007F54B8" w:rsidRPr="00F963B4" w:rsidRDefault="007F54B8" w:rsidP="004238EB">
            <w:pPr>
              <w:jc w:val="right"/>
              <w:rPr>
                <w:color w:val="000000"/>
                <w:lang w:val="en-CA" w:eastAsia="zh-TW"/>
              </w:rPr>
            </w:pPr>
            <w:r w:rsidRPr="00F963B4">
              <w:rPr>
                <w:color w:val="000000"/>
                <w:lang w:val="en-CA" w:eastAsia="zh-TW"/>
              </w:rPr>
              <w:t>20,047</w:t>
            </w:r>
          </w:p>
        </w:tc>
        <w:tc>
          <w:tcPr>
            <w:tcW w:w="1350" w:type="dxa"/>
            <w:tcBorders>
              <w:left w:val="nil"/>
              <w:right w:val="nil"/>
            </w:tcBorders>
            <w:shd w:val="clear" w:color="000000" w:fill="FFFFFF"/>
            <w:vAlign w:val="bottom"/>
          </w:tcPr>
          <w:p w14:paraId="0E99192D" w14:textId="77777777" w:rsidR="007F54B8" w:rsidRPr="00F963B4" w:rsidRDefault="007F54B8" w:rsidP="004238EB">
            <w:pPr>
              <w:jc w:val="right"/>
              <w:rPr>
                <w:color w:val="000000"/>
                <w:lang w:val="en-CA" w:eastAsia="zh-TW"/>
              </w:rPr>
            </w:pPr>
            <w:r w:rsidRPr="00F963B4">
              <w:rPr>
                <w:color w:val="000000"/>
                <w:lang w:val="en-CA" w:eastAsia="zh-TW"/>
              </w:rPr>
              <w:t>(275,893)</w:t>
            </w:r>
          </w:p>
        </w:tc>
        <w:tc>
          <w:tcPr>
            <w:tcW w:w="1638" w:type="dxa"/>
            <w:tcBorders>
              <w:left w:val="nil"/>
              <w:right w:val="nil"/>
            </w:tcBorders>
            <w:shd w:val="clear" w:color="000000" w:fill="FFFFFF"/>
            <w:noWrap/>
            <w:vAlign w:val="bottom"/>
          </w:tcPr>
          <w:p w14:paraId="226795F6" w14:textId="77777777" w:rsidR="007F54B8" w:rsidRPr="00F963B4" w:rsidRDefault="007F54B8" w:rsidP="004238EB">
            <w:pPr>
              <w:jc w:val="right"/>
              <w:rPr>
                <w:color w:val="000000"/>
                <w:lang w:val="en-CA" w:eastAsia="zh-TW"/>
              </w:rPr>
            </w:pPr>
            <w:r w:rsidRPr="00F963B4">
              <w:rPr>
                <w:color w:val="000000"/>
                <w:lang w:val="en-CA" w:eastAsia="zh-TW"/>
              </w:rPr>
              <w:t>165,603</w:t>
            </w:r>
          </w:p>
        </w:tc>
      </w:tr>
      <w:tr w:rsidR="007F54B8" w:rsidRPr="002871B1" w14:paraId="54C847EB" w14:textId="77777777" w:rsidTr="004238EB">
        <w:trPr>
          <w:trHeight w:val="315"/>
        </w:trPr>
        <w:tc>
          <w:tcPr>
            <w:tcW w:w="5854" w:type="dxa"/>
            <w:tcBorders>
              <w:left w:val="nil"/>
              <w:right w:val="nil"/>
            </w:tcBorders>
            <w:shd w:val="clear" w:color="000000" w:fill="FFFFFF"/>
            <w:vAlign w:val="bottom"/>
          </w:tcPr>
          <w:p w14:paraId="01A3BD76" w14:textId="77777777" w:rsidR="007F54B8" w:rsidRPr="00F963B4" w:rsidRDefault="007F54B8" w:rsidP="004238EB">
            <w:pPr>
              <w:ind w:left="171" w:hanging="21"/>
              <w:rPr>
                <w:b/>
                <w:color w:val="000000"/>
                <w:lang w:val="en-CA" w:eastAsia="zh-TW"/>
              </w:rPr>
            </w:pPr>
            <w:r w:rsidRPr="00F963B4">
              <w:rPr>
                <w:color w:val="000000"/>
                <w:lang w:val="en-CA" w:eastAsia="zh-TW"/>
              </w:rPr>
              <w:t xml:space="preserve">Exercise of </w:t>
            </w:r>
            <w:r>
              <w:rPr>
                <w:color w:val="000000"/>
                <w:lang w:val="en-CA" w:eastAsia="zh-TW"/>
              </w:rPr>
              <w:t>warrants</w:t>
            </w:r>
          </w:p>
        </w:tc>
        <w:tc>
          <w:tcPr>
            <w:tcW w:w="1422" w:type="dxa"/>
            <w:tcBorders>
              <w:left w:val="nil"/>
              <w:right w:val="nil"/>
            </w:tcBorders>
            <w:shd w:val="clear" w:color="000000" w:fill="FFFFFF"/>
            <w:noWrap/>
            <w:vAlign w:val="bottom"/>
          </w:tcPr>
          <w:p w14:paraId="01A7FEC2" w14:textId="77777777" w:rsidR="007F54B8" w:rsidRPr="00F963B4" w:rsidRDefault="007F54B8" w:rsidP="004238EB">
            <w:pPr>
              <w:jc w:val="right"/>
              <w:rPr>
                <w:color w:val="000000"/>
                <w:lang w:val="en-CA" w:eastAsia="zh-TW"/>
              </w:rPr>
            </w:pPr>
            <w:r w:rsidRPr="00F963B4">
              <w:rPr>
                <w:color w:val="000000"/>
                <w:lang w:val="en-CA" w:eastAsia="zh-TW"/>
              </w:rPr>
              <w:t>3,750</w:t>
            </w:r>
          </w:p>
        </w:tc>
        <w:tc>
          <w:tcPr>
            <w:tcW w:w="1421" w:type="dxa"/>
            <w:tcBorders>
              <w:left w:val="nil"/>
              <w:right w:val="nil"/>
            </w:tcBorders>
            <w:shd w:val="clear" w:color="000000" w:fill="FFFFFF"/>
            <w:noWrap/>
            <w:vAlign w:val="bottom"/>
          </w:tcPr>
          <w:p w14:paraId="24E5165F" w14:textId="77777777" w:rsidR="007F54B8" w:rsidRPr="00F963B4" w:rsidRDefault="007F54B8" w:rsidP="004238EB">
            <w:pPr>
              <w:jc w:val="right"/>
              <w:rPr>
                <w:color w:val="000000"/>
                <w:lang w:val="en-CA" w:eastAsia="zh-TW"/>
              </w:rPr>
            </w:pPr>
            <w:r w:rsidRPr="00F963B4">
              <w:rPr>
                <w:color w:val="000000"/>
                <w:lang w:val="en-CA" w:eastAsia="zh-TW"/>
              </w:rPr>
              <w:t>573</w:t>
            </w:r>
          </w:p>
        </w:tc>
        <w:tc>
          <w:tcPr>
            <w:tcW w:w="1275" w:type="dxa"/>
            <w:tcBorders>
              <w:left w:val="nil"/>
              <w:right w:val="nil"/>
            </w:tcBorders>
            <w:shd w:val="clear" w:color="000000" w:fill="FFFFFF"/>
            <w:vAlign w:val="bottom"/>
          </w:tcPr>
          <w:p w14:paraId="0397FAD7" w14:textId="77777777" w:rsidR="007F54B8" w:rsidRPr="00F963B4" w:rsidRDefault="007F54B8" w:rsidP="004238EB">
            <w:pPr>
              <w:jc w:val="right"/>
              <w:rPr>
                <w:color w:val="000000"/>
                <w:lang w:val="en-CA" w:eastAsia="zh-TW"/>
              </w:rPr>
            </w:pPr>
            <w:r w:rsidRPr="00F963B4">
              <w:rPr>
                <w:color w:val="000000"/>
                <w:lang w:val="en-CA" w:eastAsia="zh-TW"/>
              </w:rPr>
              <w:t>(198)</w:t>
            </w:r>
          </w:p>
        </w:tc>
        <w:tc>
          <w:tcPr>
            <w:tcW w:w="1350" w:type="dxa"/>
            <w:tcBorders>
              <w:left w:val="nil"/>
              <w:right w:val="nil"/>
            </w:tcBorders>
            <w:shd w:val="clear" w:color="000000" w:fill="FFFFFF"/>
            <w:vAlign w:val="bottom"/>
          </w:tcPr>
          <w:p w14:paraId="787EB766" w14:textId="77777777" w:rsidR="007F54B8" w:rsidRPr="00F963B4" w:rsidRDefault="007F54B8" w:rsidP="004238EB">
            <w:pPr>
              <w:jc w:val="right"/>
              <w:rPr>
                <w:color w:val="000000"/>
                <w:lang w:val="en-CA" w:eastAsia="zh-TW"/>
              </w:rPr>
            </w:pPr>
            <w:r w:rsidRPr="00F963B4">
              <w:rPr>
                <w:color w:val="000000"/>
                <w:lang w:val="en-CA" w:eastAsia="zh-TW"/>
              </w:rPr>
              <w:t>-</w:t>
            </w:r>
          </w:p>
        </w:tc>
        <w:tc>
          <w:tcPr>
            <w:tcW w:w="1638" w:type="dxa"/>
            <w:tcBorders>
              <w:left w:val="nil"/>
              <w:right w:val="nil"/>
            </w:tcBorders>
            <w:shd w:val="clear" w:color="000000" w:fill="FFFFFF"/>
            <w:noWrap/>
            <w:vAlign w:val="bottom"/>
          </w:tcPr>
          <w:p w14:paraId="304EA979" w14:textId="77777777" w:rsidR="007F54B8" w:rsidRPr="00F963B4" w:rsidRDefault="007F54B8" w:rsidP="004238EB">
            <w:pPr>
              <w:jc w:val="right"/>
              <w:rPr>
                <w:color w:val="000000"/>
                <w:lang w:val="en-CA" w:eastAsia="zh-TW"/>
              </w:rPr>
            </w:pPr>
            <w:r w:rsidRPr="00F963B4">
              <w:rPr>
                <w:color w:val="000000"/>
                <w:lang w:val="en-CA" w:eastAsia="zh-TW"/>
              </w:rPr>
              <w:t>375</w:t>
            </w:r>
          </w:p>
        </w:tc>
      </w:tr>
      <w:tr w:rsidR="007F54B8" w:rsidRPr="002871B1" w14:paraId="5DF08F69" w14:textId="77777777" w:rsidTr="004238EB">
        <w:trPr>
          <w:trHeight w:val="315"/>
        </w:trPr>
        <w:tc>
          <w:tcPr>
            <w:tcW w:w="5854" w:type="dxa"/>
            <w:tcBorders>
              <w:left w:val="nil"/>
              <w:right w:val="nil"/>
            </w:tcBorders>
            <w:shd w:val="clear" w:color="000000" w:fill="FFFFFF"/>
            <w:vAlign w:val="bottom"/>
          </w:tcPr>
          <w:p w14:paraId="227BEEB8" w14:textId="77777777" w:rsidR="007F54B8" w:rsidRPr="00F963B4" w:rsidRDefault="007F54B8" w:rsidP="004238EB">
            <w:pPr>
              <w:ind w:left="171" w:hanging="21"/>
              <w:rPr>
                <w:b/>
                <w:color w:val="000000"/>
                <w:lang w:val="en-CA" w:eastAsia="zh-TW"/>
              </w:rPr>
            </w:pPr>
            <w:r w:rsidRPr="00AE7217">
              <w:rPr>
                <w:color w:val="000000"/>
                <w:lang w:val="en-CA" w:eastAsia="zh-TW"/>
              </w:rPr>
              <w:t>Refund of share issuance costs</w:t>
            </w:r>
          </w:p>
        </w:tc>
        <w:tc>
          <w:tcPr>
            <w:tcW w:w="1422" w:type="dxa"/>
            <w:tcBorders>
              <w:left w:val="nil"/>
              <w:right w:val="nil"/>
            </w:tcBorders>
            <w:shd w:val="clear" w:color="000000" w:fill="FFFFFF"/>
            <w:noWrap/>
            <w:vAlign w:val="bottom"/>
          </w:tcPr>
          <w:p w14:paraId="0781D559" w14:textId="77777777" w:rsidR="007F54B8" w:rsidRPr="00F963B4" w:rsidRDefault="007F54B8" w:rsidP="004238EB">
            <w:pPr>
              <w:jc w:val="right"/>
              <w:rPr>
                <w:color w:val="000000"/>
                <w:lang w:val="en-CA" w:eastAsia="zh-TW"/>
              </w:rPr>
            </w:pPr>
            <w:r w:rsidRPr="00F963B4">
              <w:rPr>
                <w:color w:val="000000"/>
                <w:lang w:val="en-CA" w:eastAsia="zh-TW"/>
              </w:rPr>
              <w:t>-</w:t>
            </w:r>
          </w:p>
        </w:tc>
        <w:tc>
          <w:tcPr>
            <w:tcW w:w="1421" w:type="dxa"/>
            <w:tcBorders>
              <w:left w:val="nil"/>
              <w:right w:val="nil"/>
            </w:tcBorders>
            <w:shd w:val="clear" w:color="000000" w:fill="FFFFFF"/>
            <w:noWrap/>
            <w:vAlign w:val="bottom"/>
          </w:tcPr>
          <w:p w14:paraId="1AE27C45" w14:textId="77777777" w:rsidR="007F54B8" w:rsidRPr="00F963B4" w:rsidRDefault="007F54B8" w:rsidP="004238EB">
            <w:pPr>
              <w:jc w:val="right"/>
              <w:rPr>
                <w:color w:val="000000"/>
                <w:lang w:val="en-CA" w:eastAsia="zh-TW"/>
              </w:rPr>
            </w:pPr>
            <w:r w:rsidRPr="00F963B4">
              <w:rPr>
                <w:color w:val="000000"/>
                <w:lang w:val="en-CA" w:eastAsia="zh-TW"/>
              </w:rPr>
              <w:t>859</w:t>
            </w:r>
          </w:p>
        </w:tc>
        <w:tc>
          <w:tcPr>
            <w:tcW w:w="1275" w:type="dxa"/>
            <w:tcBorders>
              <w:left w:val="nil"/>
              <w:right w:val="nil"/>
            </w:tcBorders>
            <w:shd w:val="clear" w:color="000000" w:fill="FFFFFF"/>
            <w:vAlign w:val="bottom"/>
          </w:tcPr>
          <w:p w14:paraId="7DC61ABC" w14:textId="77777777" w:rsidR="007F54B8" w:rsidRPr="00F963B4" w:rsidRDefault="007F54B8" w:rsidP="004238EB">
            <w:pPr>
              <w:jc w:val="right"/>
              <w:rPr>
                <w:color w:val="000000"/>
                <w:lang w:val="en-CA" w:eastAsia="zh-TW"/>
              </w:rPr>
            </w:pPr>
            <w:r w:rsidRPr="00F963B4">
              <w:rPr>
                <w:color w:val="000000"/>
                <w:lang w:val="en-CA" w:eastAsia="zh-TW"/>
              </w:rPr>
              <w:t>-</w:t>
            </w:r>
          </w:p>
        </w:tc>
        <w:tc>
          <w:tcPr>
            <w:tcW w:w="1350" w:type="dxa"/>
            <w:tcBorders>
              <w:left w:val="nil"/>
              <w:right w:val="nil"/>
            </w:tcBorders>
            <w:shd w:val="clear" w:color="000000" w:fill="FFFFFF"/>
            <w:vAlign w:val="bottom"/>
          </w:tcPr>
          <w:p w14:paraId="33FC9CED" w14:textId="77777777" w:rsidR="007F54B8" w:rsidRPr="00F963B4" w:rsidRDefault="007F54B8" w:rsidP="004238EB">
            <w:pPr>
              <w:jc w:val="right"/>
              <w:rPr>
                <w:color w:val="000000"/>
                <w:lang w:val="en-CA" w:eastAsia="zh-TW"/>
              </w:rPr>
            </w:pPr>
            <w:r w:rsidRPr="00F963B4">
              <w:rPr>
                <w:color w:val="000000"/>
                <w:lang w:val="en-CA" w:eastAsia="zh-TW"/>
              </w:rPr>
              <w:t>-</w:t>
            </w:r>
          </w:p>
        </w:tc>
        <w:tc>
          <w:tcPr>
            <w:tcW w:w="1638" w:type="dxa"/>
            <w:tcBorders>
              <w:left w:val="nil"/>
              <w:right w:val="nil"/>
            </w:tcBorders>
            <w:shd w:val="clear" w:color="000000" w:fill="FFFFFF"/>
            <w:noWrap/>
            <w:vAlign w:val="bottom"/>
          </w:tcPr>
          <w:p w14:paraId="7D1D0909" w14:textId="77777777" w:rsidR="007F54B8" w:rsidRPr="00F963B4" w:rsidRDefault="007F54B8" w:rsidP="004238EB">
            <w:pPr>
              <w:jc w:val="right"/>
              <w:rPr>
                <w:color w:val="000000"/>
                <w:lang w:val="en-CA" w:eastAsia="zh-TW"/>
              </w:rPr>
            </w:pPr>
            <w:r w:rsidRPr="00F963B4">
              <w:rPr>
                <w:color w:val="000000"/>
                <w:lang w:val="en-CA" w:eastAsia="zh-TW"/>
              </w:rPr>
              <w:t>859</w:t>
            </w:r>
          </w:p>
        </w:tc>
      </w:tr>
      <w:tr w:rsidR="007F54B8" w:rsidRPr="002871B1" w14:paraId="0130EDD7" w14:textId="77777777" w:rsidTr="004238EB">
        <w:trPr>
          <w:trHeight w:val="315"/>
        </w:trPr>
        <w:tc>
          <w:tcPr>
            <w:tcW w:w="5854" w:type="dxa"/>
            <w:tcBorders>
              <w:left w:val="nil"/>
              <w:right w:val="nil"/>
            </w:tcBorders>
            <w:shd w:val="clear" w:color="000000" w:fill="FFFFFF"/>
            <w:vAlign w:val="bottom"/>
          </w:tcPr>
          <w:p w14:paraId="70BA93C5" w14:textId="77777777" w:rsidR="007F54B8" w:rsidRPr="00F963B4" w:rsidRDefault="007F54B8" w:rsidP="004238EB">
            <w:pPr>
              <w:ind w:left="171" w:hanging="21"/>
              <w:rPr>
                <w:b/>
                <w:color w:val="000000"/>
                <w:lang w:val="en-CA" w:eastAsia="zh-TW"/>
              </w:rPr>
            </w:pPr>
            <w:r>
              <w:rPr>
                <w:color w:val="000000"/>
                <w:lang w:val="en-CA" w:eastAsia="zh-TW"/>
              </w:rPr>
              <w:t>Cancellation of common shares (note 5)</w:t>
            </w:r>
          </w:p>
        </w:tc>
        <w:tc>
          <w:tcPr>
            <w:tcW w:w="1422" w:type="dxa"/>
            <w:tcBorders>
              <w:left w:val="nil"/>
              <w:right w:val="nil"/>
            </w:tcBorders>
            <w:shd w:val="clear" w:color="000000" w:fill="FFFFFF"/>
            <w:noWrap/>
            <w:vAlign w:val="bottom"/>
          </w:tcPr>
          <w:p w14:paraId="40C3EA99" w14:textId="77777777" w:rsidR="007F54B8" w:rsidRPr="00F963B4" w:rsidRDefault="007F54B8" w:rsidP="004238EB">
            <w:pPr>
              <w:jc w:val="right"/>
              <w:rPr>
                <w:color w:val="000000"/>
                <w:lang w:val="en-CA" w:eastAsia="zh-TW"/>
              </w:rPr>
            </w:pPr>
            <w:r>
              <w:rPr>
                <w:color w:val="000000"/>
                <w:lang w:val="en-CA" w:eastAsia="zh-TW"/>
              </w:rPr>
              <w:t>(50,000)</w:t>
            </w:r>
          </w:p>
        </w:tc>
        <w:tc>
          <w:tcPr>
            <w:tcW w:w="1421" w:type="dxa"/>
            <w:tcBorders>
              <w:left w:val="nil"/>
              <w:right w:val="nil"/>
            </w:tcBorders>
            <w:shd w:val="clear" w:color="000000" w:fill="FFFFFF"/>
            <w:noWrap/>
            <w:vAlign w:val="bottom"/>
          </w:tcPr>
          <w:p w14:paraId="370BB724" w14:textId="77777777" w:rsidR="007F54B8" w:rsidRPr="00F963B4" w:rsidRDefault="007F54B8" w:rsidP="004238EB">
            <w:pPr>
              <w:jc w:val="right"/>
              <w:rPr>
                <w:color w:val="000000"/>
                <w:lang w:val="en-CA" w:eastAsia="zh-TW"/>
              </w:rPr>
            </w:pPr>
            <w:r>
              <w:rPr>
                <w:color w:val="000000"/>
                <w:lang w:val="en-CA" w:eastAsia="zh-TW"/>
              </w:rPr>
              <w:t>(5,000)</w:t>
            </w:r>
          </w:p>
        </w:tc>
        <w:tc>
          <w:tcPr>
            <w:tcW w:w="1275" w:type="dxa"/>
            <w:tcBorders>
              <w:left w:val="nil"/>
              <w:right w:val="nil"/>
            </w:tcBorders>
            <w:shd w:val="clear" w:color="000000" w:fill="FFFFFF"/>
            <w:vAlign w:val="bottom"/>
          </w:tcPr>
          <w:p w14:paraId="577DA576" w14:textId="77777777" w:rsidR="007F54B8" w:rsidRPr="00F963B4" w:rsidRDefault="007F54B8" w:rsidP="004238EB">
            <w:pPr>
              <w:jc w:val="right"/>
              <w:rPr>
                <w:color w:val="000000"/>
                <w:lang w:val="en-CA" w:eastAsia="zh-TW"/>
              </w:rPr>
            </w:pPr>
            <w:r w:rsidRPr="00E40DCA">
              <w:rPr>
                <w:color w:val="000000"/>
                <w:lang w:val="en-CA" w:eastAsia="zh-TW"/>
              </w:rPr>
              <w:t>-</w:t>
            </w:r>
          </w:p>
        </w:tc>
        <w:tc>
          <w:tcPr>
            <w:tcW w:w="1350" w:type="dxa"/>
            <w:tcBorders>
              <w:left w:val="nil"/>
              <w:right w:val="nil"/>
            </w:tcBorders>
            <w:shd w:val="clear" w:color="000000" w:fill="FFFFFF"/>
            <w:vAlign w:val="bottom"/>
          </w:tcPr>
          <w:p w14:paraId="0A41815A" w14:textId="77777777" w:rsidR="007F54B8" w:rsidRPr="00F963B4" w:rsidRDefault="007F54B8" w:rsidP="004238EB">
            <w:pPr>
              <w:jc w:val="right"/>
              <w:rPr>
                <w:color w:val="000000"/>
                <w:lang w:val="en-CA" w:eastAsia="zh-TW"/>
              </w:rPr>
            </w:pPr>
            <w:r>
              <w:rPr>
                <w:color w:val="000000"/>
                <w:lang w:val="en-CA" w:eastAsia="zh-TW"/>
              </w:rPr>
              <w:t>5,000</w:t>
            </w:r>
          </w:p>
        </w:tc>
        <w:tc>
          <w:tcPr>
            <w:tcW w:w="1638" w:type="dxa"/>
            <w:tcBorders>
              <w:left w:val="nil"/>
              <w:right w:val="nil"/>
            </w:tcBorders>
            <w:shd w:val="clear" w:color="000000" w:fill="FFFFFF"/>
            <w:noWrap/>
            <w:vAlign w:val="bottom"/>
          </w:tcPr>
          <w:p w14:paraId="0E0C193D" w14:textId="77777777" w:rsidR="007F54B8" w:rsidRPr="00F963B4" w:rsidRDefault="007F54B8" w:rsidP="004238EB">
            <w:pPr>
              <w:jc w:val="right"/>
              <w:rPr>
                <w:color w:val="000000"/>
                <w:lang w:val="en-CA" w:eastAsia="zh-TW"/>
              </w:rPr>
            </w:pPr>
            <w:r w:rsidRPr="00E40DCA">
              <w:rPr>
                <w:color w:val="000000"/>
                <w:lang w:val="en-CA" w:eastAsia="zh-TW"/>
              </w:rPr>
              <w:t>-</w:t>
            </w:r>
          </w:p>
        </w:tc>
      </w:tr>
      <w:tr w:rsidR="007F54B8" w:rsidRPr="002871B1" w14:paraId="1F956A01" w14:textId="77777777" w:rsidTr="004238EB">
        <w:trPr>
          <w:trHeight w:val="315"/>
        </w:trPr>
        <w:tc>
          <w:tcPr>
            <w:tcW w:w="5854" w:type="dxa"/>
            <w:tcBorders>
              <w:left w:val="nil"/>
              <w:bottom w:val="single" w:sz="4" w:space="0" w:color="auto"/>
              <w:right w:val="nil"/>
            </w:tcBorders>
            <w:shd w:val="clear" w:color="000000" w:fill="FFFFFF"/>
            <w:vAlign w:val="bottom"/>
          </w:tcPr>
          <w:p w14:paraId="4D20F8D1" w14:textId="77777777" w:rsidR="007F54B8" w:rsidRPr="00F963B4" w:rsidRDefault="007F54B8" w:rsidP="004238EB">
            <w:pPr>
              <w:ind w:left="171" w:firstLine="5"/>
              <w:rPr>
                <w:b/>
                <w:color w:val="000000"/>
                <w:lang w:val="en-CA" w:eastAsia="zh-TW"/>
              </w:rPr>
            </w:pPr>
            <w:r w:rsidRPr="00F963B4">
              <w:rPr>
                <w:color w:val="000000"/>
                <w:lang w:val="en-CA" w:eastAsia="zh-TW"/>
              </w:rPr>
              <w:t>Net loss and comprehensive loss of the period</w:t>
            </w:r>
          </w:p>
        </w:tc>
        <w:tc>
          <w:tcPr>
            <w:tcW w:w="1422" w:type="dxa"/>
            <w:tcBorders>
              <w:left w:val="nil"/>
              <w:bottom w:val="single" w:sz="4" w:space="0" w:color="auto"/>
              <w:right w:val="nil"/>
            </w:tcBorders>
            <w:shd w:val="clear" w:color="000000" w:fill="FFFFFF"/>
            <w:noWrap/>
            <w:vAlign w:val="bottom"/>
          </w:tcPr>
          <w:p w14:paraId="04F64E1C" w14:textId="77777777" w:rsidR="007F54B8" w:rsidRPr="00F963B4" w:rsidRDefault="007F54B8" w:rsidP="004238EB">
            <w:pPr>
              <w:jc w:val="right"/>
              <w:rPr>
                <w:color w:val="000000"/>
                <w:lang w:val="en-CA" w:eastAsia="zh-TW"/>
              </w:rPr>
            </w:pPr>
            <w:r w:rsidRPr="00F963B4">
              <w:rPr>
                <w:color w:val="000000"/>
                <w:lang w:val="en-CA" w:eastAsia="zh-TW"/>
              </w:rPr>
              <w:t>-</w:t>
            </w:r>
          </w:p>
        </w:tc>
        <w:tc>
          <w:tcPr>
            <w:tcW w:w="1421" w:type="dxa"/>
            <w:tcBorders>
              <w:left w:val="nil"/>
              <w:bottom w:val="single" w:sz="4" w:space="0" w:color="auto"/>
              <w:right w:val="nil"/>
            </w:tcBorders>
            <w:shd w:val="clear" w:color="000000" w:fill="FFFFFF"/>
            <w:noWrap/>
            <w:vAlign w:val="bottom"/>
          </w:tcPr>
          <w:p w14:paraId="781F417D" w14:textId="77777777" w:rsidR="007F54B8" w:rsidRPr="00F963B4" w:rsidRDefault="007F54B8" w:rsidP="004238EB">
            <w:pPr>
              <w:jc w:val="right"/>
              <w:rPr>
                <w:color w:val="000000"/>
                <w:lang w:val="en-CA" w:eastAsia="zh-TW"/>
              </w:rPr>
            </w:pPr>
            <w:r w:rsidRPr="00F963B4">
              <w:rPr>
                <w:color w:val="000000"/>
                <w:lang w:val="en-CA" w:eastAsia="zh-TW"/>
              </w:rPr>
              <w:t>-</w:t>
            </w:r>
          </w:p>
        </w:tc>
        <w:tc>
          <w:tcPr>
            <w:tcW w:w="1275" w:type="dxa"/>
            <w:tcBorders>
              <w:left w:val="nil"/>
              <w:bottom w:val="single" w:sz="4" w:space="0" w:color="auto"/>
              <w:right w:val="nil"/>
            </w:tcBorders>
            <w:shd w:val="clear" w:color="000000" w:fill="FFFFFF"/>
            <w:vAlign w:val="bottom"/>
          </w:tcPr>
          <w:p w14:paraId="622056E3" w14:textId="77777777" w:rsidR="007F54B8" w:rsidRPr="00F963B4" w:rsidRDefault="007F54B8" w:rsidP="004238EB">
            <w:pPr>
              <w:jc w:val="right"/>
              <w:rPr>
                <w:color w:val="000000"/>
                <w:lang w:val="en-CA" w:eastAsia="zh-TW"/>
              </w:rPr>
            </w:pPr>
            <w:r w:rsidRPr="00F963B4">
              <w:rPr>
                <w:color w:val="000000"/>
                <w:lang w:val="en-CA" w:eastAsia="zh-TW"/>
              </w:rPr>
              <w:t>-</w:t>
            </w:r>
          </w:p>
        </w:tc>
        <w:tc>
          <w:tcPr>
            <w:tcW w:w="1350" w:type="dxa"/>
            <w:tcBorders>
              <w:left w:val="nil"/>
              <w:bottom w:val="single" w:sz="4" w:space="0" w:color="auto"/>
              <w:right w:val="nil"/>
            </w:tcBorders>
            <w:shd w:val="clear" w:color="000000" w:fill="FFFFFF"/>
            <w:vAlign w:val="bottom"/>
          </w:tcPr>
          <w:p w14:paraId="0DB233AF" w14:textId="77777777" w:rsidR="007F54B8" w:rsidRPr="00F963B4" w:rsidRDefault="007F54B8" w:rsidP="004238EB">
            <w:pPr>
              <w:jc w:val="right"/>
              <w:rPr>
                <w:color w:val="000000"/>
                <w:lang w:val="en-CA" w:eastAsia="zh-TW"/>
              </w:rPr>
            </w:pPr>
            <w:r w:rsidRPr="00F963B4">
              <w:rPr>
                <w:color w:val="000000"/>
                <w:lang w:val="en-CA" w:eastAsia="zh-TW"/>
              </w:rPr>
              <w:t>(85,054)</w:t>
            </w:r>
          </w:p>
        </w:tc>
        <w:tc>
          <w:tcPr>
            <w:tcW w:w="1638" w:type="dxa"/>
            <w:tcBorders>
              <w:left w:val="nil"/>
              <w:bottom w:val="single" w:sz="4" w:space="0" w:color="auto"/>
              <w:right w:val="nil"/>
            </w:tcBorders>
            <w:shd w:val="clear" w:color="000000" w:fill="FFFFFF"/>
            <w:noWrap/>
            <w:vAlign w:val="bottom"/>
          </w:tcPr>
          <w:p w14:paraId="087585A9" w14:textId="77777777" w:rsidR="007F54B8" w:rsidRPr="00F963B4" w:rsidRDefault="007F54B8" w:rsidP="004238EB">
            <w:pPr>
              <w:jc w:val="right"/>
              <w:rPr>
                <w:color w:val="000000"/>
                <w:lang w:val="en-CA" w:eastAsia="zh-TW"/>
              </w:rPr>
            </w:pPr>
            <w:r w:rsidRPr="00F963B4">
              <w:rPr>
                <w:color w:val="000000"/>
                <w:lang w:val="en-CA" w:eastAsia="zh-TW"/>
              </w:rPr>
              <w:t>(85,054)</w:t>
            </w:r>
          </w:p>
        </w:tc>
      </w:tr>
      <w:tr w:rsidR="007F54B8" w:rsidRPr="002871B1" w14:paraId="229FAB18" w14:textId="77777777" w:rsidTr="004238EB">
        <w:trPr>
          <w:trHeight w:val="315"/>
        </w:trPr>
        <w:tc>
          <w:tcPr>
            <w:tcW w:w="5854" w:type="dxa"/>
            <w:tcBorders>
              <w:top w:val="single" w:sz="4" w:space="0" w:color="auto"/>
              <w:left w:val="nil"/>
              <w:right w:val="nil"/>
            </w:tcBorders>
            <w:shd w:val="clear" w:color="000000" w:fill="FFFFFF"/>
            <w:vAlign w:val="bottom"/>
          </w:tcPr>
          <w:p w14:paraId="42107863" w14:textId="77777777" w:rsidR="007F54B8" w:rsidRPr="00F963B4" w:rsidRDefault="007F54B8" w:rsidP="004238EB">
            <w:pPr>
              <w:ind w:left="171" w:hanging="171"/>
              <w:rPr>
                <w:color w:val="000000"/>
                <w:lang w:val="en-CA" w:eastAsia="zh-TW"/>
              </w:rPr>
            </w:pPr>
          </w:p>
        </w:tc>
        <w:tc>
          <w:tcPr>
            <w:tcW w:w="1422" w:type="dxa"/>
            <w:tcBorders>
              <w:top w:val="single" w:sz="4" w:space="0" w:color="auto"/>
              <w:left w:val="nil"/>
              <w:right w:val="nil"/>
            </w:tcBorders>
            <w:shd w:val="clear" w:color="000000" w:fill="FFFFFF"/>
            <w:noWrap/>
            <w:vAlign w:val="bottom"/>
          </w:tcPr>
          <w:p w14:paraId="0CE74782" w14:textId="77777777" w:rsidR="007F54B8" w:rsidRPr="00F963B4" w:rsidRDefault="007F54B8" w:rsidP="004238EB">
            <w:pPr>
              <w:jc w:val="right"/>
              <w:rPr>
                <w:color w:val="000000"/>
                <w:lang w:val="en-CA" w:eastAsia="zh-TW"/>
              </w:rPr>
            </w:pPr>
          </w:p>
        </w:tc>
        <w:tc>
          <w:tcPr>
            <w:tcW w:w="1421" w:type="dxa"/>
            <w:tcBorders>
              <w:top w:val="single" w:sz="4" w:space="0" w:color="auto"/>
              <w:left w:val="nil"/>
              <w:right w:val="nil"/>
            </w:tcBorders>
            <w:shd w:val="clear" w:color="000000" w:fill="FFFFFF"/>
            <w:noWrap/>
            <w:vAlign w:val="bottom"/>
          </w:tcPr>
          <w:p w14:paraId="1FAEFC07" w14:textId="77777777" w:rsidR="007F54B8" w:rsidRPr="00F963B4" w:rsidRDefault="007F54B8" w:rsidP="004238EB">
            <w:pPr>
              <w:jc w:val="right"/>
              <w:rPr>
                <w:color w:val="000000"/>
                <w:lang w:val="en-CA" w:eastAsia="zh-TW"/>
              </w:rPr>
            </w:pPr>
          </w:p>
        </w:tc>
        <w:tc>
          <w:tcPr>
            <w:tcW w:w="1275" w:type="dxa"/>
            <w:tcBorders>
              <w:top w:val="single" w:sz="4" w:space="0" w:color="auto"/>
              <w:left w:val="nil"/>
              <w:right w:val="nil"/>
            </w:tcBorders>
            <w:shd w:val="clear" w:color="000000" w:fill="FFFFFF"/>
            <w:vAlign w:val="bottom"/>
          </w:tcPr>
          <w:p w14:paraId="17075C0E" w14:textId="77777777" w:rsidR="007F54B8" w:rsidRPr="00F963B4" w:rsidRDefault="007F54B8" w:rsidP="004238EB">
            <w:pPr>
              <w:jc w:val="right"/>
              <w:rPr>
                <w:color w:val="000000"/>
                <w:lang w:val="en-CA" w:eastAsia="zh-TW"/>
              </w:rPr>
            </w:pPr>
          </w:p>
        </w:tc>
        <w:tc>
          <w:tcPr>
            <w:tcW w:w="1350" w:type="dxa"/>
            <w:tcBorders>
              <w:top w:val="single" w:sz="4" w:space="0" w:color="auto"/>
              <w:left w:val="nil"/>
              <w:right w:val="nil"/>
            </w:tcBorders>
            <w:shd w:val="clear" w:color="000000" w:fill="FFFFFF"/>
            <w:vAlign w:val="bottom"/>
          </w:tcPr>
          <w:p w14:paraId="106351D1" w14:textId="77777777" w:rsidR="007F54B8" w:rsidRPr="00F963B4" w:rsidRDefault="007F54B8" w:rsidP="004238EB">
            <w:pPr>
              <w:jc w:val="right"/>
              <w:rPr>
                <w:color w:val="000000"/>
                <w:lang w:val="en-CA" w:eastAsia="zh-TW"/>
              </w:rPr>
            </w:pPr>
          </w:p>
        </w:tc>
        <w:tc>
          <w:tcPr>
            <w:tcW w:w="1638" w:type="dxa"/>
            <w:tcBorders>
              <w:top w:val="single" w:sz="4" w:space="0" w:color="auto"/>
              <w:left w:val="nil"/>
              <w:right w:val="nil"/>
            </w:tcBorders>
            <w:shd w:val="clear" w:color="000000" w:fill="FFFFFF"/>
            <w:noWrap/>
            <w:vAlign w:val="bottom"/>
          </w:tcPr>
          <w:p w14:paraId="4D467267" w14:textId="77777777" w:rsidR="007F54B8" w:rsidRPr="00F963B4" w:rsidRDefault="007F54B8" w:rsidP="004238EB">
            <w:pPr>
              <w:jc w:val="right"/>
              <w:rPr>
                <w:color w:val="000000"/>
                <w:lang w:val="en-CA" w:eastAsia="zh-TW"/>
              </w:rPr>
            </w:pPr>
          </w:p>
        </w:tc>
      </w:tr>
      <w:tr w:rsidR="007F54B8" w:rsidRPr="002871B1" w14:paraId="1EC3E88D" w14:textId="77777777" w:rsidTr="004238EB">
        <w:trPr>
          <w:trHeight w:val="315"/>
        </w:trPr>
        <w:tc>
          <w:tcPr>
            <w:tcW w:w="5854" w:type="dxa"/>
            <w:tcBorders>
              <w:left w:val="nil"/>
              <w:bottom w:val="single" w:sz="4" w:space="0" w:color="auto"/>
              <w:right w:val="nil"/>
            </w:tcBorders>
            <w:shd w:val="clear" w:color="000000" w:fill="FFFFFF"/>
            <w:vAlign w:val="bottom"/>
          </w:tcPr>
          <w:p w14:paraId="62736ABE" w14:textId="77777777" w:rsidR="007F54B8" w:rsidRPr="00F963B4" w:rsidRDefault="007F54B8" w:rsidP="004238EB">
            <w:pPr>
              <w:ind w:left="171" w:hanging="171"/>
              <w:rPr>
                <w:b/>
                <w:color w:val="000000"/>
                <w:lang w:val="en-CA" w:eastAsia="zh-TW"/>
              </w:rPr>
            </w:pPr>
            <w:r w:rsidRPr="00F963B4">
              <w:rPr>
                <w:b/>
                <w:color w:val="000000"/>
                <w:lang w:val="en-CA" w:eastAsia="zh-TW"/>
              </w:rPr>
              <w:t>Balance, May 31, 2020</w:t>
            </w:r>
          </w:p>
        </w:tc>
        <w:tc>
          <w:tcPr>
            <w:tcW w:w="1422" w:type="dxa"/>
            <w:tcBorders>
              <w:left w:val="nil"/>
              <w:bottom w:val="single" w:sz="4" w:space="0" w:color="auto"/>
              <w:right w:val="nil"/>
            </w:tcBorders>
            <w:shd w:val="clear" w:color="000000" w:fill="FFFFFF"/>
            <w:noWrap/>
            <w:vAlign w:val="bottom"/>
          </w:tcPr>
          <w:p w14:paraId="00D2EF9E" w14:textId="77777777" w:rsidR="007F54B8" w:rsidRPr="00F963B4" w:rsidRDefault="007F54B8" w:rsidP="004238EB">
            <w:pPr>
              <w:jc w:val="right"/>
              <w:rPr>
                <w:color w:val="000000"/>
                <w:lang w:val="en-CA" w:eastAsia="zh-TW"/>
              </w:rPr>
            </w:pPr>
            <w:r w:rsidRPr="00F963B4">
              <w:rPr>
                <w:color w:val="000000"/>
                <w:lang w:val="en-CA" w:eastAsia="zh-TW"/>
              </w:rPr>
              <w:t>9,</w:t>
            </w:r>
            <w:r>
              <w:rPr>
                <w:color w:val="000000"/>
                <w:lang w:val="en-CA" w:eastAsia="zh-TW"/>
              </w:rPr>
              <w:t>794</w:t>
            </w:r>
            <w:r w:rsidRPr="00F963B4">
              <w:rPr>
                <w:color w:val="000000"/>
                <w:lang w:val="en-CA" w:eastAsia="zh-TW"/>
              </w:rPr>
              <w:t>,527</w:t>
            </w:r>
          </w:p>
        </w:tc>
        <w:tc>
          <w:tcPr>
            <w:tcW w:w="1421" w:type="dxa"/>
            <w:tcBorders>
              <w:left w:val="nil"/>
              <w:bottom w:val="single" w:sz="4" w:space="0" w:color="auto"/>
              <w:right w:val="nil"/>
            </w:tcBorders>
            <w:shd w:val="clear" w:color="000000" w:fill="FFFFFF"/>
            <w:noWrap/>
            <w:vAlign w:val="bottom"/>
          </w:tcPr>
          <w:p w14:paraId="373F25CA" w14:textId="77777777" w:rsidR="007F54B8" w:rsidRPr="00F963B4" w:rsidRDefault="007F54B8" w:rsidP="004238EB">
            <w:pPr>
              <w:jc w:val="right"/>
              <w:rPr>
                <w:color w:val="000000"/>
                <w:lang w:val="en-CA" w:eastAsia="zh-TW"/>
              </w:rPr>
            </w:pPr>
            <w:r w:rsidRPr="00F963B4">
              <w:rPr>
                <w:color w:val="000000"/>
                <w:lang w:val="en-CA" w:eastAsia="zh-TW"/>
              </w:rPr>
              <w:t>4</w:t>
            </w:r>
            <w:r>
              <w:rPr>
                <w:color w:val="000000"/>
                <w:lang w:val="en-CA" w:eastAsia="zh-TW"/>
              </w:rPr>
              <w:t>17,881</w:t>
            </w:r>
          </w:p>
        </w:tc>
        <w:tc>
          <w:tcPr>
            <w:tcW w:w="1275" w:type="dxa"/>
            <w:tcBorders>
              <w:left w:val="nil"/>
              <w:bottom w:val="single" w:sz="4" w:space="0" w:color="auto"/>
              <w:right w:val="nil"/>
            </w:tcBorders>
            <w:shd w:val="clear" w:color="000000" w:fill="FFFFFF"/>
            <w:vAlign w:val="bottom"/>
          </w:tcPr>
          <w:p w14:paraId="0C99825D" w14:textId="77777777" w:rsidR="007F54B8" w:rsidRPr="00F963B4" w:rsidRDefault="007F54B8" w:rsidP="004238EB">
            <w:pPr>
              <w:jc w:val="right"/>
              <w:rPr>
                <w:color w:val="000000"/>
                <w:lang w:val="en-CA" w:eastAsia="zh-TW"/>
              </w:rPr>
            </w:pPr>
            <w:r w:rsidRPr="00F963B4">
              <w:rPr>
                <w:color w:val="000000"/>
                <w:lang w:val="en-CA" w:eastAsia="zh-TW"/>
              </w:rPr>
              <w:t>19,849</w:t>
            </w:r>
          </w:p>
        </w:tc>
        <w:tc>
          <w:tcPr>
            <w:tcW w:w="1350" w:type="dxa"/>
            <w:tcBorders>
              <w:left w:val="nil"/>
              <w:bottom w:val="single" w:sz="4" w:space="0" w:color="auto"/>
              <w:right w:val="nil"/>
            </w:tcBorders>
            <w:shd w:val="clear" w:color="000000" w:fill="FFFFFF"/>
            <w:vAlign w:val="bottom"/>
          </w:tcPr>
          <w:p w14:paraId="782AEFC4" w14:textId="77777777" w:rsidR="007F54B8" w:rsidRPr="00F963B4" w:rsidRDefault="007F54B8" w:rsidP="004238EB">
            <w:pPr>
              <w:jc w:val="right"/>
              <w:rPr>
                <w:color w:val="000000"/>
                <w:lang w:val="en-CA" w:eastAsia="zh-TW"/>
              </w:rPr>
            </w:pPr>
            <w:r w:rsidRPr="00F963B4">
              <w:rPr>
                <w:color w:val="000000"/>
                <w:lang w:val="en-CA" w:eastAsia="zh-TW"/>
              </w:rPr>
              <w:t>(3</w:t>
            </w:r>
            <w:r>
              <w:rPr>
                <w:color w:val="000000"/>
                <w:lang w:val="en-CA" w:eastAsia="zh-TW"/>
              </w:rPr>
              <w:t>55</w:t>
            </w:r>
            <w:r w:rsidRPr="00F963B4">
              <w:rPr>
                <w:color w:val="000000"/>
                <w:lang w:val="en-CA" w:eastAsia="zh-TW"/>
              </w:rPr>
              <w:t>,947)</w:t>
            </w:r>
          </w:p>
        </w:tc>
        <w:tc>
          <w:tcPr>
            <w:tcW w:w="1638" w:type="dxa"/>
            <w:tcBorders>
              <w:left w:val="nil"/>
              <w:bottom w:val="single" w:sz="4" w:space="0" w:color="auto"/>
              <w:right w:val="nil"/>
            </w:tcBorders>
            <w:shd w:val="clear" w:color="000000" w:fill="FFFFFF"/>
            <w:noWrap/>
            <w:vAlign w:val="bottom"/>
          </w:tcPr>
          <w:p w14:paraId="223D2512" w14:textId="77777777" w:rsidR="007F54B8" w:rsidRPr="00F963B4" w:rsidRDefault="007F54B8" w:rsidP="004238EB">
            <w:pPr>
              <w:jc w:val="right"/>
              <w:rPr>
                <w:color w:val="000000"/>
                <w:lang w:val="en-CA" w:eastAsia="zh-TW"/>
              </w:rPr>
            </w:pPr>
            <w:r w:rsidRPr="00F963B4">
              <w:rPr>
                <w:color w:val="000000"/>
                <w:lang w:val="en-CA" w:eastAsia="zh-TW"/>
              </w:rPr>
              <w:t>81,783</w:t>
            </w:r>
          </w:p>
        </w:tc>
      </w:tr>
      <w:tr w:rsidR="007F54B8" w:rsidRPr="002871B1" w14:paraId="11AF1CBF" w14:textId="77777777" w:rsidTr="004238EB">
        <w:trPr>
          <w:trHeight w:val="315"/>
        </w:trPr>
        <w:tc>
          <w:tcPr>
            <w:tcW w:w="5854" w:type="dxa"/>
            <w:tcBorders>
              <w:top w:val="single" w:sz="4" w:space="0" w:color="auto"/>
              <w:left w:val="nil"/>
              <w:right w:val="nil"/>
            </w:tcBorders>
            <w:shd w:val="clear" w:color="000000" w:fill="FFFFFF"/>
            <w:vAlign w:val="bottom"/>
          </w:tcPr>
          <w:p w14:paraId="5CBD27DC" w14:textId="77777777" w:rsidR="007F54B8" w:rsidRPr="00F963B4" w:rsidRDefault="007F54B8" w:rsidP="004238EB">
            <w:pPr>
              <w:ind w:left="171" w:hanging="171"/>
              <w:rPr>
                <w:b/>
                <w:color w:val="000000"/>
                <w:lang w:val="en-CA" w:eastAsia="zh-TW"/>
              </w:rPr>
            </w:pPr>
          </w:p>
        </w:tc>
        <w:tc>
          <w:tcPr>
            <w:tcW w:w="1422" w:type="dxa"/>
            <w:tcBorders>
              <w:top w:val="single" w:sz="4" w:space="0" w:color="auto"/>
              <w:left w:val="nil"/>
              <w:right w:val="nil"/>
            </w:tcBorders>
            <w:shd w:val="clear" w:color="000000" w:fill="FFFFFF"/>
            <w:noWrap/>
            <w:vAlign w:val="bottom"/>
          </w:tcPr>
          <w:p w14:paraId="5FAF1D6E" w14:textId="77777777" w:rsidR="007F54B8" w:rsidRPr="00F963B4" w:rsidRDefault="007F54B8" w:rsidP="004238EB">
            <w:pPr>
              <w:jc w:val="right"/>
              <w:rPr>
                <w:color w:val="000000"/>
                <w:lang w:val="en-CA" w:eastAsia="zh-TW"/>
              </w:rPr>
            </w:pPr>
          </w:p>
        </w:tc>
        <w:tc>
          <w:tcPr>
            <w:tcW w:w="1421" w:type="dxa"/>
            <w:tcBorders>
              <w:top w:val="single" w:sz="4" w:space="0" w:color="auto"/>
              <w:left w:val="nil"/>
              <w:right w:val="nil"/>
            </w:tcBorders>
            <w:shd w:val="clear" w:color="000000" w:fill="FFFFFF"/>
            <w:noWrap/>
            <w:vAlign w:val="bottom"/>
          </w:tcPr>
          <w:p w14:paraId="5C08DE20" w14:textId="77777777" w:rsidR="007F54B8" w:rsidRPr="00F963B4" w:rsidRDefault="007F54B8" w:rsidP="004238EB">
            <w:pPr>
              <w:jc w:val="right"/>
              <w:rPr>
                <w:color w:val="000000"/>
                <w:lang w:val="en-CA" w:eastAsia="zh-TW"/>
              </w:rPr>
            </w:pPr>
          </w:p>
        </w:tc>
        <w:tc>
          <w:tcPr>
            <w:tcW w:w="1275" w:type="dxa"/>
            <w:tcBorders>
              <w:top w:val="single" w:sz="4" w:space="0" w:color="auto"/>
              <w:left w:val="nil"/>
              <w:right w:val="nil"/>
            </w:tcBorders>
            <w:shd w:val="clear" w:color="000000" w:fill="FFFFFF"/>
            <w:vAlign w:val="bottom"/>
          </w:tcPr>
          <w:p w14:paraId="5B3E514F" w14:textId="77777777" w:rsidR="007F54B8" w:rsidRPr="00F963B4" w:rsidRDefault="007F54B8" w:rsidP="004238EB">
            <w:pPr>
              <w:jc w:val="right"/>
              <w:rPr>
                <w:color w:val="000000"/>
                <w:lang w:val="en-CA" w:eastAsia="zh-TW"/>
              </w:rPr>
            </w:pPr>
          </w:p>
        </w:tc>
        <w:tc>
          <w:tcPr>
            <w:tcW w:w="1350" w:type="dxa"/>
            <w:tcBorders>
              <w:top w:val="single" w:sz="4" w:space="0" w:color="auto"/>
              <w:left w:val="nil"/>
              <w:right w:val="nil"/>
            </w:tcBorders>
            <w:shd w:val="clear" w:color="000000" w:fill="FFFFFF"/>
            <w:vAlign w:val="bottom"/>
          </w:tcPr>
          <w:p w14:paraId="00C21BD2" w14:textId="77777777" w:rsidR="007F54B8" w:rsidRPr="00F963B4" w:rsidRDefault="007F54B8" w:rsidP="004238EB">
            <w:pPr>
              <w:jc w:val="right"/>
              <w:rPr>
                <w:color w:val="000000"/>
                <w:lang w:val="en-CA" w:eastAsia="zh-TW"/>
              </w:rPr>
            </w:pPr>
          </w:p>
        </w:tc>
        <w:tc>
          <w:tcPr>
            <w:tcW w:w="1638" w:type="dxa"/>
            <w:tcBorders>
              <w:top w:val="single" w:sz="4" w:space="0" w:color="auto"/>
              <w:left w:val="nil"/>
              <w:right w:val="nil"/>
            </w:tcBorders>
            <w:shd w:val="clear" w:color="000000" w:fill="FFFFFF"/>
            <w:noWrap/>
            <w:vAlign w:val="bottom"/>
          </w:tcPr>
          <w:p w14:paraId="31B1EBC8" w14:textId="77777777" w:rsidR="007F54B8" w:rsidRPr="00F963B4" w:rsidRDefault="007F54B8" w:rsidP="004238EB">
            <w:pPr>
              <w:jc w:val="right"/>
              <w:rPr>
                <w:color w:val="000000"/>
                <w:lang w:val="en-CA" w:eastAsia="zh-TW"/>
              </w:rPr>
            </w:pPr>
          </w:p>
        </w:tc>
      </w:tr>
      <w:tr w:rsidR="007F54B8" w:rsidRPr="002871B1" w14:paraId="51F314B4" w14:textId="77777777" w:rsidTr="004238EB">
        <w:trPr>
          <w:trHeight w:val="315"/>
        </w:trPr>
        <w:tc>
          <w:tcPr>
            <w:tcW w:w="5854" w:type="dxa"/>
            <w:tcBorders>
              <w:left w:val="nil"/>
              <w:right w:val="nil"/>
            </w:tcBorders>
            <w:shd w:val="clear" w:color="000000" w:fill="FFFFFF"/>
            <w:vAlign w:val="bottom"/>
          </w:tcPr>
          <w:p w14:paraId="05EE7623" w14:textId="77777777" w:rsidR="007F54B8" w:rsidRPr="00F963B4" w:rsidRDefault="007F54B8" w:rsidP="004238EB">
            <w:pPr>
              <w:ind w:left="171" w:hanging="171"/>
              <w:rPr>
                <w:b/>
                <w:color w:val="000000"/>
                <w:lang w:val="en-CA" w:eastAsia="zh-TW"/>
              </w:rPr>
            </w:pPr>
            <w:r w:rsidRPr="00F963B4">
              <w:rPr>
                <w:b/>
                <w:color w:val="000000"/>
                <w:lang w:val="en-CA" w:eastAsia="zh-TW"/>
              </w:rPr>
              <w:t>Balance, August 31, 20</w:t>
            </w:r>
            <w:r>
              <w:rPr>
                <w:b/>
                <w:color w:val="000000"/>
                <w:lang w:val="en-CA" w:eastAsia="zh-TW"/>
              </w:rPr>
              <w:t>20</w:t>
            </w:r>
          </w:p>
        </w:tc>
        <w:tc>
          <w:tcPr>
            <w:tcW w:w="1422" w:type="dxa"/>
            <w:tcBorders>
              <w:left w:val="nil"/>
              <w:right w:val="nil"/>
            </w:tcBorders>
            <w:shd w:val="clear" w:color="000000" w:fill="FFFFFF"/>
            <w:noWrap/>
            <w:vAlign w:val="bottom"/>
          </w:tcPr>
          <w:p w14:paraId="2836D506" w14:textId="77777777" w:rsidR="007F54B8" w:rsidRPr="00F963B4" w:rsidRDefault="007F54B8" w:rsidP="004238EB">
            <w:pPr>
              <w:jc w:val="right"/>
              <w:rPr>
                <w:color w:val="000000"/>
                <w:lang w:val="en-CA" w:eastAsia="zh-TW"/>
              </w:rPr>
            </w:pPr>
            <w:r>
              <w:rPr>
                <w:color w:val="000000"/>
                <w:lang w:val="en-CA" w:eastAsia="zh-TW"/>
              </w:rPr>
              <w:t>13,924,777</w:t>
            </w:r>
          </w:p>
        </w:tc>
        <w:tc>
          <w:tcPr>
            <w:tcW w:w="1421" w:type="dxa"/>
            <w:tcBorders>
              <w:left w:val="nil"/>
              <w:right w:val="nil"/>
            </w:tcBorders>
            <w:shd w:val="clear" w:color="000000" w:fill="FFFFFF"/>
            <w:noWrap/>
            <w:vAlign w:val="bottom"/>
          </w:tcPr>
          <w:p w14:paraId="5A972121" w14:textId="77777777" w:rsidR="007F54B8" w:rsidRPr="00F963B4" w:rsidRDefault="007F54B8" w:rsidP="004238EB">
            <w:pPr>
              <w:jc w:val="right"/>
              <w:rPr>
                <w:color w:val="000000"/>
                <w:lang w:val="en-CA" w:eastAsia="zh-TW"/>
              </w:rPr>
            </w:pPr>
            <w:r>
              <w:rPr>
                <w:color w:val="000000"/>
                <w:lang w:val="en-CA" w:eastAsia="zh-TW"/>
              </w:rPr>
              <w:t>1,152,897</w:t>
            </w:r>
          </w:p>
        </w:tc>
        <w:tc>
          <w:tcPr>
            <w:tcW w:w="1275" w:type="dxa"/>
            <w:tcBorders>
              <w:left w:val="nil"/>
              <w:right w:val="nil"/>
            </w:tcBorders>
            <w:shd w:val="clear" w:color="000000" w:fill="FFFFFF"/>
            <w:vAlign w:val="bottom"/>
          </w:tcPr>
          <w:p w14:paraId="72DEDE4B" w14:textId="77777777" w:rsidR="007F54B8" w:rsidRPr="00F963B4" w:rsidRDefault="007F54B8" w:rsidP="004238EB">
            <w:pPr>
              <w:jc w:val="right"/>
              <w:rPr>
                <w:color w:val="000000"/>
                <w:lang w:val="en-CA" w:eastAsia="zh-TW"/>
              </w:rPr>
            </w:pPr>
            <w:r>
              <w:rPr>
                <w:color w:val="000000"/>
                <w:lang w:val="en-CA" w:eastAsia="zh-TW"/>
              </w:rPr>
              <w:t>134,469</w:t>
            </w:r>
          </w:p>
        </w:tc>
        <w:tc>
          <w:tcPr>
            <w:tcW w:w="1350" w:type="dxa"/>
            <w:tcBorders>
              <w:left w:val="nil"/>
              <w:right w:val="nil"/>
            </w:tcBorders>
            <w:shd w:val="clear" w:color="000000" w:fill="FFFFFF"/>
            <w:vAlign w:val="bottom"/>
          </w:tcPr>
          <w:p w14:paraId="6B02C999" w14:textId="77777777" w:rsidR="007F54B8" w:rsidRPr="00F963B4" w:rsidRDefault="007F54B8" w:rsidP="004238EB">
            <w:pPr>
              <w:jc w:val="right"/>
              <w:rPr>
                <w:color w:val="000000"/>
                <w:lang w:val="en-CA" w:eastAsia="zh-TW"/>
              </w:rPr>
            </w:pPr>
            <w:r w:rsidRPr="00F963B4">
              <w:rPr>
                <w:color w:val="000000"/>
                <w:lang w:val="en-CA" w:eastAsia="zh-TW"/>
              </w:rPr>
              <w:t>(</w:t>
            </w:r>
            <w:r>
              <w:rPr>
                <w:color w:val="000000"/>
                <w:lang w:val="en-CA" w:eastAsia="zh-TW"/>
              </w:rPr>
              <w:t>678,027</w:t>
            </w:r>
            <w:r w:rsidRPr="00F963B4">
              <w:rPr>
                <w:color w:val="000000"/>
                <w:lang w:val="en-CA" w:eastAsia="zh-TW"/>
              </w:rPr>
              <w:t>)</w:t>
            </w:r>
          </w:p>
        </w:tc>
        <w:tc>
          <w:tcPr>
            <w:tcW w:w="1638" w:type="dxa"/>
            <w:tcBorders>
              <w:left w:val="nil"/>
              <w:right w:val="nil"/>
            </w:tcBorders>
            <w:shd w:val="clear" w:color="000000" w:fill="FFFFFF"/>
            <w:noWrap/>
            <w:vAlign w:val="bottom"/>
          </w:tcPr>
          <w:p w14:paraId="64FCD137" w14:textId="77777777" w:rsidR="007F54B8" w:rsidRPr="00F963B4" w:rsidRDefault="007F54B8" w:rsidP="004238EB">
            <w:pPr>
              <w:jc w:val="right"/>
              <w:rPr>
                <w:color w:val="000000"/>
                <w:lang w:val="en-CA" w:eastAsia="zh-TW"/>
              </w:rPr>
            </w:pPr>
            <w:r>
              <w:rPr>
                <w:color w:val="000000"/>
                <w:lang w:val="en-CA" w:eastAsia="zh-TW"/>
              </w:rPr>
              <w:t>609,339</w:t>
            </w:r>
          </w:p>
        </w:tc>
      </w:tr>
      <w:tr w:rsidR="007F54B8" w:rsidRPr="002871B1" w14:paraId="4BFB4B92" w14:textId="77777777" w:rsidTr="004238EB">
        <w:trPr>
          <w:trHeight w:val="315"/>
        </w:trPr>
        <w:tc>
          <w:tcPr>
            <w:tcW w:w="5854" w:type="dxa"/>
            <w:tcBorders>
              <w:left w:val="nil"/>
              <w:right w:val="nil"/>
            </w:tcBorders>
            <w:shd w:val="clear" w:color="000000" w:fill="FFFFFF"/>
            <w:vAlign w:val="bottom"/>
          </w:tcPr>
          <w:p w14:paraId="756E228A" w14:textId="77777777" w:rsidR="007F54B8" w:rsidRPr="00F963B4" w:rsidRDefault="007F54B8" w:rsidP="004238EB">
            <w:pPr>
              <w:ind w:left="171" w:hanging="21"/>
              <w:rPr>
                <w:color w:val="000000"/>
                <w:lang w:val="en-CA" w:eastAsia="zh-TW"/>
              </w:rPr>
            </w:pPr>
            <w:r w:rsidRPr="00F963B4">
              <w:rPr>
                <w:color w:val="000000"/>
                <w:lang w:val="en-CA" w:eastAsia="zh-TW"/>
              </w:rPr>
              <w:t xml:space="preserve">Exercise of </w:t>
            </w:r>
            <w:r>
              <w:rPr>
                <w:color w:val="000000"/>
                <w:lang w:val="en-CA" w:eastAsia="zh-TW"/>
              </w:rPr>
              <w:t>warrants</w:t>
            </w:r>
          </w:p>
        </w:tc>
        <w:tc>
          <w:tcPr>
            <w:tcW w:w="1422" w:type="dxa"/>
            <w:tcBorders>
              <w:left w:val="nil"/>
              <w:right w:val="nil"/>
            </w:tcBorders>
            <w:shd w:val="clear" w:color="000000" w:fill="FFFFFF"/>
            <w:noWrap/>
            <w:vAlign w:val="bottom"/>
          </w:tcPr>
          <w:p w14:paraId="1D301094" w14:textId="77777777" w:rsidR="007F54B8" w:rsidRPr="00F963B4" w:rsidRDefault="007F54B8" w:rsidP="004238EB">
            <w:pPr>
              <w:jc w:val="right"/>
              <w:rPr>
                <w:color w:val="000000"/>
                <w:lang w:val="en-CA" w:eastAsia="zh-TW"/>
              </w:rPr>
            </w:pPr>
            <w:r>
              <w:rPr>
                <w:color w:val="000000"/>
                <w:lang w:val="en-CA" w:eastAsia="zh-TW"/>
              </w:rPr>
              <w:t>317,600</w:t>
            </w:r>
          </w:p>
        </w:tc>
        <w:tc>
          <w:tcPr>
            <w:tcW w:w="1421" w:type="dxa"/>
            <w:tcBorders>
              <w:left w:val="nil"/>
              <w:right w:val="nil"/>
            </w:tcBorders>
            <w:shd w:val="clear" w:color="000000" w:fill="FFFFFF"/>
            <w:noWrap/>
            <w:vAlign w:val="bottom"/>
          </w:tcPr>
          <w:p w14:paraId="57F8CEC3" w14:textId="77777777" w:rsidR="007F54B8" w:rsidRPr="00F963B4" w:rsidRDefault="007F54B8" w:rsidP="004238EB">
            <w:pPr>
              <w:jc w:val="right"/>
              <w:rPr>
                <w:color w:val="000000"/>
                <w:lang w:val="en-CA" w:eastAsia="zh-TW"/>
              </w:rPr>
            </w:pPr>
            <w:r>
              <w:rPr>
                <w:color w:val="000000"/>
                <w:lang w:val="en-CA" w:eastAsia="zh-TW"/>
              </w:rPr>
              <w:t>77,965</w:t>
            </w:r>
          </w:p>
        </w:tc>
        <w:tc>
          <w:tcPr>
            <w:tcW w:w="1275" w:type="dxa"/>
            <w:tcBorders>
              <w:left w:val="nil"/>
              <w:right w:val="nil"/>
            </w:tcBorders>
            <w:shd w:val="clear" w:color="000000" w:fill="FFFFFF"/>
            <w:vAlign w:val="bottom"/>
          </w:tcPr>
          <w:p w14:paraId="7F20F63D" w14:textId="77777777" w:rsidR="007F54B8" w:rsidRPr="00F963B4" w:rsidRDefault="007F54B8" w:rsidP="004238EB">
            <w:pPr>
              <w:jc w:val="right"/>
              <w:rPr>
                <w:color w:val="000000"/>
                <w:lang w:val="en-CA" w:eastAsia="zh-TW"/>
              </w:rPr>
            </w:pPr>
            <w:r w:rsidRPr="00F963B4">
              <w:rPr>
                <w:color w:val="000000"/>
                <w:lang w:val="en-CA" w:eastAsia="zh-TW"/>
              </w:rPr>
              <w:t>(</w:t>
            </w:r>
            <w:r>
              <w:rPr>
                <w:color w:val="000000"/>
                <w:lang w:val="en-CA" w:eastAsia="zh-TW"/>
              </w:rPr>
              <w:t>6,205</w:t>
            </w:r>
            <w:r w:rsidRPr="00F963B4">
              <w:rPr>
                <w:color w:val="000000"/>
                <w:lang w:val="en-CA" w:eastAsia="zh-TW"/>
              </w:rPr>
              <w:t>)</w:t>
            </w:r>
          </w:p>
        </w:tc>
        <w:tc>
          <w:tcPr>
            <w:tcW w:w="1350" w:type="dxa"/>
            <w:tcBorders>
              <w:left w:val="nil"/>
              <w:right w:val="nil"/>
            </w:tcBorders>
            <w:shd w:val="clear" w:color="000000" w:fill="FFFFFF"/>
            <w:vAlign w:val="bottom"/>
          </w:tcPr>
          <w:p w14:paraId="2E93757A" w14:textId="77777777" w:rsidR="007F54B8" w:rsidRPr="00F963B4" w:rsidRDefault="007F54B8" w:rsidP="004238EB">
            <w:pPr>
              <w:jc w:val="right"/>
              <w:rPr>
                <w:color w:val="000000"/>
                <w:lang w:val="en-CA" w:eastAsia="zh-TW"/>
              </w:rPr>
            </w:pPr>
            <w:r w:rsidRPr="00F963B4">
              <w:rPr>
                <w:color w:val="000000"/>
                <w:lang w:val="en-CA" w:eastAsia="zh-TW"/>
              </w:rPr>
              <w:t>-</w:t>
            </w:r>
          </w:p>
        </w:tc>
        <w:tc>
          <w:tcPr>
            <w:tcW w:w="1638" w:type="dxa"/>
            <w:tcBorders>
              <w:left w:val="nil"/>
              <w:right w:val="nil"/>
            </w:tcBorders>
            <w:shd w:val="clear" w:color="000000" w:fill="FFFFFF"/>
            <w:noWrap/>
            <w:vAlign w:val="bottom"/>
          </w:tcPr>
          <w:p w14:paraId="6A0E91C6" w14:textId="77777777" w:rsidR="007F54B8" w:rsidRPr="00F963B4" w:rsidRDefault="007F54B8" w:rsidP="004238EB">
            <w:pPr>
              <w:jc w:val="right"/>
              <w:rPr>
                <w:color w:val="000000"/>
                <w:lang w:val="en-CA" w:eastAsia="zh-TW"/>
              </w:rPr>
            </w:pPr>
            <w:r>
              <w:rPr>
                <w:color w:val="000000"/>
                <w:lang w:val="en-CA" w:eastAsia="zh-TW"/>
              </w:rPr>
              <w:t>71,760</w:t>
            </w:r>
          </w:p>
        </w:tc>
      </w:tr>
      <w:tr w:rsidR="007F54B8" w:rsidRPr="002871B1" w14:paraId="0B7EE65E" w14:textId="77777777" w:rsidTr="004238EB">
        <w:trPr>
          <w:trHeight w:val="315"/>
        </w:trPr>
        <w:tc>
          <w:tcPr>
            <w:tcW w:w="5854" w:type="dxa"/>
            <w:tcBorders>
              <w:left w:val="nil"/>
              <w:right w:val="nil"/>
            </w:tcBorders>
            <w:shd w:val="clear" w:color="auto" w:fill="auto"/>
            <w:vAlign w:val="bottom"/>
          </w:tcPr>
          <w:p w14:paraId="028EF66F" w14:textId="77777777" w:rsidR="007F54B8" w:rsidRPr="00F963B4" w:rsidRDefault="007F54B8" w:rsidP="004238EB">
            <w:pPr>
              <w:ind w:left="171" w:hanging="21"/>
              <w:rPr>
                <w:color w:val="000000"/>
                <w:lang w:val="en-CA" w:eastAsia="zh-TW"/>
              </w:rPr>
            </w:pPr>
            <w:r>
              <w:rPr>
                <w:color w:val="000000"/>
                <w:lang w:val="en-CA" w:eastAsia="zh-TW"/>
              </w:rPr>
              <w:t>Share-based compensation</w:t>
            </w:r>
          </w:p>
        </w:tc>
        <w:tc>
          <w:tcPr>
            <w:tcW w:w="1422" w:type="dxa"/>
            <w:tcBorders>
              <w:left w:val="nil"/>
              <w:right w:val="nil"/>
            </w:tcBorders>
            <w:shd w:val="clear" w:color="auto" w:fill="auto"/>
            <w:noWrap/>
            <w:vAlign w:val="bottom"/>
          </w:tcPr>
          <w:p w14:paraId="4190C45C" w14:textId="77777777" w:rsidR="007F54B8" w:rsidRPr="00F963B4" w:rsidRDefault="007F54B8" w:rsidP="004238EB">
            <w:pPr>
              <w:jc w:val="right"/>
              <w:rPr>
                <w:color w:val="000000"/>
                <w:lang w:val="en-CA" w:eastAsia="zh-TW"/>
              </w:rPr>
            </w:pPr>
            <w:r w:rsidRPr="00F963B4">
              <w:rPr>
                <w:color w:val="000000"/>
                <w:lang w:val="en-CA" w:eastAsia="zh-TW"/>
              </w:rPr>
              <w:t>-</w:t>
            </w:r>
          </w:p>
        </w:tc>
        <w:tc>
          <w:tcPr>
            <w:tcW w:w="1421" w:type="dxa"/>
            <w:tcBorders>
              <w:left w:val="nil"/>
              <w:right w:val="nil"/>
            </w:tcBorders>
            <w:shd w:val="clear" w:color="auto" w:fill="auto"/>
            <w:noWrap/>
            <w:vAlign w:val="bottom"/>
          </w:tcPr>
          <w:p w14:paraId="69C9D490" w14:textId="77777777" w:rsidR="007F54B8" w:rsidRPr="00F963B4" w:rsidRDefault="007F54B8" w:rsidP="004238EB">
            <w:pPr>
              <w:jc w:val="right"/>
              <w:rPr>
                <w:color w:val="000000"/>
                <w:lang w:val="en-CA" w:eastAsia="zh-TW"/>
              </w:rPr>
            </w:pPr>
            <w:r>
              <w:rPr>
                <w:color w:val="000000"/>
                <w:lang w:val="en-CA" w:eastAsia="zh-TW"/>
              </w:rPr>
              <w:t>-</w:t>
            </w:r>
          </w:p>
        </w:tc>
        <w:tc>
          <w:tcPr>
            <w:tcW w:w="1275" w:type="dxa"/>
            <w:tcBorders>
              <w:left w:val="nil"/>
              <w:right w:val="nil"/>
            </w:tcBorders>
            <w:shd w:val="clear" w:color="auto" w:fill="auto"/>
            <w:vAlign w:val="bottom"/>
          </w:tcPr>
          <w:p w14:paraId="7EEC92AB" w14:textId="77777777" w:rsidR="007F54B8" w:rsidRPr="00F963B4" w:rsidRDefault="007F54B8" w:rsidP="004238EB">
            <w:pPr>
              <w:jc w:val="right"/>
              <w:rPr>
                <w:color w:val="000000"/>
                <w:lang w:val="en-CA" w:eastAsia="zh-TW"/>
              </w:rPr>
            </w:pPr>
            <w:r>
              <w:rPr>
                <w:color w:val="000000"/>
                <w:lang w:val="en-CA" w:eastAsia="zh-TW"/>
              </w:rPr>
              <w:t>166,200</w:t>
            </w:r>
          </w:p>
        </w:tc>
        <w:tc>
          <w:tcPr>
            <w:tcW w:w="1350" w:type="dxa"/>
            <w:tcBorders>
              <w:left w:val="nil"/>
              <w:right w:val="nil"/>
            </w:tcBorders>
            <w:shd w:val="clear" w:color="auto" w:fill="auto"/>
            <w:vAlign w:val="bottom"/>
          </w:tcPr>
          <w:p w14:paraId="54C39BB6" w14:textId="77777777" w:rsidR="007F54B8" w:rsidRPr="00F963B4" w:rsidRDefault="007F54B8" w:rsidP="004238EB">
            <w:pPr>
              <w:jc w:val="right"/>
              <w:rPr>
                <w:color w:val="000000"/>
                <w:lang w:val="en-CA" w:eastAsia="zh-TW"/>
              </w:rPr>
            </w:pPr>
            <w:r w:rsidRPr="00F963B4">
              <w:rPr>
                <w:color w:val="000000"/>
                <w:lang w:val="en-CA" w:eastAsia="zh-TW"/>
              </w:rPr>
              <w:t>-</w:t>
            </w:r>
          </w:p>
        </w:tc>
        <w:tc>
          <w:tcPr>
            <w:tcW w:w="1638" w:type="dxa"/>
            <w:tcBorders>
              <w:left w:val="nil"/>
              <w:right w:val="nil"/>
            </w:tcBorders>
            <w:shd w:val="clear" w:color="auto" w:fill="auto"/>
            <w:noWrap/>
            <w:vAlign w:val="bottom"/>
          </w:tcPr>
          <w:p w14:paraId="6F397D0A" w14:textId="77777777" w:rsidR="007F54B8" w:rsidRPr="00F963B4" w:rsidRDefault="007F54B8" w:rsidP="004238EB">
            <w:pPr>
              <w:jc w:val="right"/>
              <w:rPr>
                <w:color w:val="000000"/>
                <w:lang w:val="en-CA" w:eastAsia="zh-TW"/>
              </w:rPr>
            </w:pPr>
            <w:r>
              <w:rPr>
                <w:color w:val="000000"/>
                <w:lang w:val="en-CA" w:eastAsia="zh-TW"/>
              </w:rPr>
              <w:t>166,200</w:t>
            </w:r>
          </w:p>
        </w:tc>
      </w:tr>
      <w:tr w:rsidR="007F54B8" w:rsidRPr="002871B1" w14:paraId="6F5786CE" w14:textId="77777777" w:rsidTr="004238EB">
        <w:trPr>
          <w:trHeight w:val="315"/>
        </w:trPr>
        <w:tc>
          <w:tcPr>
            <w:tcW w:w="5854" w:type="dxa"/>
            <w:tcBorders>
              <w:left w:val="nil"/>
              <w:right w:val="nil"/>
            </w:tcBorders>
            <w:shd w:val="clear" w:color="auto" w:fill="auto"/>
            <w:vAlign w:val="bottom"/>
          </w:tcPr>
          <w:p w14:paraId="1E584FD6" w14:textId="77777777" w:rsidR="007F54B8" w:rsidRDefault="007F54B8" w:rsidP="004238EB">
            <w:pPr>
              <w:ind w:left="171" w:hanging="21"/>
              <w:rPr>
                <w:color w:val="000000"/>
                <w:lang w:val="en-CA" w:eastAsia="zh-TW"/>
              </w:rPr>
            </w:pPr>
            <w:r>
              <w:rPr>
                <w:color w:val="000000"/>
                <w:lang w:val="en-CA" w:eastAsia="zh-TW"/>
              </w:rPr>
              <w:t>Cancellation of options (note 5)</w:t>
            </w:r>
          </w:p>
        </w:tc>
        <w:tc>
          <w:tcPr>
            <w:tcW w:w="1422" w:type="dxa"/>
            <w:tcBorders>
              <w:left w:val="nil"/>
              <w:right w:val="nil"/>
            </w:tcBorders>
            <w:shd w:val="clear" w:color="auto" w:fill="auto"/>
            <w:noWrap/>
            <w:vAlign w:val="bottom"/>
          </w:tcPr>
          <w:p w14:paraId="3CFB743F" w14:textId="77777777" w:rsidR="007F54B8" w:rsidRPr="00F963B4" w:rsidRDefault="007F54B8" w:rsidP="004238EB">
            <w:pPr>
              <w:jc w:val="right"/>
              <w:rPr>
                <w:color w:val="000000"/>
                <w:lang w:val="en-CA" w:eastAsia="zh-TW"/>
              </w:rPr>
            </w:pPr>
            <w:r w:rsidRPr="00F963B4">
              <w:rPr>
                <w:color w:val="000000"/>
                <w:lang w:val="en-CA" w:eastAsia="zh-TW"/>
              </w:rPr>
              <w:t>-</w:t>
            </w:r>
          </w:p>
        </w:tc>
        <w:tc>
          <w:tcPr>
            <w:tcW w:w="1421" w:type="dxa"/>
            <w:tcBorders>
              <w:left w:val="nil"/>
              <w:right w:val="nil"/>
            </w:tcBorders>
            <w:shd w:val="clear" w:color="auto" w:fill="auto"/>
            <w:noWrap/>
            <w:vAlign w:val="bottom"/>
          </w:tcPr>
          <w:p w14:paraId="15A774DF" w14:textId="77777777" w:rsidR="007F54B8" w:rsidRDefault="007F54B8" w:rsidP="004238EB">
            <w:pPr>
              <w:jc w:val="right"/>
              <w:rPr>
                <w:color w:val="000000"/>
                <w:lang w:val="en-CA" w:eastAsia="zh-TW"/>
              </w:rPr>
            </w:pPr>
            <w:r>
              <w:rPr>
                <w:color w:val="000000"/>
                <w:lang w:val="en-CA" w:eastAsia="zh-TW"/>
              </w:rPr>
              <w:t>-</w:t>
            </w:r>
          </w:p>
        </w:tc>
        <w:tc>
          <w:tcPr>
            <w:tcW w:w="1275" w:type="dxa"/>
            <w:tcBorders>
              <w:left w:val="nil"/>
              <w:right w:val="nil"/>
            </w:tcBorders>
            <w:shd w:val="clear" w:color="auto" w:fill="auto"/>
            <w:vAlign w:val="bottom"/>
          </w:tcPr>
          <w:p w14:paraId="543B5CA3" w14:textId="77777777" w:rsidR="007F54B8" w:rsidRDefault="007F54B8" w:rsidP="004238EB">
            <w:pPr>
              <w:jc w:val="right"/>
              <w:rPr>
                <w:color w:val="000000"/>
                <w:lang w:val="en-CA" w:eastAsia="zh-TW"/>
              </w:rPr>
            </w:pPr>
            <w:r>
              <w:rPr>
                <w:color w:val="000000"/>
                <w:lang w:val="en-CA" w:eastAsia="zh-TW"/>
              </w:rPr>
              <w:t>(166,200)</w:t>
            </w:r>
          </w:p>
        </w:tc>
        <w:tc>
          <w:tcPr>
            <w:tcW w:w="1350" w:type="dxa"/>
            <w:tcBorders>
              <w:left w:val="nil"/>
              <w:right w:val="nil"/>
            </w:tcBorders>
            <w:shd w:val="clear" w:color="auto" w:fill="auto"/>
            <w:vAlign w:val="bottom"/>
          </w:tcPr>
          <w:p w14:paraId="045DB9F4" w14:textId="77777777" w:rsidR="007F54B8" w:rsidRPr="00F963B4" w:rsidRDefault="007F54B8" w:rsidP="004238EB">
            <w:pPr>
              <w:jc w:val="right"/>
              <w:rPr>
                <w:color w:val="000000"/>
                <w:lang w:val="en-CA" w:eastAsia="zh-TW"/>
              </w:rPr>
            </w:pPr>
            <w:r>
              <w:rPr>
                <w:color w:val="000000"/>
                <w:lang w:val="en-CA" w:eastAsia="zh-TW"/>
              </w:rPr>
              <w:t>166,200</w:t>
            </w:r>
          </w:p>
        </w:tc>
        <w:tc>
          <w:tcPr>
            <w:tcW w:w="1638" w:type="dxa"/>
            <w:tcBorders>
              <w:left w:val="nil"/>
              <w:right w:val="nil"/>
            </w:tcBorders>
            <w:shd w:val="clear" w:color="auto" w:fill="auto"/>
            <w:noWrap/>
            <w:vAlign w:val="bottom"/>
          </w:tcPr>
          <w:p w14:paraId="1AB365DD" w14:textId="77777777" w:rsidR="007F54B8" w:rsidRDefault="007F54B8" w:rsidP="004238EB">
            <w:pPr>
              <w:jc w:val="right"/>
              <w:rPr>
                <w:color w:val="000000"/>
                <w:lang w:val="en-CA" w:eastAsia="zh-TW"/>
              </w:rPr>
            </w:pPr>
            <w:r>
              <w:rPr>
                <w:color w:val="000000"/>
                <w:lang w:val="en-CA" w:eastAsia="zh-TW"/>
              </w:rPr>
              <w:t>-</w:t>
            </w:r>
          </w:p>
        </w:tc>
      </w:tr>
      <w:tr w:rsidR="007F54B8" w:rsidRPr="002871B1" w14:paraId="6425988B" w14:textId="77777777" w:rsidTr="004238EB">
        <w:trPr>
          <w:trHeight w:val="315"/>
        </w:trPr>
        <w:tc>
          <w:tcPr>
            <w:tcW w:w="5854" w:type="dxa"/>
            <w:tcBorders>
              <w:left w:val="nil"/>
              <w:bottom w:val="single" w:sz="4" w:space="0" w:color="auto"/>
              <w:right w:val="nil"/>
            </w:tcBorders>
            <w:shd w:val="clear" w:color="000000" w:fill="FFFFFF"/>
            <w:vAlign w:val="bottom"/>
          </w:tcPr>
          <w:p w14:paraId="0BDB7D88" w14:textId="77777777" w:rsidR="007F54B8" w:rsidRPr="00F963B4" w:rsidRDefault="007F54B8" w:rsidP="004238EB">
            <w:pPr>
              <w:ind w:left="171" w:firstLine="5"/>
              <w:rPr>
                <w:b/>
                <w:color w:val="000000"/>
                <w:lang w:val="en-CA" w:eastAsia="zh-TW"/>
              </w:rPr>
            </w:pPr>
            <w:r w:rsidRPr="00F963B4">
              <w:rPr>
                <w:color w:val="000000"/>
                <w:lang w:val="en-CA" w:eastAsia="zh-TW"/>
              </w:rPr>
              <w:t>Net loss and comprehensive loss of the period</w:t>
            </w:r>
          </w:p>
        </w:tc>
        <w:tc>
          <w:tcPr>
            <w:tcW w:w="1422" w:type="dxa"/>
            <w:tcBorders>
              <w:left w:val="nil"/>
              <w:bottom w:val="single" w:sz="4" w:space="0" w:color="auto"/>
              <w:right w:val="nil"/>
            </w:tcBorders>
            <w:shd w:val="clear" w:color="000000" w:fill="FFFFFF"/>
            <w:noWrap/>
            <w:vAlign w:val="bottom"/>
          </w:tcPr>
          <w:p w14:paraId="7E6B8512" w14:textId="77777777" w:rsidR="007F54B8" w:rsidRPr="00F963B4" w:rsidRDefault="007F54B8" w:rsidP="004238EB">
            <w:pPr>
              <w:jc w:val="right"/>
              <w:rPr>
                <w:color w:val="000000"/>
                <w:lang w:val="en-CA" w:eastAsia="zh-TW"/>
              </w:rPr>
            </w:pPr>
            <w:r w:rsidRPr="00F963B4">
              <w:rPr>
                <w:color w:val="000000"/>
                <w:lang w:val="en-CA" w:eastAsia="zh-TW"/>
              </w:rPr>
              <w:t>-</w:t>
            </w:r>
          </w:p>
        </w:tc>
        <w:tc>
          <w:tcPr>
            <w:tcW w:w="1421" w:type="dxa"/>
            <w:tcBorders>
              <w:left w:val="nil"/>
              <w:bottom w:val="single" w:sz="4" w:space="0" w:color="auto"/>
              <w:right w:val="nil"/>
            </w:tcBorders>
            <w:shd w:val="clear" w:color="000000" w:fill="FFFFFF"/>
            <w:noWrap/>
            <w:vAlign w:val="bottom"/>
          </w:tcPr>
          <w:p w14:paraId="7DDD0C5B" w14:textId="77777777" w:rsidR="007F54B8" w:rsidRPr="00F963B4" w:rsidRDefault="007F54B8" w:rsidP="004238EB">
            <w:pPr>
              <w:jc w:val="right"/>
              <w:rPr>
                <w:color w:val="000000"/>
                <w:lang w:val="en-CA" w:eastAsia="zh-TW"/>
              </w:rPr>
            </w:pPr>
            <w:r w:rsidRPr="00F963B4">
              <w:rPr>
                <w:color w:val="000000"/>
                <w:lang w:val="en-CA" w:eastAsia="zh-TW"/>
              </w:rPr>
              <w:t>-</w:t>
            </w:r>
          </w:p>
        </w:tc>
        <w:tc>
          <w:tcPr>
            <w:tcW w:w="1275" w:type="dxa"/>
            <w:tcBorders>
              <w:left w:val="nil"/>
              <w:bottom w:val="single" w:sz="4" w:space="0" w:color="auto"/>
              <w:right w:val="nil"/>
            </w:tcBorders>
            <w:shd w:val="clear" w:color="000000" w:fill="FFFFFF"/>
            <w:vAlign w:val="bottom"/>
          </w:tcPr>
          <w:p w14:paraId="242FF2FA" w14:textId="77777777" w:rsidR="007F54B8" w:rsidRPr="00F963B4" w:rsidRDefault="007F54B8" w:rsidP="004238EB">
            <w:pPr>
              <w:jc w:val="right"/>
              <w:rPr>
                <w:color w:val="000000"/>
                <w:lang w:val="en-CA" w:eastAsia="zh-TW"/>
              </w:rPr>
            </w:pPr>
            <w:r w:rsidRPr="00F963B4">
              <w:rPr>
                <w:color w:val="000000"/>
                <w:lang w:val="en-CA" w:eastAsia="zh-TW"/>
              </w:rPr>
              <w:t>-</w:t>
            </w:r>
          </w:p>
        </w:tc>
        <w:tc>
          <w:tcPr>
            <w:tcW w:w="1350" w:type="dxa"/>
            <w:tcBorders>
              <w:left w:val="nil"/>
              <w:bottom w:val="single" w:sz="4" w:space="0" w:color="auto"/>
              <w:right w:val="nil"/>
            </w:tcBorders>
            <w:shd w:val="clear" w:color="000000" w:fill="FFFFFF"/>
            <w:vAlign w:val="bottom"/>
          </w:tcPr>
          <w:p w14:paraId="5E89144B" w14:textId="77777777" w:rsidR="007F54B8" w:rsidRPr="00F963B4" w:rsidRDefault="007F54B8" w:rsidP="004238EB">
            <w:pPr>
              <w:jc w:val="right"/>
              <w:rPr>
                <w:color w:val="000000"/>
                <w:lang w:val="en-CA" w:eastAsia="zh-TW"/>
              </w:rPr>
            </w:pPr>
            <w:r w:rsidRPr="00F963B4">
              <w:rPr>
                <w:color w:val="000000"/>
                <w:lang w:val="en-CA" w:eastAsia="zh-TW"/>
              </w:rPr>
              <w:t>(</w:t>
            </w:r>
            <w:r>
              <w:rPr>
                <w:color w:val="000000"/>
                <w:lang w:val="en-CA" w:eastAsia="zh-TW"/>
              </w:rPr>
              <w:t>534,582</w:t>
            </w:r>
            <w:r w:rsidRPr="00F963B4">
              <w:rPr>
                <w:color w:val="000000"/>
                <w:lang w:val="en-CA" w:eastAsia="zh-TW"/>
              </w:rPr>
              <w:t>)</w:t>
            </w:r>
          </w:p>
        </w:tc>
        <w:tc>
          <w:tcPr>
            <w:tcW w:w="1638" w:type="dxa"/>
            <w:tcBorders>
              <w:left w:val="nil"/>
              <w:bottom w:val="single" w:sz="4" w:space="0" w:color="auto"/>
              <w:right w:val="nil"/>
            </w:tcBorders>
            <w:shd w:val="clear" w:color="000000" w:fill="FFFFFF"/>
            <w:noWrap/>
            <w:vAlign w:val="bottom"/>
          </w:tcPr>
          <w:p w14:paraId="4BDC7948" w14:textId="77777777" w:rsidR="007F54B8" w:rsidRPr="00F963B4" w:rsidRDefault="007F54B8" w:rsidP="004238EB">
            <w:pPr>
              <w:jc w:val="right"/>
              <w:rPr>
                <w:color w:val="000000"/>
                <w:lang w:val="en-CA" w:eastAsia="zh-TW"/>
              </w:rPr>
            </w:pPr>
            <w:r w:rsidRPr="00F963B4">
              <w:rPr>
                <w:color w:val="000000"/>
                <w:lang w:val="en-CA" w:eastAsia="zh-TW"/>
              </w:rPr>
              <w:t>(</w:t>
            </w:r>
            <w:r>
              <w:rPr>
                <w:color w:val="000000"/>
                <w:lang w:val="en-CA" w:eastAsia="zh-TW"/>
              </w:rPr>
              <w:t>534,582</w:t>
            </w:r>
            <w:r w:rsidRPr="00F963B4">
              <w:rPr>
                <w:color w:val="000000"/>
                <w:lang w:val="en-CA" w:eastAsia="zh-TW"/>
              </w:rPr>
              <w:t>)</w:t>
            </w:r>
          </w:p>
        </w:tc>
      </w:tr>
      <w:tr w:rsidR="007F54B8" w:rsidRPr="002871B1" w14:paraId="3F5E5DC9" w14:textId="77777777" w:rsidTr="004238EB">
        <w:trPr>
          <w:trHeight w:val="315"/>
        </w:trPr>
        <w:tc>
          <w:tcPr>
            <w:tcW w:w="5854" w:type="dxa"/>
            <w:tcBorders>
              <w:top w:val="single" w:sz="4" w:space="0" w:color="auto"/>
              <w:left w:val="nil"/>
              <w:right w:val="nil"/>
            </w:tcBorders>
            <w:shd w:val="clear" w:color="000000" w:fill="FFFFFF"/>
            <w:vAlign w:val="bottom"/>
          </w:tcPr>
          <w:p w14:paraId="115A0116" w14:textId="77777777" w:rsidR="007F54B8" w:rsidRPr="00F963B4" w:rsidRDefault="007F54B8" w:rsidP="004238EB">
            <w:pPr>
              <w:ind w:left="171" w:firstLine="5"/>
              <w:rPr>
                <w:color w:val="000000"/>
                <w:lang w:val="en-CA" w:eastAsia="zh-TW"/>
              </w:rPr>
            </w:pPr>
          </w:p>
        </w:tc>
        <w:tc>
          <w:tcPr>
            <w:tcW w:w="1422" w:type="dxa"/>
            <w:tcBorders>
              <w:top w:val="single" w:sz="4" w:space="0" w:color="auto"/>
              <w:left w:val="nil"/>
              <w:right w:val="nil"/>
            </w:tcBorders>
            <w:shd w:val="clear" w:color="000000" w:fill="FFFFFF"/>
            <w:noWrap/>
            <w:vAlign w:val="bottom"/>
          </w:tcPr>
          <w:p w14:paraId="44E874BF" w14:textId="77777777" w:rsidR="007F54B8" w:rsidRPr="00F963B4" w:rsidRDefault="007F54B8" w:rsidP="004238EB">
            <w:pPr>
              <w:jc w:val="right"/>
              <w:rPr>
                <w:color w:val="000000"/>
                <w:lang w:val="en-CA" w:eastAsia="zh-TW"/>
              </w:rPr>
            </w:pPr>
          </w:p>
        </w:tc>
        <w:tc>
          <w:tcPr>
            <w:tcW w:w="1421" w:type="dxa"/>
            <w:tcBorders>
              <w:top w:val="single" w:sz="4" w:space="0" w:color="auto"/>
              <w:left w:val="nil"/>
              <w:right w:val="nil"/>
            </w:tcBorders>
            <w:shd w:val="clear" w:color="000000" w:fill="FFFFFF"/>
            <w:noWrap/>
            <w:vAlign w:val="bottom"/>
          </w:tcPr>
          <w:p w14:paraId="24D38F5E" w14:textId="77777777" w:rsidR="007F54B8" w:rsidRPr="00F963B4" w:rsidRDefault="007F54B8" w:rsidP="004238EB">
            <w:pPr>
              <w:jc w:val="right"/>
              <w:rPr>
                <w:color w:val="000000"/>
                <w:lang w:val="en-CA" w:eastAsia="zh-TW"/>
              </w:rPr>
            </w:pPr>
          </w:p>
        </w:tc>
        <w:tc>
          <w:tcPr>
            <w:tcW w:w="1275" w:type="dxa"/>
            <w:tcBorders>
              <w:top w:val="single" w:sz="4" w:space="0" w:color="auto"/>
              <w:left w:val="nil"/>
              <w:right w:val="nil"/>
            </w:tcBorders>
            <w:shd w:val="clear" w:color="000000" w:fill="FFFFFF"/>
            <w:vAlign w:val="bottom"/>
          </w:tcPr>
          <w:p w14:paraId="632FC3AA" w14:textId="77777777" w:rsidR="007F54B8" w:rsidRPr="00F963B4" w:rsidRDefault="007F54B8" w:rsidP="004238EB">
            <w:pPr>
              <w:jc w:val="right"/>
              <w:rPr>
                <w:color w:val="000000"/>
                <w:lang w:val="en-CA" w:eastAsia="zh-TW"/>
              </w:rPr>
            </w:pPr>
          </w:p>
        </w:tc>
        <w:tc>
          <w:tcPr>
            <w:tcW w:w="1350" w:type="dxa"/>
            <w:tcBorders>
              <w:top w:val="single" w:sz="4" w:space="0" w:color="auto"/>
              <w:left w:val="nil"/>
              <w:right w:val="nil"/>
            </w:tcBorders>
            <w:shd w:val="clear" w:color="000000" w:fill="FFFFFF"/>
            <w:vAlign w:val="bottom"/>
          </w:tcPr>
          <w:p w14:paraId="3A724BA4" w14:textId="77777777" w:rsidR="007F54B8" w:rsidRPr="00F963B4" w:rsidRDefault="007F54B8" w:rsidP="004238EB">
            <w:pPr>
              <w:jc w:val="right"/>
              <w:rPr>
                <w:color w:val="000000"/>
                <w:lang w:val="en-CA" w:eastAsia="zh-TW"/>
              </w:rPr>
            </w:pPr>
          </w:p>
        </w:tc>
        <w:tc>
          <w:tcPr>
            <w:tcW w:w="1638" w:type="dxa"/>
            <w:tcBorders>
              <w:top w:val="single" w:sz="4" w:space="0" w:color="auto"/>
              <w:left w:val="nil"/>
              <w:right w:val="nil"/>
            </w:tcBorders>
            <w:shd w:val="clear" w:color="000000" w:fill="FFFFFF"/>
            <w:noWrap/>
            <w:vAlign w:val="bottom"/>
          </w:tcPr>
          <w:p w14:paraId="4DCCA838" w14:textId="77777777" w:rsidR="007F54B8" w:rsidRPr="00F963B4" w:rsidRDefault="007F54B8" w:rsidP="004238EB">
            <w:pPr>
              <w:jc w:val="right"/>
              <w:rPr>
                <w:color w:val="000000"/>
                <w:lang w:val="en-CA" w:eastAsia="zh-TW"/>
              </w:rPr>
            </w:pPr>
          </w:p>
        </w:tc>
      </w:tr>
      <w:tr w:rsidR="007F54B8" w:rsidRPr="002871B1" w14:paraId="1F1E370B" w14:textId="77777777" w:rsidTr="004238EB">
        <w:trPr>
          <w:trHeight w:val="315"/>
        </w:trPr>
        <w:tc>
          <w:tcPr>
            <w:tcW w:w="5854" w:type="dxa"/>
            <w:tcBorders>
              <w:left w:val="nil"/>
              <w:bottom w:val="single" w:sz="12" w:space="0" w:color="auto"/>
              <w:right w:val="nil"/>
            </w:tcBorders>
            <w:shd w:val="clear" w:color="000000" w:fill="FFFFFF"/>
            <w:vAlign w:val="bottom"/>
          </w:tcPr>
          <w:p w14:paraId="2240C203" w14:textId="77777777" w:rsidR="007F54B8" w:rsidRPr="00F963B4" w:rsidRDefault="007F54B8" w:rsidP="004238EB">
            <w:pPr>
              <w:ind w:left="171" w:hanging="171"/>
              <w:rPr>
                <w:color w:val="000000"/>
                <w:lang w:val="en-CA" w:eastAsia="zh-TW"/>
              </w:rPr>
            </w:pPr>
            <w:r w:rsidRPr="00F963B4">
              <w:rPr>
                <w:b/>
                <w:color w:val="000000"/>
                <w:lang w:val="en-CA" w:eastAsia="zh-TW"/>
              </w:rPr>
              <w:t>Balance, May 31, 202</w:t>
            </w:r>
            <w:r>
              <w:rPr>
                <w:b/>
                <w:color w:val="000000"/>
                <w:lang w:val="en-CA" w:eastAsia="zh-TW"/>
              </w:rPr>
              <w:t>1</w:t>
            </w:r>
          </w:p>
        </w:tc>
        <w:tc>
          <w:tcPr>
            <w:tcW w:w="1422" w:type="dxa"/>
            <w:tcBorders>
              <w:left w:val="nil"/>
              <w:bottom w:val="single" w:sz="12" w:space="0" w:color="auto"/>
              <w:right w:val="nil"/>
            </w:tcBorders>
            <w:shd w:val="clear" w:color="000000" w:fill="FFFFFF"/>
            <w:noWrap/>
            <w:vAlign w:val="bottom"/>
          </w:tcPr>
          <w:p w14:paraId="295FA656" w14:textId="77777777" w:rsidR="007F54B8" w:rsidRPr="00F963B4" w:rsidRDefault="007F54B8" w:rsidP="004238EB">
            <w:pPr>
              <w:jc w:val="right"/>
              <w:rPr>
                <w:color w:val="000000"/>
                <w:lang w:val="en-CA" w:eastAsia="zh-TW"/>
              </w:rPr>
            </w:pPr>
            <w:r>
              <w:rPr>
                <w:color w:val="000000"/>
                <w:lang w:val="en-CA" w:eastAsia="zh-TW"/>
              </w:rPr>
              <w:t>14,242,377</w:t>
            </w:r>
          </w:p>
        </w:tc>
        <w:tc>
          <w:tcPr>
            <w:tcW w:w="1421" w:type="dxa"/>
            <w:tcBorders>
              <w:left w:val="nil"/>
              <w:bottom w:val="single" w:sz="12" w:space="0" w:color="auto"/>
              <w:right w:val="nil"/>
            </w:tcBorders>
            <w:shd w:val="clear" w:color="000000" w:fill="FFFFFF"/>
            <w:noWrap/>
            <w:vAlign w:val="bottom"/>
          </w:tcPr>
          <w:p w14:paraId="557D0263" w14:textId="77777777" w:rsidR="007F54B8" w:rsidRPr="00F963B4" w:rsidRDefault="007F54B8" w:rsidP="004238EB">
            <w:pPr>
              <w:jc w:val="right"/>
              <w:rPr>
                <w:color w:val="000000"/>
                <w:lang w:val="en-CA" w:eastAsia="zh-TW"/>
              </w:rPr>
            </w:pPr>
            <w:r>
              <w:rPr>
                <w:color w:val="000000"/>
                <w:lang w:val="en-CA" w:eastAsia="zh-TW"/>
              </w:rPr>
              <w:t>1,230,862</w:t>
            </w:r>
          </w:p>
        </w:tc>
        <w:tc>
          <w:tcPr>
            <w:tcW w:w="1275" w:type="dxa"/>
            <w:tcBorders>
              <w:left w:val="nil"/>
              <w:bottom w:val="single" w:sz="12" w:space="0" w:color="auto"/>
              <w:right w:val="nil"/>
            </w:tcBorders>
            <w:shd w:val="clear" w:color="000000" w:fill="FFFFFF"/>
            <w:vAlign w:val="bottom"/>
          </w:tcPr>
          <w:p w14:paraId="37D1854E" w14:textId="77777777" w:rsidR="007F54B8" w:rsidRPr="00F963B4" w:rsidRDefault="007F54B8" w:rsidP="004238EB">
            <w:pPr>
              <w:jc w:val="right"/>
              <w:rPr>
                <w:color w:val="000000"/>
                <w:lang w:val="en-CA" w:eastAsia="zh-TW"/>
              </w:rPr>
            </w:pPr>
            <w:r>
              <w:rPr>
                <w:color w:val="000000"/>
                <w:lang w:val="en-CA" w:eastAsia="zh-TW"/>
              </w:rPr>
              <w:t>128,264</w:t>
            </w:r>
          </w:p>
        </w:tc>
        <w:tc>
          <w:tcPr>
            <w:tcW w:w="1350" w:type="dxa"/>
            <w:tcBorders>
              <w:left w:val="nil"/>
              <w:bottom w:val="single" w:sz="12" w:space="0" w:color="auto"/>
              <w:right w:val="nil"/>
            </w:tcBorders>
            <w:shd w:val="clear" w:color="000000" w:fill="FFFFFF"/>
            <w:vAlign w:val="bottom"/>
          </w:tcPr>
          <w:p w14:paraId="7BF3C60B" w14:textId="77777777" w:rsidR="007F54B8" w:rsidRPr="00F963B4" w:rsidRDefault="007F54B8" w:rsidP="004238EB">
            <w:pPr>
              <w:jc w:val="right"/>
              <w:rPr>
                <w:color w:val="000000"/>
                <w:lang w:val="en-CA" w:eastAsia="zh-TW"/>
              </w:rPr>
            </w:pPr>
            <w:r w:rsidRPr="00F963B4">
              <w:rPr>
                <w:color w:val="000000"/>
                <w:lang w:val="en-CA" w:eastAsia="zh-TW"/>
              </w:rPr>
              <w:t>(</w:t>
            </w:r>
            <w:r>
              <w:rPr>
                <w:color w:val="000000"/>
                <w:lang w:val="en-CA" w:eastAsia="zh-TW"/>
              </w:rPr>
              <w:t>1,046,409</w:t>
            </w:r>
            <w:r w:rsidRPr="00F963B4">
              <w:rPr>
                <w:color w:val="000000"/>
                <w:lang w:val="en-CA" w:eastAsia="zh-TW"/>
              </w:rPr>
              <w:t>)</w:t>
            </w:r>
          </w:p>
        </w:tc>
        <w:tc>
          <w:tcPr>
            <w:tcW w:w="1638" w:type="dxa"/>
            <w:tcBorders>
              <w:left w:val="nil"/>
              <w:bottom w:val="single" w:sz="12" w:space="0" w:color="auto"/>
              <w:right w:val="nil"/>
            </w:tcBorders>
            <w:shd w:val="clear" w:color="000000" w:fill="FFFFFF"/>
            <w:noWrap/>
            <w:vAlign w:val="bottom"/>
          </w:tcPr>
          <w:p w14:paraId="5201837D" w14:textId="77777777" w:rsidR="007F54B8" w:rsidRPr="00F963B4" w:rsidRDefault="007F54B8" w:rsidP="004238EB">
            <w:pPr>
              <w:jc w:val="right"/>
              <w:rPr>
                <w:color w:val="000000"/>
                <w:lang w:val="en-CA" w:eastAsia="zh-TW"/>
              </w:rPr>
            </w:pPr>
            <w:r>
              <w:rPr>
                <w:color w:val="000000"/>
                <w:lang w:val="en-CA" w:eastAsia="zh-TW"/>
              </w:rPr>
              <w:t>312,717</w:t>
            </w:r>
          </w:p>
        </w:tc>
      </w:tr>
    </w:tbl>
    <w:p w14:paraId="6532524C" w14:textId="77777777" w:rsidR="007F54B8" w:rsidRPr="00F963B4" w:rsidRDefault="007F54B8" w:rsidP="007F54B8">
      <w:pPr>
        <w:sectPr w:rsidR="007F54B8" w:rsidRPr="00F963B4" w:rsidSect="002700FC">
          <w:footerReference w:type="default" r:id="rId16"/>
          <w:pgSz w:w="15840" w:h="12240" w:orient="landscape" w:code="1"/>
          <w:pgMar w:top="1276" w:right="1440" w:bottom="1440" w:left="1440" w:header="720" w:footer="360" w:gutter="0"/>
          <w:cols w:space="720"/>
          <w:docGrid w:linePitch="360"/>
        </w:sectPr>
      </w:pPr>
    </w:p>
    <w:p w14:paraId="568C1B61" w14:textId="77777777" w:rsidR="007F54B8" w:rsidRPr="00F963B4" w:rsidRDefault="007F54B8" w:rsidP="007F54B8">
      <w:pPr>
        <w:rPr>
          <w:b/>
          <w:bCs/>
          <w:sz w:val="24"/>
        </w:rPr>
      </w:pPr>
      <w:r w:rsidRPr="00F963B4">
        <w:rPr>
          <w:b/>
          <w:bCs/>
          <w:sz w:val="24"/>
        </w:rPr>
        <w:lastRenderedPageBreak/>
        <w:t xml:space="preserve">PROJECT ONE RESOURCES LTD. </w:t>
      </w:r>
    </w:p>
    <w:p w14:paraId="5803360C" w14:textId="77777777" w:rsidR="007F54B8" w:rsidRPr="00F963B4" w:rsidRDefault="007F54B8" w:rsidP="007F54B8">
      <w:pPr>
        <w:rPr>
          <w:b/>
          <w:bCs/>
        </w:rPr>
      </w:pPr>
      <w:r w:rsidRPr="00F963B4">
        <w:rPr>
          <w:b/>
          <w:bCs/>
        </w:rPr>
        <w:t>Condensed Interim Statements of Cash Flows</w:t>
      </w:r>
    </w:p>
    <w:p w14:paraId="0E3D5416" w14:textId="77777777" w:rsidR="007F54B8" w:rsidRPr="00F963B4" w:rsidRDefault="007F54B8" w:rsidP="007F54B8">
      <w:r w:rsidRPr="00F963B4">
        <w:rPr>
          <w:b/>
          <w:bCs/>
        </w:rPr>
        <w:t>(</w:t>
      </w:r>
      <w:r>
        <w:rPr>
          <w:b/>
          <w:bCs/>
        </w:rPr>
        <w:t xml:space="preserve">Unaudted - </w:t>
      </w:r>
      <w:r w:rsidRPr="00F963B4">
        <w:rPr>
          <w:b/>
          <w:bCs/>
        </w:rPr>
        <w:t>Expressed in Canadian Dollars)</w:t>
      </w:r>
      <w:r w:rsidRPr="00F963B4">
        <w:rPr>
          <w:b/>
          <w:bCs/>
        </w:rPr>
        <w:tab/>
      </w:r>
      <w:r w:rsidRPr="00F963B4">
        <w:rPr>
          <w:b/>
          <w:bCs/>
        </w:rPr>
        <w:tab/>
      </w:r>
      <w:r w:rsidRPr="00F963B4">
        <w:rPr>
          <w:b/>
          <w:bCs/>
        </w:rPr>
        <w:tab/>
      </w:r>
    </w:p>
    <w:p w14:paraId="61CF8EC8" w14:textId="77777777" w:rsidR="007F54B8" w:rsidRPr="00F963B4" w:rsidRDefault="007F54B8" w:rsidP="007F54B8">
      <w:pPr>
        <w:pStyle w:val="Footer"/>
        <w:tabs>
          <w:tab w:val="clear" w:pos="4320"/>
          <w:tab w:val="clear" w:pos="8640"/>
        </w:tabs>
        <w:ind w:right="180"/>
        <w:jc w:val="center"/>
      </w:pPr>
    </w:p>
    <w:tbl>
      <w:tblPr>
        <w:tblW w:w="9630" w:type="dxa"/>
        <w:tblLayout w:type="fixed"/>
        <w:tblCellMar>
          <w:left w:w="120" w:type="dxa"/>
          <w:right w:w="120" w:type="dxa"/>
        </w:tblCellMar>
        <w:tblLook w:val="0000" w:firstRow="0" w:lastRow="0" w:firstColumn="0" w:lastColumn="0" w:noHBand="0" w:noVBand="0"/>
      </w:tblPr>
      <w:tblGrid>
        <w:gridCol w:w="5904"/>
        <w:gridCol w:w="288"/>
        <w:gridCol w:w="1583"/>
        <w:gridCol w:w="315"/>
        <w:gridCol w:w="1540"/>
      </w:tblGrid>
      <w:tr w:rsidR="007F54B8" w:rsidRPr="002871B1" w14:paraId="4C82F462" w14:textId="77777777" w:rsidTr="004238EB">
        <w:trPr>
          <w:cantSplit/>
          <w:trHeight w:val="302"/>
        </w:trPr>
        <w:tc>
          <w:tcPr>
            <w:tcW w:w="5904" w:type="dxa"/>
            <w:tcBorders>
              <w:top w:val="single" w:sz="12" w:space="0" w:color="auto"/>
              <w:bottom w:val="single" w:sz="4" w:space="0" w:color="auto"/>
            </w:tcBorders>
            <w:vAlign w:val="bottom"/>
          </w:tcPr>
          <w:p w14:paraId="72A570BC" w14:textId="77777777" w:rsidR="007F54B8" w:rsidRPr="00F963B4" w:rsidRDefault="007F54B8" w:rsidP="004238EB">
            <w:pPr>
              <w:rPr>
                <w:b/>
                <w:bCs/>
                <w:color w:val="000000"/>
              </w:rPr>
            </w:pPr>
            <w:r w:rsidRPr="00F963B4">
              <w:rPr>
                <w:b/>
                <w:bCs/>
                <w:color w:val="000000"/>
              </w:rPr>
              <w:t>Nine months ended May 31</w:t>
            </w:r>
            <w:r>
              <w:rPr>
                <w:b/>
                <w:bCs/>
                <w:color w:val="000000"/>
              </w:rPr>
              <w:t>,</w:t>
            </w:r>
          </w:p>
        </w:tc>
        <w:tc>
          <w:tcPr>
            <w:tcW w:w="1871" w:type="dxa"/>
            <w:gridSpan w:val="2"/>
            <w:tcBorders>
              <w:top w:val="single" w:sz="12" w:space="0" w:color="auto"/>
              <w:bottom w:val="single" w:sz="4" w:space="0" w:color="auto"/>
            </w:tcBorders>
            <w:vAlign w:val="bottom"/>
          </w:tcPr>
          <w:p w14:paraId="4FE2D395" w14:textId="77777777" w:rsidR="007F54B8" w:rsidRPr="00F963B4" w:rsidRDefault="007F54B8" w:rsidP="004238EB">
            <w:pPr>
              <w:jc w:val="center"/>
              <w:rPr>
                <w:b/>
                <w:bCs/>
              </w:rPr>
            </w:pPr>
            <w:r w:rsidRPr="00F963B4">
              <w:rPr>
                <w:b/>
                <w:bCs/>
              </w:rPr>
              <w:t>202</w:t>
            </w:r>
            <w:r>
              <w:rPr>
                <w:b/>
                <w:bCs/>
              </w:rPr>
              <w:t>1</w:t>
            </w:r>
          </w:p>
        </w:tc>
        <w:tc>
          <w:tcPr>
            <w:tcW w:w="1855" w:type="dxa"/>
            <w:gridSpan w:val="2"/>
            <w:tcBorders>
              <w:top w:val="single" w:sz="12" w:space="0" w:color="auto"/>
              <w:bottom w:val="single" w:sz="4" w:space="0" w:color="auto"/>
            </w:tcBorders>
            <w:vAlign w:val="bottom"/>
          </w:tcPr>
          <w:p w14:paraId="4BDBDB90" w14:textId="77777777" w:rsidR="007F54B8" w:rsidRPr="00F963B4" w:rsidRDefault="007F54B8" w:rsidP="004238EB">
            <w:pPr>
              <w:jc w:val="center"/>
              <w:rPr>
                <w:b/>
                <w:bCs/>
              </w:rPr>
            </w:pPr>
            <w:r w:rsidRPr="00F963B4">
              <w:rPr>
                <w:b/>
                <w:bCs/>
              </w:rPr>
              <w:t xml:space="preserve"> 20</w:t>
            </w:r>
            <w:r>
              <w:rPr>
                <w:b/>
                <w:bCs/>
              </w:rPr>
              <w:t>20</w:t>
            </w:r>
          </w:p>
        </w:tc>
      </w:tr>
      <w:tr w:rsidR="007F54B8" w:rsidRPr="002871B1" w14:paraId="6B149EFB" w14:textId="77777777" w:rsidTr="004238EB">
        <w:trPr>
          <w:cantSplit/>
          <w:trHeight w:hRule="exact" w:val="274"/>
        </w:trPr>
        <w:tc>
          <w:tcPr>
            <w:tcW w:w="5904" w:type="dxa"/>
            <w:tcBorders>
              <w:top w:val="single" w:sz="4" w:space="0" w:color="auto"/>
            </w:tcBorders>
            <w:vAlign w:val="bottom"/>
          </w:tcPr>
          <w:p w14:paraId="56E641F8" w14:textId="77777777" w:rsidR="007F54B8" w:rsidRPr="00F963B4" w:rsidRDefault="007F54B8" w:rsidP="004238EB">
            <w:pPr>
              <w:pStyle w:val="Heading2"/>
              <w:keepNext w:val="0"/>
              <w:spacing w:before="0"/>
              <w:rPr>
                <w:rFonts w:ascii="Times New Roman" w:hAnsi="Times New Roman"/>
                <w:bCs/>
              </w:rPr>
            </w:pPr>
          </w:p>
        </w:tc>
        <w:tc>
          <w:tcPr>
            <w:tcW w:w="288" w:type="dxa"/>
            <w:tcBorders>
              <w:top w:val="single" w:sz="4" w:space="0" w:color="auto"/>
            </w:tcBorders>
            <w:vAlign w:val="bottom"/>
          </w:tcPr>
          <w:p w14:paraId="5A7DB649" w14:textId="77777777" w:rsidR="007F54B8" w:rsidRPr="00F963B4" w:rsidRDefault="007F54B8" w:rsidP="004238EB">
            <w:pPr>
              <w:pStyle w:val="CommentText"/>
              <w:jc w:val="right"/>
              <w:rPr>
                <w:rFonts w:ascii="Times New Roman" w:hAnsi="Times New Roman"/>
              </w:rPr>
            </w:pPr>
          </w:p>
        </w:tc>
        <w:tc>
          <w:tcPr>
            <w:tcW w:w="1583" w:type="dxa"/>
            <w:tcBorders>
              <w:top w:val="single" w:sz="4" w:space="0" w:color="auto"/>
            </w:tcBorders>
            <w:vAlign w:val="bottom"/>
          </w:tcPr>
          <w:p w14:paraId="23C6FDA4" w14:textId="77777777" w:rsidR="007F54B8" w:rsidRPr="00F963B4" w:rsidRDefault="007F54B8" w:rsidP="004238EB">
            <w:pPr>
              <w:pStyle w:val="CommentText"/>
              <w:jc w:val="right"/>
              <w:rPr>
                <w:rFonts w:ascii="Times New Roman" w:hAnsi="Times New Roman"/>
              </w:rPr>
            </w:pPr>
          </w:p>
        </w:tc>
        <w:tc>
          <w:tcPr>
            <w:tcW w:w="315" w:type="dxa"/>
            <w:tcBorders>
              <w:top w:val="single" w:sz="4" w:space="0" w:color="auto"/>
            </w:tcBorders>
            <w:vAlign w:val="bottom"/>
          </w:tcPr>
          <w:p w14:paraId="23FD3E5E" w14:textId="77777777" w:rsidR="007F54B8" w:rsidRPr="00F963B4" w:rsidRDefault="007F54B8" w:rsidP="004238EB">
            <w:pPr>
              <w:pStyle w:val="CommentText"/>
              <w:jc w:val="right"/>
              <w:rPr>
                <w:rFonts w:ascii="Times New Roman" w:hAnsi="Times New Roman"/>
              </w:rPr>
            </w:pPr>
          </w:p>
        </w:tc>
        <w:tc>
          <w:tcPr>
            <w:tcW w:w="1540" w:type="dxa"/>
            <w:tcBorders>
              <w:top w:val="single" w:sz="4" w:space="0" w:color="auto"/>
            </w:tcBorders>
            <w:vAlign w:val="bottom"/>
          </w:tcPr>
          <w:p w14:paraId="454E620E" w14:textId="77777777" w:rsidR="007F54B8" w:rsidRPr="00F963B4" w:rsidRDefault="007F54B8" w:rsidP="004238EB">
            <w:pPr>
              <w:pStyle w:val="CommentText"/>
              <w:jc w:val="right"/>
              <w:rPr>
                <w:rFonts w:ascii="Times New Roman" w:hAnsi="Times New Roman"/>
              </w:rPr>
            </w:pPr>
          </w:p>
        </w:tc>
      </w:tr>
      <w:tr w:rsidR="007F54B8" w:rsidRPr="002871B1" w14:paraId="4BA017FC" w14:textId="77777777" w:rsidTr="004238EB">
        <w:trPr>
          <w:cantSplit/>
          <w:trHeight w:hRule="exact" w:val="274"/>
        </w:trPr>
        <w:tc>
          <w:tcPr>
            <w:tcW w:w="5904" w:type="dxa"/>
            <w:vAlign w:val="bottom"/>
          </w:tcPr>
          <w:p w14:paraId="1123F29B" w14:textId="77777777" w:rsidR="007F54B8" w:rsidRPr="00F963B4" w:rsidRDefault="007F54B8" w:rsidP="004238EB">
            <w:pPr>
              <w:rPr>
                <w:b/>
              </w:rPr>
            </w:pPr>
            <w:r w:rsidRPr="00F963B4">
              <w:rPr>
                <w:b/>
              </w:rPr>
              <w:t>Operating Activities</w:t>
            </w:r>
          </w:p>
        </w:tc>
        <w:tc>
          <w:tcPr>
            <w:tcW w:w="288" w:type="dxa"/>
            <w:vAlign w:val="bottom"/>
          </w:tcPr>
          <w:p w14:paraId="2B1EDBAF" w14:textId="77777777" w:rsidR="007F54B8" w:rsidRPr="00F963B4" w:rsidRDefault="007F54B8" w:rsidP="004238EB">
            <w:pPr>
              <w:pStyle w:val="CommentText"/>
              <w:jc w:val="right"/>
              <w:rPr>
                <w:rFonts w:ascii="Times New Roman" w:hAnsi="Times New Roman"/>
              </w:rPr>
            </w:pPr>
          </w:p>
        </w:tc>
        <w:tc>
          <w:tcPr>
            <w:tcW w:w="1583" w:type="dxa"/>
            <w:vAlign w:val="bottom"/>
          </w:tcPr>
          <w:p w14:paraId="59DE84F7" w14:textId="77777777" w:rsidR="007F54B8" w:rsidRPr="00F963B4" w:rsidRDefault="007F54B8" w:rsidP="004238EB">
            <w:pPr>
              <w:pStyle w:val="CommentText"/>
              <w:jc w:val="right"/>
              <w:rPr>
                <w:rFonts w:ascii="Times New Roman" w:hAnsi="Times New Roman"/>
              </w:rPr>
            </w:pPr>
          </w:p>
        </w:tc>
        <w:tc>
          <w:tcPr>
            <w:tcW w:w="315" w:type="dxa"/>
            <w:vAlign w:val="bottom"/>
          </w:tcPr>
          <w:p w14:paraId="489FE101" w14:textId="77777777" w:rsidR="007F54B8" w:rsidRPr="00F963B4" w:rsidRDefault="007F54B8" w:rsidP="004238EB">
            <w:pPr>
              <w:jc w:val="right"/>
            </w:pPr>
          </w:p>
        </w:tc>
        <w:tc>
          <w:tcPr>
            <w:tcW w:w="1540" w:type="dxa"/>
            <w:vAlign w:val="bottom"/>
          </w:tcPr>
          <w:p w14:paraId="3887C512" w14:textId="77777777" w:rsidR="007F54B8" w:rsidRPr="00F963B4" w:rsidRDefault="007F54B8" w:rsidP="004238EB">
            <w:pPr>
              <w:pStyle w:val="CommentText"/>
              <w:jc w:val="right"/>
              <w:rPr>
                <w:rFonts w:ascii="Times New Roman" w:hAnsi="Times New Roman"/>
              </w:rPr>
            </w:pPr>
          </w:p>
        </w:tc>
      </w:tr>
      <w:tr w:rsidR="007F54B8" w:rsidRPr="002871B1" w14:paraId="17E3AB9A" w14:textId="77777777" w:rsidTr="004238EB">
        <w:trPr>
          <w:cantSplit/>
          <w:trHeight w:hRule="exact" w:val="274"/>
        </w:trPr>
        <w:tc>
          <w:tcPr>
            <w:tcW w:w="5904" w:type="dxa"/>
            <w:vAlign w:val="bottom"/>
          </w:tcPr>
          <w:p w14:paraId="57C4ED38" w14:textId="77777777" w:rsidR="007F54B8" w:rsidRPr="00F963B4" w:rsidRDefault="007F54B8" w:rsidP="004238EB">
            <w:pPr>
              <w:ind w:left="180"/>
            </w:pPr>
            <w:r w:rsidRPr="00F963B4">
              <w:t>Net loss for period</w:t>
            </w:r>
          </w:p>
        </w:tc>
        <w:tc>
          <w:tcPr>
            <w:tcW w:w="288" w:type="dxa"/>
            <w:vAlign w:val="bottom"/>
          </w:tcPr>
          <w:p w14:paraId="38CD72E8"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p>
        </w:tc>
        <w:tc>
          <w:tcPr>
            <w:tcW w:w="1583" w:type="dxa"/>
            <w:vAlign w:val="bottom"/>
          </w:tcPr>
          <w:p w14:paraId="3CBE07E5"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r>
              <w:rPr>
                <w:rFonts w:ascii="Times New Roman" w:hAnsi="Times New Roman"/>
              </w:rPr>
              <w:t>534,582</w:t>
            </w:r>
            <w:r w:rsidRPr="00F963B4">
              <w:rPr>
                <w:rFonts w:ascii="Times New Roman" w:hAnsi="Times New Roman"/>
              </w:rPr>
              <w:t>)</w:t>
            </w:r>
          </w:p>
        </w:tc>
        <w:tc>
          <w:tcPr>
            <w:tcW w:w="315" w:type="dxa"/>
            <w:vAlign w:val="bottom"/>
          </w:tcPr>
          <w:p w14:paraId="6141BF52" w14:textId="77777777" w:rsidR="007F54B8" w:rsidRPr="00F963B4" w:rsidRDefault="007F54B8" w:rsidP="004238EB">
            <w:pPr>
              <w:jc w:val="right"/>
            </w:pPr>
            <w:r w:rsidRPr="00F963B4">
              <w:t>$</w:t>
            </w:r>
          </w:p>
        </w:tc>
        <w:tc>
          <w:tcPr>
            <w:tcW w:w="1540" w:type="dxa"/>
            <w:vAlign w:val="bottom"/>
          </w:tcPr>
          <w:p w14:paraId="3255928B"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r>
              <w:rPr>
                <w:rFonts w:ascii="Times New Roman" w:hAnsi="Times New Roman"/>
              </w:rPr>
              <w:t>85,054</w:t>
            </w:r>
            <w:r w:rsidRPr="00F963B4">
              <w:rPr>
                <w:rFonts w:ascii="Times New Roman" w:hAnsi="Times New Roman"/>
              </w:rPr>
              <w:t>)</w:t>
            </w:r>
          </w:p>
        </w:tc>
      </w:tr>
      <w:tr w:rsidR="007F54B8" w:rsidRPr="002871B1" w14:paraId="17BF2E42" w14:textId="77777777" w:rsidTr="004238EB">
        <w:trPr>
          <w:cantSplit/>
          <w:trHeight w:hRule="exact" w:val="274"/>
        </w:trPr>
        <w:tc>
          <w:tcPr>
            <w:tcW w:w="5904" w:type="dxa"/>
            <w:vAlign w:val="bottom"/>
          </w:tcPr>
          <w:p w14:paraId="143AE2E7" w14:textId="77777777" w:rsidR="007F54B8" w:rsidRPr="00F963B4" w:rsidRDefault="007F54B8" w:rsidP="004238EB">
            <w:pPr>
              <w:ind w:left="180"/>
            </w:pPr>
            <w:r>
              <w:t>Non-cash item</w:t>
            </w:r>
            <w:r w:rsidRPr="00F963B4">
              <w:t>:</w:t>
            </w:r>
          </w:p>
        </w:tc>
        <w:tc>
          <w:tcPr>
            <w:tcW w:w="288" w:type="dxa"/>
            <w:vAlign w:val="bottom"/>
          </w:tcPr>
          <w:p w14:paraId="321F74FC" w14:textId="77777777" w:rsidR="007F54B8" w:rsidRPr="00F963B4" w:rsidRDefault="007F54B8" w:rsidP="004238EB">
            <w:pPr>
              <w:pStyle w:val="CommentText"/>
              <w:jc w:val="right"/>
              <w:rPr>
                <w:rFonts w:ascii="Times New Roman" w:hAnsi="Times New Roman"/>
              </w:rPr>
            </w:pPr>
          </w:p>
        </w:tc>
        <w:tc>
          <w:tcPr>
            <w:tcW w:w="1583" w:type="dxa"/>
            <w:vAlign w:val="bottom"/>
          </w:tcPr>
          <w:p w14:paraId="7BD7C2CE" w14:textId="77777777" w:rsidR="007F54B8" w:rsidRPr="00F963B4" w:rsidRDefault="007F54B8" w:rsidP="004238EB">
            <w:pPr>
              <w:pStyle w:val="CommentText"/>
              <w:jc w:val="right"/>
              <w:rPr>
                <w:rFonts w:ascii="Times New Roman" w:hAnsi="Times New Roman"/>
              </w:rPr>
            </w:pPr>
          </w:p>
        </w:tc>
        <w:tc>
          <w:tcPr>
            <w:tcW w:w="315" w:type="dxa"/>
            <w:vAlign w:val="bottom"/>
          </w:tcPr>
          <w:p w14:paraId="1F59622F" w14:textId="77777777" w:rsidR="007F54B8" w:rsidRPr="00F963B4" w:rsidRDefault="007F54B8" w:rsidP="004238EB">
            <w:pPr>
              <w:jc w:val="right"/>
            </w:pPr>
          </w:p>
        </w:tc>
        <w:tc>
          <w:tcPr>
            <w:tcW w:w="1540" w:type="dxa"/>
            <w:vAlign w:val="bottom"/>
          </w:tcPr>
          <w:p w14:paraId="4318569A" w14:textId="77777777" w:rsidR="007F54B8" w:rsidRPr="00F963B4" w:rsidRDefault="007F54B8" w:rsidP="004238EB">
            <w:pPr>
              <w:pStyle w:val="CommentText"/>
              <w:jc w:val="right"/>
              <w:rPr>
                <w:rFonts w:ascii="Times New Roman" w:hAnsi="Times New Roman"/>
              </w:rPr>
            </w:pPr>
          </w:p>
        </w:tc>
      </w:tr>
      <w:tr w:rsidR="007F54B8" w:rsidRPr="002871B1" w14:paraId="0871CDDE" w14:textId="77777777" w:rsidTr="004238EB">
        <w:trPr>
          <w:cantSplit/>
          <w:trHeight w:hRule="exact" w:val="274"/>
        </w:trPr>
        <w:tc>
          <w:tcPr>
            <w:tcW w:w="5904" w:type="dxa"/>
            <w:vAlign w:val="bottom"/>
          </w:tcPr>
          <w:p w14:paraId="1C5E6B6D" w14:textId="77777777" w:rsidR="007F54B8" w:rsidRPr="00F963B4" w:rsidRDefault="007F54B8" w:rsidP="004238EB">
            <w:pPr>
              <w:ind w:left="360"/>
            </w:pPr>
            <w:r>
              <w:t>Share-based compensation</w:t>
            </w:r>
          </w:p>
        </w:tc>
        <w:tc>
          <w:tcPr>
            <w:tcW w:w="288" w:type="dxa"/>
            <w:vAlign w:val="bottom"/>
          </w:tcPr>
          <w:p w14:paraId="6D4BF914" w14:textId="77777777" w:rsidR="007F54B8" w:rsidRPr="00F963B4" w:rsidRDefault="007F54B8" w:rsidP="004238EB">
            <w:pPr>
              <w:pStyle w:val="CommentText"/>
              <w:jc w:val="right"/>
              <w:rPr>
                <w:rFonts w:ascii="Times New Roman" w:hAnsi="Times New Roman"/>
              </w:rPr>
            </w:pPr>
          </w:p>
        </w:tc>
        <w:tc>
          <w:tcPr>
            <w:tcW w:w="1583" w:type="dxa"/>
            <w:vAlign w:val="bottom"/>
          </w:tcPr>
          <w:p w14:paraId="169F7538" w14:textId="77777777" w:rsidR="007F54B8" w:rsidRPr="00F963B4" w:rsidRDefault="007F54B8" w:rsidP="004238EB">
            <w:pPr>
              <w:pStyle w:val="CommentText"/>
              <w:jc w:val="right"/>
              <w:rPr>
                <w:rFonts w:ascii="Times New Roman" w:hAnsi="Times New Roman"/>
              </w:rPr>
            </w:pPr>
            <w:r>
              <w:rPr>
                <w:rFonts w:ascii="Times New Roman" w:hAnsi="Times New Roman"/>
              </w:rPr>
              <w:t>166,200</w:t>
            </w:r>
          </w:p>
        </w:tc>
        <w:tc>
          <w:tcPr>
            <w:tcW w:w="315" w:type="dxa"/>
            <w:vAlign w:val="bottom"/>
          </w:tcPr>
          <w:p w14:paraId="7E60B00B" w14:textId="77777777" w:rsidR="007F54B8" w:rsidRPr="00F963B4" w:rsidRDefault="007F54B8" w:rsidP="004238EB">
            <w:pPr>
              <w:jc w:val="right"/>
            </w:pPr>
          </w:p>
        </w:tc>
        <w:tc>
          <w:tcPr>
            <w:tcW w:w="1540" w:type="dxa"/>
            <w:vAlign w:val="bottom"/>
          </w:tcPr>
          <w:p w14:paraId="5E4E99DE" w14:textId="77777777" w:rsidR="007F54B8" w:rsidRPr="00F963B4" w:rsidRDefault="007F54B8" w:rsidP="004238EB">
            <w:pPr>
              <w:pStyle w:val="CommentText"/>
              <w:jc w:val="right"/>
              <w:rPr>
                <w:rFonts w:ascii="Times New Roman" w:hAnsi="Times New Roman"/>
              </w:rPr>
            </w:pPr>
            <w:r>
              <w:rPr>
                <w:rFonts w:ascii="Times New Roman" w:hAnsi="Times New Roman"/>
              </w:rPr>
              <w:t>-</w:t>
            </w:r>
          </w:p>
        </w:tc>
      </w:tr>
      <w:tr w:rsidR="007F54B8" w:rsidRPr="002871B1" w14:paraId="793C55D1" w14:textId="77777777" w:rsidTr="004238EB">
        <w:trPr>
          <w:cantSplit/>
          <w:trHeight w:hRule="exact" w:val="274"/>
        </w:trPr>
        <w:tc>
          <w:tcPr>
            <w:tcW w:w="5904" w:type="dxa"/>
            <w:shd w:val="clear" w:color="auto" w:fill="auto"/>
            <w:vAlign w:val="bottom"/>
          </w:tcPr>
          <w:p w14:paraId="10F36690" w14:textId="77777777" w:rsidR="007F54B8" w:rsidRPr="00F963B4" w:rsidRDefault="007F54B8" w:rsidP="004238EB">
            <w:pPr>
              <w:ind w:left="180"/>
            </w:pPr>
            <w:r>
              <w:t>Change in working capital balances</w:t>
            </w:r>
            <w:r w:rsidRPr="00F963B4">
              <w:t>:</w:t>
            </w:r>
          </w:p>
        </w:tc>
        <w:tc>
          <w:tcPr>
            <w:tcW w:w="288" w:type="dxa"/>
            <w:shd w:val="clear" w:color="auto" w:fill="auto"/>
            <w:vAlign w:val="bottom"/>
          </w:tcPr>
          <w:p w14:paraId="64B25C88" w14:textId="77777777" w:rsidR="007F54B8" w:rsidRPr="00F963B4" w:rsidRDefault="007F54B8" w:rsidP="004238EB">
            <w:pPr>
              <w:pStyle w:val="CommentText"/>
              <w:jc w:val="right"/>
              <w:rPr>
                <w:rFonts w:ascii="Times New Roman" w:hAnsi="Times New Roman"/>
              </w:rPr>
            </w:pPr>
          </w:p>
        </w:tc>
        <w:tc>
          <w:tcPr>
            <w:tcW w:w="1583" w:type="dxa"/>
            <w:shd w:val="clear" w:color="auto" w:fill="auto"/>
            <w:vAlign w:val="bottom"/>
          </w:tcPr>
          <w:p w14:paraId="2994AC6B" w14:textId="77777777" w:rsidR="007F54B8" w:rsidRPr="00F963B4" w:rsidRDefault="007F54B8" w:rsidP="004238EB">
            <w:pPr>
              <w:pStyle w:val="CommentText"/>
              <w:jc w:val="right"/>
              <w:rPr>
                <w:rFonts w:ascii="Times New Roman" w:hAnsi="Times New Roman"/>
              </w:rPr>
            </w:pPr>
          </w:p>
        </w:tc>
        <w:tc>
          <w:tcPr>
            <w:tcW w:w="315" w:type="dxa"/>
            <w:shd w:val="clear" w:color="auto" w:fill="auto"/>
            <w:vAlign w:val="bottom"/>
          </w:tcPr>
          <w:p w14:paraId="47A744A3" w14:textId="77777777" w:rsidR="007F54B8" w:rsidRPr="00F963B4" w:rsidRDefault="007F54B8" w:rsidP="004238EB">
            <w:pPr>
              <w:jc w:val="right"/>
            </w:pPr>
          </w:p>
        </w:tc>
        <w:tc>
          <w:tcPr>
            <w:tcW w:w="1540" w:type="dxa"/>
            <w:shd w:val="clear" w:color="auto" w:fill="auto"/>
            <w:vAlign w:val="bottom"/>
          </w:tcPr>
          <w:p w14:paraId="7700EACB" w14:textId="77777777" w:rsidR="007F54B8" w:rsidRPr="00F963B4" w:rsidRDefault="007F54B8" w:rsidP="004238EB">
            <w:pPr>
              <w:pStyle w:val="CommentText"/>
              <w:jc w:val="right"/>
              <w:rPr>
                <w:rFonts w:ascii="Times New Roman" w:hAnsi="Times New Roman"/>
              </w:rPr>
            </w:pPr>
          </w:p>
        </w:tc>
      </w:tr>
      <w:tr w:rsidR="007F54B8" w:rsidRPr="002871B1" w14:paraId="5E3B9D84" w14:textId="77777777" w:rsidTr="004238EB">
        <w:trPr>
          <w:cantSplit/>
          <w:trHeight w:hRule="exact" w:val="274"/>
        </w:trPr>
        <w:tc>
          <w:tcPr>
            <w:tcW w:w="5904" w:type="dxa"/>
            <w:shd w:val="clear" w:color="auto" w:fill="auto"/>
            <w:vAlign w:val="bottom"/>
          </w:tcPr>
          <w:p w14:paraId="1AB53EAB" w14:textId="77777777" w:rsidR="007F54B8" w:rsidRPr="00F963B4" w:rsidRDefault="007F54B8" w:rsidP="004238EB">
            <w:pPr>
              <w:ind w:left="360"/>
            </w:pPr>
            <w:r w:rsidRPr="00F963B4">
              <w:t>Receivable</w:t>
            </w:r>
            <w:r w:rsidRPr="003F34B2">
              <w:t>s</w:t>
            </w:r>
          </w:p>
        </w:tc>
        <w:tc>
          <w:tcPr>
            <w:tcW w:w="288" w:type="dxa"/>
            <w:shd w:val="clear" w:color="auto" w:fill="auto"/>
            <w:vAlign w:val="bottom"/>
          </w:tcPr>
          <w:p w14:paraId="3631F6D2" w14:textId="77777777" w:rsidR="007F54B8" w:rsidRPr="00F963B4" w:rsidRDefault="007F54B8" w:rsidP="004238EB">
            <w:pPr>
              <w:pStyle w:val="CommentText"/>
              <w:jc w:val="right"/>
              <w:rPr>
                <w:rFonts w:ascii="Times New Roman" w:hAnsi="Times New Roman"/>
              </w:rPr>
            </w:pPr>
          </w:p>
        </w:tc>
        <w:tc>
          <w:tcPr>
            <w:tcW w:w="1583" w:type="dxa"/>
            <w:shd w:val="clear" w:color="auto" w:fill="auto"/>
            <w:vAlign w:val="bottom"/>
          </w:tcPr>
          <w:p w14:paraId="35D6A1D1" w14:textId="77777777" w:rsidR="007F54B8" w:rsidRPr="00F963B4" w:rsidRDefault="007F54B8" w:rsidP="004238EB">
            <w:pPr>
              <w:pStyle w:val="CommentText"/>
              <w:jc w:val="right"/>
              <w:rPr>
                <w:rFonts w:ascii="Times New Roman" w:hAnsi="Times New Roman"/>
              </w:rPr>
            </w:pPr>
            <w:r>
              <w:rPr>
                <w:rFonts w:ascii="Times New Roman" w:hAnsi="Times New Roman"/>
              </w:rPr>
              <w:t>7,897</w:t>
            </w:r>
          </w:p>
        </w:tc>
        <w:tc>
          <w:tcPr>
            <w:tcW w:w="315" w:type="dxa"/>
            <w:shd w:val="clear" w:color="auto" w:fill="auto"/>
            <w:vAlign w:val="bottom"/>
          </w:tcPr>
          <w:p w14:paraId="060AAC5D" w14:textId="77777777" w:rsidR="007F54B8" w:rsidRPr="00F963B4" w:rsidRDefault="007F54B8" w:rsidP="004238EB">
            <w:pPr>
              <w:jc w:val="right"/>
            </w:pPr>
          </w:p>
        </w:tc>
        <w:tc>
          <w:tcPr>
            <w:tcW w:w="1540" w:type="dxa"/>
            <w:shd w:val="clear" w:color="auto" w:fill="auto"/>
            <w:vAlign w:val="bottom"/>
          </w:tcPr>
          <w:p w14:paraId="628332AA" w14:textId="77777777" w:rsidR="007F54B8" w:rsidRPr="00F963B4" w:rsidRDefault="007F54B8" w:rsidP="004238EB">
            <w:pPr>
              <w:pStyle w:val="CommentText"/>
              <w:jc w:val="right"/>
              <w:rPr>
                <w:rFonts w:ascii="Times New Roman" w:hAnsi="Times New Roman"/>
              </w:rPr>
            </w:pPr>
            <w:r w:rsidRPr="003F34B2">
              <w:rPr>
                <w:rFonts w:ascii="Times New Roman" w:hAnsi="Times New Roman"/>
              </w:rPr>
              <w:t>2,66</w:t>
            </w:r>
            <w:r>
              <w:rPr>
                <w:rFonts w:ascii="Times New Roman" w:hAnsi="Times New Roman"/>
              </w:rPr>
              <w:t>3</w:t>
            </w:r>
          </w:p>
        </w:tc>
      </w:tr>
      <w:tr w:rsidR="007F54B8" w:rsidRPr="002871B1" w14:paraId="0F4031C5" w14:textId="77777777" w:rsidTr="004238EB">
        <w:trPr>
          <w:cantSplit/>
          <w:trHeight w:hRule="exact" w:val="274"/>
        </w:trPr>
        <w:tc>
          <w:tcPr>
            <w:tcW w:w="5904" w:type="dxa"/>
            <w:vAlign w:val="bottom"/>
          </w:tcPr>
          <w:p w14:paraId="3016B12A" w14:textId="77777777" w:rsidR="007F54B8" w:rsidRPr="00F963B4" w:rsidRDefault="007F54B8" w:rsidP="004238EB">
            <w:pPr>
              <w:ind w:left="360"/>
            </w:pPr>
            <w:r w:rsidRPr="00F963B4">
              <w:t xml:space="preserve">Prepaid </w:t>
            </w:r>
            <w:r>
              <w:t>e</w:t>
            </w:r>
            <w:r w:rsidRPr="00F963B4">
              <w:t>xpenses</w:t>
            </w:r>
          </w:p>
        </w:tc>
        <w:tc>
          <w:tcPr>
            <w:tcW w:w="288" w:type="dxa"/>
            <w:vAlign w:val="bottom"/>
          </w:tcPr>
          <w:p w14:paraId="7197546C" w14:textId="77777777" w:rsidR="007F54B8" w:rsidRPr="00F963B4" w:rsidRDefault="007F54B8" w:rsidP="004238EB">
            <w:pPr>
              <w:pStyle w:val="CommentText"/>
              <w:jc w:val="right"/>
              <w:rPr>
                <w:rFonts w:ascii="Times New Roman" w:hAnsi="Times New Roman"/>
              </w:rPr>
            </w:pPr>
          </w:p>
        </w:tc>
        <w:tc>
          <w:tcPr>
            <w:tcW w:w="1583" w:type="dxa"/>
            <w:vAlign w:val="bottom"/>
          </w:tcPr>
          <w:p w14:paraId="558EADF7" w14:textId="77777777" w:rsidR="007F54B8" w:rsidRPr="00F963B4" w:rsidRDefault="007F54B8" w:rsidP="004238EB">
            <w:pPr>
              <w:pStyle w:val="CommentText"/>
              <w:jc w:val="right"/>
              <w:rPr>
                <w:rFonts w:ascii="Times New Roman" w:hAnsi="Times New Roman"/>
              </w:rPr>
            </w:pPr>
            <w:r>
              <w:rPr>
                <w:rFonts w:ascii="Times New Roman" w:hAnsi="Times New Roman"/>
              </w:rPr>
              <w:t>27,000</w:t>
            </w:r>
          </w:p>
        </w:tc>
        <w:tc>
          <w:tcPr>
            <w:tcW w:w="315" w:type="dxa"/>
            <w:vAlign w:val="bottom"/>
          </w:tcPr>
          <w:p w14:paraId="5DB4CAF3" w14:textId="77777777" w:rsidR="007F54B8" w:rsidRPr="00F963B4" w:rsidRDefault="007F54B8" w:rsidP="004238EB">
            <w:pPr>
              <w:jc w:val="right"/>
            </w:pPr>
          </w:p>
        </w:tc>
        <w:tc>
          <w:tcPr>
            <w:tcW w:w="1540" w:type="dxa"/>
            <w:vAlign w:val="bottom"/>
          </w:tcPr>
          <w:p w14:paraId="7BDAAD88"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21,059</w:t>
            </w:r>
          </w:p>
        </w:tc>
      </w:tr>
      <w:tr w:rsidR="007F54B8" w:rsidRPr="002871B1" w14:paraId="2899322A" w14:textId="77777777" w:rsidTr="004238EB">
        <w:trPr>
          <w:cantSplit/>
          <w:trHeight w:hRule="exact" w:val="274"/>
        </w:trPr>
        <w:tc>
          <w:tcPr>
            <w:tcW w:w="5904" w:type="dxa"/>
            <w:vAlign w:val="bottom"/>
          </w:tcPr>
          <w:p w14:paraId="2CC213AE" w14:textId="77777777" w:rsidR="007F54B8" w:rsidRPr="00F963B4" w:rsidRDefault="007F54B8" w:rsidP="004238EB">
            <w:pPr>
              <w:ind w:left="360"/>
            </w:pPr>
            <w:r w:rsidRPr="00F963B4">
              <w:t xml:space="preserve">Accounts </w:t>
            </w:r>
            <w:r>
              <w:t>p</w:t>
            </w:r>
            <w:r w:rsidRPr="00F963B4">
              <w:t>ayable</w:t>
            </w:r>
            <w:r>
              <w:t xml:space="preserve"> and accrued liabilities</w:t>
            </w:r>
          </w:p>
        </w:tc>
        <w:tc>
          <w:tcPr>
            <w:tcW w:w="288" w:type="dxa"/>
            <w:vAlign w:val="bottom"/>
          </w:tcPr>
          <w:p w14:paraId="2C79CE22" w14:textId="77777777" w:rsidR="007F54B8" w:rsidRPr="00F963B4" w:rsidRDefault="007F54B8" w:rsidP="004238EB">
            <w:pPr>
              <w:pStyle w:val="CommentText"/>
              <w:jc w:val="right"/>
              <w:rPr>
                <w:rFonts w:ascii="Times New Roman" w:hAnsi="Times New Roman"/>
              </w:rPr>
            </w:pPr>
          </w:p>
        </w:tc>
        <w:tc>
          <w:tcPr>
            <w:tcW w:w="1583" w:type="dxa"/>
            <w:vAlign w:val="bottom"/>
          </w:tcPr>
          <w:p w14:paraId="57E5B29C" w14:textId="77777777" w:rsidR="007F54B8" w:rsidRPr="00F963B4" w:rsidRDefault="007F54B8" w:rsidP="004238EB">
            <w:pPr>
              <w:pStyle w:val="CommentText"/>
              <w:jc w:val="right"/>
              <w:rPr>
                <w:rFonts w:ascii="Times New Roman" w:hAnsi="Times New Roman"/>
              </w:rPr>
            </w:pPr>
            <w:r>
              <w:rPr>
                <w:rFonts w:ascii="Times New Roman" w:hAnsi="Times New Roman"/>
              </w:rPr>
              <w:t>11,295</w:t>
            </w:r>
          </w:p>
        </w:tc>
        <w:tc>
          <w:tcPr>
            <w:tcW w:w="315" w:type="dxa"/>
            <w:vAlign w:val="bottom"/>
          </w:tcPr>
          <w:p w14:paraId="2201F6B8" w14:textId="77777777" w:rsidR="007F54B8" w:rsidRPr="00F963B4" w:rsidRDefault="007F54B8" w:rsidP="004238EB">
            <w:pPr>
              <w:jc w:val="right"/>
            </w:pPr>
          </w:p>
        </w:tc>
        <w:tc>
          <w:tcPr>
            <w:tcW w:w="1540" w:type="dxa"/>
            <w:vAlign w:val="bottom"/>
          </w:tcPr>
          <w:p w14:paraId="4062C7D6"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13,</w:t>
            </w:r>
            <w:r>
              <w:rPr>
                <w:rFonts w:ascii="Times New Roman" w:hAnsi="Times New Roman"/>
              </w:rPr>
              <w:t>019</w:t>
            </w:r>
          </w:p>
        </w:tc>
      </w:tr>
      <w:tr w:rsidR="007F54B8" w:rsidRPr="002871B1" w14:paraId="58C323C2" w14:textId="77777777" w:rsidTr="004238EB">
        <w:trPr>
          <w:cantSplit/>
          <w:trHeight w:hRule="exact" w:val="274"/>
        </w:trPr>
        <w:tc>
          <w:tcPr>
            <w:tcW w:w="5904" w:type="dxa"/>
            <w:tcBorders>
              <w:top w:val="single" w:sz="4" w:space="0" w:color="auto"/>
            </w:tcBorders>
            <w:vAlign w:val="bottom"/>
          </w:tcPr>
          <w:p w14:paraId="18262B6F" w14:textId="77777777" w:rsidR="007F54B8" w:rsidRPr="00F963B4" w:rsidRDefault="007F54B8" w:rsidP="004238EB">
            <w:pPr>
              <w:rPr>
                <w:b/>
              </w:rPr>
            </w:pPr>
          </w:p>
        </w:tc>
        <w:tc>
          <w:tcPr>
            <w:tcW w:w="288" w:type="dxa"/>
            <w:tcBorders>
              <w:top w:val="single" w:sz="4" w:space="0" w:color="auto"/>
            </w:tcBorders>
            <w:vAlign w:val="bottom"/>
          </w:tcPr>
          <w:p w14:paraId="0B5D0151" w14:textId="77777777" w:rsidR="007F54B8" w:rsidRPr="00F963B4" w:rsidRDefault="007F54B8" w:rsidP="004238EB">
            <w:pPr>
              <w:pStyle w:val="CommentText"/>
              <w:jc w:val="right"/>
              <w:rPr>
                <w:rFonts w:ascii="Times New Roman" w:hAnsi="Times New Roman"/>
              </w:rPr>
            </w:pPr>
          </w:p>
        </w:tc>
        <w:tc>
          <w:tcPr>
            <w:tcW w:w="1583" w:type="dxa"/>
            <w:tcBorders>
              <w:top w:val="single" w:sz="4" w:space="0" w:color="auto"/>
            </w:tcBorders>
            <w:vAlign w:val="bottom"/>
          </w:tcPr>
          <w:p w14:paraId="0A08388D" w14:textId="77777777" w:rsidR="007F54B8" w:rsidRPr="00F963B4" w:rsidRDefault="007F54B8" w:rsidP="004238EB">
            <w:pPr>
              <w:pStyle w:val="CommentText"/>
              <w:jc w:val="right"/>
              <w:rPr>
                <w:rFonts w:ascii="Times New Roman" w:hAnsi="Times New Roman"/>
              </w:rPr>
            </w:pPr>
          </w:p>
        </w:tc>
        <w:tc>
          <w:tcPr>
            <w:tcW w:w="315" w:type="dxa"/>
            <w:tcBorders>
              <w:top w:val="single" w:sz="4" w:space="0" w:color="auto"/>
            </w:tcBorders>
            <w:vAlign w:val="bottom"/>
          </w:tcPr>
          <w:p w14:paraId="786E2E92" w14:textId="77777777" w:rsidR="007F54B8" w:rsidRPr="00F963B4" w:rsidRDefault="007F54B8" w:rsidP="004238EB">
            <w:pPr>
              <w:jc w:val="right"/>
            </w:pPr>
          </w:p>
        </w:tc>
        <w:tc>
          <w:tcPr>
            <w:tcW w:w="1540" w:type="dxa"/>
            <w:tcBorders>
              <w:top w:val="single" w:sz="4" w:space="0" w:color="auto"/>
            </w:tcBorders>
            <w:vAlign w:val="bottom"/>
          </w:tcPr>
          <w:p w14:paraId="35FD7D78" w14:textId="77777777" w:rsidR="007F54B8" w:rsidRPr="00F963B4" w:rsidRDefault="007F54B8" w:rsidP="004238EB">
            <w:pPr>
              <w:pStyle w:val="CommentText"/>
              <w:jc w:val="right"/>
              <w:rPr>
                <w:rFonts w:ascii="Times New Roman" w:hAnsi="Times New Roman"/>
              </w:rPr>
            </w:pPr>
          </w:p>
        </w:tc>
      </w:tr>
      <w:tr w:rsidR="007F54B8" w:rsidRPr="002871B1" w14:paraId="346E1A1A" w14:textId="77777777" w:rsidTr="004238EB">
        <w:trPr>
          <w:cantSplit/>
          <w:trHeight w:hRule="exact" w:val="274"/>
        </w:trPr>
        <w:tc>
          <w:tcPr>
            <w:tcW w:w="5904" w:type="dxa"/>
            <w:vAlign w:val="bottom"/>
          </w:tcPr>
          <w:p w14:paraId="513FA809" w14:textId="77777777" w:rsidR="007F54B8" w:rsidRPr="00F963B4" w:rsidRDefault="007F54B8" w:rsidP="004238EB">
            <w:pPr>
              <w:rPr>
                <w:b/>
              </w:rPr>
            </w:pPr>
            <w:r w:rsidRPr="00F963B4">
              <w:rPr>
                <w:b/>
              </w:rPr>
              <w:t xml:space="preserve">Net Cash </w:t>
            </w:r>
            <w:r>
              <w:rPr>
                <w:b/>
              </w:rPr>
              <w:t>Used in</w:t>
            </w:r>
            <w:r w:rsidRPr="00F963B4">
              <w:rPr>
                <w:b/>
              </w:rPr>
              <w:t xml:space="preserve"> Operating Activities</w:t>
            </w:r>
          </w:p>
        </w:tc>
        <w:tc>
          <w:tcPr>
            <w:tcW w:w="288" w:type="dxa"/>
            <w:vAlign w:val="bottom"/>
          </w:tcPr>
          <w:p w14:paraId="121E43F4" w14:textId="77777777" w:rsidR="007F54B8" w:rsidRPr="00F963B4" w:rsidRDefault="007F54B8" w:rsidP="004238EB">
            <w:pPr>
              <w:pStyle w:val="CommentText"/>
              <w:jc w:val="right"/>
              <w:rPr>
                <w:rFonts w:ascii="Times New Roman" w:hAnsi="Times New Roman"/>
              </w:rPr>
            </w:pPr>
          </w:p>
        </w:tc>
        <w:tc>
          <w:tcPr>
            <w:tcW w:w="1583" w:type="dxa"/>
            <w:vAlign w:val="bottom"/>
          </w:tcPr>
          <w:p w14:paraId="2E21A396"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r>
              <w:rPr>
                <w:rFonts w:ascii="Times New Roman" w:hAnsi="Times New Roman"/>
              </w:rPr>
              <w:t>322,190</w:t>
            </w:r>
            <w:r w:rsidRPr="00F963B4">
              <w:rPr>
                <w:rFonts w:ascii="Times New Roman" w:hAnsi="Times New Roman"/>
              </w:rPr>
              <w:t>)</w:t>
            </w:r>
          </w:p>
        </w:tc>
        <w:tc>
          <w:tcPr>
            <w:tcW w:w="315" w:type="dxa"/>
            <w:vAlign w:val="bottom"/>
          </w:tcPr>
          <w:p w14:paraId="5B8D70F5" w14:textId="77777777" w:rsidR="007F54B8" w:rsidRPr="00F963B4" w:rsidRDefault="007F54B8" w:rsidP="004238EB">
            <w:pPr>
              <w:jc w:val="right"/>
            </w:pPr>
          </w:p>
        </w:tc>
        <w:tc>
          <w:tcPr>
            <w:tcW w:w="1540" w:type="dxa"/>
            <w:vAlign w:val="bottom"/>
          </w:tcPr>
          <w:p w14:paraId="5C333B12"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r>
              <w:rPr>
                <w:rFonts w:ascii="Times New Roman" w:hAnsi="Times New Roman"/>
              </w:rPr>
              <w:t>48,313</w:t>
            </w:r>
            <w:r w:rsidRPr="00F963B4">
              <w:rPr>
                <w:rFonts w:ascii="Times New Roman" w:hAnsi="Times New Roman"/>
              </w:rPr>
              <w:t>)</w:t>
            </w:r>
          </w:p>
        </w:tc>
      </w:tr>
      <w:tr w:rsidR="007F54B8" w:rsidRPr="002871B1" w14:paraId="2EBC7440" w14:textId="77777777" w:rsidTr="004238EB">
        <w:trPr>
          <w:cantSplit/>
          <w:trHeight w:hRule="exact" w:val="274"/>
        </w:trPr>
        <w:tc>
          <w:tcPr>
            <w:tcW w:w="5904" w:type="dxa"/>
            <w:tcBorders>
              <w:top w:val="single" w:sz="4" w:space="0" w:color="auto"/>
            </w:tcBorders>
            <w:vAlign w:val="bottom"/>
          </w:tcPr>
          <w:p w14:paraId="7EEC14E2" w14:textId="77777777" w:rsidR="007F54B8" w:rsidRPr="00F963B4" w:rsidRDefault="007F54B8" w:rsidP="004238EB">
            <w:pPr>
              <w:rPr>
                <w:b/>
              </w:rPr>
            </w:pPr>
          </w:p>
        </w:tc>
        <w:tc>
          <w:tcPr>
            <w:tcW w:w="288" w:type="dxa"/>
            <w:tcBorders>
              <w:top w:val="single" w:sz="4" w:space="0" w:color="auto"/>
            </w:tcBorders>
            <w:vAlign w:val="bottom"/>
          </w:tcPr>
          <w:p w14:paraId="41EA2035" w14:textId="77777777" w:rsidR="007F54B8" w:rsidRPr="00F963B4" w:rsidRDefault="007F54B8" w:rsidP="004238EB">
            <w:pPr>
              <w:pStyle w:val="CommentText"/>
              <w:jc w:val="right"/>
              <w:rPr>
                <w:rFonts w:ascii="Times New Roman" w:hAnsi="Times New Roman"/>
              </w:rPr>
            </w:pPr>
          </w:p>
        </w:tc>
        <w:tc>
          <w:tcPr>
            <w:tcW w:w="1583" w:type="dxa"/>
            <w:tcBorders>
              <w:top w:val="single" w:sz="4" w:space="0" w:color="auto"/>
            </w:tcBorders>
            <w:vAlign w:val="bottom"/>
          </w:tcPr>
          <w:p w14:paraId="4DE25FB4" w14:textId="77777777" w:rsidR="007F54B8" w:rsidRPr="00F963B4" w:rsidRDefault="007F54B8" w:rsidP="004238EB">
            <w:pPr>
              <w:pStyle w:val="CommentText"/>
              <w:jc w:val="right"/>
              <w:rPr>
                <w:rFonts w:ascii="Times New Roman" w:hAnsi="Times New Roman"/>
              </w:rPr>
            </w:pPr>
          </w:p>
        </w:tc>
        <w:tc>
          <w:tcPr>
            <w:tcW w:w="315" w:type="dxa"/>
            <w:tcBorders>
              <w:top w:val="single" w:sz="4" w:space="0" w:color="auto"/>
            </w:tcBorders>
            <w:vAlign w:val="bottom"/>
          </w:tcPr>
          <w:p w14:paraId="007E5D0D" w14:textId="77777777" w:rsidR="007F54B8" w:rsidRPr="00F963B4" w:rsidRDefault="007F54B8" w:rsidP="004238EB">
            <w:pPr>
              <w:jc w:val="right"/>
            </w:pPr>
          </w:p>
        </w:tc>
        <w:tc>
          <w:tcPr>
            <w:tcW w:w="1540" w:type="dxa"/>
            <w:tcBorders>
              <w:top w:val="single" w:sz="4" w:space="0" w:color="auto"/>
            </w:tcBorders>
            <w:vAlign w:val="bottom"/>
          </w:tcPr>
          <w:p w14:paraId="0AC47B57" w14:textId="77777777" w:rsidR="007F54B8" w:rsidRPr="00F963B4" w:rsidRDefault="007F54B8" w:rsidP="004238EB">
            <w:pPr>
              <w:pStyle w:val="CommentText"/>
              <w:jc w:val="right"/>
              <w:rPr>
                <w:rFonts w:ascii="Times New Roman" w:hAnsi="Times New Roman"/>
              </w:rPr>
            </w:pPr>
          </w:p>
        </w:tc>
      </w:tr>
      <w:tr w:rsidR="007F54B8" w:rsidRPr="002871B1" w14:paraId="081A9546" w14:textId="77777777" w:rsidTr="004238EB">
        <w:trPr>
          <w:cantSplit/>
          <w:trHeight w:hRule="exact" w:val="274"/>
        </w:trPr>
        <w:tc>
          <w:tcPr>
            <w:tcW w:w="5904" w:type="dxa"/>
            <w:vAlign w:val="bottom"/>
          </w:tcPr>
          <w:p w14:paraId="0EC490B6" w14:textId="77777777" w:rsidR="007F54B8" w:rsidRPr="00F963B4" w:rsidRDefault="007F54B8" w:rsidP="004238EB">
            <w:pPr>
              <w:rPr>
                <w:b/>
              </w:rPr>
            </w:pPr>
            <w:r w:rsidRPr="00F963B4">
              <w:rPr>
                <w:b/>
              </w:rPr>
              <w:t>Financing Activities</w:t>
            </w:r>
          </w:p>
        </w:tc>
        <w:tc>
          <w:tcPr>
            <w:tcW w:w="288" w:type="dxa"/>
            <w:vAlign w:val="bottom"/>
          </w:tcPr>
          <w:p w14:paraId="25F03C98" w14:textId="77777777" w:rsidR="007F54B8" w:rsidRPr="00F963B4" w:rsidRDefault="007F54B8" w:rsidP="004238EB">
            <w:pPr>
              <w:pStyle w:val="CommentText"/>
              <w:jc w:val="right"/>
              <w:rPr>
                <w:rFonts w:ascii="Times New Roman" w:hAnsi="Times New Roman"/>
              </w:rPr>
            </w:pPr>
          </w:p>
        </w:tc>
        <w:tc>
          <w:tcPr>
            <w:tcW w:w="1583" w:type="dxa"/>
            <w:vAlign w:val="bottom"/>
          </w:tcPr>
          <w:p w14:paraId="0C516455" w14:textId="77777777" w:rsidR="007F54B8" w:rsidRPr="00F963B4" w:rsidRDefault="007F54B8" w:rsidP="004238EB">
            <w:pPr>
              <w:pStyle w:val="CommentText"/>
              <w:jc w:val="right"/>
              <w:rPr>
                <w:rFonts w:ascii="Times New Roman" w:hAnsi="Times New Roman"/>
              </w:rPr>
            </w:pPr>
          </w:p>
        </w:tc>
        <w:tc>
          <w:tcPr>
            <w:tcW w:w="315" w:type="dxa"/>
            <w:vAlign w:val="bottom"/>
          </w:tcPr>
          <w:p w14:paraId="2982C930" w14:textId="77777777" w:rsidR="007F54B8" w:rsidRPr="00F963B4" w:rsidRDefault="007F54B8" w:rsidP="004238EB">
            <w:pPr>
              <w:jc w:val="right"/>
            </w:pPr>
          </w:p>
        </w:tc>
        <w:tc>
          <w:tcPr>
            <w:tcW w:w="1540" w:type="dxa"/>
            <w:vAlign w:val="bottom"/>
          </w:tcPr>
          <w:p w14:paraId="196D1064" w14:textId="77777777" w:rsidR="007F54B8" w:rsidRPr="00F963B4" w:rsidRDefault="007F54B8" w:rsidP="004238EB">
            <w:pPr>
              <w:pStyle w:val="CommentText"/>
              <w:jc w:val="right"/>
              <w:rPr>
                <w:rFonts w:ascii="Times New Roman" w:hAnsi="Times New Roman"/>
              </w:rPr>
            </w:pPr>
          </w:p>
        </w:tc>
      </w:tr>
      <w:tr w:rsidR="007F54B8" w:rsidRPr="002871B1" w14:paraId="0CA617B9" w14:textId="77777777" w:rsidTr="004238EB">
        <w:trPr>
          <w:cantSplit/>
          <w:trHeight w:hRule="exact" w:val="274"/>
        </w:trPr>
        <w:tc>
          <w:tcPr>
            <w:tcW w:w="5904" w:type="dxa"/>
            <w:vAlign w:val="bottom"/>
          </w:tcPr>
          <w:p w14:paraId="7EDD5E74" w14:textId="77777777" w:rsidR="007F54B8" w:rsidRPr="00F963B4" w:rsidRDefault="007F54B8" w:rsidP="004238EB">
            <w:pPr>
              <w:ind w:left="198" w:hanging="28"/>
              <w:rPr>
                <w:b/>
              </w:rPr>
            </w:pPr>
            <w:r>
              <w:t>Exercise of warrants</w:t>
            </w:r>
          </w:p>
        </w:tc>
        <w:tc>
          <w:tcPr>
            <w:tcW w:w="288" w:type="dxa"/>
            <w:vAlign w:val="bottom"/>
          </w:tcPr>
          <w:p w14:paraId="0D7D7D4B" w14:textId="77777777" w:rsidR="007F54B8" w:rsidRPr="00F963B4" w:rsidRDefault="007F54B8" w:rsidP="004238EB">
            <w:pPr>
              <w:pStyle w:val="CommentText"/>
              <w:jc w:val="right"/>
              <w:rPr>
                <w:rFonts w:ascii="Times New Roman" w:hAnsi="Times New Roman"/>
              </w:rPr>
            </w:pPr>
          </w:p>
        </w:tc>
        <w:tc>
          <w:tcPr>
            <w:tcW w:w="1583" w:type="dxa"/>
            <w:vAlign w:val="bottom"/>
          </w:tcPr>
          <w:p w14:paraId="223C6CC1" w14:textId="77777777" w:rsidR="007F54B8" w:rsidRPr="00F963B4" w:rsidRDefault="007F54B8" w:rsidP="004238EB">
            <w:pPr>
              <w:pStyle w:val="CommentText"/>
              <w:jc w:val="right"/>
              <w:rPr>
                <w:rFonts w:ascii="Times New Roman" w:hAnsi="Times New Roman"/>
              </w:rPr>
            </w:pPr>
            <w:r>
              <w:rPr>
                <w:rFonts w:ascii="Times New Roman" w:hAnsi="Times New Roman"/>
              </w:rPr>
              <w:t>60,325</w:t>
            </w:r>
          </w:p>
        </w:tc>
        <w:tc>
          <w:tcPr>
            <w:tcW w:w="315" w:type="dxa"/>
            <w:vAlign w:val="bottom"/>
          </w:tcPr>
          <w:p w14:paraId="0324FF09" w14:textId="77777777" w:rsidR="007F54B8" w:rsidRPr="00F963B4" w:rsidRDefault="007F54B8" w:rsidP="004238EB">
            <w:pPr>
              <w:jc w:val="right"/>
            </w:pPr>
          </w:p>
        </w:tc>
        <w:tc>
          <w:tcPr>
            <w:tcW w:w="1540" w:type="dxa"/>
            <w:vAlign w:val="bottom"/>
          </w:tcPr>
          <w:p w14:paraId="3D58A45B"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375</w:t>
            </w:r>
          </w:p>
        </w:tc>
      </w:tr>
      <w:tr w:rsidR="007F54B8" w:rsidRPr="00965E32" w14:paraId="7848F8E8" w14:textId="77777777" w:rsidTr="004238EB">
        <w:trPr>
          <w:cantSplit/>
          <w:trHeight w:hRule="exact" w:val="274"/>
        </w:trPr>
        <w:tc>
          <w:tcPr>
            <w:tcW w:w="5904" w:type="dxa"/>
            <w:vAlign w:val="bottom"/>
          </w:tcPr>
          <w:p w14:paraId="5AE8C476" w14:textId="77777777" w:rsidR="007F54B8" w:rsidRPr="00965E32" w:rsidDel="006A787F" w:rsidRDefault="007F54B8" w:rsidP="004238EB">
            <w:pPr>
              <w:ind w:left="198" w:hanging="28"/>
            </w:pPr>
            <w:r>
              <w:t>Refund of share issuance costs</w:t>
            </w:r>
          </w:p>
        </w:tc>
        <w:tc>
          <w:tcPr>
            <w:tcW w:w="288" w:type="dxa"/>
            <w:vAlign w:val="bottom"/>
          </w:tcPr>
          <w:p w14:paraId="2EC5BBCF" w14:textId="77777777" w:rsidR="007F54B8" w:rsidRPr="00965E32" w:rsidRDefault="007F54B8" w:rsidP="004238EB">
            <w:pPr>
              <w:pStyle w:val="CommentText"/>
              <w:jc w:val="right"/>
              <w:rPr>
                <w:rFonts w:ascii="Times New Roman" w:hAnsi="Times New Roman"/>
              </w:rPr>
            </w:pPr>
          </w:p>
        </w:tc>
        <w:tc>
          <w:tcPr>
            <w:tcW w:w="1583" w:type="dxa"/>
            <w:vAlign w:val="bottom"/>
          </w:tcPr>
          <w:p w14:paraId="72C2BEFA" w14:textId="77777777" w:rsidR="007F54B8" w:rsidRPr="00965E32" w:rsidRDefault="007F54B8" w:rsidP="004238EB">
            <w:pPr>
              <w:pStyle w:val="CommentText"/>
              <w:jc w:val="right"/>
              <w:rPr>
                <w:rFonts w:ascii="Times New Roman" w:hAnsi="Times New Roman"/>
              </w:rPr>
            </w:pPr>
            <w:r>
              <w:rPr>
                <w:rFonts w:ascii="Times New Roman" w:hAnsi="Times New Roman"/>
              </w:rPr>
              <w:t>-</w:t>
            </w:r>
          </w:p>
        </w:tc>
        <w:tc>
          <w:tcPr>
            <w:tcW w:w="315" w:type="dxa"/>
            <w:vAlign w:val="bottom"/>
          </w:tcPr>
          <w:p w14:paraId="3425614D" w14:textId="77777777" w:rsidR="007F54B8" w:rsidRPr="00965E32" w:rsidRDefault="007F54B8" w:rsidP="004238EB">
            <w:pPr>
              <w:jc w:val="right"/>
            </w:pPr>
          </w:p>
        </w:tc>
        <w:tc>
          <w:tcPr>
            <w:tcW w:w="1540" w:type="dxa"/>
            <w:vAlign w:val="bottom"/>
          </w:tcPr>
          <w:p w14:paraId="191290C8" w14:textId="77777777" w:rsidR="007F54B8" w:rsidRPr="00965E32" w:rsidRDefault="007F54B8" w:rsidP="004238EB">
            <w:pPr>
              <w:pStyle w:val="CommentText"/>
              <w:jc w:val="right"/>
              <w:rPr>
                <w:rFonts w:ascii="Times New Roman" w:hAnsi="Times New Roman"/>
              </w:rPr>
            </w:pPr>
            <w:r w:rsidRPr="00A87462">
              <w:rPr>
                <w:rFonts w:ascii="Times New Roman" w:hAnsi="Times New Roman"/>
              </w:rPr>
              <w:t>859</w:t>
            </w:r>
          </w:p>
        </w:tc>
      </w:tr>
      <w:tr w:rsidR="007F54B8" w:rsidRPr="0049767D" w14:paraId="042AAC14" w14:textId="77777777" w:rsidTr="004238EB">
        <w:trPr>
          <w:cantSplit/>
          <w:trHeight w:hRule="exact" w:val="274"/>
        </w:trPr>
        <w:tc>
          <w:tcPr>
            <w:tcW w:w="5904" w:type="dxa"/>
            <w:vAlign w:val="bottom"/>
          </w:tcPr>
          <w:p w14:paraId="2281DB96" w14:textId="77777777" w:rsidR="007F54B8" w:rsidRPr="0049767D" w:rsidDel="006A787F" w:rsidRDefault="007F54B8" w:rsidP="004238EB">
            <w:pPr>
              <w:ind w:left="198" w:hanging="28"/>
            </w:pPr>
            <w:r>
              <w:t>Related party loan</w:t>
            </w:r>
          </w:p>
        </w:tc>
        <w:tc>
          <w:tcPr>
            <w:tcW w:w="288" w:type="dxa"/>
            <w:vAlign w:val="bottom"/>
          </w:tcPr>
          <w:p w14:paraId="6AD1D458" w14:textId="77777777" w:rsidR="007F54B8" w:rsidRPr="0049767D" w:rsidRDefault="007F54B8" w:rsidP="004238EB">
            <w:pPr>
              <w:pStyle w:val="CommentText"/>
              <w:jc w:val="right"/>
              <w:rPr>
                <w:rFonts w:ascii="Times New Roman" w:hAnsi="Times New Roman"/>
              </w:rPr>
            </w:pPr>
          </w:p>
        </w:tc>
        <w:tc>
          <w:tcPr>
            <w:tcW w:w="1583" w:type="dxa"/>
            <w:vAlign w:val="bottom"/>
          </w:tcPr>
          <w:p w14:paraId="0ECC1F6B" w14:textId="77777777" w:rsidR="007F54B8" w:rsidRPr="0049767D" w:rsidRDefault="007F54B8" w:rsidP="004238EB">
            <w:pPr>
              <w:pStyle w:val="CommentText"/>
              <w:jc w:val="right"/>
              <w:rPr>
                <w:rFonts w:ascii="Times New Roman" w:hAnsi="Times New Roman"/>
              </w:rPr>
            </w:pPr>
            <w:r>
              <w:rPr>
                <w:rFonts w:ascii="Times New Roman" w:hAnsi="Times New Roman"/>
              </w:rPr>
              <w:t>-</w:t>
            </w:r>
          </w:p>
        </w:tc>
        <w:tc>
          <w:tcPr>
            <w:tcW w:w="315" w:type="dxa"/>
            <w:vAlign w:val="bottom"/>
          </w:tcPr>
          <w:p w14:paraId="47DE11A1" w14:textId="77777777" w:rsidR="007F54B8" w:rsidRPr="0049767D" w:rsidRDefault="007F54B8" w:rsidP="004238EB">
            <w:pPr>
              <w:jc w:val="right"/>
            </w:pPr>
          </w:p>
        </w:tc>
        <w:tc>
          <w:tcPr>
            <w:tcW w:w="1540" w:type="dxa"/>
            <w:vAlign w:val="bottom"/>
          </w:tcPr>
          <w:p w14:paraId="2D572B73" w14:textId="77777777" w:rsidR="007F54B8" w:rsidRPr="0049767D" w:rsidRDefault="007F54B8" w:rsidP="004238EB">
            <w:pPr>
              <w:pStyle w:val="CommentText"/>
              <w:jc w:val="right"/>
              <w:rPr>
                <w:rFonts w:ascii="Times New Roman" w:hAnsi="Times New Roman"/>
              </w:rPr>
            </w:pPr>
            <w:r>
              <w:rPr>
                <w:rFonts w:ascii="Times New Roman" w:hAnsi="Times New Roman"/>
              </w:rPr>
              <w:t>(10,395)</w:t>
            </w:r>
          </w:p>
        </w:tc>
      </w:tr>
      <w:tr w:rsidR="007F54B8" w:rsidRPr="002871B1" w14:paraId="38E3CA58" w14:textId="77777777" w:rsidTr="004238EB">
        <w:trPr>
          <w:cantSplit/>
          <w:trHeight w:hRule="exact" w:val="274"/>
        </w:trPr>
        <w:tc>
          <w:tcPr>
            <w:tcW w:w="5904" w:type="dxa"/>
            <w:tcBorders>
              <w:top w:val="single" w:sz="2" w:space="0" w:color="auto"/>
            </w:tcBorders>
            <w:vAlign w:val="bottom"/>
          </w:tcPr>
          <w:p w14:paraId="741831D0" w14:textId="77777777" w:rsidR="007F54B8" w:rsidRPr="00F963B4" w:rsidRDefault="007F54B8" w:rsidP="004238EB">
            <w:pPr>
              <w:rPr>
                <w:b/>
              </w:rPr>
            </w:pPr>
          </w:p>
        </w:tc>
        <w:tc>
          <w:tcPr>
            <w:tcW w:w="288" w:type="dxa"/>
            <w:tcBorders>
              <w:top w:val="single" w:sz="2" w:space="0" w:color="auto"/>
            </w:tcBorders>
            <w:vAlign w:val="bottom"/>
          </w:tcPr>
          <w:p w14:paraId="5F3BDB64" w14:textId="77777777" w:rsidR="007F54B8" w:rsidRPr="00F963B4" w:rsidRDefault="007F54B8" w:rsidP="004238EB">
            <w:pPr>
              <w:pStyle w:val="CommentText"/>
              <w:jc w:val="right"/>
              <w:rPr>
                <w:rFonts w:ascii="Times New Roman" w:hAnsi="Times New Roman"/>
              </w:rPr>
            </w:pPr>
          </w:p>
        </w:tc>
        <w:tc>
          <w:tcPr>
            <w:tcW w:w="1583" w:type="dxa"/>
            <w:tcBorders>
              <w:top w:val="single" w:sz="2" w:space="0" w:color="auto"/>
            </w:tcBorders>
            <w:vAlign w:val="bottom"/>
          </w:tcPr>
          <w:p w14:paraId="165C7BA6" w14:textId="77777777" w:rsidR="007F54B8" w:rsidRPr="00F963B4" w:rsidRDefault="007F54B8" w:rsidP="004238EB">
            <w:pPr>
              <w:pStyle w:val="CommentText"/>
              <w:jc w:val="right"/>
              <w:rPr>
                <w:rFonts w:ascii="Times New Roman" w:hAnsi="Times New Roman"/>
              </w:rPr>
            </w:pPr>
          </w:p>
        </w:tc>
        <w:tc>
          <w:tcPr>
            <w:tcW w:w="315" w:type="dxa"/>
            <w:tcBorders>
              <w:top w:val="single" w:sz="2" w:space="0" w:color="auto"/>
            </w:tcBorders>
            <w:vAlign w:val="bottom"/>
          </w:tcPr>
          <w:p w14:paraId="75004D7E" w14:textId="77777777" w:rsidR="007F54B8" w:rsidRPr="00F963B4" w:rsidRDefault="007F54B8" w:rsidP="004238EB">
            <w:pPr>
              <w:jc w:val="right"/>
            </w:pPr>
          </w:p>
        </w:tc>
        <w:tc>
          <w:tcPr>
            <w:tcW w:w="1540" w:type="dxa"/>
            <w:tcBorders>
              <w:top w:val="single" w:sz="2" w:space="0" w:color="auto"/>
            </w:tcBorders>
            <w:vAlign w:val="bottom"/>
          </w:tcPr>
          <w:p w14:paraId="27A9D1D6" w14:textId="77777777" w:rsidR="007F54B8" w:rsidRPr="00F963B4" w:rsidRDefault="007F54B8" w:rsidP="004238EB">
            <w:pPr>
              <w:pStyle w:val="CommentText"/>
              <w:jc w:val="right"/>
              <w:rPr>
                <w:rFonts w:ascii="Times New Roman" w:hAnsi="Times New Roman"/>
              </w:rPr>
            </w:pPr>
          </w:p>
        </w:tc>
      </w:tr>
      <w:tr w:rsidR="007F54B8" w:rsidRPr="002871B1" w14:paraId="420EAF3D" w14:textId="77777777" w:rsidTr="004238EB">
        <w:trPr>
          <w:cantSplit/>
          <w:trHeight w:hRule="exact" w:val="274"/>
        </w:trPr>
        <w:tc>
          <w:tcPr>
            <w:tcW w:w="5904" w:type="dxa"/>
            <w:tcBorders>
              <w:bottom w:val="single" w:sz="4" w:space="0" w:color="auto"/>
            </w:tcBorders>
            <w:vAlign w:val="bottom"/>
          </w:tcPr>
          <w:p w14:paraId="15D67660" w14:textId="77777777" w:rsidR="007F54B8" w:rsidRPr="00F963B4" w:rsidRDefault="007F54B8" w:rsidP="004238EB">
            <w:pPr>
              <w:rPr>
                <w:b/>
              </w:rPr>
            </w:pPr>
            <w:r w:rsidRPr="00F963B4">
              <w:rPr>
                <w:b/>
              </w:rPr>
              <w:t>Net Cash Provided by</w:t>
            </w:r>
            <w:r>
              <w:rPr>
                <w:b/>
              </w:rPr>
              <w:t xml:space="preserve"> (Used in)</w:t>
            </w:r>
            <w:r w:rsidRPr="00F963B4">
              <w:rPr>
                <w:b/>
              </w:rPr>
              <w:t xml:space="preserve"> Financing Activities</w:t>
            </w:r>
          </w:p>
        </w:tc>
        <w:tc>
          <w:tcPr>
            <w:tcW w:w="288" w:type="dxa"/>
            <w:tcBorders>
              <w:bottom w:val="single" w:sz="4" w:space="0" w:color="auto"/>
            </w:tcBorders>
            <w:vAlign w:val="bottom"/>
          </w:tcPr>
          <w:p w14:paraId="5F8803A2" w14:textId="77777777" w:rsidR="007F54B8" w:rsidRPr="00F963B4" w:rsidRDefault="007F54B8" w:rsidP="004238EB">
            <w:pPr>
              <w:pStyle w:val="CommentText"/>
              <w:jc w:val="right"/>
              <w:rPr>
                <w:rFonts w:ascii="Times New Roman" w:hAnsi="Times New Roman"/>
              </w:rPr>
            </w:pPr>
          </w:p>
        </w:tc>
        <w:tc>
          <w:tcPr>
            <w:tcW w:w="1583" w:type="dxa"/>
            <w:tcBorders>
              <w:bottom w:val="single" w:sz="4" w:space="0" w:color="auto"/>
            </w:tcBorders>
            <w:vAlign w:val="bottom"/>
          </w:tcPr>
          <w:p w14:paraId="000057FD" w14:textId="77777777" w:rsidR="007F54B8" w:rsidRPr="00F963B4" w:rsidRDefault="007F54B8" w:rsidP="004238EB">
            <w:pPr>
              <w:pStyle w:val="CommentText"/>
              <w:jc w:val="right"/>
              <w:rPr>
                <w:rFonts w:ascii="Times New Roman" w:hAnsi="Times New Roman"/>
              </w:rPr>
            </w:pPr>
            <w:r>
              <w:rPr>
                <w:rFonts w:ascii="Times New Roman" w:hAnsi="Times New Roman"/>
              </w:rPr>
              <w:t>60,325</w:t>
            </w:r>
          </w:p>
        </w:tc>
        <w:tc>
          <w:tcPr>
            <w:tcW w:w="315" w:type="dxa"/>
            <w:tcBorders>
              <w:bottom w:val="single" w:sz="4" w:space="0" w:color="auto"/>
            </w:tcBorders>
            <w:vAlign w:val="bottom"/>
          </w:tcPr>
          <w:p w14:paraId="283C3B3C" w14:textId="77777777" w:rsidR="007F54B8" w:rsidRPr="00F963B4" w:rsidRDefault="007F54B8" w:rsidP="004238EB">
            <w:pPr>
              <w:jc w:val="right"/>
            </w:pPr>
          </w:p>
        </w:tc>
        <w:tc>
          <w:tcPr>
            <w:tcW w:w="1540" w:type="dxa"/>
            <w:tcBorders>
              <w:bottom w:val="single" w:sz="4" w:space="0" w:color="auto"/>
            </w:tcBorders>
            <w:vAlign w:val="bottom"/>
          </w:tcPr>
          <w:p w14:paraId="29B93ABA" w14:textId="77777777" w:rsidR="007F54B8" w:rsidRPr="00F963B4" w:rsidRDefault="007F54B8" w:rsidP="004238EB">
            <w:pPr>
              <w:pStyle w:val="CommentText"/>
              <w:jc w:val="right"/>
              <w:rPr>
                <w:rFonts w:ascii="Times New Roman" w:hAnsi="Times New Roman"/>
              </w:rPr>
            </w:pPr>
            <w:r>
              <w:rPr>
                <w:rFonts w:ascii="Times New Roman" w:hAnsi="Times New Roman"/>
              </w:rPr>
              <w:t>(9,161)</w:t>
            </w:r>
          </w:p>
        </w:tc>
      </w:tr>
      <w:tr w:rsidR="007F54B8" w:rsidRPr="002871B1" w14:paraId="379FDB4C" w14:textId="77777777" w:rsidTr="004238EB">
        <w:trPr>
          <w:cantSplit/>
          <w:trHeight w:hRule="exact" w:val="274"/>
        </w:trPr>
        <w:tc>
          <w:tcPr>
            <w:tcW w:w="5904" w:type="dxa"/>
            <w:tcBorders>
              <w:top w:val="single" w:sz="4" w:space="0" w:color="auto"/>
            </w:tcBorders>
            <w:vAlign w:val="bottom"/>
          </w:tcPr>
          <w:p w14:paraId="48657D71" w14:textId="77777777" w:rsidR="007F54B8" w:rsidRPr="00F963B4" w:rsidRDefault="007F54B8" w:rsidP="004238EB">
            <w:pPr>
              <w:rPr>
                <w:b/>
              </w:rPr>
            </w:pPr>
            <w:r w:rsidRPr="00F963B4">
              <w:rPr>
                <w:b/>
              </w:rPr>
              <w:t xml:space="preserve">Net Cash </w:t>
            </w:r>
            <w:r>
              <w:rPr>
                <w:b/>
              </w:rPr>
              <w:t>Decrease</w:t>
            </w:r>
            <w:r w:rsidRPr="00F963B4">
              <w:rPr>
                <w:b/>
              </w:rPr>
              <w:t xml:space="preserve"> for Period</w:t>
            </w:r>
          </w:p>
        </w:tc>
        <w:tc>
          <w:tcPr>
            <w:tcW w:w="288" w:type="dxa"/>
            <w:tcBorders>
              <w:top w:val="single" w:sz="4" w:space="0" w:color="auto"/>
            </w:tcBorders>
            <w:vAlign w:val="bottom"/>
          </w:tcPr>
          <w:p w14:paraId="788A406C" w14:textId="77777777" w:rsidR="007F54B8" w:rsidRPr="00F963B4" w:rsidRDefault="007F54B8" w:rsidP="004238EB">
            <w:pPr>
              <w:pStyle w:val="CommentText"/>
              <w:jc w:val="right"/>
              <w:rPr>
                <w:rFonts w:ascii="Times New Roman" w:hAnsi="Times New Roman"/>
                <w:b/>
              </w:rPr>
            </w:pPr>
          </w:p>
        </w:tc>
        <w:tc>
          <w:tcPr>
            <w:tcW w:w="1583" w:type="dxa"/>
            <w:tcBorders>
              <w:top w:val="single" w:sz="4" w:space="0" w:color="auto"/>
            </w:tcBorders>
            <w:vAlign w:val="bottom"/>
          </w:tcPr>
          <w:p w14:paraId="6AD67069"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w:t>
            </w:r>
            <w:r>
              <w:rPr>
                <w:rFonts w:ascii="Times New Roman" w:hAnsi="Times New Roman"/>
              </w:rPr>
              <w:t>261,865</w:t>
            </w:r>
            <w:r w:rsidRPr="00F963B4">
              <w:rPr>
                <w:rFonts w:ascii="Times New Roman" w:hAnsi="Times New Roman"/>
              </w:rPr>
              <w:t>)</w:t>
            </w:r>
          </w:p>
        </w:tc>
        <w:tc>
          <w:tcPr>
            <w:tcW w:w="315" w:type="dxa"/>
            <w:tcBorders>
              <w:top w:val="single" w:sz="4" w:space="0" w:color="auto"/>
            </w:tcBorders>
            <w:vAlign w:val="bottom"/>
          </w:tcPr>
          <w:p w14:paraId="3FA34BAE" w14:textId="77777777" w:rsidR="007F54B8" w:rsidRPr="00F963B4" w:rsidRDefault="007F54B8" w:rsidP="004238EB">
            <w:pPr>
              <w:jc w:val="right"/>
            </w:pPr>
          </w:p>
        </w:tc>
        <w:tc>
          <w:tcPr>
            <w:tcW w:w="1540" w:type="dxa"/>
            <w:tcBorders>
              <w:top w:val="single" w:sz="4" w:space="0" w:color="auto"/>
            </w:tcBorders>
            <w:vAlign w:val="bottom"/>
          </w:tcPr>
          <w:p w14:paraId="769B1C76"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(5</w:t>
            </w:r>
            <w:r>
              <w:rPr>
                <w:rFonts w:ascii="Times New Roman" w:hAnsi="Times New Roman"/>
              </w:rPr>
              <w:t>7,474</w:t>
            </w:r>
            <w:r w:rsidRPr="00F963B4">
              <w:rPr>
                <w:rFonts w:ascii="Times New Roman" w:hAnsi="Times New Roman"/>
              </w:rPr>
              <w:t>)</w:t>
            </w:r>
          </w:p>
        </w:tc>
      </w:tr>
      <w:tr w:rsidR="007F54B8" w:rsidRPr="002871B1" w14:paraId="26D2D348" w14:textId="77777777" w:rsidTr="004238EB">
        <w:trPr>
          <w:cantSplit/>
          <w:trHeight w:hRule="exact" w:val="274"/>
        </w:trPr>
        <w:tc>
          <w:tcPr>
            <w:tcW w:w="5904" w:type="dxa"/>
            <w:tcBorders>
              <w:top w:val="single" w:sz="4" w:space="0" w:color="auto"/>
              <w:bottom w:val="single" w:sz="4" w:space="0" w:color="auto"/>
            </w:tcBorders>
            <w:vAlign w:val="bottom"/>
          </w:tcPr>
          <w:p w14:paraId="0AACB2FA" w14:textId="77777777" w:rsidR="007F54B8" w:rsidRPr="00F963B4" w:rsidRDefault="007F54B8" w:rsidP="004238EB">
            <w:pPr>
              <w:rPr>
                <w:b/>
              </w:rPr>
            </w:pPr>
            <w:r w:rsidRPr="00F963B4">
              <w:rPr>
                <w:b/>
              </w:rPr>
              <w:t>Cash, Beginning of Period</w:t>
            </w:r>
          </w:p>
        </w:tc>
        <w:tc>
          <w:tcPr>
            <w:tcW w:w="288" w:type="dxa"/>
            <w:tcBorders>
              <w:top w:val="single" w:sz="4" w:space="0" w:color="auto"/>
              <w:bottom w:val="single" w:sz="4" w:space="0" w:color="auto"/>
            </w:tcBorders>
            <w:vAlign w:val="bottom"/>
          </w:tcPr>
          <w:p w14:paraId="1E5AD56C" w14:textId="77777777" w:rsidR="007F54B8" w:rsidRPr="00F963B4" w:rsidRDefault="007F54B8" w:rsidP="004238EB">
            <w:pPr>
              <w:pStyle w:val="CommentText"/>
              <w:jc w:val="right"/>
              <w:rPr>
                <w:rFonts w:ascii="Times New Roman" w:hAnsi="Times New Roman"/>
                <w:b/>
              </w:rPr>
            </w:pPr>
          </w:p>
        </w:tc>
        <w:tc>
          <w:tcPr>
            <w:tcW w:w="1583" w:type="dxa"/>
            <w:tcBorders>
              <w:top w:val="single" w:sz="4" w:space="0" w:color="auto"/>
              <w:bottom w:val="single" w:sz="4" w:space="0" w:color="auto"/>
            </w:tcBorders>
            <w:vAlign w:val="bottom"/>
          </w:tcPr>
          <w:p w14:paraId="1DBA5758" w14:textId="77777777" w:rsidR="007F54B8" w:rsidRPr="00F963B4" w:rsidRDefault="007F54B8" w:rsidP="004238EB">
            <w:pPr>
              <w:pStyle w:val="CommentText"/>
              <w:jc w:val="right"/>
              <w:rPr>
                <w:rFonts w:ascii="Times New Roman" w:hAnsi="Times New Roman"/>
              </w:rPr>
            </w:pPr>
            <w:r>
              <w:rPr>
                <w:rFonts w:ascii="Times New Roman" w:hAnsi="Times New Roman"/>
              </w:rPr>
              <w:t>597,959</w:t>
            </w:r>
          </w:p>
        </w:tc>
        <w:tc>
          <w:tcPr>
            <w:tcW w:w="315" w:type="dxa"/>
            <w:tcBorders>
              <w:top w:val="single" w:sz="4" w:space="0" w:color="auto"/>
              <w:bottom w:val="single" w:sz="4" w:space="0" w:color="auto"/>
            </w:tcBorders>
            <w:vAlign w:val="bottom"/>
          </w:tcPr>
          <w:p w14:paraId="10B58CE9" w14:textId="77777777" w:rsidR="007F54B8" w:rsidRPr="00F963B4" w:rsidRDefault="007F54B8" w:rsidP="004238EB">
            <w:pPr>
              <w:jc w:val="right"/>
            </w:pPr>
          </w:p>
        </w:tc>
        <w:tc>
          <w:tcPr>
            <w:tcW w:w="1540" w:type="dxa"/>
            <w:tcBorders>
              <w:top w:val="single" w:sz="4" w:space="0" w:color="auto"/>
              <w:bottom w:val="single" w:sz="4" w:space="0" w:color="auto"/>
            </w:tcBorders>
            <w:vAlign w:val="bottom"/>
          </w:tcPr>
          <w:p w14:paraId="1FEB7421"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17</w:t>
            </w:r>
            <w:r>
              <w:rPr>
                <w:rFonts w:ascii="Times New Roman" w:hAnsi="Times New Roman"/>
              </w:rPr>
              <w:t>1,337</w:t>
            </w:r>
          </w:p>
        </w:tc>
      </w:tr>
      <w:tr w:rsidR="007F54B8" w:rsidRPr="002871B1" w14:paraId="5050BF05" w14:textId="77777777" w:rsidTr="004238EB">
        <w:trPr>
          <w:cantSplit/>
          <w:trHeight w:hRule="exact" w:val="274"/>
        </w:trPr>
        <w:tc>
          <w:tcPr>
            <w:tcW w:w="5904" w:type="dxa"/>
            <w:tcBorders>
              <w:bottom w:val="single" w:sz="12" w:space="0" w:color="auto"/>
            </w:tcBorders>
            <w:vAlign w:val="bottom"/>
          </w:tcPr>
          <w:p w14:paraId="01003AF7" w14:textId="77777777" w:rsidR="007F54B8" w:rsidRPr="00F963B4" w:rsidRDefault="007F54B8" w:rsidP="004238EB">
            <w:pPr>
              <w:rPr>
                <w:b/>
              </w:rPr>
            </w:pPr>
            <w:r w:rsidRPr="00F963B4">
              <w:rPr>
                <w:b/>
              </w:rPr>
              <w:t>Cash, End of Period</w:t>
            </w:r>
          </w:p>
        </w:tc>
        <w:tc>
          <w:tcPr>
            <w:tcW w:w="288" w:type="dxa"/>
            <w:tcBorders>
              <w:bottom w:val="single" w:sz="12" w:space="0" w:color="auto"/>
            </w:tcBorders>
            <w:vAlign w:val="bottom"/>
          </w:tcPr>
          <w:p w14:paraId="00E2C5FD" w14:textId="77777777" w:rsidR="007F54B8" w:rsidRPr="00F963B4" w:rsidRDefault="007F54B8" w:rsidP="004238EB">
            <w:pPr>
              <w:jc w:val="right"/>
              <w:rPr>
                <w:b/>
              </w:rPr>
            </w:pPr>
            <w:r w:rsidRPr="00F963B4">
              <w:t>$</w:t>
            </w:r>
          </w:p>
        </w:tc>
        <w:tc>
          <w:tcPr>
            <w:tcW w:w="1583" w:type="dxa"/>
            <w:tcBorders>
              <w:bottom w:val="single" w:sz="12" w:space="0" w:color="auto"/>
            </w:tcBorders>
            <w:vAlign w:val="bottom"/>
          </w:tcPr>
          <w:p w14:paraId="16D22D7E" w14:textId="77777777" w:rsidR="007F54B8" w:rsidRPr="00F963B4" w:rsidRDefault="007F54B8" w:rsidP="004238EB">
            <w:pPr>
              <w:pStyle w:val="CommentText"/>
              <w:jc w:val="right"/>
              <w:rPr>
                <w:rFonts w:ascii="Times New Roman" w:hAnsi="Times New Roman"/>
              </w:rPr>
            </w:pPr>
            <w:r>
              <w:rPr>
                <w:rFonts w:ascii="Times New Roman" w:hAnsi="Times New Roman"/>
              </w:rPr>
              <w:t>336,094</w:t>
            </w:r>
          </w:p>
        </w:tc>
        <w:tc>
          <w:tcPr>
            <w:tcW w:w="315" w:type="dxa"/>
            <w:tcBorders>
              <w:bottom w:val="single" w:sz="12" w:space="0" w:color="auto"/>
            </w:tcBorders>
            <w:vAlign w:val="bottom"/>
          </w:tcPr>
          <w:p w14:paraId="1827EAB1" w14:textId="77777777" w:rsidR="007F54B8" w:rsidRPr="00F963B4" w:rsidRDefault="007F54B8" w:rsidP="004238EB">
            <w:pPr>
              <w:jc w:val="right"/>
            </w:pPr>
            <w:r w:rsidRPr="00F963B4">
              <w:t>$</w:t>
            </w:r>
          </w:p>
        </w:tc>
        <w:tc>
          <w:tcPr>
            <w:tcW w:w="1540" w:type="dxa"/>
            <w:tcBorders>
              <w:bottom w:val="single" w:sz="12" w:space="0" w:color="auto"/>
            </w:tcBorders>
            <w:vAlign w:val="bottom"/>
          </w:tcPr>
          <w:p w14:paraId="4E633E10" w14:textId="77777777" w:rsidR="007F54B8" w:rsidRPr="00F963B4" w:rsidRDefault="007F54B8" w:rsidP="004238EB">
            <w:pPr>
              <w:pStyle w:val="CommentText"/>
              <w:jc w:val="right"/>
              <w:rPr>
                <w:rFonts w:ascii="Times New Roman" w:hAnsi="Times New Roman"/>
              </w:rPr>
            </w:pPr>
            <w:r w:rsidRPr="00F963B4">
              <w:rPr>
                <w:rFonts w:ascii="Times New Roman" w:hAnsi="Times New Roman"/>
              </w:rPr>
              <w:t>113,863</w:t>
            </w:r>
          </w:p>
        </w:tc>
      </w:tr>
      <w:tr w:rsidR="007F54B8" w:rsidRPr="002871B1" w14:paraId="7F97B956" w14:textId="77777777" w:rsidTr="004238EB">
        <w:trPr>
          <w:cantSplit/>
          <w:trHeight w:hRule="exact" w:val="274"/>
        </w:trPr>
        <w:tc>
          <w:tcPr>
            <w:tcW w:w="5904" w:type="dxa"/>
            <w:tcBorders>
              <w:top w:val="single" w:sz="12" w:space="0" w:color="auto"/>
            </w:tcBorders>
            <w:vAlign w:val="bottom"/>
          </w:tcPr>
          <w:p w14:paraId="44BD04D3" w14:textId="77777777" w:rsidR="007F54B8" w:rsidRPr="00AE7217" w:rsidRDefault="007F54B8" w:rsidP="004238EB">
            <w:pPr>
              <w:rPr>
                <w:b/>
              </w:rPr>
            </w:pPr>
          </w:p>
        </w:tc>
        <w:tc>
          <w:tcPr>
            <w:tcW w:w="288" w:type="dxa"/>
            <w:tcBorders>
              <w:top w:val="single" w:sz="12" w:space="0" w:color="auto"/>
            </w:tcBorders>
            <w:vAlign w:val="bottom"/>
          </w:tcPr>
          <w:p w14:paraId="226EDC9C" w14:textId="77777777" w:rsidR="007F54B8" w:rsidRPr="002871B1" w:rsidRDefault="007F54B8" w:rsidP="004238EB">
            <w:pPr>
              <w:jc w:val="right"/>
            </w:pPr>
          </w:p>
        </w:tc>
        <w:tc>
          <w:tcPr>
            <w:tcW w:w="1583" w:type="dxa"/>
            <w:tcBorders>
              <w:top w:val="single" w:sz="12" w:space="0" w:color="auto"/>
            </w:tcBorders>
            <w:vAlign w:val="bottom"/>
          </w:tcPr>
          <w:p w14:paraId="12120ADE" w14:textId="77777777" w:rsidR="007F54B8" w:rsidRPr="002871B1" w:rsidRDefault="007F54B8" w:rsidP="004238EB">
            <w:pPr>
              <w:pStyle w:val="CommentText"/>
              <w:jc w:val="right"/>
              <w:rPr>
                <w:rFonts w:ascii="Times New Roman" w:hAnsi="Times New Roman"/>
              </w:rPr>
            </w:pPr>
          </w:p>
        </w:tc>
        <w:tc>
          <w:tcPr>
            <w:tcW w:w="315" w:type="dxa"/>
            <w:tcBorders>
              <w:top w:val="single" w:sz="12" w:space="0" w:color="auto"/>
            </w:tcBorders>
            <w:vAlign w:val="bottom"/>
          </w:tcPr>
          <w:p w14:paraId="593790FB" w14:textId="77777777" w:rsidR="007F54B8" w:rsidRPr="002871B1" w:rsidRDefault="007F54B8" w:rsidP="004238EB">
            <w:pPr>
              <w:jc w:val="right"/>
            </w:pPr>
          </w:p>
        </w:tc>
        <w:tc>
          <w:tcPr>
            <w:tcW w:w="1540" w:type="dxa"/>
            <w:tcBorders>
              <w:top w:val="single" w:sz="12" w:space="0" w:color="auto"/>
            </w:tcBorders>
            <w:vAlign w:val="bottom"/>
          </w:tcPr>
          <w:p w14:paraId="43C1DF13" w14:textId="77777777" w:rsidR="007F54B8" w:rsidRPr="002871B1" w:rsidRDefault="007F54B8" w:rsidP="004238EB">
            <w:pPr>
              <w:pStyle w:val="CommentText"/>
              <w:jc w:val="right"/>
              <w:rPr>
                <w:rFonts w:ascii="Times New Roman" w:hAnsi="Times New Roman"/>
              </w:rPr>
            </w:pPr>
          </w:p>
        </w:tc>
      </w:tr>
      <w:tr w:rsidR="007F54B8" w:rsidRPr="002871B1" w14:paraId="5F2F6A57" w14:textId="77777777" w:rsidTr="004238EB">
        <w:trPr>
          <w:cantSplit/>
          <w:trHeight w:hRule="exact" w:val="274"/>
        </w:trPr>
        <w:tc>
          <w:tcPr>
            <w:tcW w:w="5904" w:type="dxa"/>
            <w:vAlign w:val="bottom"/>
          </w:tcPr>
          <w:p w14:paraId="7AAE057C" w14:textId="77777777" w:rsidR="007F54B8" w:rsidRPr="00AE7217" w:rsidRDefault="007F54B8" w:rsidP="004238EB">
            <w:pPr>
              <w:rPr>
                <w:b/>
              </w:rPr>
            </w:pPr>
            <w:r>
              <w:rPr>
                <w:b/>
              </w:rPr>
              <w:t>Supplemental Cash Flow Information</w:t>
            </w:r>
          </w:p>
        </w:tc>
        <w:tc>
          <w:tcPr>
            <w:tcW w:w="288" w:type="dxa"/>
            <w:vAlign w:val="bottom"/>
          </w:tcPr>
          <w:p w14:paraId="01155FF6" w14:textId="77777777" w:rsidR="007F54B8" w:rsidRPr="002871B1" w:rsidRDefault="007F54B8" w:rsidP="004238EB">
            <w:pPr>
              <w:jc w:val="right"/>
            </w:pPr>
          </w:p>
        </w:tc>
        <w:tc>
          <w:tcPr>
            <w:tcW w:w="1583" w:type="dxa"/>
            <w:vAlign w:val="bottom"/>
          </w:tcPr>
          <w:p w14:paraId="2C0F01DD" w14:textId="77777777" w:rsidR="007F54B8" w:rsidRPr="002871B1" w:rsidRDefault="007F54B8" w:rsidP="004238EB">
            <w:pPr>
              <w:pStyle w:val="CommentText"/>
              <w:jc w:val="right"/>
              <w:rPr>
                <w:rFonts w:ascii="Times New Roman" w:hAnsi="Times New Roman"/>
              </w:rPr>
            </w:pPr>
          </w:p>
        </w:tc>
        <w:tc>
          <w:tcPr>
            <w:tcW w:w="315" w:type="dxa"/>
            <w:vAlign w:val="bottom"/>
          </w:tcPr>
          <w:p w14:paraId="56C7362E" w14:textId="77777777" w:rsidR="007F54B8" w:rsidRPr="002871B1" w:rsidRDefault="007F54B8" w:rsidP="004238EB">
            <w:pPr>
              <w:jc w:val="right"/>
            </w:pPr>
          </w:p>
        </w:tc>
        <w:tc>
          <w:tcPr>
            <w:tcW w:w="1540" w:type="dxa"/>
            <w:vAlign w:val="bottom"/>
          </w:tcPr>
          <w:p w14:paraId="33765F36" w14:textId="77777777" w:rsidR="007F54B8" w:rsidRPr="002871B1" w:rsidRDefault="007F54B8" w:rsidP="004238EB">
            <w:pPr>
              <w:pStyle w:val="CommentText"/>
              <w:jc w:val="right"/>
              <w:rPr>
                <w:rFonts w:ascii="Times New Roman" w:hAnsi="Times New Roman"/>
              </w:rPr>
            </w:pPr>
          </w:p>
        </w:tc>
      </w:tr>
      <w:tr w:rsidR="007F54B8" w:rsidRPr="002871B1" w14:paraId="5AEC3134" w14:textId="77777777" w:rsidTr="004238EB">
        <w:trPr>
          <w:cantSplit/>
          <w:trHeight w:hRule="exact" w:val="274"/>
        </w:trPr>
        <w:tc>
          <w:tcPr>
            <w:tcW w:w="5904" w:type="dxa"/>
            <w:vAlign w:val="bottom"/>
          </w:tcPr>
          <w:p w14:paraId="390F6FA3" w14:textId="77777777" w:rsidR="007F54B8" w:rsidRDefault="007F54B8" w:rsidP="004238EB">
            <w:r>
              <w:t>Funds from exercise of warrants in receivables</w:t>
            </w:r>
          </w:p>
        </w:tc>
        <w:tc>
          <w:tcPr>
            <w:tcW w:w="288" w:type="dxa"/>
            <w:vAlign w:val="bottom"/>
          </w:tcPr>
          <w:p w14:paraId="203A8680" w14:textId="77777777" w:rsidR="007F54B8" w:rsidRPr="00E40DCA" w:rsidRDefault="007F54B8" w:rsidP="004238EB">
            <w:pPr>
              <w:jc w:val="right"/>
            </w:pPr>
            <w:r>
              <w:t>$</w:t>
            </w:r>
          </w:p>
        </w:tc>
        <w:tc>
          <w:tcPr>
            <w:tcW w:w="1583" w:type="dxa"/>
            <w:vAlign w:val="bottom"/>
          </w:tcPr>
          <w:p w14:paraId="00469E84" w14:textId="77777777" w:rsidR="007F54B8" w:rsidRDefault="007F54B8" w:rsidP="004238EB">
            <w:pPr>
              <w:pStyle w:val="CommentText"/>
              <w:jc w:val="right"/>
              <w:rPr>
                <w:rFonts w:ascii="Times New Roman" w:hAnsi="Times New Roman"/>
              </w:rPr>
            </w:pPr>
            <w:r>
              <w:rPr>
                <w:rFonts w:ascii="Times New Roman" w:hAnsi="Times New Roman"/>
              </w:rPr>
              <w:t>11,435</w:t>
            </w:r>
          </w:p>
        </w:tc>
        <w:tc>
          <w:tcPr>
            <w:tcW w:w="315" w:type="dxa"/>
            <w:vAlign w:val="bottom"/>
          </w:tcPr>
          <w:p w14:paraId="303BE267" w14:textId="77777777" w:rsidR="007F54B8" w:rsidRPr="00E40DCA" w:rsidRDefault="007F54B8" w:rsidP="004238EB">
            <w:pPr>
              <w:jc w:val="right"/>
            </w:pPr>
            <w:r>
              <w:t>$</w:t>
            </w:r>
          </w:p>
        </w:tc>
        <w:tc>
          <w:tcPr>
            <w:tcW w:w="1540" w:type="dxa"/>
            <w:vAlign w:val="bottom"/>
          </w:tcPr>
          <w:p w14:paraId="046968F5" w14:textId="77777777" w:rsidR="007F54B8" w:rsidRDefault="007F54B8" w:rsidP="004238EB">
            <w:pPr>
              <w:pStyle w:val="CommentText"/>
              <w:jc w:val="right"/>
              <w:rPr>
                <w:rFonts w:ascii="Times New Roman" w:hAnsi="Times New Roman"/>
              </w:rPr>
            </w:pPr>
            <w:r>
              <w:rPr>
                <w:rFonts w:ascii="Times New Roman" w:hAnsi="Times New Roman"/>
              </w:rPr>
              <w:t>-</w:t>
            </w:r>
          </w:p>
        </w:tc>
      </w:tr>
      <w:tr w:rsidR="007F54B8" w:rsidRPr="002871B1" w14:paraId="076E23A3" w14:textId="77777777" w:rsidTr="004238EB">
        <w:trPr>
          <w:cantSplit/>
          <w:trHeight w:hRule="exact" w:val="274"/>
        </w:trPr>
        <w:tc>
          <w:tcPr>
            <w:tcW w:w="5904" w:type="dxa"/>
            <w:vAlign w:val="bottom"/>
          </w:tcPr>
          <w:p w14:paraId="32288C8E" w14:textId="77777777" w:rsidR="007F54B8" w:rsidRPr="00F963B4" w:rsidRDefault="007F54B8" w:rsidP="004238EB">
            <w:r>
              <w:t>Amounts paid for interest</w:t>
            </w:r>
          </w:p>
        </w:tc>
        <w:tc>
          <w:tcPr>
            <w:tcW w:w="288" w:type="dxa"/>
            <w:vAlign w:val="bottom"/>
          </w:tcPr>
          <w:p w14:paraId="58A4F64E" w14:textId="77777777" w:rsidR="007F54B8" w:rsidRPr="00AE7217" w:rsidRDefault="007F54B8" w:rsidP="004238EB">
            <w:pPr>
              <w:jc w:val="right"/>
            </w:pPr>
            <w:r w:rsidRPr="00E40DCA">
              <w:t>$</w:t>
            </w:r>
          </w:p>
        </w:tc>
        <w:tc>
          <w:tcPr>
            <w:tcW w:w="1583" w:type="dxa"/>
            <w:vAlign w:val="bottom"/>
          </w:tcPr>
          <w:p w14:paraId="4B89FC8E" w14:textId="77777777" w:rsidR="007F54B8" w:rsidRPr="00AE7217" w:rsidRDefault="007F54B8" w:rsidP="004238EB">
            <w:pPr>
              <w:pStyle w:val="CommentText"/>
              <w:jc w:val="right"/>
              <w:rPr>
                <w:rFonts w:ascii="Times New Roman" w:hAnsi="Times New Roman"/>
              </w:rPr>
            </w:pPr>
            <w:r>
              <w:rPr>
                <w:rFonts w:ascii="Times New Roman" w:hAnsi="Times New Roman"/>
              </w:rPr>
              <w:t>-</w:t>
            </w:r>
          </w:p>
        </w:tc>
        <w:tc>
          <w:tcPr>
            <w:tcW w:w="315" w:type="dxa"/>
            <w:vAlign w:val="bottom"/>
          </w:tcPr>
          <w:p w14:paraId="07AAB4D9" w14:textId="77777777" w:rsidR="007F54B8" w:rsidRPr="00AE7217" w:rsidRDefault="007F54B8" w:rsidP="004238EB">
            <w:pPr>
              <w:jc w:val="right"/>
            </w:pPr>
            <w:r w:rsidRPr="00E40DCA">
              <w:t>$</w:t>
            </w:r>
          </w:p>
        </w:tc>
        <w:tc>
          <w:tcPr>
            <w:tcW w:w="1540" w:type="dxa"/>
            <w:vAlign w:val="bottom"/>
          </w:tcPr>
          <w:p w14:paraId="3AE89378" w14:textId="77777777" w:rsidR="007F54B8" w:rsidRPr="00AE7217" w:rsidRDefault="007F54B8" w:rsidP="004238EB">
            <w:pPr>
              <w:pStyle w:val="CommentText"/>
              <w:jc w:val="right"/>
              <w:rPr>
                <w:rFonts w:ascii="Times New Roman" w:hAnsi="Times New Roman"/>
              </w:rPr>
            </w:pPr>
            <w:r>
              <w:rPr>
                <w:rFonts w:ascii="Times New Roman" w:hAnsi="Times New Roman"/>
              </w:rPr>
              <w:t>395</w:t>
            </w:r>
          </w:p>
        </w:tc>
      </w:tr>
      <w:tr w:rsidR="007F54B8" w:rsidRPr="002871B1" w14:paraId="2C87ABF6" w14:textId="77777777" w:rsidTr="004238EB">
        <w:trPr>
          <w:cantSplit/>
          <w:trHeight w:hRule="exact" w:val="274"/>
        </w:trPr>
        <w:tc>
          <w:tcPr>
            <w:tcW w:w="5904" w:type="dxa"/>
            <w:tcBorders>
              <w:bottom w:val="single" w:sz="12" w:space="0" w:color="auto"/>
            </w:tcBorders>
            <w:vAlign w:val="bottom"/>
          </w:tcPr>
          <w:p w14:paraId="2759CACE" w14:textId="77777777" w:rsidR="007F54B8" w:rsidRPr="00AE7217" w:rsidRDefault="007F54B8" w:rsidP="004238EB">
            <w:pPr>
              <w:rPr>
                <w:b/>
              </w:rPr>
            </w:pPr>
            <w:r>
              <w:t>Amounts paid for taxes</w:t>
            </w:r>
          </w:p>
        </w:tc>
        <w:tc>
          <w:tcPr>
            <w:tcW w:w="288" w:type="dxa"/>
            <w:tcBorders>
              <w:bottom w:val="single" w:sz="12" w:space="0" w:color="auto"/>
            </w:tcBorders>
            <w:vAlign w:val="bottom"/>
          </w:tcPr>
          <w:p w14:paraId="3AC60938" w14:textId="77777777" w:rsidR="007F54B8" w:rsidRPr="00AE7217" w:rsidRDefault="007F54B8" w:rsidP="004238EB">
            <w:pPr>
              <w:jc w:val="right"/>
            </w:pPr>
            <w:r w:rsidRPr="00E40DCA">
              <w:t>$</w:t>
            </w:r>
          </w:p>
        </w:tc>
        <w:tc>
          <w:tcPr>
            <w:tcW w:w="1583" w:type="dxa"/>
            <w:tcBorders>
              <w:bottom w:val="single" w:sz="12" w:space="0" w:color="auto"/>
            </w:tcBorders>
            <w:vAlign w:val="bottom"/>
          </w:tcPr>
          <w:p w14:paraId="5A5C6EA7" w14:textId="77777777" w:rsidR="007F54B8" w:rsidRPr="00AE7217" w:rsidRDefault="007F54B8" w:rsidP="004238EB">
            <w:pPr>
              <w:pStyle w:val="CommentText"/>
              <w:jc w:val="right"/>
              <w:rPr>
                <w:rFonts w:ascii="Times New Roman" w:hAnsi="Times New Roman"/>
              </w:rPr>
            </w:pPr>
            <w:r>
              <w:rPr>
                <w:rFonts w:ascii="Times New Roman" w:hAnsi="Times New Roman"/>
              </w:rPr>
              <w:t>-</w:t>
            </w:r>
          </w:p>
        </w:tc>
        <w:tc>
          <w:tcPr>
            <w:tcW w:w="315" w:type="dxa"/>
            <w:tcBorders>
              <w:bottom w:val="single" w:sz="12" w:space="0" w:color="auto"/>
            </w:tcBorders>
            <w:vAlign w:val="bottom"/>
          </w:tcPr>
          <w:p w14:paraId="270DD72F" w14:textId="77777777" w:rsidR="007F54B8" w:rsidRPr="00AE7217" w:rsidRDefault="007F54B8" w:rsidP="004238EB">
            <w:pPr>
              <w:jc w:val="right"/>
            </w:pPr>
            <w:r w:rsidRPr="00E40DCA">
              <w:t>$</w:t>
            </w:r>
          </w:p>
        </w:tc>
        <w:tc>
          <w:tcPr>
            <w:tcW w:w="1540" w:type="dxa"/>
            <w:tcBorders>
              <w:bottom w:val="single" w:sz="12" w:space="0" w:color="auto"/>
            </w:tcBorders>
            <w:vAlign w:val="bottom"/>
          </w:tcPr>
          <w:p w14:paraId="5904E9BC" w14:textId="77777777" w:rsidR="007F54B8" w:rsidRPr="00AE7217" w:rsidRDefault="007F54B8" w:rsidP="004238EB">
            <w:pPr>
              <w:pStyle w:val="CommentText"/>
              <w:jc w:val="right"/>
              <w:rPr>
                <w:rFonts w:ascii="Times New Roman" w:hAnsi="Times New Roman"/>
              </w:rPr>
            </w:pPr>
            <w:r>
              <w:rPr>
                <w:rFonts w:ascii="Times New Roman" w:hAnsi="Times New Roman"/>
              </w:rPr>
              <w:t>-</w:t>
            </w:r>
          </w:p>
        </w:tc>
      </w:tr>
    </w:tbl>
    <w:p w14:paraId="6BDCCDF6" w14:textId="77777777" w:rsidR="007F54B8" w:rsidRPr="00F963B4" w:rsidRDefault="007F54B8" w:rsidP="007F54B8"/>
    <w:p w14:paraId="10D64F28" w14:textId="77777777" w:rsidR="007F54B8" w:rsidRDefault="007F54B8" w:rsidP="007F54B8">
      <w:pPr>
        <w:pStyle w:val="NTitleB"/>
        <w:keepNext w:val="0"/>
        <w:keepLines w:val="0"/>
        <w:widowControl/>
        <w:tabs>
          <w:tab w:val="clear" w:pos="576"/>
        </w:tabs>
        <w:spacing w:before="0"/>
        <w:rPr>
          <w:rFonts w:ascii="Times New Roman" w:hAnsi="Times New Roman" w:cs="Times New Roman"/>
        </w:rPr>
      </w:pPr>
    </w:p>
    <w:p w14:paraId="08A75D85" w14:textId="77777777" w:rsidR="007F54B8" w:rsidRPr="00F963B4" w:rsidRDefault="007F54B8" w:rsidP="007F54B8">
      <w:pPr>
        <w:pStyle w:val="NTitleB"/>
        <w:keepNext w:val="0"/>
        <w:keepLines w:val="0"/>
        <w:widowControl/>
        <w:tabs>
          <w:tab w:val="clear" w:pos="576"/>
        </w:tabs>
        <w:spacing w:before="0"/>
        <w:rPr>
          <w:rFonts w:ascii="Times New Roman" w:hAnsi="Times New Roman" w:cs="Times New Roman"/>
          <w:b w:val="0"/>
        </w:rPr>
        <w:sectPr w:rsidR="007F54B8" w:rsidRPr="00F963B4" w:rsidSect="00F963B4">
          <w:headerReference w:type="even" r:id="rId17"/>
          <w:headerReference w:type="default" r:id="rId18"/>
          <w:footerReference w:type="default" r:id="rId19"/>
          <w:headerReference w:type="first" r:id="rId20"/>
          <w:pgSz w:w="12240" w:h="15840" w:code="1"/>
          <w:pgMar w:top="1440" w:right="1440" w:bottom="1440" w:left="1440" w:header="720" w:footer="360" w:gutter="0"/>
          <w:cols w:space="720"/>
          <w:noEndnote/>
          <w:docGrid w:linePitch="360"/>
        </w:sectPr>
      </w:pPr>
      <w:r w:rsidRPr="00DE0A81">
        <w:rPr>
          <w:rFonts w:ascii="Times New Roman" w:hAnsi="Times New Roman" w:cs="Times New Roman"/>
          <w:b w:val="0"/>
        </w:rPr>
        <w:t>There were no cash investing activities during the nine-month periods ended May 31, 2021 and 2020.</w:t>
      </w:r>
    </w:p>
    <w:p w14:paraId="17BB5C55" w14:textId="77777777" w:rsidR="007F54B8" w:rsidRPr="002871B1" w:rsidRDefault="007F54B8" w:rsidP="007F54B8">
      <w:pPr>
        <w:pStyle w:val="NTitleB"/>
        <w:keepNext w:val="0"/>
        <w:keepLines w:val="0"/>
        <w:widowControl/>
        <w:numPr>
          <w:ilvl w:val="0"/>
          <w:numId w:val="4"/>
        </w:numPr>
        <w:tabs>
          <w:tab w:val="clear" w:pos="576"/>
          <w:tab w:val="clear" w:pos="720"/>
        </w:tabs>
        <w:spacing w:before="0"/>
        <w:ind w:left="357" w:hanging="357"/>
        <w:rPr>
          <w:rFonts w:ascii="Times New Roman" w:hAnsi="Times New Roman" w:cs="Times New Roman"/>
          <w:sz w:val="22"/>
          <w:szCs w:val="22"/>
        </w:rPr>
      </w:pPr>
      <w:r w:rsidRPr="002871B1">
        <w:rPr>
          <w:rFonts w:ascii="Times New Roman" w:hAnsi="Times New Roman" w:cs="Times New Roman"/>
          <w:sz w:val="22"/>
          <w:szCs w:val="22"/>
        </w:rPr>
        <w:lastRenderedPageBreak/>
        <w:t>NATURE OF OPERATIONS AND GOING CONCERN</w:t>
      </w:r>
    </w:p>
    <w:p w14:paraId="09D1F862" w14:textId="77777777" w:rsidR="007F54B8" w:rsidRPr="002871B1" w:rsidRDefault="007F54B8" w:rsidP="007F54B8">
      <w:pPr>
        <w:autoSpaceDE w:val="0"/>
        <w:autoSpaceDN w:val="0"/>
        <w:adjustRightInd w:val="0"/>
        <w:jc w:val="both"/>
        <w:rPr>
          <w:bCs/>
          <w:szCs w:val="22"/>
        </w:rPr>
      </w:pPr>
    </w:p>
    <w:p w14:paraId="5732705D" w14:textId="77777777" w:rsidR="007F54B8" w:rsidRPr="00F963B4" w:rsidRDefault="007F54B8" w:rsidP="007F54B8">
      <w:pPr>
        <w:ind w:left="360"/>
        <w:jc w:val="both"/>
        <w:rPr>
          <w:szCs w:val="22"/>
        </w:rPr>
      </w:pPr>
      <w:r w:rsidRPr="00F963B4">
        <w:rPr>
          <w:bCs/>
          <w:szCs w:val="22"/>
        </w:rPr>
        <w:t xml:space="preserve">Project One Resources Ltd. (the “Company”) was incorporated under the </w:t>
      </w:r>
      <w:r w:rsidRPr="00F963B4">
        <w:rPr>
          <w:bCs/>
          <w:i/>
          <w:szCs w:val="22"/>
        </w:rPr>
        <w:t>Business Corporations Act</w:t>
      </w:r>
      <w:r w:rsidRPr="00F963B4">
        <w:rPr>
          <w:bCs/>
          <w:szCs w:val="22"/>
        </w:rPr>
        <w:t xml:space="preserve"> (British Columbia) on March 22, 2018. On June 11, 2019, the Company completed its initial public offering (“IPO”) and is now publicly traded on the Canadian Securities Exchange (“CSE”) under the ticker PJO. </w:t>
      </w:r>
      <w:r w:rsidRPr="00F963B4">
        <w:rPr>
          <w:szCs w:val="22"/>
        </w:rPr>
        <w:t>The principal business of the Company is the acquisition, exploration and evaluation of resource properties.</w:t>
      </w:r>
    </w:p>
    <w:p w14:paraId="450D726E" w14:textId="77777777" w:rsidR="007F54B8" w:rsidRPr="00F963B4" w:rsidRDefault="007F54B8" w:rsidP="007F54B8">
      <w:pPr>
        <w:autoSpaceDE w:val="0"/>
        <w:autoSpaceDN w:val="0"/>
        <w:adjustRightInd w:val="0"/>
        <w:ind w:left="360" w:hanging="360"/>
        <w:jc w:val="both"/>
        <w:rPr>
          <w:bCs/>
          <w:szCs w:val="22"/>
        </w:rPr>
      </w:pPr>
    </w:p>
    <w:p w14:paraId="2FEBCD37" w14:textId="77777777" w:rsidR="007F54B8" w:rsidRDefault="007F54B8" w:rsidP="007F54B8">
      <w:pPr>
        <w:autoSpaceDE w:val="0"/>
        <w:autoSpaceDN w:val="0"/>
        <w:adjustRightInd w:val="0"/>
        <w:ind w:left="360"/>
        <w:jc w:val="both"/>
        <w:rPr>
          <w:bCs/>
          <w:szCs w:val="22"/>
        </w:rPr>
      </w:pPr>
      <w:r w:rsidRPr="0073359C">
        <w:rPr>
          <w:bCs/>
          <w:szCs w:val="22"/>
        </w:rPr>
        <w:t>The Company's head office is Suite 459 – 409 Granville Street, Vancouver, BC, V6C 1T2, and its registered office is Suite 1710 – 1177 West Hastings Street, Vancouver, BC, V6E 2L3.</w:t>
      </w:r>
    </w:p>
    <w:p w14:paraId="042C7600" w14:textId="77777777" w:rsidR="007F54B8" w:rsidRDefault="007F54B8" w:rsidP="007F54B8">
      <w:pPr>
        <w:autoSpaceDE w:val="0"/>
        <w:autoSpaceDN w:val="0"/>
        <w:adjustRightInd w:val="0"/>
        <w:ind w:left="360"/>
        <w:jc w:val="both"/>
        <w:rPr>
          <w:bCs/>
          <w:szCs w:val="22"/>
        </w:rPr>
      </w:pPr>
    </w:p>
    <w:p w14:paraId="38B78843" w14:textId="77777777" w:rsidR="007F54B8" w:rsidRPr="005F51D7" w:rsidRDefault="007F54B8" w:rsidP="007F54B8">
      <w:pPr>
        <w:autoSpaceDE w:val="0"/>
        <w:autoSpaceDN w:val="0"/>
        <w:adjustRightInd w:val="0"/>
        <w:ind w:left="360"/>
        <w:jc w:val="both"/>
        <w:rPr>
          <w:bCs/>
          <w:szCs w:val="22"/>
        </w:rPr>
      </w:pPr>
      <w:r w:rsidRPr="005F51D7">
        <w:rPr>
          <w:bCs/>
          <w:szCs w:val="22"/>
        </w:rPr>
        <w:t>In August 2020, the Company signed a non-binding letter of intent (“LOI”) to purchase a 100% interest in two European cyber-security firms. The LOI outline</w:t>
      </w:r>
      <w:r>
        <w:rPr>
          <w:bCs/>
          <w:szCs w:val="22"/>
        </w:rPr>
        <w:t>d</w:t>
      </w:r>
      <w:r w:rsidRPr="005F51D7">
        <w:rPr>
          <w:bCs/>
          <w:szCs w:val="22"/>
        </w:rPr>
        <w:t xml:space="preserve"> a proposed purchase price of 11,000,000 euros, which the Company would finance through a combination of debt and equity.</w:t>
      </w:r>
      <w:r>
        <w:rPr>
          <w:bCs/>
          <w:szCs w:val="22"/>
        </w:rPr>
        <w:t xml:space="preserve"> In February 2021, the Company terminated the LOI due to COVID-19 related travel restrictions limiting the Company’s ability to complete appropriate due diligence. During the nine-month period ended May 31, 2021, the </w:t>
      </w:r>
      <w:r w:rsidRPr="00BD4B44">
        <w:rPr>
          <w:bCs/>
          <w:szCs w:val="22"/>
        </w:rPr>
        <w:t xml:space="preserve">Company incurred </w:t>
      </w:r>
      <w:r w:rsidRPr="00111BF3">
        <w:rPr>
          <w:bCs/>
          <w:szCs w:val="22"/>
        </w:rPr>
        <w:t>$156,135 in advertising and promotion, consulting fees and legal fees</w:t>
      </w:r>
      <w:r w:rsidRPr="00BD4B44">
        <w:rPr>
          <w:bCs/>
          <w:szCs w:val="22"/>
        </w:rPr>
        <w:t xml:space="preserve"> relating</w:t>
      </w:r>
      <w:r>
        <w:rPr>
          <w:bCs/>
          <w:szCs w:val="22"/>
        </w:rPr>
        <w:t xml:space="preserve"> to this transaction.</w:t>
      </w:r>
    </w:p>
    <w:p w14:paraId="73F336E5" w14:textId="77777777" w:rsidR="007F54B8" w:rsidRPr="002871B1" w:rsidRDefault="007F54B8" w:rsidP="007F54B8">
      <w:pPr>
        <w:autoSpaceDE w:val="0"/>
        <w:autoSpaceDN w:val="0"/>
        <w:adjustRightInd w:val="0"/>
        <w:jc w:val="both"/>
        <w:rPr>
          <w:bCs/>
          <w:szCs w:val="22"/>
        </w:rPr>
      </w:pPr>
    </w:p>
    <w:p w14:paraId="548DF71C" w14:textId="77777777" w:rsidR="007F54B8" w:rsidRPr="002871B1" w:rsidRDefault="007F54B8" w:rsidP="007F54B8">
      <w:pPr>
        <w:autoSpaceDE w:val="0"/>
        <w:autoSpaceDN w:val="0"/>
        <w:adjustRightInd w:val="0"/>
        <w:ind w:left="360"/>
        <w:jc w:val="both"/>
        <w:rPr>
          <w:bCs/>
          <w:szCs w:val="22"/>
          <w:lang w:val="en-CA"/>
        </w:rPr>
      </w:pPr>
      <w:r w:rsidRPr="002871B1">
        <w:rPr>
          <w:bCs/>
          <w:szCs w:val="22"/>
        </w:rPr>
        <w:t xml:space="preserve">The condensed interim financial statements have been </w:t>
      </w:r>
      <w:r w:rsidRPr="00F963B4">
        <w:rPr>
          <w:bCs/>
          <w:szCs w:val="22"/>
        </w:rPr>
        <w:t xml:space="preserve">prepared on a going concern basis, which assumes that the Company will be able to realize its assets and discharge its liabilities in the normal course of business. </w:t>
      </w:r>
      <w:r w:rsidRPr="002871B1">
        <w:rPr>
          <w:bCs/>
          <w:szCs w:val="22"/>
        </w:rPr>
        <w:t xml:space="preserve">At present, the Company has no operating income. During the </w:t>
      </w:r>
      <w:r>
        <w:rPr>
          <w:bCs/>
          <w:szCs w:val="22"/>
        </w:rPr>
        <w:t>nine</w:t>
      </w:r>
      <w:r w:rsidRPr="002871B1">
        <w:rPr>
          <w:bCs/>
          <w:szCs w:val="22"/>
        </w:rPr>
        <w:t>-month period ended May 31, 202</w:t>
      </w:r>
      <w:r>
        <w:rPr>
          <w:bCs/>
          <w:szCs w:val="22"/>
        </w:rPr>
        <w:t>1</w:t>
      </w:r>
      <w:r w:rsidRPr="002871B1">
        <w:rPr>
          <w:bCs/>
          <w:szCs w:val="22"/>
        </w:rPr>
        <w:t xml:space="preserve">, the Company incurred a net loss of </w:t>
      </w:r>
      <w:r>
        <w:rPr>
          <w:bCs/>
          <w:szCs w:val="22"/>
        </w:rPr>
        <w:t xml:space="preserve">$534,582 (2020 - </w:t>
      </w:r>
      <w:r w:rsidRPr="002871B1">
        <w:rPr>
          <w:bCs/>
          <w:szCs w:val="22"/>
        </w:rPr>
        <w:t>$</w:t>
      </w:r>
      <w:r>
        <w:rPr>
          <w:bCs/>
          <w:szCs w:val="22"/>
        </w:rPr>
        <w:t>85,054)</w:t>
      </w:r>
      <w:r w:rsidRPr="002871B1">
        <w:rPr>
          <w:bCs/>
          <w:szCs w:val="22"/>
        </w:rPr>
        <w:t xml:space="preserve">, </w:t>
      </w:r>
      <w:r>
        <w:rPr>
          <w:bCs/>
          <w:szCs w:val="22"/>
        </w:rPr>
        <w:t xml:space="preserve">and </w:t>
      </w:r>
      <w:r w:rsidRPr="002871B1">
        <w:rPr>
          <w:bCs/>
          <w:szCs w:val="22"/>
        </w:rPr>
        <w:t xml:space="preserve">as of that date, had </w:t>
      </w:r>
      <w:r>
        <w:rPr>
          <w:bCs/>
          <w:szCs w:val="22"/>
        </w:rPr>
        <w:t>a deficit</w:t>
      </w:r>
      <w:r w:rsidRPr="002871B1">
        <w:rPr>
          <w:bCs/>
          <w:szCs w:val="22"/>
        </w:rPr>
        <w:t xml:space="preserve"> of </w:t>
      </w:r>
      <w:r>
        <w:rPr>
          <w:bCs/>
          <w:szCs w:val="22"/>
        </w:rPr>
        <w:t xml:space="preserve">$1,046,409 (August 31, 2020 - </w:t>
      </w:r>
      <w:r w:rsidRPr="002871B1">
        <w:rPr>
          <w:bCs/>
          <w:szCs w:val="22"/>
        </w:rPr>
        <w:t>$</w:t>
      </w:r>
      <w:r>
        <w:rPr>
          <w:bCs/>
          <w:szCs w:val="22"/>
        </w:rPr>
        <w:t>678,027)</w:t>
      </w:r>
      <w:r w:rsidRPr="002871B1">
        <w:rPr>
          <w:bCs/>
          <w:szCs w:val="22"/>
        </w:rPr>
        <w:t xml:space="preserve">. </w:t>
      </w:r>
      <w:r w:rsidRPr="00BD77B5">
        <w:rPr>
          <w:bCs/>
          <w:szCs w:val="22"/>
        </w:rPr>
        <w:t xml:space="preserve">Without additional financing, the Company may not be able to fund its ongoing operations and complete development activities. The Company intends to finance its future requirements through a combination of debt and/or equity issuance. There is no assurance that the Company will be able to obtain such financings or obtain them on favorable terms. These uncertainties may cast significant doubt on the Company’s ability to continue as a going concern. The Company will need to raise sufficient working capital to maintain operations. These </w:t>
      </w:r>
      <w:r>
        <w:rPr>
          <w:bCs/>
          <w:szCs w:val="22"/>
        </w:rPr>
        <w:t xml:space="preserve">condensed interim </w:t>
      </w:r>
      <w:r w:rsidRPr="00BD77B5">
        <w:rPr>
          <w:bCs/>
          <w:szCs w:val="22"/>
        </w:rPr>
        <w:t>financial statements do not include any adjustments related to the recoverability of assets and classification of liabilities that might be necessary should the Company be unable to continue as a going concern. Such adjustments could be material.</w:t>
      </w:r>
    </w:p>
    <w:p w14:paraId="654DDA31" w14:textId="77777777" w:rsidR="007F54B8" w:rsidRPr="002871B1" w:rsidRDefault="007F54B8" w:rsidP="007F54B8">
      <w:pPr>
        <w:autoSpaceDE w:val="0"/>
        <w:autoSpaceDN w:val="0"/>
        <w:adjustRightInd w:val="0"/>
        <w:jc w:val="both"/>
        <w:rPr>
          <w:bCs/>
          <w:szCs w:val="22"/>
        </w:rPr>
      </w:pPr>
    </w:p>
    <w:p w14:paraId="76B86EA7" w14:textId="77777777" w:rsidR="007F54B8" w:rsidRPr="006B75AA" w:rsidRDefault="007F54B8" w:rsidP="007F54B8">
      <w:pPr>
        <w:autoSpaceDE w:val="0"/>
        <w:autoSpaceDN w:val="0"/>
        <w:adjustRightInd w:val="0"/>
        <w:ind w:left="360"/>
        <w:jc w:val="both"/>
        <w:rPr>
          <w:bCs/>
          <w:szCs w:val="22"/>
        </w:rPr>
      </w:pPr>
      <w:r w:rsidRPr="006B75AA">
        <w:rPr>
          <w:bCs/>
          <w:szCs w:val="22"/>
        </w:rPr>
        <w:t xml:space="preserve">In March 2020, the World Health Organization declared coronavirus COVID-19 a global pandemic. The impact of the COVID-19 pandemic has major implications for all economic activity, including that of the Company. At this time, it is not possible to predict the duration or magnitude of the adverse results of the outbreak and its effects on the Company’s business but believes that the COVID-19 Pandemic will likely have only a minimal impact on the Company’s activities, most notably in curtailment of travel and access to projects due to travel and social distancing restrictions. There is no material disruption to the Company’s current operations. </w:t>
      </w:r>
    </w:p>
    <w:p w14:paraId="24848301" w14:textId="77777777" w:rsidR="007F54B8" w:rsidRDefault="007F54B8" w:rsidP="007F54B8">
      <w:pPr>
        <w:autoSpaceDE w:val="0"/>
        <w:autoSpaceDN w:val="0"/>
        <w:adjustRightInd w:val="0"/>
        <w:jc w:val="both"/>
        <w:rPr>
          <w:bCs/>
          <w:szCs w:val="22"/>
        </w:rPr>
      </w:pPr>
    </w:p>
    <w:p w14:paraId="0AA272A4" w14:textId="77777777" w:rsidR="007F54B8" w:rsidRDefault="007F54B8" w:rsidP="007F54B8">
      <w:pPr>
        <w:autoSpaceDE w:val="0"/>
        <w:autoSpaceDN w:val="0"/>
        <w:adjustRightInd w:val="0"/>
        <w:ind w:left="720"/>
        <w:jc w:val="both"/>
        <w:rPr>
          <w:bCs/>
          <w:szCs w:val="22"/>
        </w:rPr>
      </w:pPr>
    </w:p>
    <w:p w14:paraId="1514B6AD" w14:textId="77777777" w:rsidR="007F54B8" w:rsidRPr="00E40DCA" w:rsidRDefault="007F54B8" w:rsidP="001B68AD">
      <w:pPr>
        <w:pStyle w:val="NTitleB"/>
        <w:keepNext w:val="0"/>
        <w:keepLines w:val="0"/>
        <w:widowControl/>
        <w:numPr>
          <w:ilvl w:val="0"/>
          <w:numId w:val="13"/>
        </w:numPr>
        <w:tabs>
          <w:tab w:val="clear" w:pos="576"/>
        </w:tabs>
        <w:spacing w:before="0"/>
        <w:ind w:left="360" w:hanging="360"/>
        <w:rPr>
          <w:rFonts w:ascii="Times New Roman" w:hAnsi="Times New Roman" w:cs="Times New Roman"/>
          <w:sz w:val="22"/>
          <w:szCs w:val="22"/>
        </w:rPr>
      </w:pPr>
      <w:r w:rsidRPr="00E40DCA">
        <w:rPr>
          <w:rFonts w:ascii="Times New Roman" w:hAnsi="Times New Roman" w:cs="Times New Roman"/>
          <w:sz w:val="22"/>
          <w:szCs w:val="22"/>
        </w:rPr>
        <w:t>BASIS OF PRESENTATION</w:t>
      </w:r>
    </w:p>
    <w:p w14:paraId="56B0CE0F" w14:textId="77777777" w:rsidR="007F54B8" w:rsidRDefault="007F54B8" w:rsidP="007F54B8">
      <w:pPr>
        <w:autoSpaceDE w:val="0"/>
        <w:autoSpaceDN w:val="0"/>
        <w:adjustRightInd w:val="0"/>
        <w:ind w:left="720"/>
        <w:jc w:val="both"/>
        <w:rPr>
          <w:bCs/>
          <w:szCs w:val="22"/>
        </w:rPr>
      </w:pPr>
    </w:p>
    <w:p w14:paraId="57DDECAA" w14:textId="77777777" w:rsidR="007F54B8" w:rsidRPr="00C7127D" w:rsidRDefault="007F54B8" w:rsidP="001B68AD">
      <w:pPr>
        <w:pStyle w:val="ListParagraph"/>
        <w:numPr>
          <w:ilvl w:val="1"/>
          <w:numId w:val="19"/>
        </w:numPr>
        <w:autoSpaceDE w:val="0"/>
        <w:autoSpaceDN w:val="0"/>
        <w:adjustRightInd w:val="0"/>
        <w:ind w:left="720" w:hanging="360"/>
        <w:jc w:val="both"/>
        <w:rPr>
          <w:rFonts w:ascii="Times New Roman" w:hAnsi="Times New Roman"/>
          <w:iCs/>
          <w:szCs w:val="22"/>
          <w:lang w:val="en-CA"/>
        </w:rPr>
      </w:pPr>
      <w:r w:rsidRPr="00C7127D">
        <w:rPr>
          <w:rFonts w:ascii="Times New Roman" w:hAnsi="Times New Roman"/>
          <w:iCs/>
          <w:szCs w:val="22"/>
          <w:lang w:val="en-CA"/>
        </w:rPr>
        <w:t>Statement of compliance</w:t>
      </w:r>
    </w:p>
    <w:p w14:paraId="77CD2014" w14:textId="77777777" w:rsidR="007F54B8" w:rsidRDefault="007F54B8" w:rsidP="007F54B8">
      <w:pPr>
        <w:autoSpaceDE w:val="0"/>
        <w:autoSpaceDN w:val="0"/>
        <w:adjustRightInd w:val="0"/>
        <w:ind w:left="720"/>
        <w:jc w:val="both"/>
        <w:rPr>
          <w:bCs/>
          <w:szCs w:val="22"/>
        </w:rPr>
      </w:pPr>
    </w:p>
    <w:p w14:paraId="135495CE" w14:textId="77777777" w:rsidR="007F54B8" w:rsidRDefault="007F54B8" w:rsidP="007F54B8">
      <w:pPr>
        <w:autoSpaceDE w:val="0"/>
        <w:autoSpaceDN w:val="0"/>
        <w:adjustRightInd w:val="0"/>
        <w:ind w:left="720"/>
        <w:jc w:val="both"/>
        <w:rPr>
          <w:bCs/>
          <w:szCs w:val="22"/>
        </w:rPr>
      </w:pPr>
      <w:r w:rsidRPr="00664730">
        <w:rPr>
          <w:bCs/>
          <w:szCs w:val="22"/>
        </w:rPr>
        <w:t>These condensed interim financial statements are unaudited and have been prepared in accordance with</w:t>
      </w:r>
      <w:r>
        <w:rPr>
          <w:bCs/>
          <w:szCs w:val="22"/>
        </w:rPr>
        <w:t xml:space="preserve"> </w:t>
      </w:r>
      <w:r w:rsidRPr="00664730">
        <w:rPr>
          <w:bCs/>
          <w:szCs w:val="22"/>
        </w:rPr>
        <w:t xml:space="preserve">International Accounting Standard (“IAS”) 34 </w:t>
      </w:r>
      <w:r w:rsidRPr="00F963B4">
        <w:rPr>
          <w:bCs/>
          <w:i/>
          <w:szCs w:val="22"/>
        </w:rPr>
        <w:t xml:space="preserve">Interim Financial Reporting </w:t>
      </w:r>
      <w:r w:rsidRPr="00664730">
        <w:rPr>
          <w:bCs/>
          <w:szCs w:val="22"/>
        </w:rPr>
        <w:t>using accounting policies consistent with</w:t>
      </w:r>
      <w:r>
        <w:rPr>
          <w:bCs/>
          <w:szCs w:val="22"/>
        </w:rPr>
        <w:t xml:space="preserve"> International Financial Reporting Standards (“IFRS”), as issued by the International Accounting Standards Board (“IASB”)</w:t>
      </w:r>
      <w:r w:rsidRPr="00664730">
        <w:rPr>
          <w:bCs/>
          <w:szCs w:val="22"/>
        </w:rPr>
        <w:t>. These condensed</w:t>
      </w:r>
      <w:r>
        <w:rPr>
          <w:bCs/>
          <w:szCs w:val="22"/>
        </w:rPr>
        <w:t xml:space="preserve"> </w:t>
      </w:r>
      <w:r w:rsidRPr="00664730">
        <w:rPr>
          <w:bCs/>
          <w:szCs w:val="22"/>
        </w:rPr>
        <w:t>interim financial</w:t>
      </w:r>
      <w:r>
        <w:rPr>
          <w:bCs/>
          <w:szCs w:val="22"/>
        </w:rPr>
        <w:t xml:space="preserve"> </w:t>
      </w:r>
      <w:r w:rsidRPr="00664730">
        <w:rPr>
          <w:bCs/>
          <w:szCs w:val="22"/>
        </w:rPr>
        <w:t>statements do not include all of the information required for full annual financial statements. These condensed</w:t>
      </w:r>
      <w:r>
        <w:rPr>
          <w:bCs/>
          <w:szCs w:val="22"/>
        </w:rPr>
        <w:t xml:space="preserve"> </w:t>
      </w:r>
      <w:r w:rsidRPr="00664730">
        <w:rPr>
          <w:bCs/>
          <w:szCs w:val="22"/>
        </w:rPr>
        <w:t>interim financial statements should be read in conjunction with the annual financial statements for the year</w:t>
      </w:r>
      <w:r>
        <w:rPr>
          <w:bCs/>
          <w:szCs w:val="22"/>
        </w:rPr>
        <w:t xml:space="preserve"> </w:t>
      </w:r>
      <w:r w:rsidRPr="00664730">
        <w:rPr>
          <w:bCs/>
          <w:szCs w:val="22"/>
        </w:rPr>
        <w:t xml:space="preserve">ended </w:t>
      </w:r>
      <w:r>
        <w:rPr>
          <w:bCs/>
          <w:szCs w:val="22"/>
        </w:rPr>
        <w:t>August 31, 2020</w:t>
      </w:r>
      <w:r w:rsidRPr="00664730">
        <w:rPr>
          <w:bCs/>
          <w:szCs w:val="22"/>
        </w:rPr>
        <w:t>.</w:t>
      </w:r>
    </w:p>
    <w:p w14:paraId="2F03C11A" w14:textId="77777777" w:rsidR="007F54B8" w:rsidRDefault="007F54B8" w:rsidP="007F54B8">
      <w:pPr>
        <w:autoSpaceDE w:val="0"/>
        <w:autoSpaceDN w:val="0"/>
        <w:adjustRightInd w:val="0"/>
        <w:jc w:val="both"/>
        <w:rPr>
          <w:bCs/>
          <w:szCs w:val="22"/>
        </w:rPr>
      </w:pPr>
    </w:p>
    <w:p w14:paraId="3E13BDF0" w14:textId="77777777" w:rsidR="007F54B8" w:rsidRPr="00F963B4" w:rsidRDefault="007F54B8" w:rsidP="007F54B8">
      <w:pPr>
        <w:autoSpaceDE w:val="0"/>
        <w:autoSpaceDN w:val="0"/>
        <w:adjustRightInd w:val="0"/>
        <w:ind w:left="720"/>
        <w:jc w:val="both"/>
        <w:rPr>
          <w:bCs/>
          <w:szCs w:val="22"/>
        </w:rPr>
      </w:pPr>
      <w:r w:rsidRPr="00F963B4">
        <w:rPr>
          <w:bCs/>
          <w:szCs w:val="22"/>
        </w:rPr>
        <w:t xml:space="preserve">These </w:t>
      </w:r>
      <w:r>
        <w:rPr>
          <w:bCs/>
          <w:szCs w:val="22"/>
        </w:rPr>
        <w:t xml:space="preserve">condensed interim </w:t>
      </w:r>
      <w:r w:rsidRPr="00F963B4">
        <w:rPr>
          <w:bCs/>
          <w:szCs w:val="22"/>
        </w:rPr>
        <w:t xml:space="preserve">financial statements are presented in Canadian dollars, which is the Company’s functional currency. </w:t>
      </w:r>
    </w:p>
    <w:p w14:paraId="166A8292" w14:textId="77777777" w:rsidR="007F54B8" w:rsidRPr="00F963B4" w:rsidRDefault="007F54B8" w:rsidP="007F54B8">
      <w:pPr>
        <w:autoSpaceDE w:val="0"/>
        <w:autoSpaceDN w:val="0"/>
        <w:adjustRightInd w:val="0"/>
        <w:jc w:val="both"/>
        <w:rPr>
          <w:bCs/>
          <w:szCs w:val="22"/>
        </w:rPr>
      </w:pPr>
    </w:p>
    <w:p w14:paraId="0F1FE17A" w14:textId="77777777" w:rsidR="007F54B8" w:rsidRPr="00F963B4" w:rsidRDefault="007F54B8" w:rsidP="001B68AD">
      <w:pPr>
        <w:pStyle w:val="ListParagraph"/>
        <w:numPr>
          <w:ilvl w:val="1"/>
          <w:numId w:val="14"/>
        </w:numPr>
        <w:autoSpaceDE w:val="0"/>
        <w:autoSpaceDN w:val="0"/>
        <w:adjustRightInd w:val="0"/>
        <w:ind w:left="720" w:hanging="360"/>
        <w:jc w:val="both"/>
        <w:rPr>
          <w:rFonts w:ascii="Times New Roman" w:hAnsi="Times New Roman"/>
          <w:iCs/>
          <w:szCs w:val="22"/>
          <w:lang w:val="en-CA"/>
        </w:rPr>
      </w:pPr>
      <w:r w:rsidRPr="00F963B4">
        <w:rPr>
          <w:rFonts w:ascii="Times New Roman" w:hAnsi="Times New Roman"/>
          <w:iCs/>
          <w:szCs w:val="22"/>
          <w:lang w:val="en-CA"/>
        </w:rPr>
        <w:t xml:space="preserve">Basis of </w:t>
      </w:r>
      <w:r>
        <w:rPr>
          <w:rFonts w:ascii="Times New Roman" w:hAnsi="Times New Roman"/>
          <w:iCs/>
          <w:szCs w:val="22"/>
          <w:lang w:val="en-CA"/>
        </w:rPr>
        <w:t>measurement</w:t>
      </w:r>
    </w:p>
    <w:p w14:paraId="2FF585F0" w14:textId="77777777" w:rsidR="007F54B8" w:rsidRDefault="007F54B8" w:rsidP="007F54B8">
      <w:pPr>
        <w:autoSpaceDE w:val="0"/>
        <w:autoSpaceDN w:val="0"/>
        <w:adjustRightInd w:val="0"/>
        <w:jc w:val="both"/>
        <w:rPr>
          <w:bCs/>
          <w:szCs w:val="22"/>
        </w:rPr>
      </w:pPr>
      <w:r>
        <w:rPr>
          <w:bCs/>
          <w:szCs w:val="22"/>
        </w:rPr>
        <w:t xml:space="preserve"> </w:t>
      </w:r>
    </w:p>
    <w:p w14:paraId="5557CCDA" w14:textId="3952939B" w:rsidR="007F54B8" w:rsidRPr="00F963B4" w:rsidRDefault="007F54B8" w:rsidP="007F54B8">
      <w:pPr>
        <w:autoSpaceDE w:val="0"/>
        <w:autoSpaceDN w:val="0"/>
        <w:adjustRightInd w:val="0"/>
        <w:jc w:val="both"/>
        <w:rPr>
          <w:bCs/>
          <w:szCs w:val="22"/>
        </w:rPr>
      </w:pPr>
      <w:r w:rsidRPr="00F963B4">
        <w:rPr>
          <w:bCs/>
          <w:szCs w:val="22"/>
        </w:rPr>
        <w:lastRenderedPageBreak/>
        <w:t xml:space="preserve">These </w:t>
      </w:r>
      <w:r>
        <w:rPr>
          <w:bCs/>
          <w:szCs w:val="22"/>
        </w:rPr>
        <w:t xml:space="preserve">condensed interim </w:t>
      </w:r>
      <w:r w:rsidRPr="00F963B4">
        <w:rPr>
          <w:bCs/>
          <w:szCs w:val="22"/>
        </w:rPr>
        <w:t xml:space="preserve">financial statements have been prepared on a historical cost basis, except for certain financial instruments classified as financial instruments at fair value through profit or loss, which are stated at fair value. In addition, these </w:t>
      </w:r>
      <w:r>
        <w:rPr>
          <w:bCs/>
          <w:szCs w:val="22"/>
        </w:rPr>
        <w:t xml:space="preserve">condensed interim </w:t>
      </w:r>
      <w:r w:rsidRPr="00F963B4">
        <w:rPr>
          <w:bCs/>
          <w:szCs w:val="22"/>
        </w:rPr>
        <w:t xml:space="preserve">financial statements have been prepared using the accrual basis of accounting, except for cash flow information. </w:t>
      </w:r>
    </w:p>
    <w:p w14:paraId="245AA77B" w14:textId="77777777" w:rsidR="007F54B8" w:rsidRPr="00F963B4" w:rsidRDefault="007F54B8" w:rsidP="007F54B8">
      <w:pPr>
        <w:pStyle w:val="ListParagraph"/>
        <w:autoSpaceDE w:val="0"/>
        <w:autoSpaceDN w:val="0"/>
        <w:adjustRightInd w:val="0"/>
        <w:ind w:left="1080" w:hanging="360"/>
        <w:jc w:val="both"/>
        <w:rPr>
          <w:rFonts w:ascii="Times New Roman" w:hAnsi="Times New Roman"/>
          <w:iCs/>
          <w:szCs w:val="22"/>
          <w:lang w:val="en-CA"/>
        </w:rPr>
      </w:pPr>
    </w:p>
    <w:p w14:paraId="44D7DCD2" w14:textId="77777777" w:rsidR="007F54B8" w:rsidRPr="00F963B4" w:rsidRDefault="007F54B8" w:rsidP="001B68AD">
      <w:pPr>
        <w:pStyle w:val="ListParagraph"/>
        <w:numPr>
          <w:ilvl w:val="1"/>
          <w:numId w:val="8"/>
        </w:numPr>
        <w:tabs>
          <w:tab w:val="clear" w:pos="1440"/>
        </w:tabs>
        <w:autoSpaceDE w:val="0"/>
        <w:autoSpaceDN w:val="0"/>
        <w:adjustRightInd w:val="0"/>
        <w:ind w:left="720" w:hanging="360"/>
        <w:jc w:val="both"/>
        <w:rPr>
          <w:rFonts w:ascii="Times New Roman" w:hAnsi="Times New Roman"/>
          <w:iCs/>
          <w:szCs w:val="22"/>
          <w:lang w:val="en-CA"/>
        </w:rPr>
      </w:pPr>
      <w:r w:rsidRPr="00F963B4">
        <w:rPr>
          <w:rFonts w:ascii="Times New Roman" w:hAnsi="Times New Roman"/>
          <w:iCs/>
          <w:szCs w:val="22"/>
          <w:lang w:val="en-CA"/>
        </w:rPr>
        <w:t>Approval of the</w:t>
      </w:r>
      <w:r>
        <w:rPr>
          <w:rFonts w:ascii="Times New Roman" w:hAnsi="Times New Roman"/>
          <w:iCs/>
          <w:szCs w:val="22"/>
          <w:lang w:val="en-CA"/>
        </w:rPr>
        <w:t xml:space="preserve"> condensed interim</w:t>
      </w:r>
      <w:r w:rsidRPr="00F963B4">
        <w:rPr>
          <w:rFonts w:ascii="Times New Roman" w:hAnsi="Times New Roman"/>
          <w:iCs/>
          <w:szCs w:val="22"/>
          <w:lang w:val="en-CA"/>
        </w:rPr>
        <w:t xml:space="preserve"> financial statements</w:t>
      </w:r>
    </w:p>
    <w:p w14:paraId="283F348A" w14:textId="77777777" w:rsidR="007F54B8" w:rsidRPr="00F963B4" w:rsidRDefault="007F54B8" w:rsidP="007F54B8">
      <w:pPr>
        <w:autoSpaceDE w:val="0"/>
        <w:autoSpaceDN w:val="0"/>
        <w:adjustRightInd w:val="0"/>
        <w:ind w:left="1080" w:hanging="360"/>
        <w:jc w:val="both"/>
        <w:rPr>
          <w:bCs/>
          <w:szCs w:val="22"/>
          <w:lang w:val="en-CA"/>
        </w:rPr>
      </w:pPr>
    </w:p>
    <w:p w14:paraId="1BCF5A37" w14:textId="77777777" w:rsidR="007F54B8" w:rsidRPr="00F963B4" w:rsidRDefault="007F54B8" w:rsidP="007F54B8">
      <w:pPr>
        <w:autoSpaceDE w:val="0"/>
        <w:autoSpaceDN w:val="0"/>
        <w:adjustRightInd w:val="0"/>
        <w:ind w:left="720"/>
        <w:jc w:val="both"/>
        <w:rPr>
          <w:bCs/>
          <w:szCs w:val="22"/>
        </w:rPr>
      </w:pPr>
      <w:r w:rsidRPr="00F963B4">
        <w:rPr>
          <w:bCs/>
          <w:szCs w:val="22"/>
        </w:rPr>
        <w:t xml:space="preserve">These </w:t>
      </w:r>
      <w:r>
        <w:rPr>
          <w:bCs/>
          <w:szCs w:val="22"/>
        </w:rPr>
        <w:t xml:space="preserve">condensed interim </w:t>
      </w:r>
      <w:r w:rsidRPr="00F963B4">
        <w:rPr>
          <w:bCs/>
          <w:szCs w:val="22"/>
        </w:rPr>
        <w:t xml:space="preserve">financial statements were authorized for issue by the Audit Committee and Board of Directors on </w:t>
      </w:r>
      <w:r w:rsidRPr="004A0302">
        <w:rPr>
          <w:bCs/>
          <w:szCs w:val="22"/>
        </w:rPr>
        <w:t>July 26,</w:t>
      </w:r>
      <w:r w:rsidRPr="00F963B4">
        <w:rPr>
          <w:bCs/>
          <w:szCs w:val="22"/>
        </w:rPr>
        <w:t xml:space="preserve"> 202</w:t>
      </w:r>
      <w:r>
        <w:rPr>
          <w:bCs/>
          <w:szCs w:val="22"/>
        </w:rPr>
        <w:t>1</w:t>
      </w:r>
      <w:r w:rsidRPr="00F963B4">
        <w:rPr>
          <w:bCs/>
          <w:szCs w:val="22"/>
        </w:rPr>
        <w:t xml:space="preserve">. </w:t>
      </w:r>
    </w:p>
    <w:p w14:paraId="7CC4BFC7" w14:textId="77777777" w:rsidR="007F54B8" w:rsidRPr="00F963B4" w:rsidRDefault="007F54B8" w:rsidP="007F54B8">
      <w:pPr>
        <w:pStyle w:val="ListParagraph"/>
        <w:shd w:val="clear" w:color="auto" w:fill="FFFFFF"/>
        <w:ind w:left="360"/>
        <w:rPr>
          <w:rFonts w:ascii="Times New Roman" w:hAnsi="Times New Roman"/>
          <w:szCs w:val="22"/>
        </w:rPr>
      </w:pPr>
    </w:p>
    <w:p w14:paraId="22FE204B" w14:textId="77777777" w:rsidR="007F54B8" w:rsidRPr="002871B1" w:rsidRDefault="007F54B8" w:rsidP="001B68AD">
      <w:pPr>
        <w:pStyle w:val="NTitleB"/>
        <w:keepNext w:val="0"/>
        <w:keepLines w:val="0"/>
        <w:widowControl/>
        <w:numPr>
          <w:ilvl w:val="0"/>
          <w:numId w:val="14"/>
        </w:numPr>
        <w:tabs>
          <w:tab w:val="clear" w:pos="576"/>
        </w:tabs>
        <w:spacing w:before="0"/>
        <w:ind w:left="357" w:hanging="357"/>
        <w:rPr>
          <w:rFonts w:ascii="Times New Roman" w:hAnsi="Times New Roman" w:cs="Times New Roman"/>
          <w:color w:val="auto"/>
          <w:sz w:val="22"/>
          <w:szCs w:val="22"/>
        </w:rPr>
      </w:pPr>
      <w:r w:rsidRPr="002871B1">
        <w:rPr>
          <w:rFonts w:ascii="Times New Roman" w:hAnsi="Times New Roman" w:cs="Times New Roman"/>
          <w:color w:val="auto"/>
          <w:sz w:val="22"/>
          <w:szCs w:val="22"/>
        </w:rPr>
        <w:t>SIGNIFICANT ACCOUNTING POLICIES</w:t>
      </w:r>
    </w:p>
    <w:p w14:paraId="0A299F69" w14:textId="77777777" w:rsidR="007F54B8" w:rsidRPr="002871B1" w:rsidRDefault="007F54B8" w:rsidP="007F54B8">
      <w:pPr>
        <w:pStyle w:val="NTitleB"/>
        <w:keepNext w:val="0"/>
        <w:keepLines w:val="0"/>
        <w:widowControl/>
        <w:tabs>
          <w:tab w:val="clear" w:pos="576"/>
        </w:tabs>
        <w:spacing w:before="0"/>
        <w:ind w:left="720" w:firstLine="0"/>
        <w:rPr>
          <w:rFonts w:ascii="Times New Roman" w:hAnsi="Times New Roman" w:cs="Times New Roman"/>
          <w:sz w:val="22"/>
          <w:szCs w:val="22"/>
        </w:rPr>
      </w:pPr>
    </w:p>
    <w:p w14:paraId="79D54187" w14:textId="77777777" w:rsidR="007F54B8" w:rsidRDefault="007F54B8" w:rsidP="007F54B8">
      <w:pPr>
        <w:ind w:left="357"/>
        <w:jc w:val="both"/>
        <w:rPr>
          <w:szCs w:val="22"/>
        </w:rPr>
      </w:pPr>
      <w:r w:rsidRPr="00F963B4">
        <w:rPr>
          <w:szCs w:val="22"/>
        </w:rPr>
        <w:t xml:space="preserve">In preparing these condensed interim financial statements, the significant accounting policies were the same as those that applied to the Company’s audited financial statements for the year ended </w:t>
      </w:r>
      <w:r>
        <w:rPr>
          <w:szCs w:val="22"/>
        </w:rPr>
        <w:t>August 31, 2020.</w:t>
      </w:r>
    </w:p>
    <w:p w14:paraId="053FD5B4" w14:textId="77777777" w:rsidR="007F54B8" w:rsidRPr="00F963B4" w:rsidRDefault="007F54B8" w:rsidP="007F54B8">
      <w:pPr>
        <w:pStyle w:val="BodyTextIndent2"/>
        <w:ind w:left="1440"/>
        <w:jc w:val="both"/>
        <w:rPr>
          <w:sz w:val="22"/>
          <w:szCs w:val="22"/>
        </w:rPr>
      </w:pPr>
    </w:p>
    <w:p w14:paraId="7CF5FF07" w14:textId="77777777" w:rsidR="007F54B8" w:rsidRPr="00F963B4" w:rsidRDefault="007F54B8" w:rsidP="007F54B8">
      <w:pPr>
        <w:ind w:left="357"/>
        <w:jc w:val="both"/>
        <w:rPr>
          <w:b/>
          <w:szCs w:val="22"/>
        </w:rPr>
      </w:pPr>
      <w:r w:rsidRPr="00F963B4">
        <w:rPr>
          <w:b/>
          <w:szCs w:val="22"/>
        </w:rPr>
        <w:t>Use of estimates and judgments</w:t>
      </w:r>
    </w:p>
    <w:p w14:paraId="0445A8EE" w14:textId="77777777" w:rsidR="007F54B8" w:rsidRPr="00F963B4" w:rsidRDefault="007F54B8" w:rsidP="007F54B8">
      <w:pPr>
        <w:autoSpaceDE w:val="0"/>
        <w:autoSpaceDN w:val="0"/>
        <w:adjustRightInd w:val="0"/>
        <w:jc w:val="both"/>
        <w:rPr>
          <w:bCs/>
          <w:szCs w:val="22"/>
        </w:rPr>
      </w:pPr>
    </w:p>
    <w:p w14:paraId="7F6E6FD3" w14:textId="77777777" w:rsidR="007F54B8" w:rsidRPr="00F963B4" w:rsidRDefault="007F54B8" w:rsidP="007F54B8">
      <w:pPr>
        <w:ind w:left="357"/>
        <w:jc w:val="both"/>
        <w:rPr>
          <w:szCs w:val="22"/>
        </w:rPr>
      </w:pPr>
      <w:r w:rsidRPr="00F963B4">
        <w:rPr>
          <w:szCs w:val="22"/>
        </w:rPr>
        <w:t xml:space="preserve">The preparation of </w:t>
      </w:r>
      <w:r>
        <w:rPr>
          <w:szCs w:val="22"/>
        </w:rPr>
        <w:t xml:space="preserve">these condensed interim </w:t>
      </w:r>
      <w:r w:rsidRPr="00F963B4">
        <w:rPr>
          <w:szCs w:val="22"/>
        </w:rPr>
        <w:t>financial statements requires management to make judgments, estimates and assumptions that affect the application of accounting policies and the reported amounts of assets, liabilities, income and expenses. Actual results may vary from these estimates.</w:t>
      </w:r>
    </w:p>
    <w:p w14:paraId="4AC4E8CA" w14:textId="77777777" w:rsidR="007F54B8" w:rsidRPr="00F963B4" w:rsidRDefault="007F54B8" w:rsidP="007F54B8">
      <w:pPr>
        <w:ind w:left="357"/>
        <w:jc w:val="both"/>
        <w:rPr>
          <w:szCs w:val="22"/>
        </w:rPr>
      </w:pPr>
    </w:p>
    <w:p w14:paraId="7F236006" w14:textId="77777777" w:rsidR="007F54B8" w:rsidRDefault="007F54B8" w:rsidP="007F54B8">
      <w:pPr>
        <w:ind w:left="357"/>
        <w:jc w:val="both"/>
        <w:rPr>
          <w:szCs w:val="22"/>
        </w:rPr>
      </w:pPr>
      <w:r w:rsidRPr="00F963B4">
        <w:rPr>
          <w:szCs w:val="22"/>
        </w:rPr>
        <w:t>Estimates and judgments are continually evaluated and are based on historical experience and other factors, including expectations of future events that are believed to be reasonable under the circumstances. Accounting estimates will, by definition, seldom equal the actual results. Revisions to accounting estimates are recognized in the period in which the estimates are revised and in any future years affected.</w:t>
      </w:r>
    </w:p>
    <w:p w14:paraId="0B27D3CC" w14:textId="77777777" w:rsidR="007F54B8" w:rsidRDefault="007F54B8" w:rsidP="007F54B8">
      <w:pPr>
        <w:ind w:left="357"/>
        <w:jc w:val="both"/>
        <w:rPr>
          <w:szCs w:val="22"/>
        </w:rPr>
      </w:pPr>
    </w:p>
    <w:p w14:paraId="4B64532B" w14:textId="77777777" w:rsidR="007F54B8" w:rsidRDefault="007F54B8" w:rsidP="007F54B8">
      <w:pPr>
        <w:autoSpaceDE w:val="0"/>
        <w:autoSpaceDN w:val="0"/>
        <w:adjustRightInd w:val="0"/>
        <w:jc w:val="both"/>
        <w:rPr>
          <w:bCs/>
          <w:szCs w:val="22"/>
          <w:u w:val="single"/>
        </w:rPr>
      </w:pPr>
    </w:p>
    <w:p w14:paraId="62D76B31" w14:textId="77777777" w:rsidR="007F54B8" w:rsidRPr="00E40DCA" w:rsidRDefault="007F54B8" w:rsidP="007F54B8">
      <w:pPr>
        <w:autoSpaceDE w:val="0"/>
        <w:autoSpaceDN w:val="0"/>
        <w:adjustRightInd w:val="0"/>
        <w:ind w:left="357"/>
        <w:jc w:val="both"/>
        <w:rPr>
          <w:bCs/>
          <w:szCs w:val="22"/>
          <w:u w:val="single"/>
        </w:rPr>
      </w:pPr>
      <w:r w:rsidRPr="00E40DCA">
        <w:rPr>
          <w:bCs/>
          <w:szCs w:val="22"/>
          <w:u w:val="single"/>
        </w:rPr>
        <w:t>Critical Judgment</w:t>
      </w:r>
      <w:r>
        <w:rPr>
          <w:bCs/>
          <w:szCs w:val="22"/>
          <w:u w:val="single"/>
        </w:rPr>
        <w:t>s</w:t>
      </w:r>
    </w:p>
    <w:p w14:paraId="7D381715" w14:textId="77777777" w:rsidR="007F54B8" w:rsidRPr="00E40DCA" w:rsidRDefault="007F54B8" w:rsidP="007F54B8">
      <w:pPr>
        <w:ind w:left="357"/>
        <w:jc w:val="both"/>
        <w:rPr>
          <w:b/>
          <w:szCs w:val="22"/>
          <w:lang w:val="en-CA"/>
        </w:rPr>
      </w:pPr>
    </w:p>
    <w:p w14:paraId="6BDA6A20" w14:textId="77777777" w:rsidR="007F54B8" w:rsidRPr="00E40DCA" w:rsidRDefault="007F54B8" w:rsidP="007F54B8">
      <w:pPr>
        <w:autoSpaceDE w:val="0"/>
        <w:autoSpaceDN w:val="0"/>
        <w:adjustRightInd w:val="0"/>
        <w:ind w:left="357"/>
        <w:jc w:val="both"/>
        <w:rPr>
          <w:bCs/>
          <w:i/>
          <w:szCs w:val="22"/>
        </w:rPr>
      </w:pPr>
      <w:r w:rsidRPr="00E40DCA">
        <w:rPr>
          <w:bCs/>
          <w:i/>
          <w:szCs w:val="22"/>
        </w:rPr>
        <w:t>Going concern</w:t>
      </w:r>
    </w:p>
    <w:p w14:paraId="3526443D" w14:textId="77777777" w:rsidR="007F54B8" w:rsidRPr="00E40DCA" w:rsidRDefault="007F54B8" w:rsidP="007F54B8">
      <w:pPr>
        <w:autoSpaceDE w:val="0"/>
        <w:autoSpaceDN w:val="0"/>
        <w:adjustRightInd w:val="0"/>
        <w:ind w:left="357"/>
        <w:jc w:val="both"/>
        <w:rPr>
          <w:bCs/>
          <w:szCs w:val="22"/>
        </w:rPr>
      </w:pPr>
    </w:p>
    <w:p w14:paraId="1814A052" w14:textId="77777777" w:rsidR="007F54B8" w:rsidRPr="007C237E" w:rsidRDefault="007F54B8" w:rsidP="007F54B8">
      <w:pPr>
        <w:autoSpaceDE w:val="0"/>
        <w:autoSpaceDN w:val="0"/>
        <w:adjustRightInd w:val="0"/>
        <w:ind w:left="357"/>
        <w:jc w:val="both"/>
        <w:rPr>
          <w:bCs/>
          <w:szCs w:val="22"/>
        </w:rPr>
      </w:pPr>
      <w:r w:rsidRPr="00E40DCA">
        <w:rPr>
          <w:bCs/>
          <w:szCs w:val="22"/>
        </w:rPr>
        <w:t>The assessment of whether the going concern assumption is appropriate requires management to take into account all available information about the future, which is at least, but not limited to, 12 months from the end of the reporting period. The Company is aware that material uncertainties exist related to events or conditions that may cast significant doubt upon the Company’s ability to continue as a going concern.</w:t>
      </w:r>
    </w:p>
    <w:p w14:paraId="6A571A31" w14:textId="77777777" w:rsidR="007F54B8" w:rsidRPr="008013B6" w:rsidRDefault="007F54B8" w:rsidP="007F54B8">
      <w:pPr>
        <w:jc w:val="both"/>
        <w:rPr>
          <w:bCs/>
          <w:i/>
          <w:szCs w:val="22"/>
          <w:u w:val="single"/>
        </w:rPr>
      </w:pPr>
    </w:p>
    <w:p w14:paraId="2A94B0AE" w14:textId="77777777" w:rsidR="007F54B8" w:rsidRPr="008013B6" w:rsidRDefault="007F54B8" w:rsidP="007F54B8">
      <w:pPr>
        <w:autoSpaceDE w:val="0"/>
        <w:autoSpaceDN w:val="0"/>
        <w:adjustRightInd w:val="0"/>
        <w:ind w:left="357"/>
        <w:jc w:val="both"/>
        <w:rPr>
          <w:bCs/>
          <w:szCs w:val="22"/>
          <w:u w:val="single"/>
        </w:rPr>
      </w:pPr>
      <w:r w:rsidRPr="008013B6">
        <w:rPr>
          <w:bCs/>
          <w:szCs w:val="22"/>
          <w:u w:val="single"/>
        </w:rPr>
        <w:t>Significant Estimates and Assumptions</w:t>
      </w:r>
    </w:p>
    <w:p w14:paraId="254AC5C0" w14:textId="77777777" w:rsidR="007F54B8" w:rsidRPr="008013B6" w:rsidRDefault="007F54B8" w:rsidP="007F54B8">
      <w:pPr>
        <w:ind w:left="360"/>
        <w:jc w:val="both"/>
        <w:rPr>
          <w:i/>
          <w:szCs w:val="22"/>
          <w:u w:val="single"/>
        </w:rPr>
      </w:pPr>
    </w:p>
    <w:p w14:paraId="4091159D" w14:textId="77777777" w:rsidR="007F54B8" w:rsidRPr="008013B6" w:rsidRDefault="007F54B8" w:rsidP="007F54B8">
      <w:pPr>
        <w:autoSpaceDE w:val="0"/>
        <w:autoSpaceDN w:val="0"/>
        <w:adjustRightInd w:val="0"/>
        <w:ind w:left="357"/>
        <w:jc w:val="both"/>
        <w:rPr>
          <w:bCs/>
          <w:i/>
          <w:szCs w:val="22"/>
        </w:rPr>
      </w:pPr>
      <w:r w:rsidRPr="008013B6">
        <w:rPr>
          <w:bCs/>
          <w:i/>
          <w:szCs w:val="22"/>
        </w:rPr>
        <w:t>Inputs to the Black-Scholes option pricing model</w:t>
      </w:r>
    </w:p>
    <w:p w14:paraId="18F71116" w14:textId="77777777" w:rsidR="007F54B8" w:rsidRPr="008013B6" w:rsidRDefault="007F54B8" w:rsidP="007F54B8">
      <w:pPr>
        <w:ind w:left="360"/>
        <w:jc w:val="both"/>
        <w:rPr>
          <w:i/>
          <w:szCs w:val="22"/>
        </w:rPr>
      </w:pPr>
    </w:p>
    <w:p w14:paraId="595745CB" w14:textId="77777777" w:rsidR="007F54B8" w:rsidRPr="008013B6" w:rsidRDefault="007F54B8" w:rsidP="007F54B8">
      <w:pPr>
        <w:autoSpaceDE w:val="0"/>
        <w:autoSpaceDN w:val="0"/>
        <w:adjustRightInd w:val="0"/>
        <w:ind w:left="357"/>
        <w:jc w:val="both"/>
        <w:rPr>
          <w:bCs/>
          <w:szCs w:val="22"/>
        </w:rPr>
      </w:pPr>
      <w:r w:rsidRPr="008013B6">
        <w:rPr>
          <w:bCs/>
          <w:szCs w:val="22"/>
        </w:rPr>
        <w:t>The fair value of equity instruments is subject to the limitations of the Black-Scholes option pricing model, as well as other pricing models that incorporate market data and involves uncertainty in estimates used by management in the assumptions. Because option pricing models require inputs of highly subjective assumptions, including the volatility of share prices, changes in subjective input assumptions can materially affect the fair value estimate.</w:t>
      </w:r>
    </w:p>
    <w:p w14:paraId="041D5D8F" w14:textId="77777777" w:rsidR="007F54B8" w:rsidRPr="008013B6" w:rsidRDefault="007F54B8" w:rsidP="007F54B8">
      <w:pPr>
        <w:ind w:left="360"/>
        <w:jc w:val="both"/>
        <w:rPr>
          <w:i/>
          <w:szCs w:val="22"/>
        </w:rPr>
      </w:pPr>
    </w:p>
    <w:p w14:paraId="759ADE22" w14:textId="77777777" w:rsidR="007F54B8" w:rsidRPr="00F963B4" w:rsidRDefault="007F54B8" w:rsidP="001B68AD">
      <w:pPr>
        <w:pStyle w:val="NTitleB"/>
        <w:keepLines w:val="0"/>
        <w:numPr>
          <w:ilvl w:val="0"/>
          <w:numId w:val="9"/>
        </w:numPr>
        <w:tabs>
          <w:tab w:val="clear" w:pos="576"/>
        </w:tabs>
        <w:spacing w:before="0"/>
        <w:ind w:left="360" w:hanging="360"/>
        <w:rPr>
          <w:rFonts w:ascii="Times New Roman" w:hAnsi="Times New Roman"/>
          <w:b w:val="0"/>
          <w:bCs w:val="0"/>
          <w:szCs w:val="22"/>
        </w:rPr>
      </w:pPr>
      <w:r w:rsidRPr="00F963B4">
        <w:rPr>
          <w:rFonts w:ascii="Times New Roman" w:hAnsi="Times New Roman" w:cs="Times New Roman"/>
          <w:sz w:val="22"/>
          <w:szCs w:val="22"/>
        </w:rPr>
        <w:t>MINERAL PROPERTY</w:t>
      </w:r>
    </w:p>
    <w:p w14:paraId="5148BE7A" w14:textId="77777777" w:rsidR="007F54B8" w:rsidRPr="002871B1" w:rsidRDefault="007F54B8" w:rsidP="007F54B8">
      <w:pPr>
        <w:pStyle w:val="ListParagraph"/>
        <w:keepNext/>
        <w:keepLines/>
        <w:widowControl w:val="0"/>
        <w:autoSpaceDE w:val="0"/>
        <w:autoSpaceDN w:val="0"/>
        <w:adjustRightInd w:val="0"/>
        <w:ind w:left="360"/>
        <w:jc w:val="both"/>
        <w:rPr>
          <w:rFonts w:ascii="Times New Roman" w:hAnsi="Times New Roman"/>
          <w:b/>
          <w:bCs/>
          <w:color w:val="000000"/>
          <w:szCs w:val="22"/>
        </w:rPr>
      </w:pPr>
    </w:p>
    <w:p w14:paraId="6EC03F89" w14:textId="77777777" w:rsidR="007F54B8" w:rsidRPr="002871B1" w:rsidRDefault="007F54B8" w:rsidP="007F54B8">
      <w:pPr>
        <w:keepNext/>
        <w:widowControl w:val="0"/>
        <w:autoSpaceDE w:val="0"/>
        <w:autoSpaceDN w:val="0"/>
        <w:adjustRightInd w:val="0"/>
        <w:ind w:left="720" w:hanging="360"/>
        <w:jc w:val="both"/>
        <w:rPr>
          <w:szCs w:val="22"/>
        </w:rPr>
      </w:pPr>
      <w:r w:rsidRPr="002871B1">
        <w:rPr>
          <w:szCs w:val="22"/>
        </w:rPr>
        <w:t>(a)</w:t>
      </w:r>
      <w:r w:rsidRPr="002871B1">
        <w:rPr>
          <w:szCs w:val="22"/>
        </w:rPr>
        <w:tab/>
        <w:t>Christa-Aura Property, British Columbia, Canada</w:t>
      </w:r>
    </w:p>
    <w:p w14:paraId="60525637" w14:textId="77777777" w:rsidR="007F54B8" w:rsidRPr="002871B1" w:rsidRDefault="007F54B8" w:rsidP="007F54B8">
      <w:pPr>
        <w:keepNext/>
        <w:widowControl w:val="0"/>
        <w:autoSpaceDE w:val="0"/>
        <w:autoSpaceDN w:val="0"/>
        <w:adjustRightInd w:val="0"/>
        <w:ind w:left="360"/>
        <w:jc w:val="both"/>
        <w:rPr>
          <w:szCs w:val="22"/>
        </w:rPr>
      </w:pPr>
    </w:p>
    <w:p w14:paraId="51C2681A" w14:textId="77777777" w:rsidR="007F54B8" w:rsidRPr="002871B1" w:rsidRDefault="007F54B8" w:rsidP="007F54B8">
      <w:pPr>
        <w:keepNext/>
        <w:widowControl w:val="0"/>
        <w:autoSpaceDE w:val="0"/>
        <w:autoSpaceDN w:val="0"/>
        <w:adjustRightInd w:val="0"/>
        <w:ind w:left="720"/>
        <w:jc w:val="both"/>
        <w:rPr>
          <w:szCs w:val="22"/>
        </w:rPr>
      </w:pPr>
      <w:r w:rsidRPr="002871B1">
        <w:rPr>
          <w:szCs w:val="22"/>
        </w:rPr>
        <w:t xml:space="preserve">The Company acquired the Christa-Aura Property (the “Property”), located in British Columbia, consisting of five mineral titles, through issuance of 2,350,777 common shares fair valued at $23,508 from a director. In addition, the Company incurred acquisition and staking costs of $2,019 during the period from </w:t>
      </w:r>
      <w:r w:rsidRPr="002871B1">
        <w:rPr>
          <w:szCs w:val="22"/>
        </w:rPr>
        <w:lastRenderedPageBreak/>
        <w:t xml:space="preserve">incorporation to August 31, 2018. No additional acquisition costs were incurred during the </w:t>
      </w:r>
      <w:r>
        <w:rPr>
          <w:szCs w:val="22"/>
        </w:rPr>
        <w:t xml:space="preserve">nine-month period ended </w:t>
      </w:r>
      <w:r w:rsidRPr="002871B1">
        <w:rPr>
          <w:szCs w:val="22"/>
        </w:rPr>
        <w:t>May 31, 202</w:t>
      </w:r>
      <w:r>
        <w:rPr>
          <w:szCs w:val="22"/>
        </w:rPr>
        <w:t>1 or year ended August 31, 2020</w:t>
      </w:r>
      <w:r w:rsidRPr="002871B1">
        <w:rPr>
          <w:szCs w:val="22"/>
        </w:rPr>
        <w:t>.</w:t>
      </w:r>
      <w:r w:rsidRPr="008013B6">
        <w:rPr>
          <w:rFonts w:ascii="Helvetica" w:hAnsi="Helvetica" w:cs="Helvetica"/>
        </w:rPr>
        <w:t xml:space="preserve"> </w:t>
      </w:r>
      <w:r>
        <w:rPr>
          <w:szCs w:val="22"/>
        </w:rPr>
        <w:t>During the year ended August 31, 2020, t</w:t>
      </w:r>
      <w:r w:rsidRPr="008013B6">
        <w:rPr>
          <w:szCs w:val="22"/>
        </w:rPr>
        <w:t>he Company impaired the property to $1, being the estimated fair value of the property, determined in accordance with level 3 of the fair value hierarchy.</w:t>
      </w:r>
    </w:p>
    <w:p w14:paraId="2A208B68" w14:textId="77777777" w:rsidR="007F54B8" w:rsidRPr="002871B1" w:rsidRDefault="007F54B8" w:rsidP="007F54B8">
      <w:pPr>
        <w:keepNext/>
        <w:widowControl w:val="0"/>
        <w:autoSpaceDE w:val="0"/>
        <w:autoSpaceDN w:val="0"/>
        <w:adjustRightInd w:val="0"/>
        <w:ind w:left="720"/>
        <w:jc w:val="both"/>
        <w:rPr>
          <w:szCs w:val="22"/>
        </w:rPr>
      </w:pPr>
    </w:p>
    <w:p w14:paraId="3D90E614" w14:textId="77777777" w:rsidR="007F54B8" w:rsidRPr="002871B1" w:rsidRDefault="007F54B8" w:rsidP="007F54B8">
      <w:pPr>
        <w:keepNext/>
        <w:widowControl w:val="0"/>
        <w:autoSpaceDE w:val="0"/>
        <w:autoSpaceDN w:val="0"/>
        <w:adjustRightInd w:val="0"/>
        <w:ind w:left="720" w:hanging="360"/>
        <w:jc w:val="both"/>
        <w:rPr>
          <w:szCs w:val="22"/>
        </w:rPr>
      </w:pPr>
      <w:r w:rsidRPr="002871B1">
        <w:rPr>
          <w:szCs w:val="22"/>
        </w:rPr>
        <w:t>(b)</w:t>
      </w:r>
      <w:r w:rsidRPr="002871B1">
        <w:rPr>
          <w:szCs w:val="22"/>
        </w:rPr>
        <w:tab/>
        <w:t>Exploration and evaluation costs</w:t>
      </w:r>
    </w:p>
    <w:p w14:paraId="7AD76A2C" w14:textId="77777777" w:rsidR="007F54B8" w:rsidRPr="002871B1" w:rsidRDefault="007F54B8" w:rsidP="007F54B8">
      <w:pPr>
        <w:keepNext/>
        <w:widowControl w:val="0"/>
        <w:autoSpaceDE w:val="0"/>
        <w:autoSpaceDN w:val="0"/>
        <w:adjustRightInd w:val="0"/>
        <w:ind w:left="720" w:hanging="360"/>
        <w:jc w:val="both"/>
        <w:rPr>
          <w:szCs w:val="22"/>
        </w:rPr>
      </w:pPr>
    </w:p>
    <w:p w14:paraId="3511232E" w14:textId="77777777" w:rsidR="007F54B8" w:rsidRDefault="007F54B8" w:rsidP="007F54B8">
      <w:pPr>
        <w:keepNext/>
        <w:widowControl w:val="0"/>
        <w:autoSpaceDE w:val="0"/>
        <w:autoSpaceDN w:val="0"/>
        <w:adjustRightInd w:val="0"/>
        <w:ind w:left="720"/>
        <w:jc w:val="both"/>
        <w:rPr>
          <w:szCs w:val="22"/>
        </w:rPr>
      </w:pPr>
      <w:r w:rsidRPr="002871B1">
        <w:rPr>
          <w:szCs w:val="22"/>
        </w:rPr>
        <w:t xml:space="preserve">During the </w:t>
      </w:r>
      <w:r>
        <w:rPr>
          <w:szCs w:val="22"/>
        </w:rPr>
        <w:t>nine-</w:t>
      </w:r>
      <w:r w:rsidRPr="002871B1">
        <w:rPr>
          <w:szCs w:val="22"/>
        </w:rPr>
        <w:t>month period ended May 31, 202</w:t>
      </w:r>
      <w:r>
        <w:rPr>
          <w:szCs w:val="22"/>
        </w:rPr>
        <w:t>1,</w:t>
      </w:r>
      <w:r w:rsidRPr="002871B1">
        <w:rPr>
          <w:szCs w:val="22"/>
        </w:rPr>
        <w:t xml:space="preserve"> the </w:t>
      </w:r>
      <w:r>
        <w:rPr>
          <w:szCs w:val="22"/>
        </w:rPr>
        <w:t>C</w:t>
      </w:r>
      <w:r w:rsidRPr="002871B1">
        <w:rPr>
          <w:szCs w:val="22"/>
        </w:rPr>
        <w:t>ompany incurred $</w:t>
      </w:r>
      <w:r>
        <w:rPr>
          <w:szCs w:val="22"/>
        </w:rPr>
        <w:t>3,500</w:t>
      </w:r>
      <w:r w:rsidRPr="002871B1">
        <w:rPr>
          <w:szCs w:val="22"/>
        </w:rPr>
        <w:t xml:space="preserve"> (20</w:t>
      </w:r>
      <w:r>
        <w:rPr>
          <w:szCs w:val="22"/>
        </w:rPr>
        <w:t>20 -</w:t>
      </w:r>
      <w:r w:rsidRPr="002871B1">
        <w:rPr>
          <w:szCs w:val="22"/>
        </w:rPr>
        <w:t xml:space="preserve"> $</w:t>
      </w:r>
      <w:r>
        <w:rPr>
          <w:szCs w:val="22"/>
        </w:rPr>
        <w:t>17,068)</w:t>
      </w:r>
      <w:r w:rsidRPr="002871B1">
        <w:rPr>
          <w:szCs w:val="22"/>
        </w:rPr>
        <w:t xml:space="preserve"> in exploration and evaluation </w:t>
      </w:r>
      <w:r>
        <w:rPr>
          <w:szCs w:val="22"/>
        </w:rPr>
        <w:t>expenditures and</w:t>
      </w:r>
      <w:r w:rsidRPr="002871B1">
        <w:rPr>
          <w:szCs w:val="22"/>
        </w:rPr>
        <w:t xml:space="preserve"> received </w:t>
      </w:r>
      <w:r>
        <w:rPr>
          <w:szCs w:val="22"/>
        </w:rPr>
        <w:t xml:space="preserve">a </w:t>
      </w:r>
      <w:r w:rsidRPr="002871B1">
        <w:rPr>
          <w:szCs w:val="22"/>
        </w:rPr>
        <w:t>$</w:t>
      </w:r>
      <w:r>
        <w:rPr>
          <w:szCs w:val="22"/>
        </w:rPr>
        <w:t>3,414 (2020 - $14,503)</w:t>
      </w:r>
      <w:r w:rsidRPr="002871B1">
        <w:rPr>
          <w:szCs w:val="22"/>
        </w:rPr>
        <w:t xml:space="preserve"> </w:t>
      </w:r>
      <w:r>
        <w:rPr>
          <w:i/>
          <w:szCs w:val="22"/>
        </w:rPr>
        <w:t xml:space="preserve">British Columbia Mining Exploration Tax Credit </w:t>
      </w:r>
      <w:r>
        <w:rPr>
          <w:szCs w:val="22"/>
        </w:rPr>
        <w:t>(BCMETC)</w:t>
      </w:r>
      <w:r w:rsidRPr="002871B1">
        <w:rPr>
          <w:szCs w:val="22"/>
        </w:rPr>
        <w:t xml:space="preserve"> refund which was </w:t>
      </w:r>
      <w:r>
        <w:rPr>
          <w:szCs w:val="22"/>
        </w:rPr>
        <w:t>included as a recovery in</w:t>
      </w:r>
      <w:r w:rsidRPr="002871B1">
        <w:rPr>
          <w:szCs w:val="22"/>
        </w:rPr>
        <w:t xml:space="preserve"> exploration and evaluation </w:t>
      </w:r>
      <w:r>
        <w:rPr>
          <w:szCs w:val="22"/>
        </w:rPr>
        <w:t>expenditures</w:t>
      </w:r>
      <w:r w:rsidRPr="002871B1">
        <w:rPr>
          <w:szCs w:val="22"/>
        </w:rPr>
        <w:t xml:space="preserve">. </w:t>
      </w:r>
    </w:p>
    <w:p w14:paraId="6D7F65AA" w14:textId="77777777" w:rsidR="007F54B8" w:rsidRDefault="007F54B8" w:rsidP="007F54B8">
      <w:pPr>
        <w:rPr>
          <w:szCs w:val="22"/>
        </w:rPr>
      </w:pPr>
    </w:p>
    <w:p w14:paraId="5D297B5D" w14:textId="05E5E047" w:rsidR="007F54B8" w:rsidRPr="002871B1" w:rsidRDefault="007F54B8" w:rsidP="007F54B8">
      <w:pPr>
        <w:rPr>
          <w:szCs w:val="22"/>
        </w:rPr>
      </w:pPr>
      <w:r>
        <w:rPr>
          <w:szCs w:val="22"/>
        </w:rPr>
        <w:br w:type="page"/>
      </w:r>
      <w:r w:rsidRPr="002871B1">
        <w:rPr>
          <w:szCs w:val="22"/>
        </w:rPr>
        <w:lastRenderedPageBreak/>
        <w:t>(b)</w:t>
      </w:r>
      <w:r w:rsidRPr="002871B1">
        <w:rPr>
          <w:szCs w:val="22"/>
        </w:rPr>
        <w:tab/>
        <w:t>Exploration and evaluation costs</w:t>
      </w:r>
      <w:r>
        <w:rPr>
          <w:szCs w:val="22"/>
        </w:rPr>
        <w:t xml:space="preserve"> (Continued)</w:t>
      </w:r>
    </w:p>
    <w:p w14:paraId="1B6E8CC8" w14:textId="77777777" w:rsidR="007F54B8" w:rsidRDefault="007F54B8" w:rsidP="007F54B8">
      <w:pPr>
        <w:keepNext/>
        <w:widowControl w:val="0"/>
        <w:autoSpaceDE w:val="0"/>
        <w:autoSpaceDN w:val="0"/>
        <w:adjustRightInd w:val="0"/>
        <w:ind w:left="720"/>
        <w:jc w:val="both"/>
        <w:rPr>
          <w:szCs w:val="22"/>
        </w:rPr>
      </w:pPr>
    </w:p>
    <w:p w14:paraId="7B1BA101" w14:textId="77777777" w:rsidR="007F54B8" w:rsidRDefault="007F54B8" w:rsidP="007F54B8">
      <w:pPr>
        <w:keepNext/>
        <w:widowControl w:val="0"/>
        <w:autoSpaceDE w:val="0"/>
        <w:autoSpaceDN w:val="0"/>
        <w:adjustRightInd w:val="0"/>
        <w:ind w:left="720"/>
        <w:jc w:val="both"/>
        <w:rPr>
          <w:szCs w:val="22"/>
        </w:rPr>
      </w:pPr>
      <w:r>
        <w:rPr>
          <w:szCs w:val="22"/>
        </w:rPr>
        <w:t xml:space="preserve">Details of exploration activities during the nine-month periods ended May 31, 2021 and 2020 are as follows: </w:t>
      </w:r>
    </w:p>
    <w:p w14:paraId="6DFCA716" w14:textId="77777777" w:rsidR="007F54B8" w:rsidRDefault="007F54B8" w:rsidP="007F54B8">
      <w:pPr>
        <w:keepNext/>
        <w:widowControl w:val="0"/>
        <w:autoSpaceDE w:val="0"/>
        <w:autoSpaceDN w:val="0"/>
        <w:adjustRightInd w:val="0"/>
        <w:ind w:left="720"/>
        <w:jc w:val="both"/>
        <w:rPr>
          <w:szCs w:val="22"/>
        </w:rPr>
      </w:pPr>
    </w:p>
    <w:tbl>
      <w:tblPr>
        <w:tblW w:w="8009" w:type="dxa"/>
        <w:tblInd w:w="720" w:type="dxa"/>
        <w:tblLayout w:type="fixed"/>
        <w:tblCellMar>
          <w:left w:w="120" w:type="dxa"/>
          <w:right w:w="120" w:type="dxa"/>
        </w:tblCellMar>
        <w:tblLook w:val="04A0" w:firstRow="1" w:lastRow="0" w:firstColumn="1" w:lastColumn="0" w:noHBand="0" w:noVBand="1"/>
      </w:tblPr>
      <w:tblGrid>
        <w:gridCol w:w="5129"/>
        <w:gridCol w:w="1440"/>
        <w:gridCol w:w="1440"/>
      </w:tblGrid>
      <w:tr w:rsidR="007F54B8" w:rsidRPr="00A83DA6" w14:paraId="114025DD" w14:textId="77777777" w:rsidTr="004238EB">
        <w:trPr>
          <w:cantSplit/>
          <w:trHeight w:hRule="exact" w:val="802"/>
        </w:trPr>
        <w:tc>
          <w:tcPr>
            <w:tcW w:w="5129" w:type="dxa"/>
            <w:tcBorders>
              <w:top w:val="single" w:sz="4" w:space="0" w:color="auto"/>
              <w:bottom w:val="single" w:sz="4" w:space="0" w:color="auto"/>
            </w:tcBorders>
            <w:shd w:val="clear" w:color="auto" w:fill="auto"/>
            <w:vAlign w:val="bottom"/>
          </w:tcPr>
          <w:p w14:paraId="10A2DD6C" w14:textId="77777777" w:rsidR="007F54B8" w:rsidRPr="00C7127D" w:rsidRDefault="007F54B8" w:rsidP="004238EB">
            <w:pPr>
              <w:rPr>
                <w:b/>
                <w:szCs w:val="22"/>
              </w:rPr>
            </w:pPr>
            <w:r>
              <w:rPr>
                <w:b/>
                <w:szCs w:val="22"/>
              </w:rPr>
              <w:t>Nine month-period ended</w:t>
            </w:r>
          </w:p>
        </w:tc>
        <w:tc>
          <w:tcPr>
            <w:tcW w:w="1440" w:type="dxa"/>
            <w:tcBorders>
              <w:top w:val="single" w:sz="4" w:space="0" w:color="auto"/>
              <w:bottom w:val="single" w:sz="4" w:space="0" w:color="auto"/>
            </w:tcBorders>
            <w:vAlign w:val="bottom"/>
          </w:tcPr>
          <w:p w14:paraId="53153766" w14:textId="77777777" w:rsidR="007F54B8" w:rsidRPr="00C7127D" w:rsidRDefault="007F54B8" w:rsidP="004238EB">
            <w:pPr>
              <w:jc w:val="center"/>
              <w:rPr>
                <w:b/>
                <w:bCs/>
                <w:szCs w:val="22"/>
              </w:rPr>
            </w:pPr>
            <w:r w:rsidRPr="00C7127D">
              <w:rPr>
                <w:b/>
                <w:bCs/>
                <w:szCs w:val="22"/>
              </w:rPr>
              <w:t xml:space="preserve"> </w:t>
            </w:r>
          </w:p>
          <w:p w14:paraId="6FFB229D" w14:textId="77777777" w:rsidR="007F54B8" w:rsidRPr="00C7127D" w:rsidRDefault="007F54B8" w:rsidP="004238EB">
            <w:pPr>
              <w:jc w:val="right"/>
              <w:rPr>
                <w:b/>
                <w:bCs/>
                <w:szCs w:val="22"/>
              </w:rPr>
            </w:pPr>
            <w:r>
              <w:rPr>
                <w:b/>
                <w:bCs/>
                <w:szCs w:val="22"/>
              </w:rPr>
              <w:t>May 31</w:t>
            </w:r>
            <w:r w:rsidRPr="00C7127D">
              <w:rPr>
                <w:b/>
                <w:bCs/>
                <w:szCs w:val="22"/>
              </w:rPr>
              <w:t>, 20</w:t>
            </w:r>
            <w:r>
              <w:rPr>
                <w:b/>
                <w:bCs/>
                <w:szCs w:val="22"/>
              </w:rPr>
              <w:t>21</w:t>
            </w:r>
          </w:p>
        </w:tc>
        <w:tc>
          <w:tcPr>
            <w:tcW w:w="1440" w:type="dxa"/>
            <w:tcBorders>
              <w:top w:val="single" w:sz="4" w:space="0" w:color="auto"/>
              <w:bottom w:val="single" w:sz="4" w:space="0" w:color="auto"/>
            </w:tcBorders>
            <w:shd w:val="clear" w:color="auto" w:fill="auto"/>
            <w:vAlign w:val="bottom"/>
          </w:tcPr>
          <w:p w14:paraId="106BC3B8" w14:textId="77777777" w:rsidR="007F54B8" w:rsidRPr="00C7127D" w:rsidRDefault="007F54B8" w:rsidP="004238EB">
            <w:pPr>
              <w:jc w:val="right"/>
              <w:rPr>
                <w:b/>
                <w:szCs w:val="22"/>
              </w:rPr>
            </w:pPr>
            <w:r>
              <w:rPr>
                <w:b/>
                <w:szCs w:val="22"/>
              </w:rPr>
              <w:t>May 31, 2020</w:t>
            </w:r>
          </w:p>
        </w:tc>
      </w:tr>
      <w:tr w:rsidR="007F54B8" w:rsidRPr="00A83DA6" w14:paraId="785824B5" w14:textId="77777777" w:rsidTr="004238EB">
        <w:trPr>
          <w:cantSplit/>
          <w:trHeight w:hRule="exact" w:val="118"/>
        </w:trPr>
        <w:tc>
          <w:tcPr>
            <w:tcW w:w="5129" w:type="dxa"/>
            <w:tcBorders>
              <w:top w:val="single" w:sz="4" w:space="0" w:color="auto"/>
            </w:tcBorders>
            <w:shd w:val="clear" w:color="auto" w:fill="auto"/>
            <w:vAlign w:val="bottom"/>
          </w:tcPr>
          <w:p w14:paraId="64F955B7" w14:textId="77777777" w:rsidR="007F54B8" w:rsidRPr="00C7127D" w:rsidRDefault="007F54B8" w:rsidP="004238EB">
            <w:pPr>
              <w:ind w:left="150"/>
              <w:rPr>
                <w:szCs w:val="22"/>
              </w:rPr>
            </w:pPr>
          </w:p>
        </w:tc>
        <w:tc>
          <w:tcPr>
            <w:tcW w:w="1440" w:type="dxa"/>
            <w:tcBorders>
              <w:top w:val="single" w:sz="4" w:space="0" w:color="auto"/>
            </w:tcBorders>
            <w:vAlign w:val="bottom"/>
          </w:tcPr>
          <w:p w14:paraId="4C5A43CB" w14:textId="77777777" w:rsidR="007F54B8" w:rsidRPr="00C7127D" w:rsidRDefault="007F54B8" w:rsidP="004238EB">
            <w:pPr>
              <w:jc w:val="right"/>
              <w:rPr>
                <w:szCs w:val="22"/>
              </w:rPr>
            </w:pPr>
          </w:p>
        </w:tc>
        <w:tc>
          <w:tcPr>
            <w:tcW w:w="1440" w:type="dxa"/>
            <w:tcBorders>
              <w:top w:val="single" w:sz="4" w:space="0" w:color="auto"/>
            </w:tcBorders>
            <w:shd w:val="clear" w:color="auto" w:fill="auto"/>
            <w:vAlign w:val="bottom"/>
          </w:tcPr>
          <w:p w14:paraId="3DE79551" w14:textId="77777777" w:rsidR="007F54B8" w:rsidRPr="00C7127D" w:rsidRDefault="007F54B8" w:rsidP="004238EB">
            <w:pPr>
              <w:jc w:val="right"/>
              <w:rPr>
                <w:szCs w:val="22"/>
              </w:rPr>
            </w:pPr>
          </w:p>
        </w:tc>
      </w:tr>
      <w:tr w:rsidR="007F54B8" w:rsidRPr="00A83DA6" w14:paraId="58FAB9F2" w14:textId="77777777" w:rsidTr="004238EB">
        <w:trPr>
          <w:cantSplit/>
          <w:trHeight w:hRule="exact" w:val="369"/>
        </w:trPr>
        <w:tc>
          <w:tcPr>
            <w:tcW w:w="5129" w:type="dxa"/>
            <w:shd w:val="clear" w:color="auto" w:fill="auto"/>
            <w:vAlign w:val="bottom"/>
          </w:tcPr>
          <w:p w14:paraId="68851D40" w14:textId="77777777" w:rsidR="007F54B8" w:rsidRPr="00C7127D" w:rsidRDefault="007F54B8" w:rsidP="004238EB">
            <w:pPr>
              <w:ind w:left="150"/>
              <w:rPr>
                <w:szCs w:val="22"/>
              </w:rPr>
            </w:pPr>
            <w:r w:rsidRPr="00C7127D">
              <w:rPr>
                <w:szCs w:val="22"/>
              </w:rPr>
              <w:t xml:space="preserve">Engineering, geology, and project management                                </w:t>
            </w:r>
          </w:p>
        </w:tc>
        <w:tc>
          <w:tcPr>
            <w:tcW w:w="1440" w:type="dxa"/>
            <w:vAlign w:val="bottom"/>
          </w:tcPr>
          <w:p w14:paraId="55C016DC" w14:textId="77777777" w:rsidR="007F54B8" w:rsidRPr="00C7127D" w:rsidRDefault="007F54B8" w:rsidP="004238EB">
            <w:pPr>
              <w:jc w:val="right"/>
              <w:rPr>
                <w:szCs w:val="22"/>
              </w:rPr>
            </w:pPr>
            <w:r w:rsidRPr="00C7127D">
              <w:rPr>
                <w:szCs w:val="22"/>
              </w:rPr>
              <w:t xml:space="preserve">$ </w:t>
            </w:r>
            <w:r>
              <w:rPr>
                <w:szCs w:val="22"/>
              </w:rPr>
              <w:t xml:space="preserve">     3,500</w:t>
            </w:r>
            <w:r w:rsidRPr="00C7127D">
              <w:rPr>
                <w:szCs w:val="22"/>
              </w:rPr>
              <w:t xml:space="preserve">    </w:t>
            </w:r>
            <w:r>
              <w:rPr>
                <w:szCs w:val="22"/>
              </w:rPr>
              <w:t xml:space="preserve">    </w:t>
            </w:r>
            <w:r w:rsidRPr="00C7127D">
              <w:rPr>
                <w:szCs w:val="22"/>
              </w:rPr>
              <w:t xml:space="preserve"> </w:t>
            </w:r>
          </w:p>
        </w:tc>
        <w:tc>
          <w:tcPr>
            <w:tcW w:w="1440" w:type="dxa"/>
            <w:shd w:val="clear" w:color="auto" w:fill="auto"/>
            <w:vAlign w:val="bottom"/>
          </w:tcPr>
          <w:p w14:paraId="4539E45E" w14:textId="77777777" w:rsidR="007F54B8" w:rsidRPr="00C7127D" w:rsidRDefault="007F54B8" w:rsidP="004238EB">
            <w:pPr>
              <w:jc w:val="right"/>
              <w:rPr>
                <w:szCs w:val="22"/>
              </w:rPr>
            </w:pPr>
            <w:r w:rsidRPr="00C7127D">
              <w:rPr>
                <w:szCs w:val="22"/>
              </w:rPr>
              <w:t xml:space="preserve">$ </w:t>
            </w:r>
            <w:r>
              <w:rPr>
                <w:szCs w:val="22"/>
              </w:rPr>
              <w:t xml:space="preserve">        989</w:t>
            </w:r>
            <w:r w:rsidRPr="00C7127D">
              <w:rPr>
                <w:szCs w:val="22"/>
              </w:rPr>
              <w:t xml:space="preserve">    </w:t>
            </w:r>
            <w:r>
              <w:rPr>
                <w:szCs w:val="22"/>
              </w:rPr>
              <w:t xml:space="preserve">    </w:t>
            </w:r>
            <w:r w:rsidRPr="00C7127D">
              <w:rPr>
                <w:szCs w:val="22"/>
              </w:rPr>
              <w:t xml:space="preserve"> </w:t>
            </w:r>
          </w:p>
        </w:tc>
      </w:tr>
      <w:tr w:rsidR="007F54B8" w:rsidRPr="00A83DA6" w14:paraId="67D85FCD" w14:textId="77777777" w:rsidTr="004238EB">
        <w:trPr>
          <w:cantSplit/>
          <w:trHeight w:hRule="exact" w:val="279"/>
        </w:trPr>
        <w:tc>
          <w:tcPr>
            <w:tcW w:w="5129" w:type="dxa"/>
            <w:shd w:val="clear" w:color="auto" w:fill="auto"/>
            <w:vAlign w:val="bottom"/>
            <w:hideMark/>
          </w:tcPr>
          <w:p w14:paraId="25BC63EA" w14:textId="77777777" w:rsidR="007F54B8" w:rsidRPr="00C7127D" w:rsidRDefault="007F54B8" w:rsidP="004238EB">
            <w:pPr>
              <w:ind w:left="150"/>
              <w:rPr>
                <w:szCs w:val="22"/>
              </w:rPr>
            </w:pPr>
            <w:r w:rsidRPr="00C7127D">
              <w:rPr>
                <w:szCs w:val="22"/>
              </w:rPr>
              <w:t>Geophysical</w:t>
            </w:r>
          </w:p>
        </w:tc>
        <w:tc>
          <w:tcPr>
            <w:tcW w:w="1440" w:type="dxa"/>
            <w:vAlign w:val="bottom"/>
          </w:tcPr>
          <w:p w14:paraId="4751CA2B" w14:textId="77777777" w:rsidR="007F54B8" w:rsidRPr="00C7127D" w:rsidRDefault="007F54B8" w:rsidP="004238EB">
            <w:pPr>
              <w:jc w:val="right"/>
              <w:rPr>
                <w:szCs w:val="22"/>
              </w:rPr>
            </w:pPr>
            <w:r>
              <w:rPr>
                <w:szCs w:val="22"/>
              </w:rPr>
              <w:t>-</w:t>
            </w:r>
          </w:p>
        </w:tc>
        <w:tc>
          <w:tcPr>
            <w:tcW w:w="1440" w:type="dxa"/>
            <w:shd w:val="clear" w:color="auto" w:fill="auto"/>
            <w:vAlign w:val="bottom"/>
          </w:tcPr>
          <w:p w14:paraId="27C5BC5F" w14:textId="77777777" w:rsidR="007F54B8" w:rsidRPr="00C7127D" w:rsidRDefault="007F54B8" w:rsidP="004238EB">
            <w:pPr>
              <w:jc w:val="right"/>
              <w:rPr>
                <w:szCs w:val="22"/>
              </w:rPr>
            </w:pPr>
            <w:r>
              <w:rPr>
                <w:szCs w:val="22"/>
              </w:rPr>
              <w:t>13,647</w:t>
            </w:r>
          </w:p>
        </w:tc>
      </w:tr>
      <w:tr w:rsidR="007F54B8" w:rsidRPr="00A83DA6" w14:paraId="7E75157F" w14:textId="77777777" w:rsidTr="004238EB">
        <w:trPr>
          <w:cantSplit/>
          <w:trHeight w:hRule="exact" w:val="279"/>
        </w:trPr>
        <w:tc>
          <w:tcPr>
            <w:tcW w:w="5129" w:type="dxa"/>
            <w:shd w:val="clear" w:color="auto" w:fill="auto"/>
            <w:vAlign w:val="bottom"/>
            <w:hideMark/>
          </w:tcPr>
          <w:p w14:paraId="72E02CC3" w14:textId="77777777" w:rsidR="007F54B8" w:rsidRPr="00C7127D" w:rsidRDefault="007F54B8" w:rsidP="004238EB">
            <w:pPr>
              <w:ind w:left="150"/>
              <w:rPr>
                <w:szCs w:val="22"/>
              </w:rPr>
            </w:pPr>
            <w:r w:rsidRPr="00C7127D">
              <w:rPr>
                <w:szCs w:val="22"/>
              </w:rPr>
              <w:t>Technical report</w:t>
            </w:r>
          </w:p>
        </w:tc>
        <w:tc>
          <w:tcPr>
            <w:tcW w:w="1440" w:type="dxa"/>
            <w:vAlign w:val="bottom"/>
          </w:tcPr>
          <w:p w14:paraId="1D222742" w14:textId="77777777" w:rsidR="007F54B8" w:rsidRPr="00C7127D" w:rsidRDefault="007F54B8" w:rsidP="004238EB">
            <w:pPr>
              <w:jc w:val="right"/>
              <w:rPr>
                <w:szCs w:val="22"/>
              </w:rPr>
            </w:pPr>
            <w:r>
              <w:rPr>
                <w:szCs w:val="22"/>
              </w:rPr>
              <w:t>-</w:t>
            </w:r>
          </w:p>
        </w:tc>
        <w:tc>
          <w:tcPr>
            <w:tcW w:w="1440" w:type="dxa"/>
            <w:shd w:val="clear" w:color="auto" w:fill="auto"/>
            <w:vAlign w:val="bottom"/>
          </w:tcPr>
          <w:p w14:paraId="4248D08A" w14:textId="77777777" w:rsidR="007F54B8" w:rsidRPr="00C7127D" w:rsidRDefault="007F54B8" w:rsidP="004238EB">
            <w:pPr>
              <w:jc w:val="right"/>
              <w:rPr>
                <w:szCs w:val="22"/>
              </w:rPr>
            </w:pPr>
            <w:r>
              <w:rPr>
                <w:szCs w:val="22"/>
              </w:rPr>
              <w:t>2,432</w:t>
            </w:r>
          </w:p>
        </w:tc>
      </w:tr>
      <w:tr w:rsidR="007F54B8" w:rsidRPr="00A83DA6" w14:paraId="61BF9691" w14:textId="77777777" w:rsidTr="004238EB">
        <w:trPr>
          <w:cantSplit/>
          <w:trHeight w:hRule="exact" w:val="279"/>
        </w:trPr>
        <w:tc>
          <w:tcPr>
            <w:tcW w:w="5129" w:type="dxa"/>
            <w:tcBorders>
              <w:bottom w:val="single" w:sz="4" w:space="0" w:color="auto"/>
            </w:tcBorders>
            <w:shd w:val="clear" w:color="auto" w:fill="auto"/>
            <w:vAlign w:val="bottom"/>
          </w:tcPr>
          <w:p w14:paraId="6CC6A165" w14:textId="77777777" w:rsidR="007F54B8" w:rsidRPr="00C7127D" w:rsidRDefault="007F54B8" w:rsidP="004238EB">
            <w:pPr>
              <w:ind w:left="150"/>
              <w:rPr>
                <w:szCs w:val="22"/>
              </w:rPr>
            </w:pPr>
            <w:r>
              <w:rPr>
                <w:szCs w:val="22"/>
              </w:rPr>
              <w:t>BCMETC</w:t>
            </w:r>
          </w:p>
        </w:tc>
        <w:tc>
          <w:tcPr>
            <w:tcW w:w="1440" w:type="dxa"/>
            <w:tcBorders>
              <w:bottom w:val="single" w:sz="4" w:space="0" w:color="auto"/>
            </w:tcBorders>
            <w:vAlign w:val="bottom"/>
          </w:tcPr>
          <w:p w14:paraId="1B2A8E10" w14:textId="77777777" w:rsidR="007F54B8" w:rsidRPr="00C7127D" w:rsidRDefault="007F54B8" w:rsidP="004238EB">
            <w:pPr>
              <w:jc w:val="right"/>
              <w:rPr>
                <w:szCs w:val="22"/>
              </w:rPr>
            </w:pPr>
            <w:r>
              <w:rPr>
                <w:szCs w:val="22"/>
              </w:rPr>
              <w:t>(3,414)</w:t>
            </w:r>
          </w:p>
        </w:tc>
        <w:tc>
          <w:tcPr>
            <w:tcW w:w="1440" w:type="dxa"/>
            <w:tcBorders>
              <w:bottom w:val="single" w:sz="4" w:space="0" w:color="auto"/>
            </w:tcBorders>
            <w:shd w:val="clear" w:color="auto" w:fill="auto"/>
            <w:vAlign w:val="bottom"/>
          </w:tcPr>
          <w:p w14:paraId="4A98C4B8" w14:textId="77777777" w:rsidR="007F54B8" w:rsidRPr="00C7127D" w:rsidRDefault="007F54B8" w:rsidP="004238EB">
            <w:pPr>
              <w:jc w:val="right"/>
              <w:rPr>
                <w:szCs w:val="22"/>
              </w:rPr>
            </w:pPr>
            <w:r>
              <w:rPr>
                <w:szCs w:val="22"/>
              </w:rPr>
              <w:t>(14,503)</w:t>
            </w:r>
          </w:p>
        </w:tc>
      </w:tr>
      <w:tr w:rsidR="007F54B8" w:rsidRPr="00A83DA6" w14:paraId="5DFB53C1" w14:textId="77777777" w:rsidTr="004238EB">
        <w:trPr>
          <w:cantSplit/>
          <w:trHeight w:hRule="exact" w:val="118"/>
        </w:trPr>
        <w:tc>
          <w:tcPr>
            <w:tcW w:w="5129" w:type="dxa"/>
            <w:tcBorders>
              <w:top w:val="single" w:sz="4" w:space="0" w:color="auto"/>
            </w:tcBorders>
            <w:shd w:val="clear" w:color="auto" w:fill="auto"/>
            <w:vAlign w:val="bottom"/>
          </w:tcPr>
          <w:p w14:paraId="0E001CB5" w14:textId="77777777" w:rsidR="007F54B8" w:rsidRPr="00C7127D" w:rsidRDefault="007F54B8" w:rsidP="004238EB">
            <w:pPr>
              <w:ind w:left="150"/>
              <w:rPr>
                <w:szCs w:val="22"/>
              </w:rPr>
            </w:pPr>
          </w:p>
        </w:tc>
        <w:tc>
          <w:tcPr>
            <w:tcW w:w="1440" w:type="dxa"/>
            <w:tcBorders>
              <w:top w:val="single" w:sz="4" w:space="0" w:color="auto"/>
            </w:tcBorders>
            <w:vAlign w:val="bottom"/>
          </w:tcPr>
          <w:p w14:paraId="355A120A" w14:textId="77777777" w:rsidR="007F54B8" w:rsidRPr="00C7127D" w:rsidRDefault="007F54B8" w:rsidP="004238EB">
            <w:pPr>
              <w:jc w:val="center"/>
              <w:rPr>
                <w:szCs w:val="22"/>
              </w:rPr>
            </w:pPr>
          </w:p>
        </w:tc>
        <w:tc>
          <w:tcPr>
            <w:tcW w:w="1440" w:type="dxa"/>
            <w:tcBorders>
              <w:top w:val="single" w:sz="4" w:space="0" w:color="auto"/>
            </w:tcBorders>
            <w:shd w:val="clear" w:color="auto" w:fill="auto"/>
            <w:vAlign w:val="bottom"/>
          </w:tcPr>
          <w:p w14:paraId="5B72CBA5" w14:textId="77777777" w:rsidR="007F54B8" w:rsidRPr="00C7127D" w:rsidRDefault="007F54B8" w:rsidP="004238EB">
            <w:pPr>
              <w:jc w:val="right"/>
              <w:rPr>
                <w:szCs w:val="22"/>
              </w:rPr>
            </w:pPr>
          </w:p>
        </w:tc>
      </w:tr>
      <w:tr w:rsidR="007F54B8" w:rsidRPr="00A83DA6" w14:paraId="4BFC4BDA" w14:textId="77777777" w:rsidTr="004238EB">
        <w:trPr>
          <w:cantSplit/>
          <w:trHeight w:hRule="exact" w:val="279"/>
        </w:trPr>
        <w:tc>
          <w:tcPr>
            <w:tcW w:w="5129" w:type="dxa"/>
            <w:tcBorders>
              <w:bottom w:val="single" w:sz="12" w:space="0" w:color="auto"/>
            </w:tcBorders>
            <w:shd w:val="clear" w:color="auto" w:fill="auto"/>
            <w:vAlign w:val="bottom"/>
          </w:tcPr>
          <w:p w14:paraId="0DC8F2A6" w14:textId="77777777" w:rsidR="007F54B8" w:rsidRPr="00C7127D" w:rsidRDefault="007F54B8" w:rsidP="004238EB">
            <w:pPr>
              <w:rPr>
                <w:b/>
                <w:szCs w:val="22"/>
              </w:rPr>
            </w:pPr>
            <w:r w:rsidRPr="00C7127D">
              <w:rPr>
                <w:b/>
                <w:szCs w:val="22"/>
              </w:rPr>
              <w:t>Exploration and evaluation costs</w:t>
            </w:r>
          </w:p>
        </w:tc>
        <w:tc>
          <w:tcPr>
            <w:tcW w:w="1440" w:type="dxa"/>
            <w:tcBorders>
              <w:bottom w:val="single" w:sz="12" w:space="0" w:color="auto"/>
            </w:tcBorders>
            <w:vAlign w:val="bottom"/>
          </w:tcPr>
          <w:p w14:paraId="7111947B" w14:textId="77777777" w:rsidR="007F54B8" w:rsidRPr="00C7127D" w:rsidRDefault="007F54B8" w:rsidP="004238EB">
            <w:pPr>
              <w:jc w:val="right"/>
              <w:rPr>
                <w:szCs w:val="22"/>
              </w:rPr>
            </w:pPr>
            <w:r w:rsidRPr="00C7127D">
              <w:rPr>
                <w:szCs w:val="22"/>
              </w:rPr>
              <w:t xml:space="preserve">$  </w:t>
            </w:r>
            <w:r>
              <w:rPr>
                <w:szCs w:val="22"/>
              </w:rPr>
              <w:t xml:space="preserve"> </w:t>
            </w:r>
            <w:r w:rsidRPr="00C7127D">
              <w:rPr>
                <w:szCs w:val="22"/>
              </w:rPr>
              <w:t xml:space="preserve"> </w:t>
            </w:r>
            <w:r>
              <w:rPr>
                <w:szCs w:val="22"/>
              </w:rPr>
              <w:t xml:space="preserve">     </w:t>
            </w:r>
            <w:r w:rsidRPr="00C7127D">
              <w:rPr>
                <w:szCs w:val="22"/>
              </w:rPr>
              <w:t xml:space="preserve">  </w:t>
            </w:r>
            <w:r>
              <w:rPr>
                <w:szCs w:val="22"/>
              </w:rPr>
              <w:t>86</w:t>
            </w:r>
          </w:p>
        </w:tc>
        <w:tc>
          <w:tcPr>
            <w:tcW w:w="1440" w:type="dxa"/>
            <w:tcBorders>
              <w:bottom w:val="single" w:sz="12" w:space="0" w:color="auto"/>
            </w:tcBorders>
            <w:shd w:val="clear" w:color="auto" w:fill="auto"/>
            <w:vAlign w:val="bottom"/>
          </w:tcPr>
          <w:p w14:paraId="4A7A2C24" w14:textId="77777777" w:rsidR="007F54B8" w:rsidRPr="00C7127D" w:rsidRDefault="007F54B8" w:rsidP="004238EB">
            <w:pPr>
              <w:jc w:val="right"/>
              <w:rPr>
                <w:szCs w:val="22"/>
              </w:rPr>
            </w:pPr>
            <w:r w:rsidRPr="00C7127D">
              <w:rPr>
                <w:szCs w:val="22"/>
              </w:rPr>
              <w:t xml:space="preserve">$  </w:t>
            </w:r>
            <w:r>
              <w:rPr>
                <w:szCs w:val="22"/>
              </w:rPr>
              <w:t xml:space="preserve"> </w:t>
            </w:r>
            <w:r w:rsidRPr="00C7127D">
              <w:rPr>
                <w:szCs w:val="22"/>
              </w:rPr>
              <w:t xml:space="preserve">   </w:t>
            </w:r>
            <w:r>
              <w:rPr>
                <w:szCs w:val="22"/>
              </w:rPr>
              <w:t>2,565</w:t>
            </w:r>
          </w:p>
        </w:tc>
      </w:tr>
    </w:tbl>
    <w:p w14:paraId="28F6BDD1" w14:textId="77777777" w:rsidR="007F54B8" w:rsidRDefault="007F54B8" w:rsidP="007F54B8">
      <w:pPr>
        <w:rPr>
          <w:b/>
          <w:bCs/>
          <w:color w:val="000000"/>
          <w:szCs w:val="22"/>
        </w:rPr>
      </w:pPr>
    </w:p>
    <w:p w14:paraId="1CDCC9AE" w14:textId="77777777" w:rsidR="007F54B8" w:rsidRPr="00F963B4" w:rsidRDefault="007F54B8" w:rsidP="001B68AD">
      <w:pPr>
        <w:pStyle w:val="NTitleB"/>
        <w:keepLines w:val="0"/>
        <w:numPr>
          <w:ilvl w:val="0"/>
          <w:numId w:val="16"/>
        </w:numPr>
        <w:tabs>
          <w:tab w:val="clear" w:pos="576"/>
        </w:tabs>
        <w:spacing w:before="0"/>
        <w:ind w:left="360" w:hanging="360"/>
        <w:rPr>
          <w:rFonts w:ascii="Times New Roman" w:hAnsi="Times New Roman" w:cs="Times New Roman"/>
          <w:b w:val="0"/>
          <w:bCs w:val="0"/>
          <w:sz w:val="22"/>
          <w:szCs w:val="22"/>
        </w:rPr>
      </w:pPr>
      <w:r w:rsidRPr="00F963B4">
        <w:rPr>
          <w:rFonts w:ascii="Times New Roman" w:hAnsi="Times New Roman" w:cs="Times New Roman"/>
          <w:sz w:val="22"/>
          <w:szCs w:val="22"/>
        </w:rPr>
        <w:t>SHAREHOLDERS’ EQUITY</w:t>
      </w:r>
    </w:p>
    <w:p w14:paraId="5D31C804" w14:textId="77777777" w:rsidR="007F54B8" w:rsidRPr="00F963B4" w:rsidRDefault="007F54B8" w:rsidP="007F54B8">
      <w:pPr>
        <w:keepNext/>
        <w:keepLines/>
        <w:autoSpaceDE w:val="0"/>
        <w:autoSpaceDN w:val="0"/>
        <w:adjustRightInd w:val="0"/>
        <w:jc w:val="both"/>
        <w:rPr>
          <w:b/>
          <w:bCs/>
          <w:color w:val="000000"/>
          <w:szCs w:val="22"/>
        </w:rPr>
      </w:pPr>
    </w:p>
    <w:p w14:paraId="59D316F2" w14:textId="77777777" w:rsidR="007F54B8" w:rsidRPr="00F963B4" w:rsidRDefault="007F54B8" w:rsidP="007F54B8">
      <w:pPr>
        <w:pStyle w:val="Nbodyindentinput"/>
        <w:widowControl/>
        <w:numPr>
          <w:ilvl w:val="1"/>
          <w:numId w:val="5"/>
        </w:numPr>
        <w:tabs>
          <w:tab w:val="clear" w:pos="1440"/>
        </w:tabs>
        <w:spacing w:before="0"/>
        <w:ind w:left="720" w:hanging="360"/>
        <w:jc w:val="left"/>
        <w:rPr>
          <w:rFonts w:ascii="Times New Roman" w:hAnsi="Times New Roman" w:cs="Times New Roman"/>
          <w:sz w:val="22"/>
          <w:szCs w:val="22"/>
        </w:rPr>
      </w:pPr>
      <w:r w:rsidRPr="00F963B4">
        <w:rPr>
          <w:rFonts w:ascii="Times New Roman" w:hAnsi="Times New Roman" w:cs="Times New Roman"/>
          <w:sz w:val="22"/>
          <w:szCs w:val="22"/>
        </w:rPr>
        <w:t>Authorized</w:t>
      </w:r>
    </w:p>
    <w:p w14:paraId="1224256C" w14:textId="77777777" w:rsidR="007F54B8" w:rsidRPr="00F963B4" w:rsidRDefault="007F54B8" w:rsidP="007F54B8">
      <w:pPr>
        <w:pStyle w:val="Nbodyindentinput"/>
        <w:widowControl/>
        <w:spacing w:before="0"/>
        <w:ind w:left="1620"/>
        <w:jc w:val="left"/>
        <w:rPr>
          <w:rFonts w:ascii="Times New Roman" w:hAnsi="Times New Roman" w:cs="Times New Roman"/>
          <w:sz w:val="22"/>
          <w:szCs w:val="22"/>
        </w:rPr>
      </w:pPr>
    </w:p>
    <w:p w14:paraId="0FBC5C1B" w14:textId="77777777" w:rsidR="007F54B8" w:rsidRPr="00F963B4" w:rsidRDefault="007F54B8" w:rsidP="007F54B8">
      <w:pPr>
        <w:pStyle w:val="Nbodyindentinput"/>
        <w:widowControl/>
        <w:spacing w:before="0"/>
        <w:ind w:left="720"/>
        <w:jc w:val="left"/>
        <w:rPr>
          <w:rFonts w:ascii="Times New Roman" w:hAnsi="Times New Roman" w:cs="Times New Roman"/>
          <w:sz w:val="22"/>
          <w:szCs w:val="22"/>
        </w:rPr>
      </w:pPr>
      <w:r w:rsidRPr="00F963B4">
        <w:rPr>
          <w:rFonts w:ascii="Times New Roman" w:hAnsi="Times New Roman" w:cs="Times New Roman"/>
          <w:sz w:val="22"/>
          <w:szCs w:val="22"/>
        </w:rPr>
        <w:t>Unlimited number of common shares without par value.</w:t>
      </w:r>
    </w:p>
    <w:p w14:paraId="4826304E" w14:textId="77777777" w:rsidR="007F54B8" w:rsidRDefault="007F54B8" w:rsidP="007F54B8">
      <w:pPr>
        <w:rPr>
          <w:color w:val="000000"/>
          <w:szCs w:val="22"/>
        </w:rPr>
      </w:pPr>
    </w:p>
    <w:p w14:paraId="7C17F886" w14:textId="77777777" w:rsidR="007F54B8" w:rsidRPr="00F963B4" w:rsidRDefault="007F54B8" w:rsidP="007F54B8">
      <w:pPr>
        <w:pStyle w:val="Nbodyindentinput"/>
        <w:widowControl/>
        <w:numPr>
          <w:ilvl w:val="1"/>
          <w:numId w:val="5"/>
        </w:numPr>
        <w:tabs>
          <w:tab w:val="clear" w:pos="1440"/>
        </w:tabs>
        <w:spacing w:before="0"/>
        <w:ind w:left="720" w:hanging="360"/>
        <w:jc w:val="left"/>
        <w:rPr>
          <w:rFonts w:ascii="Times New Roman" w:hAnsi="Times New Roman" w:cs="Times New Roman"/>
          <w:sz w:val="22"/>
          <w:szCs w:val="22"/>
        </w:rPr>
      </w:pPr>
      <w:r w:rsidRPr="00F963B4">
        <w:rPr>
          <w:rFonts w:ascii="Times New Roman" w:hAnsi="Times New Roman" w:cs="Times New Roman"/>
          <w:sz w:val="22"/>
          <w:szCs w:val="22"/>
        </w:rPr>
        <w:t>Issued and outstanding</w:t>
      </w:r>
    </w:p>
    <w:p w14:paraId="3EA624DD" w14:textId="77777777" w:rsidR="007F54B8" w:rsidRPr="00F963B4" w:rsidRDefault="007F54B8" w:rsidP="007F54B8">
      <w:pPr>
        <w:autoSpaceDE w:val="0"/>
        <w:autoSpaceDN w:val="0"/>
        <w:adjustRightInd w:val="0"/>
        <w:rPr>
          <w:bCs/>
          <w:szCs w:val="22"/>
        </w:rPr>
      </w:pPr>
    </w:p>
    <w:p w14:paraId="06E1199D" w14:textId="77777777" w:rsidR="007F54B8" w:rsidRDefault="007F54B8" w:rsidP="007F54B8">
      <w:pPr>
        <w:pStyle w:val="BodyTextIndent"/>
        <w:autoSpaceDE w:val="0"/>
        <w:autoSpaceDN w:val="0"/>
        <w:adjustRightInd w:val="0"/>
        <w:rPr>
          <w:sz w:val="22"/>
          <w:szCs w:val="22"/>
        </w:rPr>
      </w:pPr>
      <w:r>
        <w:rPr>
          <w:sz w:val="22"/>
          <w:szCs w:val="22"/>
        </w:rPr>
        <w:t xml:space="preserve">14,242,377 (August 31, 2020 – 13,924,777) </w:t>
      </w:r>
      <w:r w:rsidRPr="00F963B4">
        <w:rPr>
          <w:sz w:val="22"/>
          <w:szCs w:val="22"/>
        </w:rPr>
        <w:t>common shares without par value.</w:t>
      </w:r>
    </w:p>
    <w:p w14:paraId="04A06206" w14:textId="77777777" w:rsidR="007F54B8" w:rsidRDefault="007F54B8" w:rsidP="007F54B8">
      <w:pPr>
        <w:pStyle w:val="BodyTextIndent"/>
        <w:autoSpaceDE w:val="0"/>
        <w:autoSpaceDN w:val="0"/>
        <w:adjustRightInd w:val="0"/>
        <w:rPr>
          <w:sz w:val="22"/>
          <w:szCs w:val="22"/>
        </w:rPr>
      </w:pPr>
    </w:p>
    <w:p w14:paraId="17DD2652" w14:textId="77777777" w:rsidR="007F54B8" w:rsidRDefault="007F54B8" w:rsidP="007F54B8">
      <w:pPr>
        <w:pStyle w:val="BodyTextIndent"/>
        <w:autoSpaceDE w:val="0"/>
        <w:autoSpaceDN w:val="0"/>
        <w:adjustRightInd w:val="0"/>
        <w:rPr>
          <w:sz w:val="22"/>
          <w:szCs w:val="22"/>
        </w:rPr>
      </w:pPr>
      <w:r w:rsidRPr="00BD326C">
        <w:rPr>
          <w:sz w:val="22"/>
          <w:szCs w:val="22"/>
        </w:rPr>
        <w:t>During the year ended August 31, 2019, the Company entered into an agreement with a vendor to provide website and marketing services. The Company and the vendor settled the terms of the arrangement whereby 50,000 common shares would be cancelled. The vendor had participated in the Company's IPO and the shares were issued at $5,000.</w:t>
      </w:r>
    </w:p>
    <w:p w14:paraId="1A13DCBA" w14:textId="77777777" w:rsidR="007F54B8" w:rsidRDefault="007F54B8" w:rsidP="007F54B8">
      <w:pPr>
        <w:pStyle w:val="BodyTextIndent"/>
        <w:autoSpaceDE w:val="0"/>
        <w:autoSpaceDN w:val="0"/>
        <w:adjustRightInd w:val="0"/>
        <w:rPr>
          <w:sz w:val="22"/>
          <w:szCs w:val="22"/>
        </w:rPr>
      </w:pPr>
    </w:p>
    <w:p w14:paraId="0707833F" w14:textId="77777777" w:rsidR="007F54B8" w:rsidRDefault="007F54B8" w:rsidP="007F54B8">
      <w:pPr>
        <w:pStyle w:val="BodyTextIndent"/>
        <w:autoSpaceDE w:val="0"/>
        <w:autoSpaceDN w:val="0"/>
        <w:adjustRightInd w:val="0"/>
        <w:rPr>
          <w:sz w:val="22"/>
          <w:szCs w:val="22"/>
        </w:rPr>
      </w:pPr>
      <w:r>
        <w:rPr>
          <w:sz w:val="22"/>
          <w:szCs w:val="22"/>
        </w:rPr>
        <w:t>On February 28, 2020, 3,750 common shares were issued related to the exercise of warrants for proceeds of $375. The fair value related to these warrants of $198 was transferred from reserves to common shares.</w:t>
      </w:r>
    </w:p>
    <w:p w14:paraId="4642B9CA" w14:textId="77777777" w:rsidR="007F54B8" w:rsidRDefault="007F54B8" w:rsidP="007F54B8">
      <w:pPr>
        <w:pStyle w:val="BodyTextIndent"/>
        <w:autoSpaceDE w:val="0"/>
        <w:autoSpaceDN w:val="0"/>
        <w:adjustRightInd w:val="0"/>
        <w:rPr>
          <w:sz w:val="22"/>
          <w:szCs w:val="22"/>
        </w:rPr>
      </w:pPr>
    </w:p>
    <w:p w14:paraId="08DE532D" w14:textId="77777777" w:rsidR="007F54B8" w:rsidRPr="002871B1" w:rsidRDefault="007F54B8" w:rsidP="007F54B8">
      <w:pPr>
        <w:pStyle w:val="BodyTextIndent"/>
        <w:autoSpaceDE w:val="0"/>
        <w:autoSpaceDN w:val="0"/>
        <w:adjustRightInd w:val="0"/>
        <w:rPr>
          <w:sz w:val="22"/>
          <w:szCs w:val="22"/>
        </w:rPr>
      </w:pPr>
      <w:r>
        <w:rPr>
          <w:sz w:val="22"/>
          <w:szCs w:val="22"/>
        </w:rPr>
        <w:t>During the nine-month period ended May 31, 2021, a total of 317,600 common shares were issued related to the exercise of warrants for proceeds of $71,760, of which $11,435 was not received until June 2021 and was included in accounts receivable at May 31, 2021. The fair value related to these warrants of $6,205 was transferred from reserves to common shares.</w:t>
      </w:r>
    </w:p>
    <w:p w14:paraId="5429A230" w14:textId="77777777" w:rsidR="007F54B8" w:rsidRPr="002871B1" w:rsidRDefault="007F54B8" w:rsidP="007F54B8">
      <w:pPr>
        <w:pStyle w:val="BodyTextIndent"/>
        <w:autoSpaceDE w:val="0"/>
        <w:autoSpaceDN w:val="0"/>
        <w:adjustRightInd w:val="0"/>
        <w:ind w:left="0"/>
        <w:rPr>
          <w:sz w:val="22"/>
          <w:szCs w:val="22"/>
        </w:rPr>
      </w:pPr>
    </w:p>
    <w:p w14:paraId="5C3FF828" w14:textId="77777777" w:rsidR="007F54B8" w:rsidRPr="002871B1" w:rsidRDefault="007F54B8" w:rsidP="001B68AD">
      <w:pPr>
        <w:pStyle w:val="Nbodyindentinput"/>
        <w:widowControl/>
        <w:numPr>
          <w:ilvl w:val="1"/>
          <w:numId w:val="10"/>
        </w:numPr>
        <w:tabs>
          <w:tab w:val="clear" w:pos="1440"/>
        </w:tabs>
        <w:spacing w:before="0"/>
        <w:ind w:left="720" w:hanging="360"/>
        <w:jc w:val="left"/>
        <w:rPr>
          <w:rFonts w:ascii="Times New Roman" w:hAnsi="Times New Roman" w:cs="Times New Roman"/>
          <w:sz w:val="22"/>
          <w:szCs w:val="22"/>
        </w:rPr>
      </w:pPr>
      <w:r w:rsidRPr="002871B1">
        <w:rPr>
          <w:rFonts w:ascii="Times New Roman" w:hAnsi="Times New Roman" w:cs="Times New Roman"/>
          <w:sz w:val="22"/>
          <w:szCs w:val="22"/>
        </w:rPr>
        <w:t>Escrow shares</w:t>
      </w:r>
    </w:p>
    <w:p w14:paraId="1D2005E1" w14:textId="77777777" w:rsidR="007F54B8" w:rsidRPr="002871B1" w:rsidRDefault="007F54B8" w:rsidP="007F54B8">
      <w:pPr>
        <w:pStyle w:val="BodyTextIndent2"/>
        <w:ind w:left="0"/>
        <w:jc w:val="both"/>
        <w:rPr>
          <w:b/>
          <w:sz w:val="22"/>
          <w:szCs w:val="22"/>
        </w:rPr>
      </w:pPr>
    </w:p>
    <w:p w14:paraId="708E3910" w14:textId="77777777" w:rsidR="007F54B8" w:rsidRPr="00F963B4" w:rsidRDefault="007F54B8" w:rsidP="007F54B8">
      <w:pPr>
        <w:pStyle w:val="Nbodyindentinput"/>
        <w:widowControl/>
        <w:spacing w:before="0"/>
        <w:ind w:left="720"/>
        <w:rPr>
          <w:rFonts w:ascii="Times New Roman" w:hAnsi="Times New Roman"/>
          <w:szCs w:val="22"/>
        </w:rPr>
      </w:pPr>
      <w:r w:rsidRPr="002871B1">
        <w:rPr>
          <w:rFonts w:ascii="Times New Roman" w:hAnsi="Times New Roman" w:cs="Times New Roman"/>
          <w:sz w:val="22"/>
          <w:szCs w:val="22"/>
        </w:rPr>
        <w:t>On August 28, 2018, the Company executed an escrow agreement with an escrow agent and a security holder where they have agreed to deposit 2,650,777 common shares in escrow. Under the escrow agreement, 10% of the shares were released upon completion of the IPO and 15% of the shares will be released every six months following listing. As at May 31, 202</w:t>
      </w:r>
      <w:r>
        <w:rPr>
          <w:rFonts w:ascii="Times New Roman" w:hAnsi="Times New Roman" w:cs="Times New Roman"/>
          <w:sz w:val="22"/>
          <w:szCs w:val="22"/>
        </w:rPr>
        <w:t>1</w:t>
      </w:r>
      <w:r w:rsidRPr="002871B1">
        <w:rPr>
          <w:rFonts w:ascii="Times New Roman" w:hAnsi="Times New Roman" w:cs="Times New Roman"/>
          <w:sz w:val="22"/>
          <w:szCs w:val="22"/>
        </w:rPr>
        <w:t xml:space="preserve">, the Company had </w:t>
      </w:r>
      <w:r>
        <w:rPr>
          <w:rFonts w:ascii="Times New Roman" w:hAnsi="Times New Roman" w:cs="Times New Roman"/>
          <w:sz w:val="22"/>
          <w:szCs w:val="22"/>
        </w:rPr>
        <w:t>1,192,849</w:t>
      </w:r>
      <w:r w:rsidRPr="002871B1">
        <w:rPr>
          <w:rFonts w:ascii="Times New Roman" w:hAnsi="Times New Roman" w:cs="Times New Roman"/>
          <w:sz w:val="22"/>
          <w:szCs w:val="22"/>
        </w:rPr>
        <w:t xml:space="preserve"> (</w:t>
      </w:r>
      <w:r>
        <w:rPr>
          <w:rFonts w:ascii="Times New Roman" w:hAnsi="Times New Roman" w:cs="Times New Roman"/>
          <w:sz w:val="22"/>
          <w:szCs w:val="22"/>
        </w:rPr>
        <w:t xml:space="preserve">August 31, </w:t>
      </w:r>
      <w:r w:rsidRPr="002871B1">
        <w:rPr>
          <w:rFonts w:ascii="Times New Roman" w:hAnsi="Times New Roman" w:cs="Times New Roman"/>
          <w:sz w:val="22"/>
          <w:szCs w:val="22"/>
        </w:rPr>
        <w:t>20</w:t>
      </w:r>
      <w:r>
        <w:rPr>
          <w:rFonts w:ascii="Times New Roman" w:hAnsi="Times New Roman" w:cs="Times New Roman"/>
          <w:sz w:val="22"/>
          <w:szCs w:val="22"/>
        </w:rPr>
        <w:t>20</w:t>
      </w:r>
      <w:r w:rsidRPr="002871B1">
        <w:rPr>
          <w:rFonts w:ascii="Times New Roman" w:hAnsi="Times New Roman" w:cs="Times New Roman"/>
          <w:sz w:val="22"/>
          <w:szCs w:val="22"/>
        </w:rPr>
        <w:t xml:space="preserve"> – </w:t>
      </w:r>
      <w:r>
        <w:rPr>
          <w:rFonts w:ascii="Times New Roman" w:hAnsi="Times New Roman" w:cs="Times New Roman"/>
          <w:sz w:val="22"/>
          <w:szCs w:val="22"/>
        </w:rPr>
        <w:t>1,590,466</w:t>
      </w:r>
      <w:r w:rsidRPr="002871B1">
        <w:rPr>
          <w:rFonts w:ascii="Times New Roman" w:hAnsi="Times New Roman" w:cs="Times New Roman"/>
          <w:sz w:val="22"/>
          <w:szCs w:val="22"/>
        </w:rPr>
        <w:t>) shares held in escrow.</w:t>
      </w:r>
    </w:p>
    <w:p w14:paraId="1B302116" w14:textId="5ED9A50F" w:rsidR="007F54B8" w:rsidRPr="008013B6" w:rsidRDefault="007F54B8" w:rsidP="001B68AD">
      <w:pPr>
        <w:pStyle w:val="NTitleB"/>
        <w:keepLines w:val="0"/>
        <w:numPr>
          <w:ilvl w:val="0"/>
          <w:numId w:val="17"/>
        </w:numPr>
        <w:tabs>
          <w:tab w:val="clear" w:pos="576"/>
        </w:tabs>
        <w:spacing w:before="0"/>
        <w:ind w:left="360" w:hanging="360"/>
        <w:rPr>
          <w:rFonts w:ascii="Times New Roman" w:hAnsi="Times New Roman" w:cs="Times New Roman"/>
          <w:b w:val="0"/>
          <w:bCs w:val="0"/>
          <w:sz w:val="22"/>
          <w:szCs w:val="22"/>
        </w:rPr>
      </w:pPr>
      <w:bookmarkStart w:id="5" w:name="_Hlk26987447"/>
    </w:p>
    <w:p w14:paraId="20720FA7" w14:textId="77777777" w:rsidR="007F54B8" w:rsidRDefault="007F54B8" w:rsidP="007F54B8">
      <w:pPr>
        <w:pStyle w:val="Nbodyindentinput"/>
        <w:widowControl/>
        <w:spacing w:before="0"/>
        <w:ind w:left="0"/>
        <w:jc w:val="left"/>
        <w:rPr>
          <w:rFonts w:ascii="Times New Roman" w:hAnsi="Times New Roman" w:cs="Times New Roman"/>
          <w:sz w:val="22"/>
          <w:szCs w:val="22"/>
        </w:rPr>
      </w:pPr>
    </w:p>
    <w:p w14:paraId="52CF3828" w14:textId="77777777" w:rsidR="007F54B8" w:rsidRPr="00F963B4" w:rsidRDefault="007F54B8" w:rsidP="001B68AD">
      <w:pPr>
        <w:pStyle w:val="Nbodyindentinput"/>
        <w:widowControl/>
        <w:numPr>
          <w:ilvl w:val="1"/>
          <w:numId w:val="10"/>
        </w:numPr>
        <w:spacing w:before="0"/>
        <w:ind w:left="720" w:hanging="360"/>
        <w:jc w:val="left"/>
        <w:rPr>
          <w:rFonts w:ascii="Times New Roman" w:hAnsi="Times New Roman" w:cs="Times New Roman"/>
          <w:sz w:val="22"/>
          <w:szCs w:val="22"/>
        </w:rPr>
      </w:pPr>
      <w:r w:rsidRPr="00F963B4">
        <w:rPr>
          <w:rFonts w:ascii="Times New Roman" w:hAnsi="Times New Roman" w:cs="Times New Roman"/>
          <w:sz w:val="22"/>
          <w:szCs w:val="22"/>
        </w:rPr>
        <w:t xml:space="preserve">Stock options </w:t>
      </w:r>
    </w:p>
    <w:p w14:paraId="72AA4319" w14:textId="77777777" w:rsidR="007F54B8" w:rsidRPr="00F963B4" w:rsidRDefault="007F54B8" w:rsidP="007F54B8">
      <w:pPr>
        <w:pStyle w:val="BodyTextIndent2"/>
        <w:ind w:left="454"/>
        <w:jc w:val="both"/>
        <w:rPr>
          <w:b/>
          <w:sz w:val="22"/>
          <w:szCs w:val="22"/>
        </w:rPr>
      </w:pPr>
    </w:p>
    <w:p w14:paraId="08DD1DDB" w14:textId="77777777" w:rsidR="007F54B8" w:rsidRDefault="007F54B8" w:rsidP="007F54B8">
      <w:pPr>
        <w:pStyle w:val="BodyTextIndent"/>
        <w:autoSpaceDE w:val="0"/>
        <w:autoSpaceDN w:val="0"/>
        <w:adjustRightInd w:val="0"/>
        <w:rPr>
          <w:sz w:val="22"/>
          <w:szCs w:val="22"/>
        </w:rPr>
      </w:pPr>
      <w:r w:rsidRPr="00F963B4">
        <w:rPr>
          <w:sz w:val="22"/>
          <w:szCs w:val="22"/>
        </w:rPr>
        <w:lastRenderedPageBreak/>
        <w:t>The Company’s stock option plan authorizes the issuance of options up to a maximum of 10% of the Company’s issued shares</w:t>
      </w:r>
      <w:bookmarkEnd w:id="5"/>
      <w:r w:rsidRPr="00F963B4">
        <w:rPr>
          <w:sz w:val="22"/>
          <w:szCs w:val="22"/>
        </w:rPr>
        <w:t xml:space="preserve">. The exercise price of any option granted shall not be less than the fair market value of the shares at the time of the grant. The expiry date for each option, set by the Board of Directors at the time of issue, shall not be more than ten years after the grant date. Unless stipulated by the Board of Directors, options granted generally vest fully on the date of grant. </w:t>
      </w:r>
    </w:p>
    <w:p w14:paraId="25CF1322" w14:textId="77777777" w:rsidR="007F54B8" w:rsidRDefault="007F54B8" w:rsidP="007F54B8">
      <w:pPr>
        <w:pStyle w:val="BodyTextIndent"/>
        <w:autoSpaceDE w:val="0"/>
        <w:autoSpaceDN w:val="0"/>
        <w:adjustRightInd w:val="0"/>
        <w:rPr>
          <w:sz w:val="22"/>
          <w:szCs w:val="22"/>
        </w:rPr>
      </w:pPr>
    </w:p>
    <w:p w14:paraId="141DB826" w14:textId="77777777" w:rsidR="007F54B8" w:rsidRDefault="007F54B8" w:rsidP="007F54B8">
      <w:pPr>
        <w:pStyle w:val="BodyTextIndent"/>
        <w:autoSpaceDE w:val="0"/>
        <w:autoSpaceDN w:val="0"/>
        <w:adjustRightInd w:val="0"/>
        <w:rPr>
          <w:sz w:val="22"/>
          <w:szCs w:val="22"/>
        </w:rPr>
      </w:pPr>
      <w:r w:rsidRPr="00495496">
        <w:rPr>
          <w:sz w:val="22"/>
          <w:szCs w:val="22"/>
        </w:rPr>
        <w:t xml:space="preserve">During the year ended August 31, 2020, the Company </w:t>
      </w:r>
      <w:r>
        <w:rPr>
          <w:sz w:val="22"/>
          <w:szCs w:val="22"/>
        </w:rPr>
        <w:t>granted</w:t>
      </w:r>
      <w:r w:rsidRPr="00495496">
        <w:rPr>
          <w:sz w:val="22"/>
          <w:szCs w:val="22"/>
        </w:rPr>
        <w:t xml:space="preserve"> 850,000 stock options to directors. The stock options vested fully on grant.</w:t>
      </w:r>
      <w:r>
        <w:rPr>
          <w:sz w:val="22"/>
          <w:szCs w:val="22"/>
        </w:rPr>
        <w:t xml:space="preserve"> </w:t>
      </w:r>
    </w:p>
    <w:p w14:paraId="532E5781" w14:textId="77777777" w:rsidR="007F54B8" w:rsidRDefault="007F54B8" w:rsidP="007F54B8">
      <w:pPr>
        <w:pStyle w:val="BodyTextIndent"/>
        <w:autoSpaceDE w:val="0"/>
        <w:autoSpaceDN w:val="0"/>
        <w:adjustRightInd w:val="0"/>
        <w:rPr>
          <w:sz w:val="22"/>
          <w:szCs w:val="22"/>
        </w:rPr>
      </w:pPr>
    </w:p>
    <w:p w14:paraId="33DFD791" w14:textId="77777777" w:rsidR="007F54B8" w:rsidRDefault="007F54B8" w:rsidP="007F54B8">
      <w:pPr>
        <w:pStyle w:val="BodyTextIndent"/>
        <w:autoSpaceDE w:val="0"/>
        <w:autoSpaceDN w:val="0"/>
        <w:adjustRightInd w:val="0"/>
        <w:rPr>
          <w:sz w:val="22"/>
          <w:szCs w:val="22"/>
        </w:rPr>
      </w:pPr>
      <w:r>
        <w:rPr>
          <w:sz w:val="22"/>
          <w:szCs w:val="22"/>
        </w:rPr>
        <w:t xml:space="preserve">During the nine-month period ended May 31, 2021, the Company granted 450,000 stock options to advisory board members and a consultant, all of which were cancelled in February 2021. The options vested fully on grant. </w:t>
      </w:r>
    </w:p>
    <w:p w14:paraId="2D5D9823" w14:textId="77777777" w:rsidR="007F54B8" w:rsidRDefault="007F54B8" w:rsidP="007F54B8">
      <w:pPr>
        <w:rPr>
          <w:szCs w:val="22"/>
        </w:rPr>
      </w:pPr>
    </w:p>
    <w:p w14:paraId="7AA254F9" w14:textId="77777777" w:rsidR="007F54B8" w:rsidRPr="00495496" w:rsidRDefault="007F54B8" w:rsidP="007F54B8">
      <w:pPr>
        <w:pStyle w:val="BodyTextIndent"/>
        <w:autoSpaceDE w:val="0"/>
        <w:autoSpaceDN w:val="0"/>
        <w:adjustRightInd w:val="0"/>
        <w:rPr>
          <w:sz w:val="22"/>
          <w:szCs w:val="22"/>
        </w:rPr>
      </w:pPr>
      <w:r w:rsidRPr="00495496">
        <w:rPr>
          <w:sz w:val="22"/>
          <w:szCs w:val="22"/>
        </w:rPr>
        <w:t xml:space="preserve">The fair value of the options </w:t>
      </w:r>
      <w:r>
        <w:rPr>
          <w:sz w:val="22"/>
          <w:szCs w:val="22"/>
        </w:rPr>
        <w:t xml:space="preserve">granted during the nine-month period ended May 31, 2021 </w:t>
      </w:r>
      <w:r w:rsidRPr="00495496">
        <w:rPr>
          <w:sz w:val="22"/>
          <w:szCs w:val="22"/>
        </w:rPr>
        <w:t xml:space="preserve">was calculated as </w:t>
      </w:r>
      <w:r>
        <w:rPr>
          <w:sz w:val="22"/>
          <w:szCs w:val="22"/>
        </w:rPr>
        <w:t xml:space="preserve">$166,200 (year ended August 31, 2020 - </w:t>
      </w:r>
      <w:r w:rsidRPr="00495496">
        <w:rPr>
          <w:sz w:val="22"/>
          <w:szCs w:val="22"/>
        </w:rPr>
        <w:t>$125,700</w:t>
      </w:r>
      <w:r>
        <w:rPr>
          <w:sz w:val="22"/>
          <w:szCs w:val="22"/>
        </w:rPr>
        <w:t>)</w:t>
      </w:r>
      <w:r w:rsidRPr="00495496">
        <w:rPr>
          <w:sz w:val="22"/>
          <w:szCs w:val="22"/>
        </w:rPr>
        <w:t xml:space="preserve"> using the Black-Scholes option pricing model using the assumptions noted below. The volatility of 100% is based on industry standard for comparable companies without a historical volatility. Fair value is particularly impacted by stock price volatility, determined using historical price data for a term equivalent to the expected life of the option.</w:t>
      </w:r>
    </w:p>
    <w:p w14:paraId="40A2C1A1" w14:textId="77777777" w:rsidR="007F54B8" w:rsidRDefault="007F54B8" w:rsidP="007F54B8">
      <w:pPr>
        <w:pStyle w:val="BodyTextIndent"/>
        <w:autoSpaceDE w:val="0"/>
        <w:autoSpaceDN w:val="0"/>
        <w:adjustRightInd w:val="0"/>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1508"/>
        <w:gridCol w:w="1636"/>
      </w:tblGrid>
      <w:tr w:rsidR="007F54B8" w14:paraId="1A2A8C27" w14:textId="77777777" w:rsidTr="004238EB">
        <w:tc>
          <w:tcPr>
            <w:tcW w:w="5496" w:type="dxa"/>
            <w:tcBorders>
              <w:top w:val="single" w:sz="2" w:space="0" w:color="auto"/>
              <w:bottom w:val="single" w:sz="2" w:space="0" w:color="auto"/>
            </w:tcBorders>
          </w:tcPr>
          <w:p w14:paraId="3EEB09FE" w14:textId="77777777" w:rsidR="007F54B8" w:rsidRPr="00B048E3" w:rsidRDefault="007F54B8" w:rsidP="004238EB">
            <w:pPr>
              <w:pStyle w:val="BodyTextIndent"/>
              <w:autoSpaceDE w:val="0"/>
              <w:autoSpaceDN w:val="0"/>
              <w:adjustRightInd w:val="0"/>
              <w:ind w:left="0"/>
              <w:rPr>
                <w:rFonts w:ascii="Times New Roman" w:hAnsi="Times New Roman"/>
                <w:sz w:val="22"/>
                <w:szCs w:val="28"/>
              </w:rPr>
            </w:pPr>
          </w:p>
        </w:tc>
        <w:tc>
          <w:tcPr>
            <w:tcW w:w="1508" w:type="dxa"/>
            <w:tcBorders>
              <w:top w:val="single" w:sz="2" w:space="0" w:color="auto"/>
              <w:bottom w:val="single" w:sz="2" w:space="0" w:color="auto"/>
            </w:tcBorders>
          </w:tcPr>
          <w:p w14:paraId="59EB1A35" w14:textId="77777777" w:rsidR="007F54B8" w:rsidRPr="00B048E3" w:rsidRDefault="007F54B8" w:rsidP="004238EB">
            <w:pPr>
              <w:pStyle w:val="BodyTextIndent"/>
              <w:autoSpaceDE w:val="0"/>
              <w:autoSpaceDN w:val="0"/>
              <w:adjustRightInd w:val="0"/>
              <w:ind w:left="0"/>
              <w:jc w:val="center"/>
              <w:rPr>
                <w:rFonts w:ascii="Times New Roman" w:hAnsi="Times New Roman"/>
                <w:b/>
                <w:sz w:val="22"/>
                <w:szCs w:val="28"/>
              </w:rPr>
            </w:pPr>
            <w:r>
              <w:rPr>
                <w:rFonts w:ascii="Times New Roman" w:hAnsi="Times New Roman"/>
                <w:b/>
                <w:sz w:val="22"/>
                <w:szCs w:val="28"/>
              </w:rPr>
              <w:t xml:space="preserve">9-month Period Ended May 31, </w:t>
            </w:r>
            <w:r w:rsidRPr="00B048E3">
              <w:rPr>
                <w:rFonts w:ascii="Times New Roman" w:hAnsi="Times New Roman"/>
                <w:b/>
                <w:sz w:val="22"/>
                <w:szCs w:val="28"/>
              </w:rPr>
              <w:t>202</w:t>
            </w:r>
            <w:r>
              <w:rPr>
                <w:rFonts w:ascii="Times New Roman" w:hAnsi="Times New Roman"/>
                <w:b/>
                <w:sz w:val="22"/>
                <w:szCs w:val="28"/>
              </w:rPr>
              <w:t>1</w:t>
            </w:r>
          </w:p>
        </w:tc>
        <w:tc>
          <w:tcPr>
            <w:tcW w:w="1636" w:type="dxa"/>
            <w:tcBorders>
              <w:top w:val="single" w:sz="2" w:space="0" w:color="auto"/>
              <w:bottom w:val="single" w:sz="2" w:space="0" w:color="auto"/>
            </w:tcBorders>
          </w:tcPr>
          <w:p w14:paraId="2B59414A" w14:textId="77777777" w:rsidR="007F54B8" w:rsidRPr="00B048E3" w:rsidRDefault="007F54B8" w:rsidP="004238EB">
            <w:pPr>
              <w:pStyle w:val="BodyTextIndent"/>
              <w:autoSpaceDE w:val="0"/>
              <w:autoSpaceDN w:val="0"/>
              <w:adjustRightInd w:val="0"/>
              <w:ind w:left="0"/>
              <w:jc w:val="center"/>
              <w:rPr>
                <w:rFonts w:ascii="Times New Roman" w:hAnsi="Times New Roman"/>
                <w:b/>
                <w:sz w:val="22"/>
                <w:szCs w:val="28"/>
              </w:rPr>
            </w:pPr>
            <w:r>
              <w:rPr>
                <w:rFonts w:ascii="Times New Roman" w:hAnsi="Times New Roman"/>
                <w:b/>
                <w:sz w:val="22"/>
                <w:szCs w:val="28"/>
              </w:rPr>
              <w:t xml:space="preserve">Year Ended August 31, </w:t>
            </w:r>
            <w:r w:rsidRPr="00B048E3">
              <w:rPr>
                <w:rFonts w:ascii="Times New Roman" w:hAnsi="Times New Roman"/>
                <w:b/>
                <w:sz w:val="22"/>
                <w:szCs w:val="28"/>
              </w:rPr>
              <w:t>2020</w:t>
            </w:r>
          </w:p>
        </w:tc>
      </w:tr>
      <w:tr w:rsidR="007F54B8" w14:paraId="7C85C6FB" w14:textId="77777777" w:rsidTr="004238EB">
        <w:tc>
          <w:tcPr>
            <w:tcW w:w="5496" w:type="dxa"/>
            <w:tcBorders>
              <w:top w:val="single" w:sz="2" w:space="0" w:color="auto"/>
            </w:tcBorders>
          </w:tcPr>
          <w:p w14:paraId="6D4F6698" w14:textId="77777777" w:rsidR="007F54B8" w:rsidRPr="00B048E3" w:rsidRDefault="007F54B8" w:rsidP="004238EB">
            <w:pPr>
              <w:pStyle w:val="BodyTextIndent"/>
              <w:autoSpaceDE w:val="0"/>
              <w:autoSpaceDN w:val="0"/>
              <w:adjustRightInd w:val="0"/>
              <w:ind w:left="0"/>
              <w:rPr>
                <w:rFonts w:ascii="Times New Roman" w:hAnsi="Times New Roman"/>
                <w:sz w:val="22"/>
                <w:szCs w:val="28"/>
              </w:rPr>
            </w:pPr>
            <w:r w:rsidRPr="00B048E3">
              <w:rPr>
                <w:rFonts w:ascii="Times New Roman" w:hAnsi="Times New Roman"/>
                <w:sz w:val="22"/>
                <w:szCs w:val="28"/>
              </w:rPr>
              <w:t>Risk-free interest rate</w:t>
            </w:r>
          </w:p>
        </w:tc>
        <w:tc>
          <w:tcPr>
            <w:tcW w:w="1508" w:type="dxa"/>
            <w:tcBorders>
              <w:top w:val="single" w:sz="2" w:space="0" w:color="auto"/>
            </w:tcBorders>
          </w:tcPr>
          <w:p w14:paraId="1A1FB86D" w14:textId="77777777" w:rsidR="007F54B8" w:rsidRPr="00B048E3" w:rsidRDefault="007F54B8" w:rsidP="004238EB">
            <w:pPr>
              <w:pStyle w:val="BodyTextIndent"/>
              <w:autoSpaceDE w:val="0"/>
              <w:autoSpaceDN w:val="0"/>
              <w:adjustRightInd w:val="0"/>
              <w:ind w:left="0"/>
              <w:rPr>
                <w:rFonts w:ascii="Times New Roman" w:hAnsi="Times New Roman"/>
                <w:sz w:val="22"/>
                <w:szCs w:val="28"/>
              </w:rPr>
            </w:pPr>
            <w:r w:rsidRPr="00B048E3">
              <w:rPr>
                <w:rFonts w:ascii="Times New Roman" w:hAnsi="Times New Roman"/>
                <w:sz w:val="22"/>
                <w:szCs w:val="28"/>
              </w:rPr>
              <w:t>0.</w:t>
            </w:r>
            <w:r>
              <w:rPr>
                <w:rFonts w:ascii="Times New Roman" w:hAnsi="Times New Roman"/>
                <w:sz w:val="22"/>
                <w:szCs w:val="28"/>
              </w:rPr>
              <w:t>36</w:t>
            </w:r>
            <w:r w:rsidRPr="00B048E3">
              <w:rPr>
                <w:rFonts w:ascii="Times New Roman" w:hAnsi="Times New Roman"/>
                <w:sz w:val="22"/>
                <w:szCs w:val="28"/>
              </w:rPr>
              <w:t>%</w:t>
            </w:r>
          </w:p>
        </w:tc>
        <w:tc>
          <w:tcPr>
            <w:tcW w:w="1636" w:type="dxa"/>
            <w:tcBorders>
              <w:top w:val="single" w:sz="2" w:space="0" w:color="auto"/>
            </w:tcBorders>
          </w:tcPr>
          <w:p w14:paraId="4DF2F3F4" w14:textId="77777777" w:rsidR="007F54B8" w:rsidRPr="00B048E3" w:rsidRDefault="007F54B8" w:rsidP="004238EB">
            <w:pPr>
              <w:pStyle w:val="BodyTextIndent"/>
              <w:autoSpaceDE w:val="0"/>
              <w:autoSpaceDN w:val="0"/>
              <w:adjustRightInd w:val="0"/>
              <w:ind w:left="0"/>
              <w:rPr>
                <w:rFonts w:ascii="Times New Roman" w:hAnsi="Times New Roman"/>
                <w:sz w:val="22"/>
                <w:szCs w:val="28"/>
              </w:rPr>
            </w:pPr>
            <w:r w:rsidRPr="00B048E3">
              <w:rPr>
                <w:rFonts w:ascii="Times New Roman" w:hAnsi="Times New Roman"/>
                <w:sz w:val="22"/>
                <w:szCs w:val="28"/>
              </w:rPr>
              <w:t>0.45%</w:t>
            </w:r>
          </w:p>
        </w:tc>
      </w:tr>
      <w:tr w:rsidR="007F54B8" w14:paraId="655A8DE8" w14:textId="77777777" w:rsidTr="004238EB">
        <w:tc>
          <w:tcPr>
            <w:tcW w:w="5496" w:type="dxa"/>
          </w:tcPr>
          <w:p w14:paraId="332F883D" w14:textId="77777777" w:rsidR="007F54B8" w:rsidRPr="00B048E3" w:rsidRDefault="007F54B8" w:rsidP="004238EB">
            <w:pPr>
              <w:pStyle w:val="BodyTextIndent"/>
              <w:autoSpaceDE w:val="0"/>
              <w:autoSpaceDN w:val="0"/>
              <w:adjustRightInd w:val="0"/>
              <w:ind w:left="0"/>
              <w:rPr>
                <w:rFonts w:ascii="Times New Roman" w:hAnsi="Times New Roman"/>
                <w:sz w:val="22"/>
                <w:szCs w:val="28"/>
              </w:rPr>
            </w:pPr>
            <w:r w:rsidRPr="00B048E3">
              <w:rPr>
                <w:rFonts w:ascii="Times New Roman" w:hAnsi="Times New Roman"/>
                <w:sz w:val="22"/>
                <w:szCs w:val="28"/>
              </w:rPr>
              <w:t>Expected life of options</w:t>
            </w:r>
          </w:p>
        </w:tc>
        <w:tc>
          <w:tcPr>
            <w:tcW w:w="1508" w:type="dxa"/>
          </w:tcPr>
          <w:p w14:paraId="418A6C25" w14:textId="77777777" w:rsidR="007F54B8" w:rsidRPr="00B048E3" w:rsidRDefault="007F54B8" w:rsidP="004238EB">
            <w:pPr>
              <w:pStyle w:val="BodyTextIndent"/>
              <w:autoSpaceDE w:val="0"/>
              <w:autoSpaceDN w:val="0"/>
              <w:adjustRightInd w:val="0"/>
              <w:ind w:left="0"/>
              <w:rPr>
                <w:rFonts w:ascii="Times New Roman" w:hAnsi="Times New Roman"/>
                <w:sz w:val="22"/>
                <w:szCs w:val="28"/>
              </w:rPr>
            </w:pPr>
            <w:r w:rsidRPr="00B048E3">
              <w:rPr>
                <w:rFonts w:ascii="Times New Roman" w:hAnsi="Times New Roman"/>
                <w:sz w:val="22"/>
                <w:szCs w:val="28"/>
              </w:rPr>
              <w:t>5 years</w:t>
            </w:r>
          </w:p>
        </w:tc>
        <w:tc>
          <w:tcPr>
            <w:tcW w:w="1636" w:type="dxa"/>
          </w:tcPr>
          <w:p w14:paraId="76639510" w14:textId="77777777" w:rsidR="007F54B8" w:rsidRPr="00B048E3" w:rsidRDefault="007F54B8" w:rsidP="004238EB">
            <w:pPr>
              <w:pStyle w:val="BodyTextIndent"/>
              <w:autoSpaceDE w:val="0"/>
              <w:autoSpaceDN w:val="0"/>
              <w:adjustRightInd w:val="0"/>
              <w:ind w:left="0"/>
              <w:rPr>
                <w:rFonts w:ascii="Times New Roman" w:hAnsi="Times New Roman"/>
                <w:sz w:val="22"/>
                <w:szCs w:val="28"/>
              </w:rPr>
            </w:pPr>
            <w:r w:rsidRPr="00B048E3">
              <w:rPr>
                <w:rFonts w:ascii="Times New Roman" w:hAnsi="Times New Roman"/>
                <w:sz w:val="22"/>
                <w:szCs w:val="28"/>
              </w:rPr>
              <w:t>5 years</w:t>
            </w:r>
          </w:p>
        </w:tc>
      </w:tr>
      <w:tr w:rsidR="007F54B8" w14:paraId="7328DB1C" w14:textId="77777777" w:rsidTr="004238EB">
        <w:tc>
          <w:tcPr>
            <w:tcW w:w="5496" w:type="dxa"/>
          </w:tcPr>
          <w:p w14:paraId="5E02EA4D" w14:textId="77777777" w:rsidR="007F54B8" w:rsidRPr="00B048E3" w:rsidRDefault="007F54B8" w:rsidP="004238EB">
            <w:pPr>
              <w:pStyle w:val="BodyTextIndent"/>
              <w:autoSpaceDE w:val="0"/>
              <w:autoSpaceDN w:val="0"/>
              <w:adjustRightInd w:val="0"/>
              <w:ind w:left="0"/>
              <w:rPr>
                <w:rFonts w:ascii="Times New Roman" w:hAnsi="Times New Roman"/>
                <w:sz w:val="22"/>
                <w:szCs w:val="28"/>
              </w:rPr>
            </w:pPr>
            <w:r w:rsidRPr="00B048E3">
              <w:rPr>
                <w:rFonts w:ascii="Times New Roman" w:hAnsi="Times New Roman"/>
                <w:sz w:val="22"/>
                <w:szCs w:val="28"/>
              </w:rPr>
              <w:t>Annualized volatility</w:t>
            </w:r>
          </w:p>
        </w:tc>
        <w:tc>
          <w:tcPr>
            <w:tcW w:w="1508" w:type="dxa"/>
          </w:tcPr>
          <w:p w14:paraId="30E370D4" w14:textId="77777777" w:rsidR="007F54B8" w:rsidRPr="00B048E3" w:rsidRDefault="007F54B8" w:rsidP="004238EB">
            <w:pPr>
              <w:pStyle w:val="BodyTextIndent"/>
              <w:autoSpaceDE w:val="0"/>
              <w:autoSpaceDN w:val="0"/>
              <w:adjustRightInd w:val="0"/>
              <w:ind w:left="0"/>
              <w:rPr>
                <w:rFonts w:ascii="Times New Roman" w:hAnsi="Times New Roman"/>
                <w:sz w:val="22"/>
                <w:szCs w:val="28"/>
              </w:rPr>
            </w:pPr>
            <w:r w:rsidRPr="00B048E3">
              <w:rPr>
                <w:rFonts w:ascii="Times New Roman" w:hAnsi="Times New Roman"/>
                <w:sz w:val="22"/>
                <w:szCs w:val="28"/>
              </w:rPr>
              <w:t>100%</w:t>
            </w:r>
          </w:p>
        </w:tc>
        <w:tc>
          <w:tcPr>
            <w:tcW w:w="1636" w:type="dxa"/>
          </w:tcPr>
          <w:p w14:paraId="206C3B3A" w14:textId="77777777" w:rsidR="007F54B8" w:rsidRPr="00B048E3" w:rsidRDefault="007F54B8" w:rsidP="004238EB">
            <w:pPr>
              <w:pStyle w:val="BodyTextIndent"/>
              <w:autoSpaceDE w:val="0"/>
              <w:autoSpaceDN w:val="0"/>
              <w:adjustRightInd w:val="0"/>
              <w:ind w:left="0"/>
              <w:rPr>
                <w:rFonts w:ascii="Times New Roman" w:hAnsi="Times New Roman"/>
                <w:sz w:val="22"/>
                <w:szCs w:val="28"/>
              </w:rPr>
            </w:pPr>
            <w:r w:rsidRPr="00B048E3">
              <w:rPr>
                <w:rFonts w:ascii="Times New Roman" w:hAnsi="Times New Roman"/>
                <w:sz w:val="22"/>
                <w:szCs w:val="28"/>
              </w:rPr>
              <w:t>100%</w:t>
            </w:r>
          </w:p>
        </w:tc>
      </w:tr>
      <w:tr w:rsidR="007F54B8" w14:paraId="7501C5B1" w14:textId="77777777" w:rsidTr="004238EB">
        <w:tc>
          <w:tcPr>
            <w:tcW w:w="5496" w:type="dxa"/>
            <w:tcBorders>
              <w:bottom w:val="single" w:sz="12" w:space="0" w:color="auto"/>
            </w:tcBorders>
          </w:tcPr>
          <w:p w14:paraId="016AC679" w14:textId="77777777" w:rsidR="007F54B8" w:rsidRPr="00B048E3" w:rsidRDefault="007F54B8" w:rsidP="004238EB">
            <w:pPr>
              <w:pStyle w:val="BodyTextIndent"/>
              <w:autoSpaceDE w:val="0"/>
              <w:autoSpaceDN w:val="0"/>
              <w:adjustRightInd w:val="0"/>
              <w:ind w:left="0"/>
              <w:rPr>
                <w:rFonts w:ascii="Times New Roman" w:hAnsi="Times New Roman"/>
                <w:sz w:val="22"/>
                <w:szCs w:val="28"/>
              </w:rPr>
            </w:pPr>
            <w:r w:rsidRPr="00B048E3">
              <w:rPr>
                <w:rFonts w:ascii="Times New Roman" w:hAnsi="Times New Roman"/>
                <w:sz w:val="22"/>
                <w:szCs w:val="28"/>
              </w:rPr>
              <w:t>Dividend rate</w:t>
            </w:r>
          </w:p>
        </w:tc>
        <w:tc>
          <w:tcPr>
            <w:tcW w:w="1508" w:type="dxa"/>
            <w:tcBorders>
              <w:bottom w:val="single" w:sz="12" w:space="0" w:color="auto"/>
            </w:tcBorders>
          </w:tcPr>
          <w:p w14:paraId="784CC8D3" w14:textId="77777777" w:rsidR="007F54B8" w:rsidRPr="00B048E3" w:rsidRDefault="007F54B8" w:rsidP="004238EB">
            <w:pPr>
              <w:pStyle w:val="BodyTextIndent"/>
              <w:autoSpaceDE w:val="0"/>
              <w:autoSpaceDN w:val="0"/>
              <w:adjustRightInd w:val="0"/>
              <w:ind w:left="0"/>
              <w:rPr>
                <w:rFonts w:ascii="Times New Roman" w:hAnsi="Times New Roman"/>
                <w:sz w:val="22"/>
                <w:szCs w:val="28"/>
              </w:rPr>
            </w:pPr>
            <w:r w:rsidRPr="00B048E3">
              <w:rPr>
                <w:rFonts w:ascii="Times New Roman" w:hAnsi="Times New Roman"/>
                <w:sz w:val="22"/>
                <w:szCs w:val="28"/>
              </w:rPr>
              <w:t>0%</w:t>
            </w:r>
          </w:p>
        </w:tc>
        <w:tc>
          <w:tcPr>
            <w:tcW w:w="1636" w:type="dxa"/>
            <w:tcBorders>
              <w:bottom w:val="single" w:sz="12" w:space="0" w:color="auto"/>
            </w:tcBorders>
          </w:tcPr>
          <w:p w14:paraId="34C141B0" w14:textId="77777777" w:rsidR="007F54B8" w:rsidRPr="00B048E3" w:rsidRDefault="007F54B8" w:rsidP="004238EB">
            <w:pPr>
              <w:pStyle w:val="BodyTextIndent"/>
              <w:autoSpaceDE w:val="0"/>
              <w:autoSpaceDN w:val="0"/>
              <w:adjustRightInd w:val="0"/>
              <w:ind w:left="0"/>
              <w:rPr>
                <w:rFonts w:ascii="Times New Roman" w:hAnsi="Times New Roman"/>
                <w:sz w:val="22"/>
                <w:szCs w:val="28"/>
              </w:rPr>
            </w:pPr>
            <w:r w:rsidRPr="00B048E3">
              <w:rPr>
                <w:rFonts w:ascii="Times New Roman" w:hAnsi="Times New Roman"/>
                <w:sz w:val="22"/>
                <w:szCs w:val="28"/>
              </w:rPr>
              <w:t>0%</w:t>
            </w:r>
          </w:p>
        </w:tc>
      </w:tr>
    </w:tbl>
    <w:p w14:paraId="6009FF73" w14:textId="77777777" w:rsidR="007F54B8" w:rsidRDefault="007F54B8" w:rsidP="007F54B8">
      <w:pPr>
        <w:pStyle w:val="Nbodyindentinput"/>
        <w:widowControl/>
        <w:spacing w:before="0"/>
        <w:ind w:left="720"/>
        <w:jc w:val="left"/>
        <w:rPr>
          <w:rFonts w:ascii="Times New Roman" w:hAnsi="Times New Roman" w:cs="Times New Roman"/>
          <w:sz w:val="22"/>
          <w:szCs w:val="22"/>
        </w:rPr>
      </w:pPr>
    </w:p>
    <w:tbl>
      <w:tblPr>
        <w:tblStyle w:val="TableGrid"/>
        <w:tblW w:w="9242" w:type="dxa"/>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531"/>
        <w:gridCol w:w="1531"/>
        <w:gridCol w:w="1531"/>
        <w:gridCol w:w="1531"/>
      </w:tblGrid>
      <w:tr w:rsidR="007F54B8" w:rsidRPr="002871B1" w14:paraId="0C3BF0DB" w14:textId="77777777" w:rsidTr="004238EB">
        <w:tc>
          <w:tcPr>
            <w:tcW w:w="3118" w:type="dxa"/>
            <w:tcBorders>
              <w:bottom w:val="single" w:sz="4" w:space="0" w:color="auto"/>
            </w:tcBorders>
          </w:tcPr>
          <w:p w14:paraId="7A99CB32" w14:textId="77777777" w:rsidR="007F54B8" w:rsidRPr="00F963B4" w:rsidRDefault="007F54B8" w:rsidP="004238EB">
            <w:pPr>
              <w:jc w:val="both"/>
              <w:rPr>
                <w:rFonts w:ascii="Times New Roman" w:hAnsi="Times New Roman"/>
                <w:lang w:val="en-GB"/>
              </w:rPr>
            </w:pPr>
          </w:p>
        </w:tc>
        <w:tc>
          <w:tcPr>
            <w:tcW w:w="3062" w:type="dxa"/>
            <w:gridSpan w:val="2"/>
            <w:tcBorders>
              <w:bottom w:val="single" w:sz="4" w:space="0" w:color="auto"/>
            </w:tcBorders>
            <w:vAlign w:val="bottom"/>
          </w:tcPr>
          <w:p w14:paraId="791536FF" w14:textId="77777777" w:rsidR="007F54B8" w:rsidRPr="00F963B4" w:rsidRDefault="007F54B8" w:rsidP="004238EB">
            <w:pPr>
              <w:jc w:val="center"/>
              <w:rPr>
                <w:rFonts w:ascii="Times New Roman" w:hAnsi="Times New Roman"/>
                <w:b/>
                <w:bCs/>
                <w:lang w:val="en-GB"/>
              </w:rPr>
            </w:pPr>
            <w:r w:rsidRPr="002871B1">
              <w:rPr>
                <w:rFonts w:ascii="Times New Roman" w:hAnsi="Times New Roman"/>
                <w:b/>
                <w:bCs/>
                <w:lang w:val="en-GB"/>
              </w:rPr>
              <w:t>9</w:t>
            </w:r>
            <w:r>
              <w:rPr>
                <w:rFonts w:ascii="Times New Roman" w:hAnsi="Times New Roman"/>
                <w:b/>
                <w:bCs/>
                <w:lang w:val="en-GB"/>
              </w:rPr>
              <w:t>-</w:t>
            </w:r>
            <w:r w:rsidRPr="002871B1">
              <w:rPr>
                <w:rFonts w:ascii="Times New Roman" w:hAnsi="Times New Roman"/>
                <w:b/>
                <w:bCs/>
                <w:lang w:val="en-GB"/>
              </w:rPr>
              <w:t>month Period Ended</w:t>
            </w:r>
            <w:r>
              <w:rPr>
                <w:rFonts w:ascii="Times New Roman" w:hAnsi="Times New Roman"/>
                <w:b/>
                <w:bCs/>
                <w:lang w:val="en-GB"/>
              </w:rPr>
              <w:br/>
              <w:t>May</w:t>
            </w:r>
            <w:r w:rsidRPr="002871B1">
              <w:rPr>
                <w:rFonts w:ascii="Times New Roman" w:hAnsi="Times New Roman"/>
                <w:b/>
                <w:bCs/>
                <w:lang w:val="en-GB"/>
              </w:rPr>
              <w:t xml:space="preserve"> 31, 202</w:t>
            </w:r>
            <w:r>
              <w:rPr>
                <w:rFonts w:ascii="Times New Roman" w:hAnsi="Times New Roman"/>
                <w:b/>
                <w:bCs/>
                <w:lang w:val="en-GB"/>
              </w:rPr>
              <w:t>1</w:t>
            </w:r>
          </w:p>
        </w:tc>
        <w:tc>
          <w:tcPr>
            <w:tcW w:w="3062" w:type="dxa"/>
            <w:gridSpan w:val="2"/>
            <w:tcBorders>
              <w:bottom w:val="single" w:sz="4" w:space="0" w:color="auto"/>
            </w:tcBorders>
            <w:vAlign w:val="bottom"/>
          </w:tcPr>
          <w:p w14:paraId="3DEBBBF7" w14:textId="77777777" w:rsidR="007F54B8" w:rsidRPr="00F963B4" w:rsidRDefault="007F54B8" w:rsidP="004238EB">
            <w:pPr>
              <w:jc w:val="center"/>
              <w:rPr>
                <w:rFonts w:ascii="Times New Roman" w:hAnsi="Times New Roman"/>
                <w:b/>
                <w:bCs/>
                <w:lang w:val="en-GB"/>
              </w:rPr>
            </w:pPr>
            <w:r>
              <w:rPr>
                <w:rFonts w:ascii="Times New Roman" w:hAnsi="Times New Roman"/>
                <w:b/>
                <w:bCs/>
                <w:lang w:val="en-GB"/>
              </w:rPr>
              <w:t>Year Ended</w:t>
            </w:r>
          </w:p>
          <w:p w14:paraId="1796B8CB" w14:textId="77777777" w:rsidR="007F54B8" w:rsidRPr="00F963B4" w:rsidRDefault="007F54B8" w:rsidP="004238EB">
            <w:pPr>
              <w:jc w:val="center"/>
              <w:rPr>
                <w:rFonts w:ascii="Times New Roman" w:hAnsi="Times New Roman"/>
                <w:b/>
                <w:bCs/>
                <w:lang w:val="en-GB"/>
              </w:rPr>
            </w:pPr>
            <w:r>
              <w:rPr>
                <w:rFonts w:ascii="Times New Roman" w:hAnsi="Times New Roman"/>
                <w:b/>
                <w:bCs/>
                <w:lang w:val="en-GB"/>
              </w:rPr>
              <w:t>August</w:t>
            </w:r>
            <w:r w:rsidRPr="002871B1">
              <w:rPr>
                <w:rFonts w:ascii="Times New Roman" w:hAnsi="Times New Roman"/>
                <w:b/>
                <w:bCs/>
                <w:lang w:val="en-GB"/>
              </w:rPr>
              <w:t xml:space="preserve"> 31, 20</w:t>
            </w:r>
            <w:r>
              <w:rPr>
                <w:rFonts w:ascii="Times New Roman" w:hAnsi="Times New Roman"/>
                <w:b/>
                <w:bCs/>
                <w:lang w:val="en-GB"/>
              </w:rPr>
              <w:t>20</w:t>
            </w:r>
          </w:p>
        </w:tc>
      </w:tr>
      <w:tr w:rsidR="007F54B8" w:rsidRPr="002871B1" w14:paraId="1545AFB0" w14:textId="77777777" w:rsidTr="004238EB">
        <w:tc>
          <w:tcPr>
            <w:tcW w:w="3118" w:type="dxa"/>
            <w:tcBorders>
              <w:top w:val="single" w:sz="4" w:space="0" w:color="auto"/>
            </w:tcBorders>
            <w:vAlign w:val="bottom"/>
          </w:tcPr>
          <w:p w14:paraId="7293C25E" w14:textId="77777777" w:rsidR="007F54B8" w:rsidRPr="00F963B4" w:rsidRDefault="007F54B8" w:rsidP="004238EB">
            <w:pPr>
              <w:jc w:val="right"/>
              <w:rPr>
                <w:rFonts w:ascii="Times New Roman" w:hAnsi="Times New Roman"/>
                <w:b/>
                <w:bCs/>
                <w:lang w:val="en-GB"/>
              </w:rPr>
            </w:pPr>
          </w:p>
        </w:tc>
        <w:tc>
          <w:tcPr>
            <w:tcW w:w="1531" w:type="dxa"/>
            <w:tcBorders>
              <w:top w:val="single" w:sz="4" w:space="0" w:color="auto"/>
            </w:tcBorders>
            <w:vAlign w:val="bottom"/>
          </w:tcPr>
          <w:p w14:paraId="299494EC" w14:textId="77777777" w:rsidR="007F54B8" w:rsidRPr="00F963B4" w:rsidRDefault="007F54B8" w:rsidP="004238EB">
            <w:pPr>
              <w:jc w:val="right"/>
              <w:rPr>
                <w:rFonts w:ascii="Times New Roman" w:hAnsi="Times New Roman"/>
                <w:b/>
                <w:bCs/>
                <w:lang w:val="en-GB"/>
              </w:rPr>
            </w:pPr>
            <w:r w:rsidRPr="00F963B4">
              <w:rPr>
                <w:rFonts w:ascii="Times New Roman" w:hAnsi="Times New Roman"/>
                <w:b/>
                <w:bCs/>
                <w:lang w:val="en-GB"/>
              </w:rPr>
              <w:t xml:space="preserve">Number of share </w:t>
            </w:r>
            <w:r>
              <w:rPr>
                <w:rFonts w:ascii="Times New Roman" w:hAnsi="Times New Roman"/>
                <w:b/>
                <w:bCs/>
                <w:lang w:val="en-GB"/>
              </w:rPr>
              <w:t>options</w:t>
            </w:r>
          </w:p>
        </w:tc>
        <w:tc>
          <w:tcPr>
            <w:tcW w:w="1531" w:type="dxa"/>
            <w:tcBorders>
              <w:top w:val="single" w:sz="4" w:space="0" w:color="auto"/>
            </w:tcBorders>
            <w:vAlign w:val="bottom"/>
          </w:tcPr>
          <w:p w14:paraId="4421F67A" w14:textId="77777777" w:rsidR="007F54B8" w:rsidRPr="00F963B4" w:rsidRDefault="007F54B8" w:rsidP="004238EB">
            <w:pPr>
              <w:jc w:val="right"/>
              <w:rPr>
                <w:rFonts w:ascii="Times New Roman" w:hAnsi="Times New Roman"/>
                <w:b/>
                <w:bCs/>
                <w:lang w:val="en-GB"/>
              </w:rPr>
            </w:pPr>
            <w:r w:rsidRPr="00F963B4">
              <w:rPr>
                <w:rFonts w:ascii="Times New Roman" w:hAnsi="Times New Roman"/>
                <w:b/>
                <w:bCs/>
                <w:lang w:val="en-GB"/>
              </w:rPr>
              <w:t>Weighted average exercise price</w:t>
            </w:r>
          </w:p>
        </w:tc>
        <w:tc>
          <w:tcPr>
            <w:tcW w:w="1531" w:type="dxa"/>
            <w:tcBorders>
              <w:top w:val="single" w:sz="4" w:space="0" w:color="auto"/>
            </w:tcBorders>
            <w:vAlign w:val="bottom"/>
          </w:tcPr>
          <w:p w14:paraId="65F990DE" w14:textId="77777777" w:rsidR="007F54B8" w:rsidRPr="00F963B4" w:rsidRDefault="007F54B8" w:rsidP="004238EB">
            <w:pPr>
              <w:jc w:val="right"/>
              <w:rPr>
                <w:rFonts w:ascii="Times New Roman" w:hAnsi="Times New Roman"/>
                <w:b/>
                <w:bCs/>
                <w:lang w:val="en-GB"/>
              </w:rPr>
            </w:pPr>
            <w:r w:rsidRPr="00F963B4">
              <w:rPr>
                <w:rFonts w:ascii="Times New Roman" w:hAnsi="Times New Roman"/>
                <w:b/>
                <w:bCs/>
                <w:lang w:val="en-GB"/>
              </w:rPr>
              <w:t xml:space="preserve">Number of share </w:t>
            </w:r>
            <w:r>
              <w:rPr>
                <w:rFonts w:ascii="Times New Roman" w:hAnsi="Times New Roman"/>
                <w:b/>
                <w:bCs/>
                <w:lang w:val="en-GB"/>
              </w:rPr>
              <w:t>options</w:t>
            </w:r>
          </w:p>
        </w:tc>
        <w:tc>
          <w:tcPr>
            <w:tcW w:w="1531" w:type="dxa"/>
            <w:tcBorders>
              <w:top w:val="single" w:sz="4" w:space="0" w:color="auto"/>
            </w:tcBorders>
            <w:vAlign w:val="bottom"/>
          </w:tcPr>
          <w:p w14:paraId="323779BA" w14:textId="77777777" w:rsidR="007F54B8" w:rsidRPr="00F963B4" w:rsidRDefault="007F54B8" w:rsidP="004238EB">
            <w:pPr>
              <w:jc w:val="right"/>
              <w:rPr>
                <w:rFonts w:ascii="Times New Roman" w:hAnsi="Times New Roman"/>
                <w:b/>
                <w:bCs/>
                <w:lang w:val="en-GB"/>
              </w:rPr>
            </w:pPr>
            <w:r w:rsidRPr="00F963B4">
              <w:rPr>
                <w:rFonts w:ascii="Times New Roman" w:hAnsi="Times New Roman"/>
                <w:b/>
                <w:bCs/>
                <w:lang w:val="en-GB"/>
              </w:rPr>
              <w:t>Weighted average exercise price</w:t>
            </w:r>
          </w:p>
        </w:tc>
      </w:tr>
      <w:tr w:rsidR="007F54B8" w:rsidRPr="002871B1" w14:paraId="408A8D04" w14:textId="77777777" w:rsidTr="004238EB">
        <w:tc>
          <w:tcPr>
            <w:tcW w:w="3118" w:type="dxa"/>
            <w:tcBorders>
              <w:bottom w:val="single" w:sz="4" w:space="0" w:color="auto"/>
            </w:tcBorders>
            <w:vAlign w:val="bottom"/>
          </w:tcPr>
          <w:p w14:paraId="2D71A19F" w14:textId="77777777" w:rsidR="007F54B8" w:rsidRPr="00F963B4" w:rsidRDefault="007F54B8" w:rsidP="004238EB">
            <w:pPr>
              <w:jc w:val="right"/>
              <w:rPr>
                <w:rFonts w:ascii="Times New Roman" w:hAnsi="Times New Roman"/>
                <w:b/>
                <w:bCs/>
                <w:lang w:val="en-GB"/>
              </w:rPr>
            </w:pPr>
          </w:p>
        </w:tc>
        <w:tc>
          <w:tcPr>
            <w:tcW w:w="1531" w:type="dxa"/>
            <w:tcBorders>
              <w:bottom w:val="single" w:sz="4" w:space="0" w:color="auto"/>
            </w:tcBorders>
            <w:vAlign w:val="bottom"/>
          </w:tcPr>
          <w:p w14:paraId="7B520A74" w14:textId="77777777" w:rsidR="007F54B8" w:rsidRPr="00F963B4" w:rsidRDefault="007F54B8" w:rsidP="004238EB">
            <w:pPr>
              <w:jc w:val="right"/>
              <w:rPr>
                <w:rFonts w:ascii="Times New Roman" w:hAnsi="Times New Roman"/>
                <w:b/>
                <w:bCs/>
                <w:lang w:val="en-GB"/>
              </w:rPr>
            </w:pPr>
          </w:p>
        </w:tc>
        <w:tc>
          <w:tcPr>
            <w:tcW w:w="1531" w:type="dxa"/>
            <w:tcBorders>
              <w:bottom w:val="single" w:sz="4" w:space="0" w:color="auto"/>
            </w:tcBorders>
            <w:vAlign w:val="bottom"/>
          </w:tcPr>
          <w:p w14:paraId="1567FF1A" w14:textId="77777777" w:rsidR="007F54B8" w:rsidRPr="00F963B4" w:rsidRDefault="007F54B8" w:rsidP="004238EB">
            <w:pPr>
              <w:jc w:val="right"/>
              <w:rPr>
                <w:rFonts w:ascii="Times New Roman" w:hAnsi="Times New Roman"/>
                <w:b/>
                <w:bCs/>
                <w:lang w:val="en-GB"/>
              </w:rPr>
            </w:pPr>
            <w:r w:rsidRPr="00F963B4">
              <w:rPr>
                <w:rFonts w:ascii="Times New Roman" w:hAnsi="Times New Roman"/>
                <w:b/>
                <w:bCs/>
                <w:lang w:val="en-GB"/>
              </w:rPr>
              <w:t>$</w:t>
            </w:r>
          </w:p>
        </w:tc>
        <w:tc>
          <w:tcPr>
            <w:tcW w:w="1531" w:type="dxa"/>
            <w:tcBorders>
              <w:bottom w:val="single" w:sz="4" w:space="0" w:color="auto"/>
            </w:tcBorders>
            <w:vAlign w:val="bottom"/>
          </w:tcPr>
          <w:p w14:paraId="51B23EC4" w14:textId="77777777" w:rsidR="007F54B8" w:rsidRPr="00F963B4" w:rsidRDefault="007F54B8" w:rsidP="004238EB">
            <w:pPr>
              <w:jc w:val="right"/>
              <w:rPr>
                <w:rFonts w:ascii="Times New Roman" w:hAnsi="Times New Roman"/>
                <w:b/>
                <w:bCs/>
                <w:lang w:val="en-GB"/>
              </w:rPr>
            </w:pPr>
          </w:p>
        </w:tc>
        <w:tc>
          <w:tcPr>
            <w:tcW w:w="1531" w:type="dxa"/>
            <w:tcBorders>
              <w:bottom w:val="single" w:sz="4" w:space="0" w:color="auto"/>
            </w:tcBorders>
            <w:vAlign w:val="bottom"/>
          </w:tcPr>
          <w:p w14:paraId="3E1ED97E" w14:textId="77777777" w:rsidR="007F54B8" w:rsidRPr="00F963B4" w:rsidRDefault="007F54B8" w:rsidP="004238EB">
            <w:pPr>
              <w:jc w:val="right"/>
              <w:rPr>
                <w:rFonts w:ascii="Times New Roman" w:hAnsi="Times New Roman"/>
                <w:b/>
                <w:bCs/>
                <w:lang w:val="en-GB"/>
              </w:rPr>
            </w:pPr>
            <w:r w:rsidRPr="00F963B4">
              <w:rPr>
                <w:rFonts w:ascii="Times New Roman" w:hAnsi="Times New Roman"/>
                <w:b/>
                <w:bCs/>
                <w:lang w:val="en-GB"/>
              </w:rPr>
              <w:t>$</w:t>
            </w:r>
          </w:p>
        </w:tc>
      </w:tr>
      <w:tr w:rsidR="007F54B8" w:rsidRPr="002871B1" w14:paraId="3887B050" w14:textId="77777777" w:rsidTr="004238EB">
        <w:tc>
          <w:tcPr>
            <w:tcW w:w="3118" w:type="dxa"/>
            <w:tcBorders>
              <w:top w:val="single" w:sz="4" w:space="0" w:color="auto"/>
            </w:tcBorders>
          </w:tcPr>
          <w:p w14:paraId="1E50AEEB" w14:textId="77777777" w:rsidR="007F54B8" w:rsidRPr="00F963B4" w:rsidRDefault="007F54B8" w:rsidP="004238EB">
            <w:pPr>
              <w:jc w:val="both"/>
              <w:rPr>
                <w:rFonts w:ascii="Times New Roman" w:hAnsi="Times New Roman"/>
                <w:lang w:val="en-GB"/>
              </w:rPr>
            </w:pPr>
          </w:p>
        </w:tc>
        <w:tc>
          <w:tcPr>
            <w:tcW w:w="1531" w:type="dxa"/>
            <w:tcBorders>
              <w:top w:val="single" w:sz="4" w:space="0" w:color="auto"/>
            </w:tcBorders>
          </w:tcPr>
          <w:p w14:paraId="18532665" w14:textId="77777777" w:rsidR="007F54B8" w:rsidRPr="00F963B4" w:rsidRDefault="007F54B8" w:rsidP="004238EB">
            <w:pPr>
              <w:jc w:val="both"/>
              <w:rPr>
                <w:rFonts w:ascii="Times New Roman" w:hAnsi="Times New Roman"/>
                <w:lang w:val="en-GB"/>
              </w:rPr>
            </w:pPr>
          </w:p>
        </w:tc>
        <w:tc>
          <w:tcPr>
            <w:tcW w:w="1531" w:type="dxa"/>
            <w:tcBorders>
              <w:top w:val="single" w:sz="4" w:space="0" w:color="auto"/>
            </w:tcBorders>
          </w:tcPr>
          <w:p w14:paraId="48F4ACEF" w14:textId="77777777" w:rsidR="007F54B8" w:rsidRPr="00F963B4" w:rsidRDefault="007F54B8" w:rsidP="004238EB">
            <w:pPr>
              <w:jc w:val="both"/>
              <w:rPr>
                <w:rFonts w:ascii="Times New Roman" w:hAnsi="Times New Roman"/>
                <w:lang w:val="en-GB"/>
              </w:rPr>
            </w:pPr>
          </w:p>
        </w:tc>
        <w:tc>
          <w:tcPr>
            <w:tcW w:w="1531" w:type="dxa"/>
            <w:tcBorders>
              <w:top w:val="single" w:sz="4" w:space="0" w:color="auto"/>
            </w:tcBorders>
          </w:tcPr>
          <w:p w14:paraId="6D9B2829" w14:textId="77777777" w:rsidR="007F54B8" w:rsidRPr="00F963B4" w:rsidRDefault="007F54B8" w:rsidP="004238EB">
            <w:pPr>
              <w:jc w:val="both"/>
              <w:rPr>
                <w:rFonts w:ascii="Times New Roman" w:hAnsi="Times New Roman"/>
                <w:lang w:val="en-GB"/>
              </w:rPr>
            </w:pPr>
          </w:p>
        </w:tc>
        <w:tc>
          <w:tcPr>
            <w:tcW w:w="1531" w:type="dxa"/>
            <w:tcBorders>
              <w:top w:val="single" w:sz="4" w:space="0" w:color="auto"/>
            </w:tcBorders>
          </w:tcPr>
          <w:p w14:paraId="746096D7" w14:textId="77777777" w:rsidR="007F54B8" w:rsidRPr="00F963B4" w:rsidRDefault="007F54B8" w:rsidP="004238EB">
            <w:pPr>
              <w:jc w:val="both"/>
              <w:rPr>
                <w:rFonts w:ascii="Times New Roman" w:hAnsi="Times New Roman"/>
                <w:lang w:val="en-GB"/>
              </w:rPr>
            </w:pPr>
          </w:p>
        </w:tc>
      </w:tr>
      <w:tr w:rsidR="007F54B8" w:rsidRPr="002871B1" w14:paraId="72293C82" w14:textId="77777777" w:rsidTr="004238EB">
        <w:tc>
          <w:tcPr>
            <w:tcW w:w="3118" w:type="dxa"/>
          </w:tcPr>
          <w:p w14:paraId="4883D0CB" w14:textId="77777777" w:rsidR="007F54B8" w:rsidRPr="00F963B4" w:rsidRDefault="007F54B8" w:rsidP="004238EB">
            <w:pPr>
              <w:jc w:val="both"/>
              <w:rPr>
                <w:rFonts w:ascii="Times New Roman" w:hAnsi="Times New Roman"/>
                <w:lang w:val="en-GB"/>
              </w:rPr>
            </w:pPr>
            <w:r w:rsidRPr="00F963B4">
              <w:rPr>
                <w:rFonts w:ascii="Times New Roman" w:hAnsi="Times New Roman"/>
                <w:lang w:val="en-GB"/>
              </w:rPr>
              <w:t>Outstanding, beginning of period</w:t>
            </w:r>
          </w:p>
        </w:tc>
        <w:tc>
          <w:tcPr>
            <w:tcW w:w="1531" w:type="dxa"/>
            <w:vAlign w:val="bottom"/>
          </w:tcPr>
          <w:p w14:paraId="03EDCC86"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850,000</w:t>
            </w:r>
          </w:p>
        </w:tc>
        <w:tc>
          <w:tcPr>
            <w:tcW w:w="1531" w:type="dxa"/>
            <w:vAlign w:val="bottom"/>
          </w:tcPr>
          <w:p w14:paraId="54CBDCD0"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0.20</w:t>
            </w:r>
          </w:p>
        </w:tc>
        <w:tc>
          <w:tcPr>
            <w:tcW w:w="1531" w:type="dxa"/>
            <w:vAlign w:val="bottom"/>
          </w:tcPr>
          <w:p w14:paraId="2BE2F0E1"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w:t>
            </w:r>
          </w:p>
        </w:tc>
        <w:tc>
          <w:tcPr>
            <w:tcW w:w="1531" w:type="dxa"/>
            <w:vAlign w:val="bottom"/>
          </w:tcPr>
          <w:p w14:paraId="3C3FAEFF"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w:t>
            </w:r>
          </w:p>
        </w:tc>
      </w:tr>
      <w:tr w:rsidR="007F54B8" w:rsidRPr="002871B1" w14:paraId="45590CFC" w14:textId="77777777" w:rsidTr="004238EB">
        <w:tc>
          <w:tcPr>
            <w:tcW w:w="3118" w:type="dxa"/>
          </w:tcPr>
          <w:p w14:paraId="33033932" w14:textId="77777777" w:rsidR="007F54B8" w:rsidRPr="00F963B4" w:rsidRDefault="007F54B8" w:rsidP="004238EB">
            <w:pPr>
              <w:jc w:val="both"/>
              <w:rPr>
                <w:rFonts w:ascii="Times New Roman" w:hAnsi="Times New Roman"/>
                <w:lang w:val="en-GB"/>
              </w:rPr>
            </w:pPr>
            <w:r w:rsidRPr="00F963B4">
              <w:rPr>
                <w:rFonts w:ascii="Times New Roman" w:hAnsi="Times New Roman"/>
                <w:lang w:val="en-GB"/>
              </w:rPr>
              <w:t xml:space="preserve">   </w:t>
            </w:r>
            <w:r>
              <w:rPr>
                <w:rFonts w:ascii="Times New Roman" w:hAnsi="Times New Roman"/>
                <w:lang w:val="en-GB"/>
              </w:rPr>
              <w:t xml:space="preserve"> Granted</w:t>
            </w:r>
          </w:p>
        </w:tc>
        <w:tc>
          <w:tcPr>
            <w:tcW w:w="1531" w:type="dxa"/>
            <w:vAlign w:val="bottom"/>
          </w:tcPr>
          <w:p w14:paraId="1DB5F148"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450,000</w:t>
            </w:r>
          </w:p>
        </w:tc>
        <w:tc>
          <w:tcPr>
            <w:tcW w:w="1531" w:type="dxa"/>
            <w:vAlign w:val="bottom"/>
          </w:tcPr>
          <w:p w14:paraId="67F620E2"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0.50</w:t>
            </w:r>
          </w:p>
        </w:tc>
        <w:tc>
          <w:tcPr>
            <w:tcW w:w="1531" w:type="dxa"/>
            <w:vAlign w:val="bottom"/>
          </w:tcPr>
          <w:p w14:paraId="6858741D"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850,000</w:t>
            </w:r>
          </w:p>
        </w:tc>
        <w:tc>
          <w:tcPr>
            <w:tcW w:w="1531" w:type="dxa"/>
            <w:vAlign w:val="bottom"/>
          </w:tcPr>
          <w:p w14:paraId="246B5999"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0.20</w:t>
            </w:r>
          </w:p>
        </w:tc>
      </w:tr>
      <w:tr w:rsidR="007F54B8" w:rsidRPr="002871B1" w14:paraId="2207EEFA" w14:textId="77777777" w:rsidTr="004238EB">
        <w:tc>
          <w:tcPr>
            <w:tcW w:w="3118" w:type="dxa"/>
            <w:tcBorders>
              <w:bottom w:val="single" w:sz="4" w:space="0" w:color="auto"/>
            </w:tcBorders>
          </w:tcPr>
          <w:p w14:paraId="0454078D" w14:textId="77777777" w:rsidR="007F54B8" w:rsidRPr="00F963B4" w:rsidRDefault="007F54B8" w:rsidP="004238EB">
            <w:pPr>
              <w:jc w:val="both"/>
              <w:rPr>
                <w:rFonts w:ascii="Times New Roman" w:hAnsi="Times New Roman"/>
                <w:lang w:val="en-GB"/>
              </w:rPr>
            </w:pPr>
            <w:r w:rsidRPr="002871B1">
              <w:rPr>
                <w:rFonts w:ascii="Times New Roman" w:hAnsi="Times New Roman"/>
                <w:lang w:val="en-GB"/>
              </w:rPr>
              <w:t xml:space="preserve">    </w:t>
            </w:r>
            <w:r>
              <w:rPr>
                <w:rFonts w:ascii="Times New Roman" w:hAnsi="Times New Roman"/>
                <w:lang w:val="en-GB"/>
              </w:rPr>
              <w:t>Cancelled</w:t>
            </w:r>
          </w:p>
        </w:tc>
        <w:tc>
          <w:tcPr>
            <w:tcW w:w="1531" w:type="dxa"/>
            <w:tcBorders>
              <w:bottom w:val="single" w:sz="4" w:space="0" w:color="auto"/>
            </w:tcBorders>
            <w:vAlign w:val="bottom"/>
          </w:tcPr>
          <w:p w14:paraId="26B26432" w14:textId="77777777" w:rsidR="007F54B8" w:rsidRPr="00875A25" w:rsidRDefault="007F54B8" w:rsidP="004238EB">
            <w:pPr>
              <w:jc w:val="right"/>
              <w:rPr>
                <w:rFonts w:ascii="Times New Roman" w:hAnsi="Times New Roman"/>
                <w:szCs w:val="20"/>
                <w:lang w:val="en-GB"/>
              </w:rPr>
            </w:pPr>
            <w:r w:rsidRPr="00BD6A28">
              <w:rPr>
                <w:rFonts w:ascii="Times New Roman" w:hAnsi="Times New Roman"/>
                <w:szCs w:val="20"/>
                <w:lang w:val="en-GB"/>
              </w:rPr>
              <w:t>(</w:t>
            </w:r>
            <w:r>
              <w:rPr>
                <w:rFonts w:ascii="Times New Roman" w:hAnsi="Times New Roman"/>
                <w:szCs w:val="20"/>
                <w:lang w:val="en-GB"/>
              </w:rPr>
              <w:t>450,000</w:t>
            </w:r>
            <w:r w:rsidRPr="00875A25">
              <w:rPr>
                <w:rFonts w:ascii="Times New Roman" w:hAnsi="Times New Roman"/>
                <w:szCs w:val="20"/>
                <w:lang w:val="en-GB"/>
              </w:rPr>
              <w:t>)</w:t>
            </w:r>
          </w:p>
        </w:tc>
        <w:tc>
          <w:tcPr>
            <w:tcW w:w="1531" w:type="dxa"/>
            <w:tcBorders>
              <w:bottom w:val="single" w:sz="4" w:space="0" w:color="auto"/>
            </w:tcBorders>
            <w:vAlign w:val="bottom"/>
          </w:tcPr>
          <w:p w14:paraId="24BA9FF1" w14:textId="77777777" w:rsidR="007F54B8" w:rsidRPr="00A83DA6" w:rsidRDefault="007F54B8" w:rsidP="004238EB">
            <w:pPr>
              <w:jc w:val="right"/>
              <w:rPr>
                <w:rFonts w:ascii="Times New Roman" w:hAnsi="Times New Roman"/>
                <w:szCs w:val="20"/>
                <w:lang w:val="en-GB"/>
              </w:rPr>
            </w:pPr>
            <w:r>
              <w:rPr>
                <w:rFonts w:ascii="Times New Roman" w:hAnsi="Times New Roman"/>
                <w:szCs w:val="20"/>
                <w:lang w:val="en-GB"/>
              </w:rPr>
              <w:t>0.50</w:t>
            </w:r>
          </w:p>
        </w:tc>
        <w:tc>
          <w:tcPr>
            <w:tcW w:w="1531" w:type="dxa"/>
            <w:tcBorders>
              <w:bottom w:val="single" w:sz="4" w:space="0" w:color="auto"/>
            </w:tcBorders>
            <w:vAlign w:val="bottom"/>
          </w:tcPr>
          <w:p w14:paraId="2696A8DC" w14:textId="77777777" w:rsidR="007F54B8" w:rsidRPr="00875A25" w:rsidRDefault="007F54B8" w:rsidP="004238EB">
            <w:pPr>
              <w:jc w:val="right"/>
              <w:rPr>
                <w:rFonts w:ascii="Times New Roman" w:hAnsi="Times New Roman"/>
                <w:szCs w:val="20"/>
                <w:lang w:val="en-GB"/>
              </w:rPr>
            </w:pPr>
            <w:r>
              <w:rPr>
                <w:rFonts w:ascii="Times New Roman" w:hAnsi="Times New Roman"/>
                <w:szCs w:val="20"/>
                <w:lang w:val="en-GB"/>
              </w:rPr>
              <w:t>-</w:t>
            </w:r>
          </w:p>
        </w:tc>
        <w:tc>
          <w:tcPr>
            <w:tcW w:w="1531" w:type="dxa"/>
            <w:tcBorders>
              <w:bottom w:val="single" w:sz="4" w:space="0" w:color="auto"/>
            </w:tcBorders>
            <w:vAlign w:val="bottom"/>
          </w:tcPr>
          <w:p w14:paraId="7CD8BE42" w14:textId="77777777" w:rsidR="007F54B8" w:rsidRPr="00875A25" w:rsidRDefault="007F54B8" w:rsidP="004238EB">
            <w:pPr>
              <w:jc w:val="right"/>
              <w:rPr>
                <w:rFonts w:ascii="Times New Roman" w:hAnsi="Times New Roman"/>
                <w:szCs w:val="20"/>
                <w:lang w:val="en-GB"/>
              </w:rPr>
            </w:pPr>
            <w:r>
              <w:rPr>
                <w:rFonts w:ascii="Times New Roman" w:hAnsi="Times New Roman"/>
                <w:szCs w:val="20"/>
                <w:lang w:val="en-GB"/>
              </w:rPr>
              <w:t>-</w:t>
            </w:r>
          </w:p>
        </w:tc>
      </w:tr>
      <w:tr w:rsidR="007F54B8" w:rsidRPr="002871B1" w14:paraId="4C5A939B" w14:textId="77777777" w:rsidTr="004238EB">
        <w:tc>
          <w:tcPr>
            <w:tcW w:w="3118" w:type="dxa"/>
            <w:tcBorders>
              <w:top w:val="single" w:sz="4" w:space="0" w:color="auto"/>
            </w:tcBorders>
          </w:tcPr>
          <w:p w14:paraId="2567B02F" w14:textId="77777777" w:rsidR="007F54B8" w:rsidRPr="00F963B4" w:rsidRDefault="007F54B8" w:rsidP="004238EB">
            <w:pPr>
              <w:jc w:val="both"/>
              <w:rPr>
                <w:rFonts w:ascii="Times New Roman" w:hAnsi="Times New Roman"/>
                <w:lang w:val="en-GB"/>
              </w:rPr>
            </w:pPr>
          </w:p>
        </w:tc>
        <w:tc>
          <w:tcPr>
            <w:tcW w:w="1531" w:type="dxa"/>
            <w:tcBorders>
              <w:top w:val="single" w:sz="4" w:space="0" w:color="auto"/>
            </w:tcBorders>
            <w:vAlign w:val="bottom"/>
          </w:tcPr>
          <w:p w14:paraId="15DEB9DE" w14:textId="77777777" w:rsidR="007F54B8" w:rsidRPr="00F963B4" w:rsidRDefault="007F54B8" w:rsidP="004238EB">
            <w:pPr>
              <w:jc w:val="right"/>
              <w:rPr>
                <w:rFonts w:ascii="Times New Roman" w:hAnsi="Times New Roman"/>
                <w:lang w:val="en-GB"/>
              </w:rPr>
            </w:pPr>
          </w:p>
        </w:tc>
        <w:tc>
          <w:tcPr>
            <w:tcW w:w="1531" w:type="dxa"/>
            <w:tcBorders>
              <w:top w:val="single" w:sz="4" w:space="0" w:color="auto"/>
            </w:tcBorders>
            <w:vAlign w:val="bottom"/>
          </w:tcPr>
          <w:p w14:paraId="1C8D355E" w14:textId="77777777" w:rsidR="007F54B8" w:rsidRPr="00F963B4" w:rsidRDefault="007F54B8" w:rsidP="004238EB">
            <w:pPr>
              <w:jc w:val="right"/>
              <w:rPr>
                <w:rFonts w:ascii="Times New Roman" w:hAnsi="Times New Roman"/>
                <w:lang w:val="en-GB"/>
              </w:rPr>
            </w:pPr>
          </w:p>
        </w:tc>
        <w:tc>
          <w:tcPr>
            <w:tcW w:w="1531" w:type="dxa"/>
            <w:tcBorders>
              <w:top w:val="single" w:sz="4" w:space="0" w:color="auto"/>
            </w:tcBorders>
            <w:vAlign w:val="bottom"/>
          </w:tcPr>
          <w:p w14:paraId="70452812" w14:textId="77777777" w:rsidR="007F54B8" w:rsidRPr="00F963B4" w:rsidRDefault="007F54B8" w:rsidP="004238EB">
            <w:pPr>
              <w:jc w:val="right"/>
              <w:rPr>
                <w:rFonts w:ascii="Times New Roman" w:hAnsi="Times New Roman"/>
                <w:lang w:val="en-GB"/>
              </w:rPr>
            </w:pPr>
          </w:p>
        </w:tc>
        <w:tc>
          <w:tcPr>
            <w:tcW w:w="1531" w:type="dxa"/>
            <w:tcBorders>
              <w:top w:val="single" w:sz="4" w:space="0" w:color="auto"/>
            </w:tcBorders>
            <w:vAlign w:val="bottom"/>
          </w:tcPr>
          <w:p w14:paraId="281F1AF9" w14:textId="77777777" w:rsidR="007F54B8" w:rsidRPr="00F963B4" w:rsidRDefault="007F54B8" w:rsidP="004238EB">
            <w:pPr>
              <w:jc w:val="right"/>
              <w:rPr>
                <w:rFonts w:ascii="Times New Roman" w:hAnsi="Times New Roman"/>
                <w:lang w:val="en-GB"/>
              </w:rPr>
            </w:pPr>
          </w:p>
        </w:tc>
      </w:tr>
      <w:tr w:rsidR="007F54B8" w:rsidRPr="002871B1" w14:paraId="3DBF10C1" w14:textId="77777777" w:rsidTr="004238EB">
        <w:tc>
          <w:tcPr>
            <w:tcW w:w="3118" w:type="dxa"/>
            <w:tcBorders>
              <w:bottom w:val="single" w:sz="12" w:space="0" w:color="auto"/>
            </w:tcBorders>
          </w:tcPr>
          <w:p w14:paraId="49DD7048" w14:textId="77777777" w:rsidR="007F54B8" w:rsidRPr="00F963B4" w:rsidRDefault="007F54B8" w:rsidP="004238EB">
            <w:pPr>
              <w:jc w:val="both"/>
              <w:rPr>
                <w:rFonts w:ascii="Times New Roman" w:hAnsi="Times New Roman"/>
                <w:lang w:val="en-GB"/>
              </w:rPr>
            </w:pPr>
            <w:r w:rsidRPr="00F963B4">
              <w:rPr>
                <w:rFonts w:ascii="Times New Roman" w:hAnsi="Times New Roman"/>
                <w:lang w:val="en-GB"/>
              </w:rPr>
              <w:t>Outstanding, end of period</w:t>
            </w:r>
          </w:p>
        </w:tc>
        <w:tc>
          <w:tcPr>
            <w:tcW w:w="1531" w:type="dxa"/>
            <w:tcBorders>
              <w:bottom w:val="single" w:sz="12" w:space="0" w:color="auto"/>
            </w:tcBorders>
            <w:vAlign w:val="bottom"/>
          </w:tcPr>
          <w:p w14:paraId="4F29653A"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850,000</w:t>
            </w:r>
          </w:p>
        </w:tc>
        <w:tc>
          <w:tcPr>
            <w:tcW w:w="1531" w:type="dxa"/>
            <w:tcBorders>
              <w:bottom w:val="single" w:sz="12" w:space="0" w:color="auto"/>
            </w:tcBorders>
            <w:vAlign w:val="bottom"/>
          </w:tcPr>
          <w:p w14:paraId="021D5191"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0.50</w:t>
            </w:r>
          </w:p>
        </w:tc>
        <w:tc>
          <w:tcPr>
            <w:tcW w:w="1531" w:type="dxa"/>
            <w:tcBorders>
              <w:bottom w:val="single" w:sz="12" w:space="0" w:color="auto"/>
            </w:tcBorders>
            <w:vAlign w:val="bottom"/>
          </w:tcPr>
          <w:p w14:paraId="39CEE5F1"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850,000</w:t>
            </w:r>
          </w:p>
        </w:tc>
        <w:tc>
          <w:tcPr>
            <w:tcW w:w="1531" w:type="dxa"/>
            <w:tcBorders>
              <w:bottom w:val="single" w:sz="12" w:space="0" w:color="auto"/>
            </w:tcBorders>
            <w:vAlign w:val="bottom"/>
          </w:tcPr>
          <w:p w14:paraId="51582638"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0.20</w:t>
            </w:r>
          </w:p>
        </w:tc>
      </w:tr>
    </w:tbl>
    <w:p w14:paraId="65F290DB" w14:textId="77777777" w:rsidR="007F54B8" w:rsidRDefault="007F54B8" w:rsidP="007F54B8">
      <w:pPr>
        <w:pStyle w:val="Nbodyindentinput"/>
        <w:widowControl/>
        <w:spacing w:before="0"/>
        <w:ind w:left="720"/>
        <w:jc w:val="left"/>
        <w:rPr>
          <w:rFonts w:ascii="Times New Roman" w:hAnsi="Times New Roman" w:cs="Times New Roman"/>
          <w:sz w:val="22"/>
          <w:szCs w:val="22"/>
        </w:rPr>
      </w:pPr>
    </w:p>
    <w:p w14:paraId="25AC0C1C" w14:textId="77777777" w:rsidR="007F54B8" w:rsidRDefault="007F54B8" w:rsidP="007F54B8">
      <w:pPr>
        <w:pStyle w:val="Nbodyindentinput"/>
        <w:widowControl/>
        <w:spacing w:before="0"/>
        <w:ind w:left="720"/>
        <w:jc w:val="left"/>
        <w:rPr>
          <w:rFonts w:ascii="Times New Roman" w:hAnsi="Times New Roman" w:cs="Times New Roman"/>
          <w:sz w:val="22"/>
          <w:szCs w:val="22"/>
        </w:rPr>
      </w:pPr>
    </w:p>
    <w:p w14:paraId="54594CE3" w14:textId="77777777" w:rsidR="007F54B8" w:rsidRDefault="007F54B8" w:rsidP="007F54B8">
      <w:pPr>
        <w:pStyle w:val="Nbodyindentinput"/>
        <w:widowControl/>
        <w:spacing w:before="0"/>
        <w:ind w:left="720"/>
        <w:jc w:val="left"/>
        <w:rPr>
          <w:rFonts w:ascii="Times New Roman" w:hAnsi="Times New Roman" w:cs="Times New Roman"/>
          <w:sz w:val="22"/>
          <w:szCs w:val="22"/>
        </w:rPr>
      </w:pPr>
    </w:p>
    <w:p w14:paraId="00E77B95" w14:textId="77777777" w:rsidR="007F54B8" w:rsidRDefault="007F54B8" w:rsidP="007F54B8">
      <w:pPr>
        <w:pStyle w:val="Nbodyindentinput"/>
        <w:widowControl/>
        <w:spacing w:before="0"/>
        <w:ind w:left="720"/>
        <w:jc w:val="left"/>
        <w:rPr>
          <w:rFonts w:ascii="Times New Roman" w:hAnsi="Times New Roman" w:cs="Times New Roman"/>
          <w:sz w:val="22"/>
          <w:szCs w:val="22"/>
        </w:rPr>
      </w:pPr>
    </w:p>
    <w:p w14:paraId="609AEE08" w14:textId="77777777" w:rsidR="007F54B8" w:rsidRDefault="007F54B8" w:rsidP="007F54B8">
      <w:pPr>
        <w:pStyle w:val="Nbodyindentinput"/>
        <w:widowControl/>
        <w:spacing w:before="0"/>
        <w:ind w:left="720"/>
        <w:jc w:val="left"/>
        <w:rPr>
          <w:rFonts w:ascii="Times New Roman" w:hAnsi="Times New Roman" w:cs="Times New Roman"/>
          <w:sz w:val="22"/>
          <w:szCs w:val="22"/>
        </w:rPr>
      </w:pPr>
    </w:p>
    <w:p w14:paraId="32AAA3DD" w14:textId="5E142A2A" w:rsidR="007F54B8" w:rsidRDefault="007F54B8" w:rsidP="007F54B8">
      <w:pPr>
        <w:pStyle w:val="Nbodyindentinput"/>
        <w:widowControl/>
        <w:spacing w:before="0"/>
        <w:ind w:left="720"/>
        <w:jc w:val="left"/>
        <w:rPr>
          <w:rFonts w:ascii="Times New Roman" w:hAnsi="Times New Roman" w:cs="Times New Roman"/>
          <w:sz w:val="22"/>
          <w:szCs w:val="22"/>
        </w:rPr>
      </w:pPr>
    </w:p>
    <w:p w14:paraId="46A285BE" w14:textId="63F1A6DC" w:rsidR="007F54B8" w:rsidRDefault="007F54B8" w:rsidP="007F54B8">
      <w:pPr>
        <w:pStyle w:val="Nbodyindentinput"/>
        <w:widowControl/>
        <w:spacing w:before="0"/>
        <w:ind w:left="720"/>
        <w:jc w:val="left"/>
        <w:rPr>
          <w:rFonts w:ascii="Times New Roman" w:hAnsi="Times New Roman" w:cs="Times New Roman"/>
          <w:sz w:val="22"/>
          <w:szCs w:val="22"/>
        </w:rPr>
      </w:pPr>
    </w:p>
    <w:p w14:paraId="489B21C9" w14:textId="77777777" w:rsidR="007F54B8" w:rsidRPr="00F963B4" w:rsidRDefault="007F54B8" w:rsidP="007F54B8">
      <w:pPr>
        <w:pStyle w:val="Nbodyindentinput"/>
        <w:widowControl/>
        <w:spacing w:before="0"/>
        <w:ind w:left="720"/>
        <w:jc w:val="left"/>
        <w:rPr>
          <w:rFonts w:ascii="Times New Roman" w:hAnsi="Times New Roman" w:cs="Times New Roman"/>
          <w:sz w:val="22"/>
          <w:szCs w:val="22"/>
        </w:rPr>
      </w:pPr>
    </w:p>
    <w:p w14:paraId="575D31E5" w14:textId="77777777" w:rsidR="007F54B8" w:rsidRDefault="007F54B8" w:rsidP="007F54B8">
      <w:pPr>
        <w:pStyle w:val="Nbodyindentinput"/>
        <w:widowControl/>
        <w:spacing w:before="0"/>
        <w:ind w:left="720"/>
        <w:jc w:val="left"/>
        <w:rPr>
          <w:rFonts w:ascii="Times New Roman" w:hAnsi="Times New Roman" w:cs="Times New Roman"/>
          <w:sz w:val="22"/>
          <w:szCs w:val="22"/>
        </w:rPr>
      </w:pPr>
    </w:p>
    <w:tbl>
      <w:tblPr>
        <w:tblW w:w="7097" w:type="dxa"/>
        <w:tblInd w:w="720" w:type="dxa"/>
        <w:tblLayout w:type="fixed"/>
        <w:tblLook w:val="0000" w:firstRow="0" w:lastRow="0" w:firstColumn="0" w:lastColumn="0" w:noHBand="0" w:noVBand="0"/>
      </w:tblPr>
      <w:tblGrid>
        <w:gridCol w:w="1569"/>
        <w:gridCol w:w="1842"/>
        <w:gridCol w:w="1701"/>
        <w:gridCol w:w="1985"/>
      </w:tblGrid>
      <w:tr w:rsidR="007F54B8" w:rsidRPr="002871B1" w14:paraId="4BC6A10A" w14:textId="77777777" w:rsidTr="004238EB">
        <w:tc>
          <w:tcPr>
            <w:tcW w:w="1569" w:type="dxa"/>
          </w:tcPr>
          <w:p w14:paraId="2D500B83" w14:textId="77777777" w:rsidR="007F54B8" w:rsidRPr="00F963B4" w:rsidRDefault="007F54B8" w:rsidP="004238EB">
            <w:pPr>
              <w:ind w:left="46"/>
              <w:jc w:val="right"/>
              <w:rPr>
                <w:b/>
                <w:szCs w:val="22"/>
              </w:rPr>
            </w:pPr>
            <w:r w:rsidRPr="00F963B4">
              <w:rPr>
                <w:b/>
                <w:szCs w:val="22"/>
              </w:rPr>
              <w:lastRenderedPageBreak/>
              <w:t xml:space="preserve">Number of </w:t>
            </w:r>
            <w:r>
              <w:rPr>
                <w:b/>
                <w:szCs w:val="22"/>
              </w:rPr>
              <w:t>options</w:t>
            </w:r>
            <w:r w:rsidRPr="00F963B4">
              <w:rPr>
                <w:b/>
                <w:szCs w:val="22"/>
              </w:rPr>
              <w:t xml:space="preserve"> outstanding</w:t>
            </w:r>
          </w:p>
        </w:tc>
        <w:tc>
          <w:tcPr>
            <w:tcW w:w="1842" w:type="dxa"/>
            <w:vAlign w:val="bottom"/>
          </w:tcPr>
          <w:p w14:paraId="72D67AF3" w14:textId="77777777" w:rsidR="007F54B8" w:rsidRPr="00F963B4" w:rsidRDefault="007F54B8" w:rsidP="004238EB">
            <w:pPr>
              <w:ind w:left="46"/>
              <w:jc w:val="right"/>
              <w:rPr>
                <w:b/>
                <w:szCs w:val="22"/>
              </w:rPr>
            </w:pPr>
            <w:r w:rsidRPr="00F963B4">
              <w:rPr>
                <w:b/>
                <w:szCs w:val="22"/>
              </w:rPr>
              <w:t>Weighted average exercise price</w:t>
            </w:r>
          </w:p>
        </w:tc>
        <w:tc>
          <w:tcPr>
            <w:tcW w:w="1701" w:type="dxa"/>
            <w:vAlign w:val="bottom"/>
          </w:tcPr>
          <w:p w14:paraId="2937BEBB" w14:textId="77777777" w:rsidR="007F54B8" w:rsidRPr="00F963B4" w:rsidRDefault="007F54B8" w:rsidP="004238EB">
            <w:pPr>
              <w:ind w:left="106"/>
              <w:jc w:val="right"/>
              <w:rPr>
                <w:b/>
                <w:szCs w:val="22"/>
              </w:rPr>
            </w:pPr>
            <w:r w:rsidRPr="00F963B4">
              <w:rPr>
                <w:b/>
                <w:szCs w:val="22"/>
              </w:rPr>
              <w:t>Expiry dates</w:t>
            </w:r>
          </w:p>
        </w:tc>
        <w:tc>
          <w:tcPr>
            <w:tcW w:w="1985" w:type="dxa"/>
            <w:vAlign w:val="bottom"/>
          </w:tcPr>
          <w:p w14:paraId="5A9CC88D" w14:textId="77777777" w:rsidR="007F54B8" w:rsidRPr="00F963B4" w:rsidRDefault="007F54B8" w:rsidP="004238EB">
            <w:pPr>
              <w:ind w:left="46"/>
              <w:jc w:val="right"/>
              <w:rPr>
                <w:b/>
                <w:szCs w:val="22"/>
              </w:rPr>
            </w:pPr>
            <w:r w:rsidRPr="00F963B4">
              <w:rPr>
                <w:b/>
                <w:szCs w:val="22"/>
              </w:rPr>
              <w:t>Weighted average remaining life (years)</w:t>
            </w:r>
          </w:p>
        </w:tc>
      </w:tr>
      <w:tr w:rsidR="007F54B8" w:rsidRPr="002871B1" w14:paraId="26179C58" w14:textId="77777777" w:rsidTr="004238EB">
        <w:tc>
          <w:tcPr>
            <w:tcW w:w="1569" w:type="dxa"/>
          </w:tcPr>
          <w:p w14:paraId="1E1CD1FB" w14:textId="77777777" w:rsidR="007F54B8" w:rsidRPr="00F963B4" w:rsidRDefault="007F54B8" w:rsidP="004238EB">
            <w:pPr>
              <w:rPr>
                <w:b/>
                <w:szCs w:val="22"/>
                <w:lang w:val="en-GB"/>
              </w:rPr>
            </w:pPr>
          </w:p>
        </w:tc>
        <w:tc>
          <w:tcPr>
            <w:tcW w:w="1842" w:type="dxa"/>
            <w:vAlign w:val="bottom"/>
          </w:tcPr>
          <w:p w14:paraId="52B03963" w14:textId="77777777" w:rsidR="007F54B8" w:rsidRPr="00F963B4" w:rsidRDefault="007F54B8" w:rsidP="004238EB">
            <w:pPr>
              <w:jc w:val="right"/>
              <w:rPr>
                <w:b/>
                <w:bCs/>
                <w:szCs w:val="22"/>
                <w:lang w:val="en-GB"/>
              </w:rPr>
            </w:pPr>
          </w:p>
        </w:tc>
        <w:tc>
          <w:tcPr>
            <w:tcW w:w="1701" w:type="dxa"/>
            <w:vAlign w:val="bottom"/>
          </w:tcPr>
          <w:p w14:paraId="4D967570" w14:textId="77777777" w:rsidR="007F54B8" w:rsidRPr="00F963B4" w:rsidRDefault="007F54B8" w:rsidP="004238EB">
            <w:pPr>
              <w:jc w:val="right"/>
              <w:rPr>
                <w:b/>
                <w:bCs/>
                <w:szCs w:val="22"/>
                <w:lang w:val="en-GB"/>
              </w:rPr>
            </w:pPr>
          </w:p>
        </w:tc>
        <w:tc>
          <w:tcPr>
            <w:tcW w:w="1985" w:type="dxa"/>
            <w:vAlign w:val="bottom"/>
          </w:tcPr>
          <w:p w14:paraId="202427CD" w14:textId="77777777" w:rsidR="007F54B8" w:rsidRPr="00F963B4" w:rsidRDefault="007F54B8" w:rsidP="004238EB">
            <w:pPr>
              <w:jc w:val="right"/>
              <w:rPr>
                <w:b/>
                <w:bCs/>
                <w:szCs w:val="22"/>
                <w:lang w:val="en-GB"/>
              </w:rPr>
            </w:pPr>
          </w:p>
        </w:tc>
      </w:tr>
      <w:tr w:rsidR="007F54B8" w:rsidRPr="002871B1" w14:paraId="0B406321" w14:textId="77777777" w:rsidTr="004238EB">
        <w:tc>
          <w:tcPr>
            <w:tcW w:w="1569" w:type="dxa"/>
            <w:tcBorders>
              <w:bottom w:val="single" w:sz="12" w:space="0" w:color="auto"/>
            </w:tcBorders>
          </w:tcPr>
          <w:p w14:paraId="72D5B0A3" w14:textId="77777777" w:rsidR="007F54B8" w:rsidRPr="00F963B4" w:rsidRDefault="007F54B8" w:rsidP="004238EB">
            <w:pPr>
              <w:tabs>
                <w:tab w:val="left" w:pos="162"/>
              </w:tabs>
              <w:jc w:val="right"/>
              <w:rPr>
                <w:szCs w:val="22"/>
                <w:lang w:eastAsia="ko-KR"/>
              </w:rPr>
            </w:pPr>
            <w:r>
              <w:rPr>
                <w:szCs w:val="22"/>
                <w:lang w:eastAsia="ko-KR"/>
              </w:rPr>
              <w:t>850,000</w:t>
            </w:r>
          </w:p>
        </w:tc>
        <w:tc>
          <w:tcPr>
            <w:tcW w:w="1842" w:type="dxa"/>
            <w:tcBorders>
              <w:bottom w:val="single" w:sz="12" w:space="0" w:color="auto"/>
            </w:tcBorders>
            <w:vAlign w:val="bottom"/>
          </w:tcPr>
          <w:p w14:paraId="0AE640CC" w14:textId="77777777" w:rsidR="007F54B8" w:rsidRPr="00F963B4" w:rsidRDefault="007F54B8" w:rsidP="004238EB">
            <w:pPr>
              <w:jc w:val="right"/>
              <w:rPr>
                <w:szCs w:val="22"/>
                <w:lang w:eastAsia="ko-KR"/>
              </w:rPr>
            </w:pPr>
            <w:r w:rsidRPr="00F963B4">
              <w:rPr>
                <w:szCs w:val="22"/>
                <w:lang w:eastAsia="ko-KR"/>
              </w:rPr>
              <w:t>$</w:t>
            </w:r>
            <w:r>
              <w:rPr>
                <w:szCs w:val="22"/>
                <w:lang w:eastAsia="ko-KR"/>
              </w:rPr>
              <w:t>0.20</w:t>
            </w:r>
          </w:p>
        </w:tc>
        <w:tc>
          <w:tcPr>
            <w:tcW w:w="1701" w:type="dxa"/>
            <w:tcBorders>
              <w:bottom w:val="single" w:sz="12" w:space="0" w:color="auto"/>
            </w:tcBorders>
            <w:vAlign w:val="bottom"/>
          </w:tcPr>
          <w:p w14:paraId="3E509505" w14:textId="77777777" w:rsidR="007F54B8" w:rsidRPr="00F963B4" w:rsidRDefault="007F54B8" w:rsidP="004238EB">
            <w:pPr>
              <w:ind w:left="-107"/>
              <w:jc w:val="right"/>
              <w:rPr>
                <w:szCs w:val="22"/>
                <w:lang w:val="en-GB" w:eastAsia="ko-KR"/>
              </w:rPr>
            </w:pPr>
            <w:r>
              <w:rPr>
                <w:szCs w:val="22"/>
                <w:lang w:eastAsia="ko-KR"/>
              </w:rPr>
              <w:t>June 2, 2025</w:t>
            </w:r>
          </w:p>
        </w:tc>
        <w:tc>
          <w:tcPr>
            <w:tcW w:w="1985" w:type="dxa"/>
            <w:tcBorders>
              <w:bottom w:val="single" w:sz="12" w:space="0" w:color="auto"/>
            </w:tcBorders>
            <w:vAlign w:val="bottom"/>
          </w:tcPr>
          <w:p w14:paraId="3471C286" w14:textId="77777777" w:rsidR="007F54B8" w:rsidRPr="00F963B4" w:rsidRDefault="007F54B8" w:rsidP="004238EB">
            <w:pPr>
              <w:jc w:val="right"/>
              <w:rPr>
                <w:szCs w:val="22"/>
                <w:lang w:eastAsia="ko-KR"/>
              </w:rPr>
            </w:pPr>
            <w:r>
              <w:rPr>
                <w:szCs w:val="22"/>
                <w:lang w:eastAsia="ko-KR"/>
              </w:rPr>
              <w:t>4.01</w:t>
            </w:r>
          </w:p>
        </w:tc>
      </w:tr>
    </w:tbl>
    <w:p w14:paraId="4027914D" w14:textId="77777777" w:rsidR="007F54B8" w:rsidRDefault="007F54B8" w:rsidP="007F54B8">
      <w:pPr>
        <w:rPr>
          <w:szCs w:val="22"/>
        </w:rPr>
      </w:pPr>
    </w:p>
    <w:p w14:paraId="48FE062C" w14:textId="77777777" w:rsidR="007F54B8" w:rsidRPr="00F963B4" w:rsidRDefault="007F54B8" w:rsidP="001B68AD">
      <w:pPr>
        <w:pStyle w:val="Nbodyindentinput"/>
        <w:widowControl/>
        <w:numPr>
          <w:ilvl w:val="1"/>
          <w:numId w:val="20"/>
        </w:numPr>
        <w:spacing w:before="0"/>
        <w:ind w:left="720" w:hanging="360"/>
        <w:jc w:val="left"/>
        <w:rPr>
          <w:rFonts w:ascii="Times New Roman" w:hAnsi="Times New Roman" w:cs="Times New Roman"/>
          <w:sz w:val="22"/>
          <w:szCs w:val="22"/>
        </w:rPr>
      </w:pPr>
      <w:r w:rsidRPr="00F963B4">
        <w:rPr>
          <w:rFonts w:ascii="Times New Roman" w:hAnsi="Times New Roman" w:cs="Times New Roman"/>
          <w:sz w:val="22"/>
          <w:szCs w:val="22"/>
        </w:rPr>
        <w:t>Share warrants</w:t>
      </w:r>
    </w:p>
    <w:p w14:paraId="543F9F99" w14:textId="77777777" w:rsidR="007F54B8" w:rsidRPr="00F963B4" w:rsidRDefault="007F54B8" w:rsidP="007F54B8">
      <w:pPr>
        <w:pStyle w:val="BodyTextIndent2"/>
        <w:ind w:left="454"/>
        <w:jc w:val="both"/>
        <w:rPr>
          <w:b/>
          <w:sz w:val="22"/>
          <w:szCs w:val="22"/>
        </w:rPr>
      </w:pPr>
    </w:p>
    <w:tbl>
      <w:tblPr>
        <w:tblStyle w:val="TableGrid"/>
        <w:tblW w:w="9242" w:type="dxa"/>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531"/>
        <w:gridCol w:w="1531"/>
        <w:gridCol w:w="1531"/>
        <w:gridCol w:w="1531"/>
      </w:tblGrid>
      <w:tr w:rsidR="007F54B8" w:rsidRPr="002871B1" w14:paraId="70D9169F" w14:textId="77777777" w:rsidTr="004238EB">
        <w:tc>
          <w:tcPr>
            <w:tcW w:w="3118" w:type="dxa"/>
            <w:tcBorders>
              <w:bottom w:val="single" w:sz="4" w:space="0" w:color="auto"/>
            </w:tcBorders>
          </w:tcPr>
          <w:p w14:paraId="27DA93B7" w14:textId="77777777" w:rsidR="007F54B8" w:rsidRPr="00F963B4" w:rsidRDefault="007F54B8" w:rsidP="004238EB">
            <w:pPr>
              <w:jc w:val="both"/>
              <w:rPr>
                <w:rFonts w:ascii="Times New Roman" w:hAnsi="Times New Roman"/>
                <w:lang w:val="en-GB"/>
              </w:rPr>
            </w:pPr>
          </w:p>
        </w:tc>
        <w:tc>
          <w:tcPr>
            <w:tcW w:w="3062" w:type="dxa"/>
            <w:gridSpan w:val="2"/>
            <w:tcBorders>
              <w:bottom w:val="single" w:sz="4" w:space="0" w:color="auto"/>
            </w:tcBorders>
            <w:vAlign w:val="bottom"/>
          </w:tcPr>
          <w:p w14:paraId="076192E0" w14:textId="77777777" w:rsidR="007F54B8" w:rsidRPr="00F963B4" w:rsidRDefault="007F54B8" w:rsidP="004238EB">
            <w:pPr>
              <w:jc w:val="center"/>
              <w:rPr>
                <w:rFonts w:ascii="Times New Roman" w:hAnsi="Times New Roman"/>
                <w:b/>
                <w:bCs/>
                <w:lang w:val="en-GB"/>
              </w:rPr>
            </w:pPr>
            <w:r w:rsidRPr="002871B1">
              <w:rPr>
                <w:rFonts w:ascii="Times New Roman" w:hAnsi="Times New Roman"/>
                <w:b/>
                <w:bCs/>
                <w:lang w:val="en-GB"/>
              </w:rPr>
              <w:t>9</w:t>
            </w:r>
            <w:r>
              <w:rPr>
                <w:rFonts w:ascii="Times New Roman" w:hAnsi="Times New Roman"/>
                <w:b/>
                <w:bCs/>
                <w:lang w:val="en-GB"/>
              </w:rPr>
              <w:t>-</w:t>
            </w:r>
            <w:r w:rsidRPr="002871B1">
              <w:rPr>
                <w:rFonts w:ascii="Times New Roman" w:hAnsi="Times New Roman"/>
                <w:b/>
                <w:bCs/>
                <w:lang w:val="en-GB"/>
              </w:rPr>
              <w:t>month Period Ended</w:t>
            </w:r>
            <w:r>
              <w:rPr>
                <w:rFonts w:ascii="Times New Roman" w:hAnsi="Times New Roman"/>
                <w:b/>
                <w:bCs/>
                <w:lang w:val="en-GB"/>
              </w:rPr>
              <w:br/>
              <w:t>May</w:t>
            </w:r>
            <w:r w:rsidRPr="002871B1">
              <w:rPr>
                <w:rFonts w:ascii="Times New Roman" w:hAnsi="Times New Roman"/>
                <w:b/>
                <w:bCs/>
                <w:lang w:val="en-GB"/>
              </w:rPr>
              <w:t xml:space="preserve"> 31, 202</w:t>
            </w:r>
            <w:r>
              <w:rPr>
                <w:rFonts w:ascii="Times New Roman" w:hAnsi="Times New Roman"/>
                <w:b/>
                <w:bCs/>
                <w:lang w:val="en-GB"/>
              </w:rPr>
              <w:t>1</w:t>
            </w:r>
          </w:p>
        </w:tc>
        <w:tc>
          <w:tcPr>
            <w:tcW w:w="3062" w:type="dxa"/>
            <w:gridSpan w:val="2"/>
            <w:tcBorders>
              <w:bottom w:val="single" w:sz="4" w:space="0" w:color="auto"/>
            </w:tcBorders>
            <w:vAlign w:val="bottom"/>
          </w:tcPr>
          <w:p w14:paraId="454C421D" w14:textId="77777777" w:rsidR="007F54B8" w:rsidRPr="00F963B4" w:rsidRDefault="007F54B8" w:rsidP="004238EB">
            <w:pPr>
              <w:jc w:val="center"/>
              <w:rPr>
                <w:rFonts w:ascii="Times New Roman" w:hAnsi="Times New Roman"/>
                <w:b/>
                <w:bCs/>
                <w:lang w:val="en-GB"/>
              </w:rPr>
            </w:pPr>
            <w:r>
              <w:rPr>
                <w:rFonts w:ascii="Times New Roman" w:hAnsi="Times New Roman"/>
                <w:b/>
                <w:bCs/>
                <w:lang w:val="en-GB"/>
              </w:rPr>
              <w:t>Year Ended</w:t>
            </w:r>
          </w:p>
          <w:p w14:paraId="199128DB" w14:textId="77777777" w:rsidR="007F54B8" w:rsidRPr="00F963B4" w:rsidRDefault="007F54B8" w:rsidP="004238EB">
            <w:pPr>
              <w:jc w:val="center"/>
              <w:rPr>
                <w:rFonts w:ascii="Times New Roman" w:hAnsi="Times New Roman"/>
                <w:b/>
                <w:bCs/>
                <w:lang w:val="en-GB"/>
              </w:rPr>
            </w:pPr>
            <w:r>
              <w:rPr>
                <w:rFonts w:ascii="Times New Roman" w:hAnsi="Times New Roman"/>
                <w:b/>
                <w:bCs/>
                <w:lang w:val="en-GB"/>
              </w:rPr>
              <w:t>August</w:t>
            </w:r>
            <w:r w:rsidRPr="002871B1">
              <w:rPr>
                <w:rFonts w:ascii="Times New Roman" w:hAnsi="Times New Roman"/>
                <w:b/>
                <w:bCs/>
                <w:lang w:val="en-GB"/>
              </w:rPr>
              <w:t xml:space="preserve"> 31, 20</w:t>
            </w:r>
            <w:r>
              <w:rPr>
                <w:rFonts w:ascii="Times New Roman" w:hAnsi="Times New Roman"/>
                <w:b/>
                <w:bCs/>
                <w:lang w:val="en-GB"/>
              </w:rPr>
              <w:t>20</w:t>
            </w:r>
          </w:p>
        </w:tc>
      </w:tr>
      <w:tr w:rsidR="007F54B8" w:rsidRPr="002871B1" w14:paraId="14EE4082" w14:textId="77777777" w:rsidTr="004238EB">
        <w:tc>
          <w:tcPr>
            <w:tcW w:w="3118" w:type="dxa"/>
            <w:tcBorders>
              <w:top w:val="single" w:sz="4" w:space="0" w:color="auto"/>
            </w:tcBorders>
            <w:vAlign w:val="bottom"/>
          </w:tcPr>
          <w:p w14:paraId="5345D363" w14:textId="77777777" w:rsidR="007F54B8" w:rsidRPr="00F963B4" w:rsidRDefault="007F54B8" w:rsidP="004238EB">
            <w:pPr>
              <w:jc w:val="right"/>
              <w:rPr>
                <w:rFonts w:ascii="Times New Roman" w:hAnsi="Times New Roman"/>
                <w:b/>
                <w:bCs/>
                <w:lang w:val="en-GB"/>
              </w:rPr>
            </w:pPr>
          </w:p>
        </w:tc>
        <w:tc>
          <w:tcPr>
            <w:tcW w:w="1531" w:type="dxa"/>
            <w:tcBorders>
              <w:top w:val="single" w:sz="4" w:space="0" w:color="auto"/>
            </w:tcBorders>
            <w:vAlign w:val="bottom"/>
          </w:tcPr>
          <w:p w14:paraId="38CB6019" w14:textId="77777777" w:rsidR="007F54B8" w:rsidRPr="00F963B4" w:rsidRDefault="007F54B8" w:rsidP="004238EB">
            <w:pPr>
              <w:jc w:val="right"/>
              <w:rPr>
                <w:rFonts w:ascii="Times New Roman" w:hAnsi="Times New Roman"/>
                <w:b/>
                <w:bCs/>
                <w:lang w:val="en-GB"/>
              </w:rPr>
            </w:pPr>
            <w:r w:rsidRPr="00F963B4">
              <w:rPr>
                <w:rFonts w:ascii="Times New Roman" w:hAnsi="Times New Roman"/>
                <w:b/>
                <w:bCs/>
                <w:lang w:val="en-GB"/>
              </w:rPr>
              <w:t>Number of share purchase warrants</w:t>
            </w:r>
          </w:p>
        </w:tc>
        <w:tc>
          <w:tcPr>
            <w:tcW w:w="1531" w:type="dxa"/>
            <w:tcBorders>
              <w:top w:val="single" w:sz="4" w:space="0" w:color="auto"/>
            </w:tcBorders>
            <w:vAlign w:val="bottom"/>
          </w:tcPr>
          <w:p w14:paraId="6D325E78" w14:textId="77777777" w:rsidR="007F54B8" w:rsidRPr="00F963B4" w:rsidRDefault="007F54B8" w:rsidP="004238EB">
            <w:pPr>
              <w:jc w:val="right"/>
              <w:rPr>
                <w:rFonts w:ascii="Times New Roman" w:hAnsi="Times New Roman"/>
                <w:b/>
                <w:bCs/>
                <w:lang w:val="en-GB"/>
              </w:rPr>
            </w:pPr>
            <w:r w:rsidRPr="00F963B4">
              <w:rPr>
                <w:rFonts w:ascii="Times New Roman" w:hAnsi="Times New Roman"/>
                <w:b/>
                <w:bCs/>
                <w:lang w:val="en-GB"/>
              </w:rPr>
              <w:t>Weighted average exercise price</w:t>
            </w:r>
          </w:p>
        </w:tc>
        <w:tc>
          <w:tcPr>
            <w:tcW w:w="1531" w:type="dxa"/>
            <w:tcBorders>
              <w:top w:val="single" w:sz="4" w:space="0" w:color="auto"/>
            </w:tcBorders>
            <w:vAlign w:val="bottom"/>
          </w:tcPr>
          <w:p w14:paraId="405F150F" w14:textId="77777777" w:rsidR="007F54B8" w:rsidRPr="00F963B4" w:rsidRDefault="007F54B8" w:rsidP="004238EB">
            <w:pPr>
              <w:jc w:val="right"/>
              <w:rPr>
                <w:rFonts w:ascii="Times New Roman" w:hAnsi="Times New Roman"/>
                <w:b/>
                <w:bCs/>
                <w:lang w:val="en-GB"/>
              </w:rPr>
            </w:pPr>
            <w:r w:rsidRPr="00F963B4">
              <w:rPr>
                <w:rFonts w:ascii="Times New Roman" w:hAnsi="Times New Roman"/>
                <w:b/>
                <w:bCs/>
                <w:lang w:val="en-GB"/>
              </w:rPr>
              <w:t>Number of share purchase warrants</w:t>
            </w:r>
          </w:p>
        </w:tc>
        <w:tc>
          <w:tcPr>
            <w:tcW w:w="1531" w:type="dxa"/>
            <w:tcBorders>
              <w:top w:val="single" w:sz="4" w:space="0" w:color="auto"/>
            </w:tcBorders>
            <w:vAlign w:val="bottom"/>
          </w:tcPr>
          <w:p w14:paraId="1AB7B6D8" w14:textId="77777777" w:rsidR="007F54B8" w:rsidRPr="00F963B4" w:rsidRDefault="007F54B8" w:rsidP="004238EB">
            <w:pPr>
              <w:jc w:val="right"/>
              <w:rPr>
                <w:rFonts w:ascii="Times New Roman" w:hAnsi="Times New Roman"/>
                <w:b/>
                <w:bCs/>
                <w:lang w:val="en-GB"/>
              </w:rPr>
            </w:pPr>
            <w:r w:rsidRPr="00F963B4">
              <w:rPr>
                <w:rFonts w:ascii="Times New Roman" w:hAnsi="Times New Roman"/>
                <w:b/>
                <w:bCs/>
                <w:lang w:val="en-GB"/>
              </w:rPr>
              <w:t>Weighted average exercise price</w:t>
            </w:r>
          </w:p>
        </w:tc>
      </w:tr>
      <w:tr w:rsidR="007F54B8" w:rsidRPr="002871B1" w14:paraId="3FAE3917" w14:textId="77777777" w:rsidTr="004238EB">
        <w:tc>
          <w:tcPr>
            <w:tcW w:w="3118" w:type="dxa"/>
            <w:tcBorders>
              <w:bottom w:val="single" w:sz="4" w:space="0" w:color="auto"/>
            </w:tcBorders>
            <w:vAlign w:val="bottom"/>
          </w:tcPr>
          <w:p w14:paraId="132D6C02" w14:textId="77777777" w:rsidR="007F54B8" w:rsidRPr="00F963B4" w:rsidRDefault="007F54B8" w:rsidP="004238EB">
            <w:pPr>
              <w:jc w:val="right"/>
              <w:rPr>
                <w:rFonts w:ascii="Times New Roman" w:hAnsi="Times New Roman"/>
                <w:b/>
                <w:bCs/>
                <w:lang w:val="en-GB"/>
              </w:rPr>
            </w:pPr>
          </w:p>
        </w:tc>
        <w:tc>
          <w:tcPr>
            <w:tcW w:w="1531" w:type="dxa"/>
            <w:tcBorders>
              <w:bottom w:val="single" w:sz="4" w:space="0" w:color="auto"/>
            </w:tcBorders>
            <w:vAlign w:val="bottom"/>
          </w:tcPr>
          <w:p w14:paraId="509545B8" w14:textId="77777777" w:rsidR="007F54B8" w:rsidRPr="00F963B4" w:rsidRDefault="007F54B8" w:rsidP="004238EB">
            <w:pPr>
              <w:jc w:val="right"/>
              <w:rPr>
                <w:rFonts w:ascii="Times New Roman" w:hAnsi="Times New Roman"/>
                <w:b/>
                <w:bCs/>
                <w:lang w:val="en-GB"/>
              </w:rPr>
            </w:pPr>
          </w:p>
        </w:tc>
        <w:tc>
          <w:tcPr>
            <w:tcW w:w="1531" w:type="dxa"/>
            <w:tcBorders>
              <w:bottom w:val="single" w:sz="4" w:space="0" w:color="auto"/>
            </w:tcBorders>
            <w:vAlign w:val="bottom"/>
          </w:tcPr>
          <w:p w14:paraId="09A07824" w14:textId="77777777" w:rsidR="007F54B8" w:rsidRPr="00F963B4" w:rsidRDefault="007F54B8" w:rsidP="004238EB">
            <w:pPr>
              <w:jc w:val="right"/>
              <w:rPr>
                <w:rFonts w:ascii="Times New Roman" w:hAnsi="Times New Roman"/>
                <w:b/>
                <w:bCs/>
                <w:lang w:val="en-GB"/>
              </w:rPr>
            </w:pPr>
            <w:r w:rsidRPr="00F963B4">
              <w:rPr>
                <w:rFonts w:ascii="Times New Roman" w:hAnsi="Times New Roman"/>
                <w:b/>
                <w:bCs/>
                <w:lang w:val="en-GB"/>
              </w:rPr>
              <w:t>$</w:t>
            </w:r>
          </w:p>
        </w:tc>
        <w:tc>
          <w:tcPr>
            <w:tcW w:w="1531" w:type="dxa"/>
            <w:tcBorders>
              <w:bottom w:val="single" w:sz="4" w:space="0" w:color="auto"/>
            </w:tcBorders>
            <w:vAlign w:val="bottom"/>
          </w:tcPr>
          <w:p w14:paraId="6C2DBDD0" w14:textId="77777777" w:rsidR="007F54B8" w:rsidRPr="00F963B4" w:rsidRDefault="007F54B8" w:rsidP="004238EB">
            <w:pPr>
              <w:jc w:val="right"/>
              <w:rPr>
                <w:rFonts w:ascii="Times New Roman" w:hAnsi="Times New Roman"/>
                <w:b/>
                <w:bCs/>
                <w:lang w:val="en-GB"/>
              </w:rPr>
            </w:pPr>
          </w:p>
        </w:tc>
        <w:tc>
          <w:tcPr>
            <w:tcW w:w="1531" w:type="dxa"/>
            <w:tcBorders>
              <w:bottom w:val="single" w:sz="4" w:space="0" w:color="auto"/>
            </w:tcBorders>
            <w:vAlign w:val="bottom"/>
          </w:tcPr>
          <w:p w14:paraId="31D7D25E" w14:textId="77777777" w:rsidR="007F54B8" w:rsidRPr="00F963B4" w:rsidRDefault="007F54B8" w:rsidP="004238EB">
            <w:pPr>
              <w:jc w:val="right"/>
              <w:rPr>
                <w:rFonts w:ascii="Times New Roman" w:hAnsi="Times New Roman"/>
                <w:b/>
                <w:bCs/>
                <w:lang w:val="en-GB"/>
              </w:rPr>
            </w:pPr>
            <w:r w:rsidRPr="00F963B4">
              <w:rPr>
                <w:rFonts w:ascii="Times New Roman" w:hAnsi="Times New Roman"/>
                <w:b/>
                <w:bCs/>
                <w:lang w:val="en-GB"/>
              </w:rPr>
              <w:t>$</w:t>
            </w:r>
          </w:p>
        </w:tc>
      </w:tr>
      <w:tr w:rsidR="007F54B8" w:rsidRPr="002871B1" w14:paraId="6A6C4019" w14:textId="77777777" w:rsidTr="004238EB">
        <w:tc>
          <w:tcPr>
            <w:tcW w:w="3118" w:type="dxa"/>
            <w:tcBorders>
              <w:top w:val="single" w:sz="4" w:space="0" w:color="auto"/>
            </w:tcBorders>
          </w:tcPr>
          <w:p w14:paraId="19D0F223" w14:textId="77777777" w:rsidR="007F54B8" w:rsidRPr="00F963B4" w:rsidRDefault="007F54B8" w:rsidP="004238EB">
            <w:pPr>
              <w:jc w:val="both"/>
              <w:rPr>
                <w:rFonts w:ascii="Times New Roman" w:hAnsi="Times New Roman"/>
                <w:lang w:val="en-GB"/>
              </w:rPr>
            </w:pPr>
          </w:p>
        </w:tc>
        <w:tc>
          <w:tcPr>
            <w:tcW w:w="1531" w:type="dxa"/>
            <w:tcBorders>
              <w:top w:val="single" w:sz="4" w:space="0" w:color="auto"/>
            </w:tcBorders>
          </w:tcPr>
          <w:p w14:paraId="7FE5E6D4" w14:textId="77777777" w:rsidR="007F54B8" w:rsidRPr="00F963B4" w:rsidRDefault="007F54B8" w:rsidP="004238EB">
            <w:pPr>
              <w:jc w:val="both"/>
              <w:rPr>
                <w:rFonts w:ascii="Times New Roman" w:hAnsi="Times New Roman"/>
                <w:lang w:val="en-GB"/>
              </w:rPr>
            </w:pPr>
          </w:p>
        </w:tc>
        <w:tc>
          <w:tcPr>
            <w:tcW w:w="1531" w:type="dxa"/>
            <w:tcBorders>
              <w:top w:val="single" w:sz="4" w:space="0" w:color="auto"/>
            </w:tcBorders>
          </w:tcPr>
          <w:p w14:paraId="31D5431C" w14:textId="77777777" w:rsidR="007F54B8" w:rsidRPr="00F963B4" w:rsidRDefault="007F54B8" w:rsidP="004238EB">
            <w:pPr>
              <w:jc w:val="both"/>
              <w:rPr>
                <w:rFonts w:ascii="Times New Roman" w:hAnsi="Times New Roman"/>
                <w:lang w:val="en-GB"/>
              </w:rPr>
            </w:pPr>
          </w:p>
        </w:tc>
        <w:tc>
          <w:tcPr>
            <w:tcW w:w="1531" w:type="dxa"/>
            <w:tcBorders>
              <w:top w:val="single" w:sz="4" w:space="0" w:color="auto"/>
            </w:tcBorders>
          </w:tcPr>
          <w:p w14:paraId="5D7C58D2" w14:textId="77777777" w:rsidR="007F54B8" w:rsidRPr="00F963B4" w:rsidRDefault="007F54B8" w:rsidP="004238EB">
            <w:pPr>
              <w:jc w:val="both"/>
              <w:rPr>
                <w:rFonts w:ascii="Times New Roman" w:hAnsi="Times New Roman"/>
                <w:lang w:val="en-GB"/>
              </w:rPr>
            </w:pPr>
          </w:p>
        </w:tc>
        <w:tc>
          <w:tcPr>
            <w:tcW w:w="1531" w:type="dxa"/>
            <w:tcBorders>
              <w:top w:val="single" w:sz="4" w:space="0" w:color="auto"/>
            </w:tcBorders>
          </w:tcPr>
          <w:p w14:paraId="06684D5B" w14:textId="77777777" w:rsidR="007F54B8" w:rsidRPr="00F963B4" w:rsidRDefault="007F54B8" w:rsidP="004238EB">
            <w:pPr>
              <w:jc w:val="both"/>
              <w:rPr>
                <w:rFonts w:ascii="Times New Roman" w:hAnsi="Times New Roman"/>
                <w:lang w:val="en-GB"/>
              </w:rPr>
            </w:pPr>
          </w:p>
        </w:tc>
      </w:tr>
      <w:tr w:rsidR="007F54B8" w:rsidRPr="002871B1" w14:paraId="04807CCF" w14:textId="77777777" w:rsidTr="004238EB">
        <w:tc>
          <w:tcPr>
            <w:tcW w:w="3118" w:type="dxa"/>
          </w:tcPr>
          <w:p w14:paraId="55E3E715" w14:textId="77777777" w:rsidR="007F54B8" w:rsidRPr="00F963B4" w:rsidRDefault="007F54B8" w:rsidP="004238EB">
            <w:pPr>
              <w:jc w:val="both"/>
              <w:rPr>
                <w:rFonts w:ascii="Times New Roman" w:hAnsi="Times New Roman"/>
                <w:lang w:val="en-GB"/>
              </w:rPr>
            </w:pPr>
            <w:r w:rsidRPr="00F963B4">
              <w:rPr>
                <w:rFonts w:ascii="Times New Roman" w:hAnsi="Times New Roman"/>
                <w:lang w:val="en-GB"/>
              </w:rPr>
              <w:t>Outstanding, beginning of period</w:t>
            </w:r>
          </w:p>
        </w:tc>
        <w:tc>
          <w:tcPr>
            <w:tcW w:w="1531" w:type="dxa"/>
            <w:vAlign w:val="bottom"/>
          </w:tcPr>
          <w:p w14:paraId="2324EEF7"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3,744,306</w:t>
            </w:r>
          </w:p>
        </w:tc>
        <w:tc>
          <w:tcPr>
            <w:tcW w:w="1531" w:type="dxa"/>
            <w:vAlign w:val="bottom"/>
          </w:tcPr>
          <w:p w14:paraId="5AF04781"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0.29</w:t>
            </w:r>
          </w:p>
        </w:tc>
        <w:tc>
          <w:tcPr>
            <w:tcW w:w="1531" w:type="dxa"/>
            <w:vAlign w:val="bottom"/>
          </w:tcPr>
          <w:p w14:paraId="4EF40E88" w14:textId="77777777" w:rsidR="007F54B8" w:rsidRPr="00F963B4" w:rsidRDefault="007F54B8" w:rsidP="004238EB">
            <w:pPr>
              <w:jc w:val="right"/>
              <w:rPr>
                <w:rFonts w:ascii="Times New Roman" w:hAnsi="Times New Roman"/>
                <w:szCs w:val="20"/>
                <w:lang w:val="en-GB"/>
              </w:rPr>
            </w:pPr>
            <w:r w:rsidRPr="00BD6A28">
              <w:rPr>
                <w:rFonts w:ascii="Times New Roman" w:hAnsi="Times New Roman"/>
                <w:szCs w:val="20"/>
                <w:lang w:val="en-GB"/>
              </w:rPr>
              <w:t>380,000</w:t>
            </w:r>
          </w:p>
        </w:tc>
        <w:tc>
          <w:tcPr>
            <w:tcW w:w="1531" w:type="dxa"/>
            <w:vAlign w:val="bottom"/>
          </w:tcPr>
          <w:p w14:paraId="03DE5C1D" w14:textId="77777777" w:rsidR="007F54B8" w:rsidRPr="00F963B4" w:rsidRDefault="007F54B8" w:rsidP="004238EB">
            <w:pPr>
              <w:jc w:val="right"/>
              <w:rPr>
                <w:rFonts w:ascii="Times New Roman" w:hAnsi="Times New Roman"/>
                <w:szCs w:val="20"/>
                <w:lang w:val="en-GB"/>
              </w:rPr>
            </w:pPr>
            <w:r w:rsidRPr="00BD6A28">
              <w:rPr>
                <w:rFonts w:ascii="Times New Roman" w:hAnsi="Times New Roman"/>
                <w:szCs w:val="20"/>
                <w:lang w:val="en-GB"/>
              </w:rPr>
              <w:t>0.10</w:t>
            </w:r>
          </w:p>
        </w:tc>
      </w:tr>
      <w:tr w:rsidR="007F54B8" w:rsidRPr="002871B1" w14:paraId="00A03A94" w14:textId="77777777" w:rsidTr="004238EB">
        <w:tc>
          <w:tcPr>
            <w:tcW w:w="3118" w:type="dxa"/>
          </w:tcPr>
          <w:p w14:paraId="5040D47C" w14:textId="77777777" w:rsidR="007F54B8" w:rsidRPr="00F963B4" w:rsidRDefault="007F54B8" w:rsidP="004238EB">
            <w:pPr>
              <w:jc w:val="both"/>
              <w:rPr>
                <w:rFonts w:ascii="Times New Roman" w:hAnsi="Times New Roman"/>
                <w:lang w:val="en-GB"/>
              </w:rPr>
            </w:pPr>
            <w:r w:rsidRPr="00F963B4">
              <w:rPr>
                <w:rFonts w:ascii="Times New Roman" w:hAnsi="Times New Roman"/>
                <w:lang w:val="en-GB"/>
              </w:rPr>
              <w:t xml:space="preserve">    Issued</w:t>
            </w:r>
          </w:p>
        </w:tc>
        <w:tc>
          <w:tcPr>
            <w:tcW w:w="1531" w:type="dxa"/>
            <w:vAlign w:val="bottom"/>
          </w:tcPr>
          <w:p w14:paraId="6224773B" w14:textId="77777777" w:rsidR="007F54B8" w:rsidRPr="00F963B4" w:rsidRDefault="007F54B8" w:rsidP="004238EB">
            <w:pPr>
              <w:jc w:val="right"/>
              <w:rPr>
                <w:rFonts w:ascii="Times New Roman" w:hAnsi="Times New Roman"/>
                <w:szCs w:val="20"/>
                <w:lang w:val="en-GB"/>
              </w:rPr>
            </w:pPr>
            <w:r w:rsidRPr="00BD6A28">
              <w:rPr>
                <w:rFonts w:ascii="Times New Roman" w:hAnsi="Times New Roman"/>
                <w:szCs w:val="20"/>
                <w:lang w:val="en-GB"/>
              </w:rPr>
              <w:t>-</w:t>
            </w:r>
          </w:p>
        </w:tc>
        <w:tc>
          <w:tcPr>
            <w:tcW w:w="1531" w:type="dxa"/>
            <w:vAlign w:val="bottom"/>
          </w:tcPr>
          <w:p w14:paraId="2BFEF8A3"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w:t>
            </w:r>
          </w:p>
        </w:tc>
        <w:tc>
          <w:tcPr>
            <w:tcW w:w="1531" w:type="dxa"/>
            <w:vAlign w:val="bottom"/>
          </w:tcPr>
          <w:p w14:paraId="6F9555C3"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3,578,056</w:t>
            </w:r>
          </w:p>
        </w:tc>
        <w:tc>
          <w:tcPr>
            <w:tcW w:w="1531" w:type="dxa"/>
            <w:vAlign w:val="bottom"/>
          </w:tcPr>
          <w:p w14:paraId="4F07FDCB"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0.30</w:t>
            </w:r>
          </w:p>
        </w:tc>
      </w:tr>
      <w:tr w:rsidR="007F54B8" w:rsidRPr="002871B1" w14:paraId="447DF48A" w14:textId="77777777" w:rsidTr="004238EB">
        <w:tc>
          <w:tcPr>
            <w:tcW w:w="3118" w:type="dxa"/>
            <w:tcBorders>
              <w:bottom w:val="single" w:sz="4" w:space="0" w:color="auto"/>
            </w:tcBorders>
          </w:tcPr>
          <w:p w14:paraId="1DF3ED79" w14:textId="77777777" w:rsidR="007F54B8" w:rsidRPr="00F963B4" w:rsidRDefault="007F54B8" w:rsidP="004238EB">
            <w:pPr>
              <w:jc w:val="both"/>
              <w:rPr>
                <w:rFonts w:ascii="Times New Roman" w:hAnsi="Times New Roman"/>
                <w:lang w:val="en-GB"/>
              </w:rPr>
            </w:pPr>
            <w:r w:rsidRPr="002871B1">
              <w:rPr>
                <w:rFonts w:ascii="Times New Roman" w:hAnsi="Times New Roman"/>
                <w:lang w:val="en-GB"/>
              </w:rPr>
              <w:t xml:space="preserve">    Exercised</w:t>
            </w:r>
            <w:r>
              <w:rPr>
                <w:rFonts w:ascii="Times New Roman" w:hAnsi="Times New Roman"/>
                <w:lang w:val="en-GB"/>
              </w:rPr>
              <w:t>*</w:t>
            </w:r>
          </w:p>
        </w:tc>
        <w:tc>
          <w:tcPr>
            <w:tcW w:w="1531" w:type="dxa"/>
            <w:tcBorders>
              <w:bottom w:val="single" w:sz="4" w:space="0" w:color="auto"/>
            </w:tcBorders>
            <w:vAlign w:val="bottom"/>
          </w:tcPr>
          <w:p w14:paraId="31EA0D28" w14:textId="77777777" w:rsidR="007F54B8" w:rsidRPr="00875A25" w:rsidRDefault="007F54B8" w:rsidP="004238EB">
            <w:pPr>
              <w:jc w:val="right"/>
              <w:rPr>
                <w:rFonts w:ascii="Times New Roman" w:hAnsi="Times New Roman"/>
                <w:szCs w:val="20"/>
                <w:lang w:val="en-GB"/>
              </w:rPr>
            </w:pPr>
            <w:r w:rsidRPr="00BD6A28">
              <w:rPr>
                <w:rFonts w:ascii="Times New Roman" w:hAnsi="Times New Roman"/>
                <w:szCs w:val="20"/>
                <w:lang w:val="en-GB"/>
              </w:rPr>
              <w:t>(</w:t>
            </w:r>
            <w:r>
              <w:rPr>
                <w:rFonts w:ascii="Times New Roman" w:hAnsi="Times New Roman"/>
                <w:szCs w:val="20"/>
                <w:lang w:val="en-GB"/>
              </w:rPr>
              <w:t>317,600</w:t>
            </w:r>
            <w:r w:rsidRPr="00875A25">
              <w:rPr>
                <w:rFonts w:ascii="Times New Roman" w:hAnsi="Times New Roman"/>
                <w:szCs w:val="20"/>
                <w:lang w:val="en-GB"/>
              </w:rPr>
              <w:t>)</w:t>
            </w:r>
          </w:p>
        </w:tc>
        <w:tc>
          <w:tcPr>
            <w:tcW w:w="1531" w:type="dxa"/>
            <w:tcBorders>
              <w:bottom w:val="single" w:sz="4" w:space="0" w:color="auto"/>
            </w:tcBorders>
            <w:vAlign w:val="bottom"/>
          </w:tcPr>
          <w:p w14:paraId="7B078078" w14:textId="77777777" w:rsidR="007F54B8" w:rsidRPr="00A83DA6" w:rsidRDefault="007F54B8" w:rsidP="004238EB">
            <w:pPr>
              <w:jc w:val="right"/>
              <w:rPr>
                <w:rFonts w:ascii="Times New Roman" w:hAnsi="Times New Roman"/>
                <w:szCs w:val="20"/>
                <w:lang w:val="en-GB"/>
              </w:rPr>
            </w:pPr>
            <w:r w:rsidRPr="00A83DA6">
              <w:rPr>
                <w:rFonts w:ascii="Times New Roman" w:hAnsi="Times New Roman"/>
                <w:szCs w:val="20"/>
                <w:lang w:val="en-GB"/>
              </w:rPr>
              <w:t>0.</w:t>
            </w:r>
            <w:r>
              <w:rPr>
                <w:rFonts w:ascii="Times New Roman" w:hAnsi="Times New Roman"/>
                <w:szCs w:val="20"/>
                <w:lang w:val="en-GB"/>
              </w:rPr>
              <w:t>23</w:t>
            </w:r>
          </w:p>
        </w:tc>
        <w:tc>
          <w:tcPr>
            <w:tcW w:w="1531" w:type="dxa"/>
            <w:tcBorders>
              <w:bottom w:val="single" w:sz="4" w:space="0" w:color="auto"/>
            </w:tcBorders>
            <w:vAlign w:val="bottom"/>
          </w:tcPr>
          <w:p w14:paraId="69D88858" w14:textId="77777777" w:rsidR="007F54B8" w:rsidRPr="00875A25" w:rsidRDefault="007F54B8" w:rsidP="004238EB">
            <w:pPr>
              <w:jc w:val="right"/>
              <w:rPr>
                <w:rFonts w:ascii="Times New Roman" w:hAnsi="Times New Roman"/>
                <w:szCs w:val="20"/>
                <w:lang w:val="en-GB"/>
              </w:rPr>
            </w:pPr>
            <w:r>
              <w:rPr>
                <w:rFonts w:ascii="Times New Roman" w:hAnsi="Times New Roman"/>
                <w:szCs w:val="20"/>
                <w:lang w:val="en-GB"/>
              </w:rPr>
              <w:t>(213,750)</w:t>
            </w:r>
          </w:p>
        </w:tc>
        <w:tc>
          <w:tcPr>
            <w:tcW w:w="1531" w:type="dxa"/>
            <w:tcBorders>
              <w:bottom w:val="single" w:sz="4" w:space="0" w:color="auto"/>
            </w:tcBorders>
            <w:vAlign w:val="bottom"/>
          </w:tcPr>
          <w:p w14:paraId="32F38D3C" w14:textId="77777777" w:rsidR="007F54B8" w:rsidRPr="00875A25" w:rsidRDefault="007F54B8" w:rsidP="004238EB">
            <w:pPr>
              <w:jc w:val="right"/>
              <w:rPr>
                <w:rFonts w:ascii="Times New Roman" w:hAnsi="Times New Roman"/>
                <w:szCs w:val="20"/>
                <w:lang w:val="en-GB"/>
              </w:rPr>
            </w:pPr>
            <w:r>
              <w:rPr>
                <w:rFonts w:ascii="Times New Roman" w:hAnsi="Times New Roman"/>
                <w:szCs w:val="20"/>
                <w:lang w:val="en-GB"/>
              </w:rPr>
              <w:t>0.10</w:t>
            </w:r>
          </w:p>
        </w:tc>
      </w:tr>
      <w:tr w:rsidR="007F54B8" w:rsidRPr="002871B1" w14:paraId="06F09E3F" w14:textId="77777777" w:rsidTr="004238EB">
        <w:tc>
          <w:tcPr>
            <w:tcW w:w="3118" w:type="dxa"/>
            <w:tcBorders>
              <w:top w:val="single" w:sz="4" w:space="0" w:color="auto"/>
            </w:tcBorders>
          </w:tcPr>
          <w:p w14:paraId="2F1B1F63" w14:textId="77777777" w:rsidR="007F54B8" w:rsidRPr="00F963B4" w:rsidRDefault="007F54B8" w:rsidP="004238EB">
            <w:pPr>
              <w:jc w:val="both"/>
              <w:rPr>
                <w:rFonts w:ascii="Times New Roman" w:hAnsi="Times New Roman"/>
                <w:lang w:val="en-GB"/>
              </w:rPr>
            </w:pPr>
          </w:p>
        </w:tc>
        <w:tc>
          <w:tcPr>
            <w:tcW w:w="1531" w:type="dxa"/>
            <w:tcBorders>
              <w:top w:val="single" w:sz="4" w:space="0" w:color="auto"/>
            </w:tcBorders>
            <w:vAlign w:val="bottom"/>
          </w:tcPr>
          <w:p w14:paraId="3E8FD6DB" w14:textId="77777777" w:rsidR="007F54B8" w:rsidRPr="00F963B4" w:rsidRDefault="007F54B8" w:rsidP="004238EB">
            <w:pPr>
              <w:jc w:val="right"/>
              <w:rPr>
                <w:rFonts w:ascii="Times New Roman" w:hAnsi="Times New Roman"/>
                <w:lang w:val="en-GB"/>
              </w:rPr>
            </w:pPr>
          </w:p>
        </w:tc>
        <w:tc>
          <w:tcPr>
            <w:tcW w:w="1531" w:type="dxa"/>
            <w:tcBorders>
              <w:top w:val="single" w:sz="4" w:space="0" w:color="auto"/>
            </w:tcBorders>
            <w:vAlign w:val="bottom"/>
          </w:tcPr>
          <w:p w14:paraId="2F326ABF" w14:textId="77777777" w:rsidR="007F54B8" w:rsidRPr="00F963B4" w:rsidRDefault="007F54B8" w:rsidP="004238EB">
            <w:pPr>
              <w:jc w:val="right"/>
              <w:rPr>
                <w:rFonts w:ascii="Times New Roman" w:hAnsi="Times New Roman"/>
                <w:lang w:val="en-GB"/>
              </w:rPr>
            </w:pPr>
          </w:p>
        </w:tc>
        <w:tc>
          <w:tcPr>
            <w:tcW w:w="1531" w:type="dxa"/>
            <w:tcBorders>
              <w:top w:val="single" w:sz="4" w:space="0" w:color="auto"/>
            </w:tcBorders>
            <w:vAlign w:val="bottom"/>
          </w:tcPr>
          <w:p w14:paraId="3C35FD66" w14:textId="77777777" w:rsidR="007F54B8" w:rsidRPr="00F963B4" w:rsidRDefault="007F54B8" w:rsidP="004238EB">
            <w:pPr>
              <w:jc w:val="right"/>
              <w:rPr>
                <w:rFonts w:ascii="Times New Roman" w:hAnsi="Times New Roman"/>
                <w:lang w:val="en-GB"/>
              </w:rPr>
            </w:pPr>
          </w:p>
        </w:tc>
        <w:tc>
          <w:tcPr>
            <w:tcW w:w="1531" w:type="dxa"/>
            <w:tcBorders>
              <w:top w:val="single" w:sz="4" w:space="0" w:color="auto"/>
            </w:tcBorders>
            <w:vAlign w:val="bottom"/>
          </w:tcPr>
          <w:p w14:paraId="7E470DFD" w14:textId="77777777" w:rsidR="007F54B8" w:rsidRPr="00F963B4" w:rsidRDefault="007F54B8" w:rsidP="004238EB">
            <w:pPr>
              <w:jc w:val="right"/>
              <w:rPr>
                <w:rFonts w:ascii="Times New Roman" w:hAnsi="Times New Roman"/>
                <w:lang w:val="en-GB"/>
              </w:rPr>
            </w:pPr>
          </w:p>
        </w:tc>
      </w:tr>
      <w:tr w:rsidR="007F54B8" w:rsidRPr="002871B1" w14:paraId="087341DB" w14:textId="77777777" w:rsidTr="004238EB">
        <w:tc>
          <w:tcPr>
            <w:tcW w:w="3118" w:type="dxa"/>
            <w:tcBorders>
              <w:bottom w:val="single" w:sz="12" w:space="0" w:color="auto"/>
            </w:tcBorders>
          </w:tcPr>
          <w:p w14:paraId="57F389C3" w14:textId="77777777" w:rsidR="007F54B8" w:rsidRPr="00F963B4" w:rsidRDefault="007F54B8" w:rsidP="004238EB">
            <w:pPr>
              <w:jc w:val="both"/>
              <w:rPr>
                <w:rFonts w:ascii="Times New Roman" w:hAnsi="Times New Roman"/>
                <w:lang w:val="en-GB"/>
              </w:rPr>
            </w:pPr>
            <w:r w:rsidRPr="00F963B4">
              <w:rPr>
                <w:rFonts w:ascii="Times New Roman" w:hAnsi="Times New Roman"/>
                <w:lang w:val="en-GB"/>
              </w:rPr>
              <w:t>Outstanding, end of period</w:t>
            </w:r>
          </w:p>
        </w:tc>
        <w:tc>
          <w:tcPr>
            <w:tcW w:w="1531" w:type="dxa"/>
            <w:tcBorders>
              <w:bottom w:val="single" w:sz="12" w:space="0" w:color="auto"/>
            </w:tcBorders>
            <w:vAlign w:val="bottom"/>
          </w:tcPr>
          <w:p w14:paraId="34F8E47E"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3,426,706</w:t>
            </w:r>
          </w:p>
        </w:tc>
        <w:tc>
          <w:tcPr>
            <w:tcW w:w="1531" w:type="dxa"/>
            <w:tcBorders>
              <w:bottom w:val="single" w:sz="12" w:space="0" w:color="auto"/>
            </w:tcBorders>
            <w:vAlign w:val="bottom"/>
          </w:tcPr>
          <w:p w14:paraId="4B6289C5"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0.30</w:t>
            </w:r>
          </w:p>
        </w:tc>
        <w:tc>
          <w:tcPr>
            <w:tcW w:w="1531" w:type="dxa"/>
            <w:tcBorders>
              <w:bottom w:val="single" w:sz="12" w:space="0" w:color="auto"/>
            </w:tcBorders>
            <w:vAlign w:val="bottom"/>
          </w:tcPr>
          <w:p w14:paraId="1E4C15CC"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3,744,306</w:t>
            </w:r>
          </w:p>
        </w:tc>
        <w:tc>
          <w:tcPr>
            <w:tcW w:w="1531" w:type="dxa"/>
            <w:tcBorders>
              <w:bottom w:val="single" w:sz="12" w:space="0" w:color="auto"/>
            </w:tcBorders>
            <w:vAlign w:val="bottom"/>
          </w:tcPr>
          <w:p w14:paraId="67ECF4AB" w14:textId="77777777" w:rsidR="007F54B8" w:rsidRPr="00F963B4" w:rsidRDefault="007F54B8" w:rsidP="004238EB">
            <w:pPr>
              <w:jc w:val="right"/>
              <w:rPr>
                <w:rFonts w:ascii="Times New Roman" w:hAnsi="Times New Roman"/>
                <w:szCs w:val="20"/>
                <w:lang w:val="en-GB"/>
              </w:rPr>
            </w:pPr>
            <w:r>
              <w:rPr>
                <w:rFonts w:ascii="Times New Roman" w:hAnsi="Times New Roman"/>
                <w:szCs w:val="20"/>
                <w:lang w:val="en-GB"/>
              </w:rPr>
              <w:t>0.29</w:t>
            </w:r>
          </w:p>
        </w:tc>
      </w:tr>
    </w:tbl>
    <w:p w14:paraId="48B21A17" w14:textId="77777777" w:rsidR="007F54B8" w:rsidRDefault="007F54B8" w:rsidP="007F54B8">
      <w:pPr>
        <w:pStyle w:val="BodyTextIndent"/>
        <w:autoSpaceDE w:val="0"/>
        <w:autoSpaceDN w:val="0"/>
        <w:adjustRightInd w:val="0"/>
        <w:ind w:left="727"/>
        <w:rPr>
          <w:szCs w:val="22"/>
        </w:rPr>
      </w:pPr>
    </w:p>
    <w:p w14:paraId="739FD2A6" w14:textId="77777777" w:rsidR="007F54B8" w:rsidRPr="00F963B4" w:rsidRDefault="007F54B8" w:rsidP="007F54B8">
      <w:pPr>
        <w:pStyle w:val="BodyTextIndent"/>
        <w:autoSpaceDE w:val="0"/>
        <w:autoSpaceDN w:val="0"/>
        <w:adjustRightInd w:val="0"/>
        <w:ind w:left="727"/>
        <w:rPr>
          <w:b/>
          <w:bCs/>
          <w:color w:val="000000"/>
          <w:sz w:val="22"/>
          <w:szCs w:val="22"/>
        </w:rPr>
      </w:pPr>
      <w:r w:rsidRPr="0045161A">
        <w:rPr>
          <w:szCs w:val="22"/>
        </w:rPr>
        <w:t xml:space="preserve">*Weighted average market price on date of exercise </w:t>
      </w:r>
      <w:r>
        <w:rPr>
          <w:szCs w:val="22"/>
        </w:rPr>
        <w:t xml:space="preserve">for warrants exercised during the nine-month period ended May 31, 2021 </w:t>
      </w:r>
      <w:r w:rsidRPr="00F30535">
        <w:rPr>
          <w:szCs w:val="22"/>
        </w:rPr>
        <w:t>was $0.26 per share (year ended August 31, 2020 - $0.49 per share).</w:t>
      </w:r>
    </w:p>
    <w:p w14:paraId="55611287" w14:textId="77777777" w:rsidR="007F54B8" w:rsidRPr="00F963B4" w:rsidRDefault="007F54B8" w:rsidP="007F54B8">
      <w:pPr>
        <w:pStyle w:val="BodyTextIndent"/>
        <w:ind w:firstLine="7"/>
        <w:rPr>
          <w:szCs w:val="22"/>
        </w:rPr>
      </w:pPr>
    </w:p>
    <w:tbl>
      <w:tblPr>
        <w:tblW w:w="7097" w:type="dxa"/>
        <w:tblInd w:w="720" w:type="dxa"/>
        <w:tblLayout w:type="fixed"/>
        <w:tblLook w:val="0000" w:firstRow="0" w:lastRow="0" w:firstColumn="0" w:lastColumn="0" w:noHBand="0" w:noVBand="0"/>
      </w:tblPr>
      <w:tblGrid>
        <w:gridCol w:w="1569"/>
        <w:gridCol w:w="1842"/>
        <w:gridCol w:w="1701"/>
        <w:gridCol w:w="1985"/>
      </w:tblGrid>
      <w:tr w:rsidR="007F54B8" w:rsidRPr="002871B1" w14:paraId="30B0FCAA" w14:textId="77777777" w:rsidTr="004238EB">
        <w:tc>
          <w:tcPr>
            <w:tcW w:w="1569" w:type="dxa"/>
          </w:tcPr>
          <w:p w14:paraId="0810B85D" w14:textId="77777777" w:rsidR="007F54B8" w:rsidRPr="00F963B4" w:rsidRDefault="007F54B8" w:rsidP="004238EB">
            <w:pPr>
              <w:ind w:left="46"/>
              <w:jc w:val="right"/>
              <w:rPr>
                <w:b/>
                <w:szCs w:val="22"/>
              </w:rPr>
            </w:pPr>
            <w:r w:rsidRPr="00F963B4">
              <w:rPr>
                <w:b/>
                <w:szCs w:val="22"/>
              </w:rPr>
              <w:t>Number of warrants outstanding</w:t>
            </w:r>
          </w:p>
        </w:tc>
        <w:tc>
          <w:tcPr>
            <w:tcW w:w="1842" w:type="dxa"/>
            <w:vAlign w:val="bottom"/>
          </w:tcPr>
          <w:p w14:paraId="047D69CE" w14:textId="77777777" w:rsidR="007F54B8" w:rsidRPr="00F963B4" w:rsidRDefault="007F54B8" w:rsidP="004238EB">
            <w:pPr>
              <w:ind w:left="46"/>
              <w:jc w:val="right"/>
              <w:rPr>
                <w:b/>
                <w:szCs w:val="22"/>
              </w:rPr>
            </w:pPr>
            <w:r w:rsidRPr="00F963B4">
              <w:rPr>
                <w:b/>
                <w:szCs w:val="22"/>
              </w:rPr>
              <w:t>Weighted average exercise price</w:t>
            </w:r>
          </w:p>
        </w:tc>
        <w:tc>
          <w:tcPr>
            <w:tcW w:w="1701" w:type="dxa"/>
            <w:vAlign w:val="bottom"/>
          </w:tcPr>
          <w:p w14:paraId="5A50C925" w14:textId="77777777" w:rsidR="007F54B8" w:rsidRPr="00F963B4" w:rsidRDefault="007F54B8" w:rsidP="004238EB">
            <w:pPr>
              <w:ind w:left="106"/>
              <w:jc w:val="right"/>
              <w:rPr>
                <w:b/>
                <w:szCs w:val="22"/>
              </w:rPr>
            </w:pPr>
            <w:r w:rsidRPr="00F963B4">
              <w:rPr>
                <w:b/>
                <w:szCs w:val="22"/>
              </w:rPr>
              <w:t>Expiry dates</w:t>
            </w:r>
          </w:p>
        </w:tc>
        <w:tc>
          <w:tcPr>
            <w:tcW w:w="1985" w:type="dxa"/>
            <w:vAlign w:val="bottom"/>
          </w:tcPr>
          <w:p w14:paraId="68416AF4" w14:textId="77777777" w:rsidR="007F54B8" w:rsidRPr="00F963B4" w:rsidRDefault="007F54B8" w:rsidP="004238EB">
            <w:pPr>
              <w:ind w:left="46"/>
              <w:jc w:val="right"/>
              <w:rPr>
                <w:b/>
                <w:szCs w:val="22"/>
              </w:rPr>
            </w:pPr>
            <w:r w:rsidRPr="00F963B4">
              <w:rPr>
                <w:b/>
                <w:szCs w:val="22"/>
              </w:rPr>
              <w:t>Weighted average remaining life (years)</w:t>
            </w:r>
          </w:p>
        </w:tc>
      </w:tr>
      <w:tr w:rsidR="007F54B8" w:rsidRPr="002871B1" w14:paraId="6BB3AABD" w14:textId="77777777" w:rsidTr="004238EB">
        <w:tc>
          <w:tcPr>
            <w:tcW w:w="1569" w:type="dxa"/>
          </w:tcPr>
          <w:p w14:paraId="10D9E06D" w14:textId="77777777" w:rsidR="007F54B8" w:rsidRPr="00F963B4" w:rsidRDefault="007F54B8" w:rsidP="004238EB">
            <w:pPr>
              <w:rPr>
                <w:b/>
                <w:szCs w:val="22"/>
                <w:lang w:val="en-GB"/>
              </w:rPr>
            </w:pPr>
          </w:p>
        </w:tc>
        <w:tc>
          <w:tcPr>
            <w:tcW w:w="1842" w:type="dxa"/>
            <w:vAlign w:val="bottom"/>
          </w:tcPr>
          <w:p w14:paraId="118360D6" w14:textId="77777777" w:rsidR="007F54B8" w:rsidRPr="00F963B4" w:rsidRDefault="007F54B8" w:rsidP="004238EB">
            <w:pPr>
              <w:jc w:val="right"/>
              <w:rPr>
                <w:b/>
                <w:bCs/>
                <w:szCs w:val="22"/>
                <w:lang w:val="en-GB"/>
              </w:rPr>
            </w:pPr>
          </w:p>
        </w:tc>
        <w:tc>
          <w:tcPr>
            <w:tcW w:w="1701" w:type="dxa"/>
            <w:vAlign w:val="bottom"/>
          </w:tcPr>
          <w:p w14:paraId="78269DCC" w14:textId="77777777" w:rsidR="007F54B8" w:rsidRPr="00F963B4" w:rsidRDefault="007F54B8" w:rsidP="004238EB">
            <w:pPr>
              <w:jc w:val="right"/>
              <w:rPr>
                <w:b/>
                <w:bCs/>
                <w:szCs w:val="22"/>
                <w:lang w:val="en-GB"/>
              </w:rPr>
            </w:pPr>
          </w:p>
        </w:tc>
        <w:tc>
          <w:tcPr>
            <w:tcW w:w="1985" w:type="dxa"/>
            <w:vAlign w:val="bottom"/>
          </w:tcPr>
          <w:p w14:paraId="7C8093D1" w14:textId="77777777" w:rsidR="007F54B8" w:rsidRPr="00F963B4" w:rsidRDefault="007F54B8" w:rsidP="004238EB">
            <w:pPr>
              <w:jc w:val="right"/>
              <w:rPr>
                <w:b/>
                <w:bCs/>
                <w:szCs w:val="22"/>
                <w:lang w:val="en-GB"/>
              </w:rPr>
            </w:pPr>
          </w:p>
        </w:tc>
      </w:tr>
      <w:tr w:rsidR="007F54B8" w:rsidRPr="002871B1" w14:paraId="015B8E2B" w14:textId="77777777" w:rsidTr="004238EB">
        <w:tc>
          <w:tcPr>
            <w:tcW w:w="1569" w:type="dxa"/>
          </w:tcPr>
          <w:p w14:paraId="66AA1190" w14:textId="77777777" w:rsidR="007F54B8" w:rsidRPr="00F963B4" w:rsidRDefault="007F54B8" w:rsidP="004238EB">
            <w:pPr>
              <w:tabs>
                <w:tab w:val="left" w:pos="162"/>
              </w:tabs>
              <w:jc w:val="right"/>
              <w:rPr>
                <w:b/>
                <w:szCs w:val="22"/>
                <w:lang w:val="en-GB"/>
              </w:rPr>
            </w:pPr>
            <w:r>
              <w:rPr>
                <w:szCs w:val="22"/>
                <w:lang w:eastAsia="ko-KR"/>
              </w:rPr>
              <w:t>48,650</w:t>
            </w:r>
          </w:p>
        </w:tc>
        <w:tc>
          <w:tcPr>
            <w:tcW w:w="1842" w:type="dxa"/>
            <w:vAlign w:val="bottom"/>
          </w:tcPr>
          <w:p w14:paraId="2570B9B9" w14:textId="77777777" w:rsidR="007F54B8" w:rsidRPr="00F963B4" w:rsidRDefault="007F54B8" w:rsidP="004238EB">
            <w:pPr>
              <w:jc w:val="right"/>
              <w:rPr>
                <w:b/>
                <w:bCs/>
                <w:szCs w:val="22"/>
                <w:lang w:val="en-GB"/>
              </w:rPr>
            </w:pPr>
            <w:r w:rsidRPr="00F963B4">
              <w:rPr>
                <w:szCs w:val="22"/>
                <w:lang w:eastAsia="ko-KR"/>
              </w:rPr>
              <w:t>$0.10</w:t>
            </w:r>
          </w:p>
        </w:tc>
        <w:tc>
          <w:tcPr>
            <w:tcW w:w="1701" w:type="dxa"/>
            <w:vAlign w:val="bottom"/>
          </w:tcPr>
          <w:p w14:paraId="7091C412" w14:textId="77777777" w:rsidR="007F54B8" w:rsidRPr="00F963B4" w:rsidRDefault="007F54B8" w:rsidP="004238EB">
            <w:pPr>
              <w:jc w:val="right"/>
              <w:rPr>
                <w:b/>
                <w:bCs/>
                <w:szCs w:val="22"/>
                <w:lang w:val="en-GB"/>
              </w:rPr>
            </w:pPr>
            <w:r w:rsidRPr="00F963B4">
              <w:rPr>
                <w:szCs w:val="22"/>
                <w:lang w:eastAsia="ko-KR"/>
              </w:rPr>
              <w:t>June 11, 2021</w:t>
            </w:r>
          </w:p>
        </w:tc>
        <w:tc>
          <w:tcPr>
            <w:tcW w:w="1985" w:type="dxa"/>
            <w:vAlign w:val="bottom"/>
          </w:tcPr>
          <w:p w14:paraId="231BECE3" w14:textId="77777777" w:rsidR="007F54B8" w:rsidRPr="00F963B4" w:rsidRDefault="007F54B8" w:rsidP="004238EB">
            <w:pPr>
              <w:jc w:val="right"/>
              <w:rPr>
                <w:b/>
                <w:bCs/>
                <w:szCs w:val="22"/>
                <w:lang w:val="en-GB"/>
              </w:rPr>
            </w:pPr>
            <w:r>
              <w:rPr>
                <w:szCs w:val="22"/>
                <w:lang w:eastAsia="ko-KR"/>
              </w:rPr>
              <w:t>0.03</w:t>
            </w:r>
          </w:p>
        </w:tc>
      </w:tr>
      <w:tr w:rsidR="007F54B8" w:rsidRPr="002871B1" w14:paraId="61FFCEA7" w14:textId="77777777" w:rsidTr="004238EB">
        <w:tc>
          <w:tcPr>
            <w:tcW w:w="1569" w:type="dxa"/>
            <w:tcBorders>
              <w:bottom w:val="single" w:sz="12" w:space="0" w:color="auto"/>
            </w:tcBorders>
          </w:tcPr>
          <w:p w14:paraId="3069C8F6" w14:textId="77777777" w:rsidR="007F54B8" w:rsidRPr="00F963B4" w:rsidRDefault="007F54B8" w:rsidP="004238EB">
            <w:pPr>
              <w:tabs>
                <w:tab w:val="left" w:pos="162"/>
              </w:tabs>
              <w:jc w:val="right"/>
              <w:rPr>
                <w:szCs w:val="22"/>
                <w:lang w:eastAsia="ko-KR"/>
              </w:rPr>
            </w:pPr>
            <w:r>
              <w:rPr>
                <w:szCs w:val="22"/>
                <w:lang w:eastAsia="ko-KR"/>
              </w:rPr>
              <w:t>3,378,056</w:t>
            </w:r>
          </w:p>
        </w:tc>
        <w:tc>
          <w:tcPr>
            <w:tcW w:w="1842" w:type="dxa"/>
            <w:tcBorders>
              <w:bottom w:val="single" w:sz="12" w:space="0" w:color="auto"/>
            </w:tcBorders>
            <w:vAlign w:val="bottom"/>
          </w:tcPr>
          <w:p w14:paraId="654F47D4" w14:textId="77777777" w:rsidR="007F54B8" w:rsidRPr="00F963B4" w:rsidRDefault="007F54B8" w:rsidP="004238EB">
            <w:pPr>
              <w:jc w:val="right"/>
              <w:rPr>
                <w:szCs w:val="22"/>
                <w:lang w:eastAsia="ko-KR"/>
              </w:rPr>
            </w:pPr>
            <w:r w:rsidRPr="00F963B4">
              <w:rPr>
                <w:szCs w:val="22"/>
                <w:lang w:eastAsia="ko-KR"/>
              </w:rPr>
              <w:t>$0.</w:t>
            </w:r>
            <w:r>
              <w:rPr>
                <w:szCs w:val="22"/>
                <w:lang w:eastAsia="ko-KR"/>
              </w:rPr>
              <w:t>30</w:t>
            </w:r>
          </w:p>
        </w:tc>
        <w:tc>
          <w:tcPr>
            <w:tcW w:w="1701" w:type="dxa"/>
            <w:tcBorders>
              <w:bottom w:val="single" w:sz="12" w:space="0" w:color="auto"/>
            </w:tcBorders>
            <w:vAlign w:val="bottom"/>
          </w:tcPr>
          <w:p w14:paraId="2D8379C7" w14:textId="77777777" w:rsidR="007F54B8" w:rsidRPr="00F963B4" w:rsidRDefault="007F54B8" w:rsidP="004238EB">
            <w:pPr>
              <w:ind w:left="-107"/>
              <w:jc w:val="right"/>
              <w:rPr>
                <w:szCs w:val="22"/>
                <w:lang w:val="en-GB" w:eastAsia="ko-KR"/>
              </w:rPr>
            </w:pPr>
            <w:r>
              <w:rPr>
                <w:szCs w:val="22"/>
                <w:lang w:eastAsia="ko-KR"/>
              </w:rPr>
              <w:t>August 3, 2021</w:t>
            </w:r>
          </w:p>
        </w:tc>
        <w:tc>
          <w:tcPr>
            <w:tcW w:w="1985" w:type="dxa"/>
            <w:tcBorders>
              <w:bottom w:val="single" w:sz="12" w:space="0" w:color="auto"/>
            </w:tcBorders>
            <w:vAlign w:val="bottom"/>
          </w:tcPr>
          <w:p w14:paraId="27E39CB7" w14:textId="77777777" w:rsidR="007F54B8" w:rsidRPr="00F963B4" w:rsidRDefault="007F54B8" w:rsidP="004238EB">
            <w:pPr>
              <w:jc w:val="right"/>
              <w:rPr>
                <w:szCs w:val="22"/>
                <w:lang w:eastAsia="ko-KR"/>
              </w:rPr>
            </w:pPr>
            <w:r>
              <w:rPr>
                <w:szCs w:val="22"/>
                <w:lang w:eastAsia="ko-KR"/>
              </w:rPr>
              <w:t>0.18</w:t>
            </w:r>
          </w:p>
        </w:tc>
      </w:tr>
    </w:tbl>
    <w:p w14:paraId="2DA7C305" w14:textId="77777777" w:rsidR="007F54B8" w:rsidRPr="002871B1" w:rsidRDefault="007F54B8" w:rsidP="007F54B8">
      <w:pPr>
        <w:autoSpaceDE w:val="0"/>
        <w:autoSpaceDN w:val="0"/>
        <w:adjustRightInd w:val="0"/>
        <w:ind w:left="720"/>
        <w:jc w:val="both"/>
        <w:rPr>
          <w:szCs w:val="22"/>
        </w:rPr>
      </w:pPr>
    </w:p>
    <w:p w14:paraId="17F1754E" w14:textId="77777777" w:rsidR="007F54B8" w:rsidRPr="00A5743B" w:rsidRDefault="007F54B8" w:rsidP="001B68AD">
      <w:pPr>
        <w:pStyle w:val="ListParagraph"/>
        <w:keepNext/>
        <w:keepLines/>
        <w:numPr>
          <w:ilvl w:val="0"/>
          <w:numId w:val="12"/>
        </w:numPr>
        <w:tabs>
          <w:tab w:val="clear" w:pos="720"/>
          <w:tab w:val="num" w:pos="360"/>
        </w:tabs>
        <w:autoSpaceDE w:val="0"/>
        <w:autoSpaceDN w:val="0"/>
        <w:adjustRightInd w:val="0"/>
        <w:jc w:val="both"/>
        <w:rPr>
          <w:rFonts w:ascii="Times New Roman" w:hAnsi="Times New Roman"/>
          <w:b/>
          <w:bCs/>
          <w:color w:val="FF0000"/>
          <w:szCs w:val="22"/>
        </w:rPr>
      </w:pPr>
      <w:r w:rsidRPr="00A5743B">
        <w:rPr>
          <w:rFonts w:ascii="Times New Roman" w:hAnsi="Times New Roman"/>
          <w:b/>
          <w:bCs/>
          <w:szCs w:val="22"/>
        </w:rPr>
        <w:t>RELATED PARTY TRANSACTIONS</w:t>
      </w:r>
    </w:p>
    <w:p w14:paraId="252DE6B0" w14:textId="77777777" w:rsidR="007F54B8" w:rsidRPr="002871B1" w:rsidRDefault="007F54B8" w:rsidP="007F54B8">
      <w:pPr>
        <w:keepNext/>
        <w:keepLines/>
        <w:autoSpaceDE w:val="0"/>
        <w:autoSpaceDN w:val="0"/>
        <w:adjustRightInd w:val="0"/>
        <w:ind w:left="720"/>
        <w:jc w:val="both"/>
        <w:rPr>
          <w:b/>
          <w:bCs/>
          <w:color w:val="000000"/>
          <w:szCs w:val="22"/>
        </w:rPr>
      </w:pPr>
    </w:p>
    <w:p w14:paraId="6CF7AE00" w14:textId="77777777" w:rsidR="007F54B8" w:rsidRPr="002871B1" w:rsidRDefault="007F54B8" w:rsidP="007F54B8">
      <w:pPr>
        <w:pStyle w:val="NTitleB"/>
        <w:keepNext w:val="0"/>
        <w:keepLines w:val="0"/>
        <w:widowControl/>
        <w:tabs>
          <w:tab w:val="clear" w:pos="576"/>
          <w:tab w:val="left" w:pos="360"/>
        </w:tabs>
        <w:spacing w:before="0"/>
        <w:ind w:left="360" w:firstLine="0"/>
        <w:jc w:val="both"/>
        <w:rPr>
          <w:rFonts w:ascii="Times New Roman" w:hAnsi="Times New Roman" w:cs="Times New Roman"/>
          <w:b w:val="0"/>
          <w:sz w:val="22"/>
          <w:szCs w:val="22"/>
        </w:rPr>
      </w:pPr>
      <w:r w:rsidRPr="002871B1">
        <w:rPr>
          <w:rFonts w:ascii="Times New Roman" w:hAnsi="Times New Roman" w:cs="Times New Roman"/>
          <w:b w:val="0"/>
          <w:sz w:val="22"/>
          <w:szCs w:val="22"/>
        </w:rPr>
        <w:t>Key management personnel include persons having the authority and responsibility for planning, directing and controlling the activities of the Company as a whole. The Company has determined that key management personnel consist of executive and non-executive members of the Board of Directors and corporate officers.</w:t>
      </w:r>
    </w:p>
    <w:p w14:paraId="74DB1B73" w14:textId="77777777" w:rsidR="007F54B8" w:rsidRPr="002871B1" w:rsidRDefault="007F54B8" w:rsidP="007F54B8">
      <w:pPr>
        <w:pStyle w:val="NTitleB"/>
        <w:keepNext w:val="0"/>
        <w:keepLines w:val="0"/>
        <w:widowControl/>
        <w:tabs>
          <w:tab w:val="clear" w:pos="576"/>
        </w:tabs>
        <w:spacing w:before="0"/>
        <w:ind w:left="360" w:firstLine="0"/>
        <w:jc w:val="both"/>
        <w:rPr>
          <w:rFonts w:ascii="Times New Roman" w:hAnsi="Times New Roman" w:cs="Times New Roman"/>
          <w:b w:val="0"/>
          <w:sz w:val="22"/>
          <w:szCs w:val="22"/>
        </w:rPr>
      </w:pPr>
    </w:p>
    <w:p w14:paraId="14B908E2" w14:textId="77777777" w:rsidR="007F54B8" w:rsidRPr="002871B1" w:rsidRDefault="007F54B8" w:rsidP="007F54B8">
      <w:pPr>
        <w:pStyle w:val="NTitleB"/>
        <w:keepNext w:val="0"/>
        <w:keepLines w:val="0"/>
        <w:widowControl/>
        <w:tabs>
          <w:tab w:val="clear" w:pos="576"/>
        </w:tabs>
        <w:spacing w:before="0"/>
        <w:ind w:left="360" w:firstLine="0"/>
        <w:jc w:val="both"/>
        <w:rPr>
          <w:rFonts w:ascii="Times New Roman" w:hAnsi="Times New Roman" w:cs="Times New Roman"/>
          <w:b w:val="0"/>
          <w:color w:val="auto"/>
          <w:sz w:val="22"/>
          <w:szCs w:val="22"/>
        </w:rPr>
      </w:pPr>
      <w:r w:rsidRPr="002871B1">
        <w:rPr>
          <w:rFonts w:ascii="Times New Roman" w:hAnsi="Times New Roman" w:cs="Times New Roman"/>
          <w:b w:val="0"/>
          <w:color w:val="auto"/>
          <w:sz w:val="22"/>
          <w:szCs w:val="22"/>
        </w:rPr>
        <w:t xml:space="preserve">During the </w:t>
      </w:r>
      <w:r>
        <w:rPr>
          <w:rFonts w:ascii="Times New Roman" w:hAnsi="Times New Roman" w:cs="Times New Roman"/>
          <w:b w:val="0"/>
          <w:color w:val="auto"/>
          <w:sz w:val="22"/>
          <w:szCs w:val="22"/>
        </w:rPr>
        <w:t>nine-</w:t>
      </w:r>
      <w:r w:rsidRPr="002871B1">
        <w:rPr>
          <w:rFonts w:ascii="Times New Roman" w:hAnsi="Times New Roman" w:cs="Times New Roman"/>
          <w:b w:val="0"/>
          <w:color w:val="auto"/>
          <w:sz w:val="22"/>
          <w:szCs w:val="22"/>
        </w:rPr>
        <w:t>month period ended May 31, 202</w:t>
      </w:r>
      <w:r>
        <w:rPr>
          <w:rFonts w:ascii="Times New Roman" w:hAnsi="Times New Roman" w:cs="Times New Roman"/>
          <w:b w:val="0"/>
          <w:color w:val="auto"/>
          <w:sz w:val="22"/>
          <w:szCs w:val="22"/>
        </w:rPr>
        <w:t>1</w:t>
      </w:r>
      <w:r w:rsidRPr="002871B1">
        <w:rPr>
          <w:rFonts w:ascii="Times New Roman" w:hAnsi="Times New Roman" w:cs="Times New Roman"/>
          <w:b w:val="0"/>
          <w:color w:val="auto"/>
          <w:sz w:val="22"/>
          <w:szCs w:val="22"/>
        </w:rPr>
        <w:t xml:space="preserve">, the Company </w:t>
      </w:r>
      <w:r w:rsidRPr="00AC5915">
        <w:rPr>
          <w:rFonts w:ascii="Times New Roman" w:hAnsi="Times New Roman" w:cs="Times New Roman"/>
          <w:b w:val="0"/>
          <w:color w:val="auto"/>
          <w:sz w:val="22"/>
          <w:szCs w:val="22"/>
        </w:rPr>
        <w:t>incurred $</w:t>
      </w:r>
      <w:r>
        <w:rPr>
          <w:rFonts w:ascii="Times New Roman" w:hAnsi="Times New Roman" w:cs="Times New Roman"/>
          <w:b w:val="0"/>
          <w:color w:val="auto"/>
          <w:sz w:val="22"/>
          <w:szCs w:val="22"/>
        </w:rPr>
        <w:t>108</w:t>
      </w:r>
      <w:r w:rsidRPr="00AC5915">
        <w:rPr>
          <w:rFonts w:ascii="Times New Roman" w:hAnsi="Times New Roman" w:cs="Times New Roman"/>
          <w:b w:val="0"/>
          <w:color w:val="auto"/>
          <w:sz w:val="22"/>
          <w:szCs w:val="22"/>
        </w:rPr>
        <w:t>,000</w:t>
      </w:r>
      <w:r w:rsidRPr="00BD326C">
        <w:rPr>
          <w:rFonts w:ascii="Times New Roman" w:hAnsi="Times New Roman" w:cs="Times New Roman"/>
          <w:b w:val="0"/>
          <w:color w:val="auto"/>
          <w:sz w:val="22"/>
          <w:szCs w:val="22"/>
        </w:rPr>
        <w:t xml:space="preserve"> (20</w:t>
      </w:r>
      <w:r>
        <w:rPr>
          <w:rFonts w:ascii="Times New Roman" w:hAnsi="Times New Roman" w:cs="Times New Roman"/>
          <w:b w:val="0"/>
          <w:color w:val="auto"/>
          <w:sz w:val="22"/>
          <w:szCs w:val="22"/>
        </w:rPr>
        <w:t>20</w:t>
      </w:r>
      <w:r w:rsidRPr="00BD326C">
        <w:rPr>
          <w:rFonts w:ascii="Times New Roman" w:hAnsi="Times New Roman" w:cs="Times New Roman"/>
          <w:b w:val="0"/>
          <w:color w:val="auto"/>
          <w:sz w:val="22"/>
          <w:szCs w:val="22"/>
        </w:rPr>
        <w:t xml:space="preserve"> - $</w:t>
      </w:r>
      <w:r>
        <w:rPr>
          <w:rFonts w:ascii="Times New Roman" w:hAnsi="Times New Roman" w:cs="Times New Roman"/>
          <w:b w:val="0"/>
          <w:color w:val="auto"/>
          <w:sz w:val="22"/>
          <w:szCs w:val="22"/>
        </w:rPr>
        <w:t xml:space="preserve">45,000) in consulting fees with the officers of the Company. As at May 31, 2021, the total outstanding payables to related parties </w:t>
      </w:r>
      <w:r w:rsidRPr="000151B3">
        <w:rPr>
          <w:rFonts w:ascii="Times New Roman" w:hAnsi="Times New Roman" w:cs="Times New Roman"/>
          <w:b w:val="0"/>
          <w:color w:val="auto"/>
          <w:sz w:val="22"/>
          <w:szCs w:val="22"/>
        </w:rPr>
        <w:t>is $nil</w:t>
      </w:r>
      <w:r>
        <w:rPr>
          <w:rFonts w:ascii="Times New Roman" w:hAnsi="Times New Roman" w:cs="Times New Roman"/>
          <w:b w:val="0"/>
          <w:color w:val="auto"/>
          <w:sz w:val="22"/>
          <w:szCs w:val="22"/>
        </w:rPr>
        <w:t xml:space="preserve"> (August 31, 2020 - $3,150 due from)</w:t>
      </w:r>
    </w:p>
    <w:p w14:paraId="1996948E" w14:textId="77777777" w:rsidR="007F54B8" w:rsidRDefault="007F54B8" w:rsidP="007F54B8">
      <w:pPr>
        <w:pStyle w:val="NTitleB"/>
        <w:keepNext w:val="0"/>
        <w:keepLines w:val="0"/>
        <w:widowControl/>
        <w:tabs>
          <w:tab w:val="clear" w:pos="576"/>
        </w:tabs>
        <w:spacing w:before="0"/>
        <w:ind w:left="360" w:firstLine="0"/>
        <w:jc w:val="both"/>
        <w:rPr>
          <w:rFonts w:ascii="Times New Roman" w:hAnsi="Times New Roman" w:cs="Times New Roman"/>
          <w:b w:val="0"/>
          <w:sz w:val="22"/>
          <w:szCs w:val="22"/>
        </w:rPr>
      </w:pPr>
    </w:p>
    <w:p w14:paraId="15594958" w14:textId="77777777" w:rsidR="007F54B8" w:rsidRDefault="007F54B8" w:rsidP="007F54B8">
      <w:pPr>
        <w:pStyle w:val="NTitleB"/>
        <w:keepNext w:val="0"/>
        <w:keepLines w:val="0"/>
        <w:widowControl/>
        <w:tabs>
          <w:tab w:val="clear" w:pos="576"/>
        </w:tabs>
        <w:spacing w:before="0"/>
        <w:ind w:left="0" w:firstLine="0"/>
        <w:jc w:val="both"/>
        <w:rPr>
          <w:rFonts w:ascii="Times New Roman" w:hAnsi="Times New Roman" w:cs="Times New Roman"/>
          <w:b w:val="0"/>
          <w:sz w:val="22"/>
          <w:szCs w:val="22"/>
        </w:rPr>
      </w:pPr>
    </w:p>
    <w:p w14:paraId="1D5F5F4E" w14:textId="77777777" w:rsidR="007F54B8" w:rsidRDefault="007F54B8" w:rsidP="007F54B8">
      <w:pPr>
        <w:pStyle w:val="NTitleB"/>
        <w:keepNext w:val="0"/>
        <w:keepLines w:val="0"/>
        <w:widowControl/>
        <w:tabs>
          <w:tab w:val="clear" w:pos="576"/>
        </w:tabs>
        <w:spacing w:before="0"/>
        <w:ind w:left="360" w:firstLine="0"/>
        <w:jc w:val="both"/>
        <w:rPr>
          <w:rFonts w:ascii="Times New Roman" w:hAnsi="Times New Roman" w:cs="Times New Roman"/>
          <w:b w:val="0"/>
          <w:color w:val="auto"/>
          <w:sz w:val="22"/>
          <w:szCs w:val="22"/>
        </w:rPr>
      </w:pPr>
      <w:r w:rsidRPr="002871B1">
        <w:rPr>
          <w:rFonts w:ascii="Times New Roman" w:hAnsi="Times New Roman" w:cs="Times New Roman"/>
          <w:b w:val="0"/>
          <w:sz w:val="22"/>
          <w:szCs w:val="22"/>
        </w:rPr>
        <w:t xml:space="preserve">On April 10, 2019, the Company entered into a loan agreement with the CEO of the Company for $20,000. The loan bears interest at 5% per annum, due July 10, 2019 and subsequently extended to March 31, 2020 and again to May 31, 2020. </w:t>
      </w:r>
      <w:r>
        <w:rPr>
          <w:rFonts w:ascii="Times New Roman" w:hAnsi="Times New Roman" w:cs="Times New Roman"/>
          <w:b w:val="0"/>
          <w:sz w:val="22"/>
          <w:szCs w:val="22"/>
        </w:rPr>
        <w:t>During the nine-month period ended May 31, 2020, the Company repaid $10,395 of the loan balance and accrued interest. The remaining $10,000 was settled through the issuance of common shares during the three-month period ended August 31, 2020.</w:t>
      </w:r>
    </w:p>
    <w:p w14:paraId="6ED7FEDC" w14:textId="77777777" w:rsidR="007F54B8" w:rsidRDefault="007F54B8" w:rsidP="007F54B8">
      <w:pPr>
        <w:rPr>
          <w:b/>
          <w:bCs/>
          <w:color w:val="000000"/>
          <w:szCs w:val="22"/>
        </w:rPr>
      </w:pPr>
    </w:p>
    <w:p w14:paraId="6F5941B8" w14:textId="77777777" w:rsidR="007F54B8" w:rsidRPr="00F963B4" w:rsidRDefault="007F54B8" w:rsidP="001B68AD">
      <w:pPr>
        <w:pStyle w:val="ListParagraph"/>
        <w:keepNext/>
        <w:keepLines/>
        <w:numPr>
          <w:ilvl w:val="0"/>
          <w:numId w:val="18"/>
        </w:numPr>
        <w:autoSpaceDE w:val="0"/>
        <w:autoSpaceDN w:val="0"/>
        <w:adjustRightInd w:val="0"/>
        <w:ind w:left="360" w:hanging="360"/>
        <w:jc w:val="both"/>
        <w:rPr>
          <w:rFonts w:ascii="Times New Roman" w:hAnsi="Times New Roman"/>
          <w:b/>
          <w:bCs/>
          <w:color w:val="000000"/>
          <w:szCs w:val="22"/>
        </w:rPr>
      </w:pPr>
      <w:r>
        <w:rPr>
          <w:rFonts w:ascii="Times New Roman" w:hAnsi="Times New Roman"/>
          <w:b/>
          <w:bCs/>
          <w:color w:val="000000"/>
          <w:szCs w:val="22"/>
        </w:rPr>
        <w:t xml:space="preserve">FINANCIAL INSTRUMENTS AND </w:t>
      </w:r>
      <w:r w:rsidRPr="00F963B4">
        <w:rPr>
          <w:rFonts w:ascii="Times New Roman" w:hAnsi="Times New Roman"/>
          <w:b/>
          <w:bCs/>
          <w:color w:val="000000"/>
          <w:szCs w:val="22"/>
        </w:rPr>
        <w:t>RISK MANAGEMENT</w:t>
      </w:r>
    </w:p>
    <w:p w14:paraId="4E3B1D2A" w14:textId="77777777" w:rsidR="007F54B8" w:rsidRPr="003A4A87" w:rsidRDefault="007F54B8" w:rsidP="007F54B8">
      <w:pPr>
        <w:pStyle w:val="ListParagraph"/>
        <w:keepNext/>
        <w:keepLines/>
        <w:autoSpaceDE w:val="0"/>
        <w:autoSpaceDN w:val="0"/>
        <w:adjustRightInd w:val="0"/>
        <w:ind w:left="360"/>
        <w:jc w:val="both"/>
        <w:rPr>
          <w:b/>
        </w:rPr>
      </w:pPr>
    </w:p>
    <w:p w14:paraId="4CDAAEB2" w14:textId="77777777" w:rsidR="007F54B8" w:rsidRPr="00F963B4" w:rsidRDefault="007F54B8" w:rsidP="001B68AD">
      <w:pPr>
        <w:pStyle w:val="Nbodyindentinput"/>
        <w:widowControl/>
        <w:numPr>
          <w:ilvl w:val="1"/>
          <w:numId w:val="6"/>
        </w:numPr>
        <w:tabs>
          <w:tab w:val="clear" w:pos="1287"/>
        </w:tabs>
        <w:spacing w:before="0"/>
        <w:ind w:left="720" w:hanging="360"/>
        <w:jc w:val="left"/>
        <w:rPr>
          <w:rFonts w:ascii="Times New Roman" w:hAnsi="Times New Roman" w:cs="Times New Roman"/>
          <w:sz w:val="22"/>
          <w:szCs w:val="22"/>
        </w:rPr>
      </w:pPr>
      <w:r w:rsidRPr="00F963B4">
        <w:rPr>
          <w:rFonts w:ascii="Times New Roman" w:hAnsi="Times New Roman" w:cs="Times New Roman"/>
          <w:sz w:val="22"/>
          <w:szCs w:val="22"/>
        </w:rPr>
        <w:t xml:space="preserve">Credit risk </w:t>
      </w:r>
    </w:p>
    <w:p w14:paraId="7C6CC5B7" w14:textId="77777777" w:rsidR="007F54B8" w:rsidRPr="00F963B4" w:rsidRDefault="007F54B8" w:rsidP="007F54B8">
      <w:pPr>
        <w:pStyle w:val="Default"/>
        <w:ind w:left="720"/>
        <w:jc w:val="both"/>
        <w:rPr>
          <w:rFonts w:ascii="Times New Roman" w:hAnsi="Times New Roman" w:cs="Times New Roman"/>
          <w:sz w:val="22"/>
          <w:szCs w:val="22"/>
        </w:rPr>
      </w:pPr>
    </w:p>
    <w:p w14:paraId="73EA02A0" w14:textId="77777777" w:rsidR="007F54B8" w:rsidRPr="00F963B4" w:rsidRDefault="007F54B8" w:rsidP="007F54B8">
      <w:pPr>
        <w:pStyle w:val="BodyTextIndent"/>
        <w:autoSpaceDE w:val="0"/>
        <w:autoSpaceDN w:val="0"/>
        <w:adjustRightInd w:val="0"/>
        <w:rPr>
          <w:sz w:val="22"/>
          <w:szCs w:val="22"/>
        </w:rPr>
      </w:pPr>
      <w:r w:rsidRPr="00F963B4">
        <w:rPr>
          <w:sz w:val="22"/>
          <w:szCs w:val="22"/>
        </w:rPr>
        <w:t>Credit risk is the risk that one party to a financial instrument will cause a financial loss for the other party by failing to discharge an obligation. Credit risk for the Company is associated with its cash</w:t>
      </w:r>
      <w:r>
        <w:rPr>
          <w:sz w:val="22"/>
          <w:szCs w:val="22"/>
        </w:rPr>
        <w:t xml:space="preserve"> and receivables (net GST)</w:t>
      </w:r>
      <w:r w:rsidRPr="00F963B4">
        <w:rPr>
          <w:sz w:val="22"/>
          <w:szCs w:val="22"/>
        </w:rPr>
        <w:t>. The Company is not exposed to significant credit risk as its cash is placed with a major Canadian financial institution</w:t>
      </w:r>
      <w:r>
        <w:rPr>
          <w:sz w:val="22"/>
          <w:szCs w:val="22"/>
        </w:rPr>
        <w:t xml:space="preserve"> and the receivables of $11,435 are current and subsequently received in June 2021.</w:t>
      </w:r>
    </w:p>
    <w:p w14:paraId="7373ABC8" w14:textId="77777777" w:rsidR="007F54B8" w:rsidRPr="00F963B4" w:rsidRDefault="007F54B8" w:rsidP="007F54B8">
      <w:pPr>
        <w:pStyle w:val="NTitleB"/>
        <w:keepNext w:val="0"/>
        <w:keepLines w:val="0"/>
        <w:widowControl/>
        <w:tabs>
          <w:tab w:val="clear" w:pos="576"/>
        </w:tabs>
        <w:spacing w:before="0"/>
        <w:ind w:left="288" w:firstLine="0"/>
        <w:jc w:val="both"/>
        <w:rPr>
          <w:rFonts w:ascii="Times New Roman" w:hAnsi="Times New Roman" w:cs="Times New Roman"/>
          <w:b w:val="0"/>
          <w:sz w:val="22"/>
          <w:szCs w:val="22"/>
        </w:rPr>
      </w:pPr>
    </w:p>
    <w:p w14:paraId="37921B02" w14:textId="77777777" w:rsidR="007F54B8" w:rsidRPr="00F963B4" w:rsidRDefault="007F54B8" w:rsidP="001B68AD">
      <w:pPr>
        <w:pStyle w:val="Nbodyindentinput"/>
        <w:widowControl/>
        <w:numPr>
          <w:ilvl w:val="1"/>
          <w:numId w:val="6"/>
        </w:numPr>
        <w:tabs>
          <w:tab w:val="clear" w:pos="1287"/>
        </w:tabs>
        <w:spacing w:before="0"/>
        <w:ind w:left="720" w:hanging="360"/>
        <w:jc w:val="left"/>
        <w:rPr>
          <w:rFonts w:ascii="Times New Roman" w:hAnsi="Times New Roman" w:cs="Times New Roman"/>
          <w:b/>
          <w:bCs/>
          <w:sz w:val="22"/>
          <w:szCs w:val="22"/>
        </w:rPr>
      </w:pPr>
      <w:r w:rsidRPr="00F963B4">
        <w:rPr>
          <w:rFonts w:ascii="Times New Roman" w:hAnsi="Times New Roman" w:cs="Times New Roman"/>
          <w:sz w:val="22"/>
          <w:szCs w:val="22"/>
        </w:rPr>
        <w:t>Liquidity risk</w:t>
      </w:r>
    </w:p>
    <w:p w14:paraId="7B22DF3C" w14:textId="77777777" w:rsidR="007F54B8" w:rsidRPr="00F963B4" w:rsidRDefault="007F54B8" w:rsidP="007F54B8">
      <w:pPr>
        <w:pStyle w:val="Default"/>
        <w:ind w:left="720"/>
        <w:jc w:val="both"/>
        <w:rPr>
          <w:rFonts w:ascii="Times New Roman" w:hAnsi="Times New Roman" w:cs="Times New Roman"/>
          <w:sz w:val="22"/>
          <w:szCs w:val="22"/>
        </w:rPr>
      </w:pPr>
    </w:p>
    <w:p w14:paraId="03DAF3E4" w14:textId="77777777" w:rsidR="007F54B8" w:rsidRPr="00F963B4" w:rsidRDefault="007F54B8" w:rsidP="007F54B8">
      <w:pPr>
        <w:pStyle w:val="BodyTextIndent"/>
        <w:autoSpaceDE w:val="0"/>
        <w:autoSpaceDN w:val="0"/>
        <w:adjustRightInd w:val="0"/>
        <w:rPr>
          <w:sz w:val="22"/>
          <w:szCs w:val="22"/>
        </w:rPr>
      </w:pPr>
      <w:r w:rsidRPr="00F963B4">
        <w:rPr>
          <w:sz w:val="22"/>
          <w:szCs w:val="22"/>
        </w:rPr>
        <w:t>Liquidity risk is the risk that the Company will encounter difficulty in meeting obligations associated with financial liabilities that are settled by delivering cash or another financial asset. The Company is not exposed to significant liquidity risk.</w:t>
      </w:r>
    </w:p>
    <w:p w14:paraId="01CB254F" w14:textId="77777777" w:rsidR="007F54B8" w:rsidRPr="00F963B4" w:rsidRDefault="007F54B8" w:rsidP="007F54B8">
      <w:pPr>
        <w:pStyle w:val="BodyTextIndent"/>
        <w:autoSpaceDE w:val="0"/>
        <w:autoSpaceDN w:val="0"/>
        <w:adjustRightInd w:val="0"/>
        <w:rPr>
          <w:sz w:val="22"/>
          <w:szCs w:val="22"/>
        </w:rPr>
      </w:pPr>
    </w:p>
    <w:p w14:paraId="6962F301" w14:textId="77777777" w:rsidR="007F54B8" w:rsidRPr="00F963B4" w:rsidRDefault="007F54B8" w:rsidP="007F54B8">
      <w:pPr>
        <w:pStyle w:val="BodyTextIndent"/>
        <w:autoSpaceDE w:val="0"/>
        <w:autoSpaceDN w:val="0"/>
        <w:adjustRightInd w:val="0"/>
        <w:rPr>
          <w:sz w:val="22"/>
          <w:szCs w:val="22"/>
        </w:rPr>
      </w:pPr>
      <w:r w:rsidRPr="00F963B4">
        <w:rPr>
          <w:sz w:val="22"/>
          <w:szCs w:val="22"/>
        </w:rPr>
        <w:t xml:space="preserve">As at </w:t>
      </w:r>
      <w:r>
        <w:rPr>
          <w:sz w:val="22"/>
          <w:szCs w:val="22"/>
        </w:rPr>
        <w:t>May 31, 2021</w:t>
      </w:r>
      <w:r w:rsidRPr="00F963B4">
        <w:rPr>
          <w:sz w:val="22"/>
          <w:szCs w:val="22"/>
        </w:rPr>
        <w:t>, the Company has cash of $</w:t>
      </w:r>
      <w:r>
        <w:rPr>
          <w:sz w:val="22"/>
          <w:szCs w:val="22"/>
        </w:rPr>
        <w:t>336,094</w:t>
      </w:r>
      <w:r w:rsidRPr="00F963B4">
        <w:rPr>
          <w:sz w:val="22"/>
          <w:szCs w:val="22"/>
        </w:rPr>
        <w:t xml:space="preserve"> (</w:t>
      </w:r>
      <w:r>
        <w:rPr>
          <w:sz w:val="22"/>
          <w:szCs w:val="22"/>
        </w:rPr>
        <w:t xml:space="preserve">August 31, </w:t>
      </w:r>
      <w:r w:rsidRPr="00F963B4">
        <w:rPr>
          <w:sz w:val="22"/>
          <w:szCs w:val="22"/>
        </w:rPr>
        <w:t>20</w:t>
      </w:r>
      <w:r>
        <w:rPr>
          <w:sz w:val="22"/>
          <w:szCs w:val="22"/>
        </w:rPr>
        <w:t>20</w:t>
      </w:r>
      <w:r w:rsidRPr="00F963B4">
        <w:rPr>
          <w:sz w:val="22"/>
          <w:szCs w:val="22"/>
        </w:rPr>
        <w:t xml:space="preserve"> - $</w:t>
      </w:r>
      <w:r>
        <w:rPr>
          <w:sz w:val="22"/>
          <w:szCs w:val="22"/>
        </w:rPr>
        <w:t>597,959</w:t>
      </w:r>
      <w:r w:rsidRPr="00F963B4">
        <w:rPr>
          <w:sz w:val="22"/>
          <w:szCs w:val="22"/>
        </w:rPr>
        <w:t>) available to apply against short-term business requirements and current liabilities of $</w:t>
      </w:r>
      <w:r>
        <w:rPr>
          <w:sz w:val="22"/>
          <w:szCs w:val="22"/>
        </w:rPr>
        <w:t xml:space="preserve">35,309 </w:t>
      </w:r>
      <w:r w:rsidRPr="00F963B4">
        <w:rPr>
          <w:sz w:val="22"/>
          <w:szCs w:val="22"/>
        </w:rPr>
        <w:t>(</w:t>
      </w:r>
      <w:r>
        <w:rPr>
          <w:sz w:val="22"/>
          <w:szCs w:val="22"/>
        </w:rPr>
        <w:t>August 31, 2020 - $24,014</w:t>
      </w:r>
      <w:r w:rsidRPr="00F963B4">
        <w:rPr>
          <w:sz w:val="22"/>
          <w:szCs w:val="22"/>
        </w:rPr>
        <w:t>). All of the liabilities presented as accounts payable</w:t>
      </w:r>
      <w:r>
        <w:rPr>
          <w:sz w:val="22"/>
          <w:szCs w:val="22"/>
        </w:rPr>
        <w:t xml:space="preserve"> and accrued liabilities</w:t>
      </w:r>
      <w:r w:rsidRPr="00F963B4">
        <w:rPr>
          <w:sz w:val="22"/>
          <w:szCs w:val="22"/>
        </w:rPr>
        <w:t xml:space="preserve"> are due within 90 days</w:t>
      </w:r>
      <w:r>
        <w:rPr>
          <w:sz w:val="22"/>
          <w:szCs w:val="22"/>
        </w:rPr>
        <w:t xml:space="preserve"> of May 31, 2021</w:t>
      </w:r>
      <w:r w:rsidRPr="00F963B4">
        <w:rPr>
          <w:sz w:val="22"/>
          <w:szCs w:val="22"/>
        </w:rPr>
        <w:t>.</w:t>
      </w:r>
    </w:p>
    <w:p w14:paraId="14116D1F" w14:textId="77777777" w:rsidR="007F54B8" w:rsidRDefault="007F54B8" w:rsidP="007F54B8">
      <w:pPr>
        <w:pStyle w:val="Nbodyindentinput"/>
        <w:widowControl/>
        <w:spacing w:before="0"/>
        <w:ind w:left="0"/>
        <w:jc w:val="left"/>
      </w:pPr>
      <w:bookmarkStart w:id="6" w:name="_DV_M17"/>
      <w:bookmarkEnd w:id="6"/>
    </w:p>
    <w:p w14:paraId="7B93FD20" w14:textId="77777777" w:rsidR="007F54B8" w:rsidRPr="00F963B4" w:rsidRDefault="007F54B8" w:rsidP="001B68AD">
      <w:pPr>
        <w:pStyle w:val="Nbodyindentinput"/>
        <w:widowControl/>
        <w:numPr>
          <w:ilvl w:val="1"/>
          <w:numId w:val="6"/>
        </w:numPr>
        <w:tabs>
          <w:tab w:val="clear" w:pos="1287"/>
        </w:tabs>
        <w:spacing w:before="0"/>
        <w:ind w:left="720" w:hanging="360"/>
        <w:jc w:val="left"/>
        <w:rPr>
          <w:rFonts w:ascii="Times New Roman" w:hAnsi="Times New Roman" w:cs="Times New Roman"/>
          <w:sz w:val="22"/>
          <w:szCs w:val="22"/>
        </w:rPr>
      </w:pPr>
      <w:r w:rsidRPr="00F963B4">
        <w:rPr>
          <w:rFonts w:ascii="Times New Roman" w:hAnsi="Times New Roman" w:cs="Times New Roman"/>
          <w:sz w:val="22"/>
          <w:szCs w:val="22"/>
        </w:rPr>
        <w:t xml:space="preserve">Market risk </w:t>
      </w:r>
    </w:p>
    <w:p w14:paraId="77629DAC" w14:textId="77777777" w:rsidR="007F54B8" w:rsidRPr="00F963B4" w:rsidRDefault="007F54B8" w:rsidP="007F54B8">
      <w:pPr>
        <w:pStyle w:val="Default"/>
        <w:ind w:left="720"/>
        <w:rPr>
          <w:rFonts w:ascii="Times New Roman" w:hAnsi="Times New Roman" w:cs="Times New Roman"/>
          <w:sz w:val="22"/>
          <w:szCs w:val="22"/>
        </w:rPr>
      </w:pPr>
    </w:p>
    <w:p w14:paraId="1D47C2CD" w14:textId="77777777" w:rsidR="007F54B8" w:rsidRDefault="007F54B8" w:rsidP="007F54B8">
      <w:pPr>
        <w:pStyle w:val="BodyTextIndent"/>
        <w:autoSpaceDE w:val="0"/>
        <w:autoSpaceDN w:val="0"/>
        <w:adjustRightInd w:val="0"/>
        <w:rPr>
          <w:sz w:val="22"/>
          <w:szCs w:val="22"/>
        </w:rPr>
      </w:pPr>
      <w:r w:rsidRPr="00F963B4">
        <w:rPr>
          <w:sz w:val="22"/>
          <w:szCs w:val="22"/>
        </w:rPr>
        <w:t>Market risk is the risk that the fair value or future cash flows of a financial instrument will fluctuate due to changes in market prices. Market risk comprises three types of risk: foreign currency risk, interest rate risk and other price risk. The Company is not exposed to significant market risk.</w:t>
      </w:r>
    </w:p>
    <w:p w14:paraId="6508FAED" w14:textId="77777777" w:rsidR="007F54B8" w:rsidRDefault="007F54B8" w:rsidP="007F54B8">
      <w:pPr>
        <w:pStyle w:val="BodyTextIndent"/>
        <w:autoSpaceDE w:val="0"/>
        <w:autoSpaceDN w:val="0"/>
        <w:adjustRightInd w:val="0"/>
        <w:rPr>
          <w:sz w:val="22"/>
          <w:szCs w:val="22"/>
        </w:rPr>
      </w:pPr>
    </w:p>
    <w:p w14:paraId="248F48BD" w14:textId="77777777" w:rsidR="007F54B8" w:rsidRPr="00F963B4" w:rsidRDefault="007F54B8" w:rsidP="001B68AD">
      <w:pPr>
        <w:pStyle w:val="ListParagraph"/>
        <w:numPr>
          <w:ilvl w:val="1"/>
          <w:numId w:val="6"/>
        </w:numPr>
        <w:tabs>
          <w:tab w:val="clear" w:pos="1287"/>
          <w:tab w:val="num" w:pos="720"/>
        </w:tabs>
        <w:autoSpaceDE w:val="0"/>
        <w:autoSpaceDN w:val="0"/>
        <w:adjustRightInd w:val="0"/>
        <w:ind w:left="1440" w:hanging="1080"/>
        <w:jc w:val="both"/>
        <w:rPr>
          <w:rFonts w:ascii="Times New Roman" w:hAnsi="Times New Roman"/>
          <w:bCs/>
          <w:szCs w:val="22"/>
          <w:lang w:val="en-CA"/>
        </w:rPr>
      </w:pPr>
      <w:r w:rsidRPr="00F963B4">
        <w:rPr>
          <w:rFonts w:ascii="Times New Roman" w:hAnsi="Times New Roman"/>
          <w:bCs/>
          <w:szCs w:val="22"/>
          <w:lang w:val="en-CA"/>
        </w:rPr>
        <w:t xml:space="preserve">Determination of </w:t>
      </w:r>
      <w:r>
        <w:rPr>
          <w:rFonts w:ascii="Times New Roman" w:hAnsi="Times New Roman"/>
          <w:bCs/>
          <w:szCs w:val="22"/>
          <w:lang w:val="en-CA"/>
        </w:rPr>
        <w:t>f</w:t>
      </w:r>
      <w:r w:rsidRPr="00F963B4">
        <w:rPr>
          <w:rFonts w:ascii="Times New Roman" w:hAnsi="Times New Roman"/>
          <w:bCs/>
          <w:szCs w:val="22"/>
          <w:lang w:val="en-CA"/>
        </w:rPr>
        <w:t xml:space="preserve">air </w:t>
      </w:r>
      <w:r>
        <w:rPr>
          <w:rFonts w:ascii="Times New Roman" w:hAnsi="Times New Roman"/>
          <w:bCs/>
          <w:szCs w:val="22"/>
          <w:lang w:val="en-CA"/>
        </w:rPr>
        <w:t>v</w:t>
      </w:r>
      <w:r w:rsidRPr="00F963B4">
        <w:rPr>
          <w:rFonts w:ascii="Times New Roman" w:hAnsi="Times New Roman"/>
          <w:bCs/>
          <w:szCs w:val="22"/>
          <w:lang w:val="en-CA"/>
        </w:rPr>
        <w:t>alue</w:t>
      </w:r>
    </w:p>
    <w:p w14:paraId="27E6510E" w14:textId="77777777" w:rsidR="007F54B8" w:rsidRPr="00F963B4" w:rsidRDefault="007F54B8" w:rsidP="007F54B8">
      <w:pPr>
        <w:tabs>
          <w:tab w:val="left" w:pos="360"/>
          <w:tab w:val="left" w:pos="540"/>
          <w:tab w:val="left" w:pos="900"/>
          <w:tab w:val="left" w:pos="1260"/>
        </w:tabs>
        <w:autoSpaceDE w:val="0"/>
        <w:autoSpaceDN w:val="0"/>
        <w:adjustRightInd w:val="0"/>
        <w:ind w:left="450" w:hanging="274"/>
        <w:jc w:val="both"/>
        <w:rPr>
          <w:szCs w:val="22"/>
          <w:lang w:val="en-CA"/>
        </w:rPr>
      </w:pPr>
    </w:p>
    <w:p w14:paraId="49C04A1F" w14:textId="77777777" w:rsidR="007F54B8" w:rsidRPr="00C7127D" w:rsidRDefault="007F54B8" w:rsidP="007F54B8">
      <w:pPr>
        <w:pStyle w:val="BodyTextIndent"/>
        <w:autoSpaceDE w:val="0"/>
        <w:autoSpaceDN w:val="0"/>
        <w:adjustRightInd w:val="0"/>
        <w:rPr>
          <w:sz w:val="22"/>
          <w:szCs w:val="22"/>
        </w:rPr>
      </w:pPr>
      <w:r w:rsidRPr="00C7127D">
        <w:rPr>
          <w:sz w:val="22"/>
          <w:szCs w:val="22"/>
        </w:rPr>
        <w:t xml:space="preserve">Financial instruments of the Company consist of cash, </w:t>
      </w:r>
      <w:r>
        <w:rPr>
          <w:sz w:val="22"/>
          <w:szCs w:val="22"/>
        </w:rPr>
        <w:t xml:space="preserve">accounts receivable and </w:t>
      </w:r>
      <w:r w:rsidRPr="00C7127D">
        <w:rPr>
          <w:sz w:val="22"/>
          <w:szCs w:val="22"/>
        </w:rPr>
        <w:t>accounts payable and accrued liabilities, all of which are included in these condensed interim financial statements. The amounts reflected in the condensed interim statements of financial position are carrying amounts and approximate their fair values due to their short-term nature.</w:t>
      </w:r>
    </w:p>
    <w:p w14:paraId="70E85E67" w14:textId="77777777" w:rsidR="007F54B8" w:rsidRDefault="007F54B8" w:rsidP="007F54B8">
      <w:pPr>
        <w:autoSpaceDE w:val="0"/>
        <w:autoSpaceDN w:val="0"/>
        <w:adjustRightInd w:val="0"/>
        <w:jc w:val="both"/>
        <w:rPr>
          <w:szCs w:val="22"/>
          <w:lang w:val="en-CA"/>
        </w:rPr>
      </w:pPr>
    </w:p>
    <w:p w14:paraId="3F97905B" w14:textId="77777777" w:rsidR="007F54B8" w:rsidRPr="00F963B4" w:rsidRDefault="007F54B8" w:rsidP="007F54B8">
      <w:pPr>
        <w:autoSpaceDE w:val="0"/>
        <w:autoSpaceDN w:val="0"/>
        <w:adjustRightInd w:val="0"/>
        <w:jc w:val="both"/>
        <w:rPr>
          <w:szCs w:val="22"/>
          <w:lang w:val="en-CA"/>
        </w:rPr>
      </w:pPr>
    </w:p>
    <w:p w14:paraId="3489C1D9" w14:textId="77777777" w:rsidR="007F54B8" w:rsidRPr="00C7127D" w:rsidRDefault="007F54B8" w:rsidP="007F54B8">
      <w:pPr>
        <w:autoSpaceDE w:val="0"/>
        <w:autoSpaceDN w:val="0"/>
        <w:adjustRightInd w:val="0"/>
        <w:ind w:left="724" w:hanging="274"/>
        <w:jc w:val="both"/>
        <w:rPr>
          <w:bCs/>
          <w:szCs w:val="22"/>
          <w:u w:val="single"/>
          <w:lang w:val="en-CA"/>
        </w:rPr>
      </w:pPr>
      <w:r w:rsidRPr="00C7127D">
        <w:rPr>
          <w:bCs/>
          <w:szCs w:val="22"/>
          <w:lang w:val="en-CA"/>
        </w:rPr>
        <w:tab/>
      </w:r>
      <w:r w:rsidRPr="00C7127D">
        <w:rPr>
          <w:bCs/>
          <w:szCs w:val="22"/>
          <w:u w:val="single"/>
          <w:lang w:val="en-CA"/>
        </w:rPr>
        <w:t>Fair Value Hierarchy</w:t>
      </w:r>
    </w:p>
    <w:p w14:paraId="23DE6844" w14:textId="77777777" w:rsidR="007F54B8" w:rsidRPr="00C7127D" w:rsidRDefault="007F54B8" w:rsidP="007F54B8">
      <w:pPr>
        <w:tabs>
          <w:tab w:val="left" w:pos="360"/>
          <w:tab w:val="left" w:pos="900"/>
          <w:tab w:val="left" w:pos="1260"/>
        </w:tabs>
        <w:autoSpaceDE w:val="0"/>
        <w:autoSpaceDN w:val="0"/>
        <w:adjustRightInd w:val="0"/>
        <w:ind w:left="450" w:hanging="274"/>
        <w:jc w:val="both"/>
        <w:rPr>
          <w:szCs w:val="22"/>
          <w:lang w:val="en-CA"/>
        </w:rPr>
      </w:pPr>
    </w:p>
    <w:p w14:paraId="2652C8A7" w14:textId="77777777" w:rsidR="007F54B8" w:rsidRDefault="007F54B8" w:rsidP="007F54B8">
      <w:pPr>
        <w:pStyle w:val="BodyTextIndent"/>
        <w:autoSpaceDE w:val="0"/>
        <w:autoSpaceDN w:val="0"/>
        <w:adjustRightInd w:val="0"/>
        <w:rPr>
          <w:sz w:val="22"/>
          <w:szCs w:val="22"/>
        </w:rPr>
      </w:pPr>
      <w:r w:rsidRPr="00C7127D">
        <w:rPr>
          <w:sz w:val="22"/>
          <w:szCs w:val="22"/>
        </w:rPr>
        <w:t>Financial instruments that are measured subsequent to initial recognition at fair value are grouped in Levels 1 to 3 based on the degree to which the fair value is observable:</w:t>
      </w:r>
    </w:p>
    <w:p w14:paraId="50E8813D" w14:textId="77777777" w:rsidR="007F54B8" w:rsidRDefault="007F54B8" w:rsidP="007F54B8">
      <w:pPr>
        <w:pStyle w:val="BodyTextIndent"/>
        <w:autoSpaceDE w:val="0"/>
        <w:autoSpaceDN w:val="0"/>
        <w:adjustRightInd w:val="0"/>
        <w:rPr>
          <w:sz w:val="22"/>
          <w:szCs w:val="22"/>
        </w:rPr>
      </w:pPr>
    </w:p>
    <w:p w14:paraId="02B2E172" w14:textId="77777777" w:rsidR="007F54B8" w:rsidRPr="00C7127D" w:rsidRDefault="007F54B8" w:rsidP="001B68AD">
      <w:pPr>
        <w:pStyle w:val="ListParagraph"/>
        <w:numPr>
          <w:ilvl w:val="0"/>
          <w:numId w:val="15"/>
        </w:numPr>
        <w:autoSpaceDE w:val="0"/>
        <w:autoSpaceDN w:val="0"/>
        <w:adjustRightInd w:val="0"/>
        <w:jc w:val="both"/>
        <w:rPr>
          <w:rFonts w:ascii="Times New Roman" w:hAnsi="Times New Roman"/>
          <w:szCs w:val="22"/>
          <w:lang w:val="en-CA"/>
        </w:rPr>
      </w:pPr>
      <w:r w:rsidRPr="00C7127D">
        <w:rPr>
          <w:rFonts w:ascii="Times New Roman" w:hAnsi="Times New Roman"/>
          <w:szCs w:val="22"/>
          <w:lang w:val="en-CA"/>
        </w:rPr>
        <w:t xml:space="preserve">Level 1 – Quoted prices (unadjusted) in active markets for identical assets or liabilities; </w:t>
      </w:r>
    </w:p>
    <w:p w14:paraId="237F958D" w14:textId="77777777" w:rsidR="007F54B8" w:rsidRPr="00C7127D" w:rsidRDefault="007F54B8" w:rsidP="001B68AD">
      <w:pPr>
        <w:pStyle w:val="ListParagraph"/>
        <w:numPr>
          <w:ilvl w:val="0"/>
          <w:numId w:val="15"/>
        </w:numPr>
        <w:autoSpaceDE w:val="0"/>
        <w:autoSpaceDN w:val="0"/>
        <w:adjustRightInd w:val="0"/>
        <w:jc w:val="both"/>
        <w:rPr>
          <w:rFonts w:ascii="Times New Roman" w:hAnsi="Times New Roman"/>
          <w:szCs w:val="22"/>
          <w:lang w:val="en-CA"/>
        </w:rPr>
      </w:pPr>
      <w:r w:rsidRPr="00C7127D">
        <w:rPr>
          <w:rFonts w:ascii="Times New Roman" w:hAnsi="Times New Roman"/>
          <w:szCs w:val="22"/>
          <w:lang w:val="en-CA"/>
        </w:rPr>
        <w:t>Level 2 – Inputs other than quoted prices included within Level 1 that are observable for the asset or liability, either directly or indirectly; and</w:t>
      </w:r>
    </w:p>
    <w:p w14:paraId="70991278" w14:textId="77777777" w:rsidR="007F54B8" w:rsidRPr="00C7127D" w:rsidRDefault="007F54B8" w:rsidP="001B68AD">
      <w:pPr>
        <w:pStyle w:val="ListParagraph"/>
        <w:numPr>
          <w:ilvl w:val="0"/>
          <w:numId w:val="15"/>
        </w:numPr>
        <w:autoSpaceDE w:val="0"/>
        <w:autoSpaceDN w:val="0"/>
        <w:adjustRightInd w:val="0"/>
        <w:jc w:val="both"/>
        <w:rPr>
          <w:rFonts w:ascii="Times New Roman" w:hAnsi="Times New Roman"/>
          <w:szCs w:val="22"/>
          <w:lang w:val="en-CA"/>
        </w:rPr>
      </w:pPr>
      <w:r w:rsidRPr="00C7127D">
        <w:rPr>
          <w:rFonts w:ascii="Times New Roman" w:hAnsi="Times New Roman"/>
          <w:szCs w:val="22"/>
          <w:lang w:val="en-CA"/>
        </w:rPr>
        <w:t>Level 3 – Inputs for assets or liabilities that are not based on observable market data.</w:t>
      </w:r>
    </w:p>
    <w:p w14:paraId="3B668B0B" w14:textId="77777777" w:rsidR="007F54B8" w:rsidRDefault="007F54B8" w:rsidP="007F54B8">
      <w:pPr>
        <w:rPr>
          <w:b/>
          <w:bCs/>
          <w:color w:val="000000"/>
          <w:szCs w:val="22"/>
        </w:rPr>
      </w:pPr>
      <w:bookmarkStart w:id="7" w:name="_Hlk27590425"/>
    </w:p>
    <w:p w14:paraId="67F0EBCD" w14:textId="77777777" w:rsidR="007F54B8" w:rsidRPr="00C7127D" w:rsidRDefault="007F54B8" w:rsidP="001B68AD">
      <w:pPr>
        <w:pStyle w:val="ListParagraph"/>
        <w:keepNext/>
        <w:keepLines/>
        <w:numPr>
          <w:ilvl w:val="0"/>
          <w:numId w:val="23"/>
        </w:numPr>
        <w:autoSpaceDE w:val="0"/>
        <w:autoSpaceDN w:val="0"/>
        <w:adjustRightInd w:val="0"/>
        <w:ind w:left="360" w:hanging="360"/>
        <w:jc w:val="both"/>
        <w:rPr>
          <w:rFonts w:ascii="Times New Roman" w:hAnsi="Times New Roman"/>
          <w:b/>
          <w:bCs/>
          <w:color w:val="000000"/>
          <w:szCs w:val="22"/>
        </w:rPr>
      </w:pPr>
      <w:r>
        <w:rPr>
          <w:rFonts w:ascii="Times New Roman" w:hAnsi="Times New Roman"/>
          <w:b/>
          <w:bCs/>
          <w:color w:val="000000"/>
          <w:szCs w:val="22"/>
        </w:rPr>
        <w:t xml:space="preserve">CAPITAL </w:t>
      </w:r>
      <w:r w:rsidRPr="00C7127D">
        <w:rPr>
          <w:rFonts w:ascii="Times New Roman" w:hAnsi="Times New Roman"/>
          <w:b/>
          <w:bCs/>
          <w:color w:val="000000"/>
          <w:szCs w:val="22"/>
        </w:rPr>
        <w:t>MANAGEMENT</w:t>
      </w:r>
    </w:p>
    <w:bookmarkEnd w:id="7"/>
    <w:p w14:paraId="20930A44" w14:textId="77777777" w:rsidR="007F54B8" w:rsidRPr="00F963B4" w:rsidRDefault="007F54B8" w:rsidP="007F54B8">
      <w:pPr>
        <w:keepNext/>
        <w:keepLines/>
        <w:autoSpaceDE w:val="0"/>
        <w:autoSpaceDN w:val="0"/>
        <w:adjustRightInd w:val="0"/>
        <w:jc w:val="both"/>
        <w:rPr>
          <w:b/>
          <w:bCs/>
          <w:color w:val="000000"/>
          <w:szCs w:val="22"/>
        </w:rPr>
      </w:pPr>
    </w:p>
    <w:p w14:paraId="43FD90AB" w14:textId="77777777" w:rsidR="007F54B8" w:rsidRPr="00F963B4" w:rsidRDefault="007F54B8" w:rsidP="007F54B8">
      <w:pPr>
        <w:pStyle w:val="Default"/>
        <w:ind w:left="360"/>
        <w:jc w:val="both"/>
        <w:rPr>
          <w:rFonts w:ascii="Times New Roman" w:hAnsi="Times New Roman" w:cs="Times New Roman"/>
          <w:sz w:val="22"/>
          <w:szCs w:val="22"/>
          <w:lang w:val="en-GB"/>
        </w:rPr>
      </w:pPr>
      <w:r w:rsidRPr="00F963B4">
        <w:rPr>
          <w:rFonts w:ascii="Times New Roman" w:hAnsi="Times New Roman" w:cs="Times New Roman"/>
          <w:bCs/>
          <w:sz w:val="22"/>
          <w:szCs w:val="22"/>
        </w:rPr>
        <w:t xml:space="preserve">The Company has just commenced operations. It </w:t>
      </w:r>
      <w:r w:rsidRPr="00F963B4">
        <w:rPr>
          <w:rFonts w:ascii="Times New Roman" w:hAnsi="Times New Roman" w:cs="Times New Roman"/>
          <w:sz w:val="22"/>
          <w:szCs w:val="22"/>
          <w:lang w:val="en-GB"/>
        </w:rPr>
        <w:t xml:space="preserve">has not yet determined whether it will be successful in its endeavours and does not generate cash flows from operations. The Company’s primary source of funds comes from the issuance of common shares and loans from related parties. The Company does </w:t>
      </w:r>
      <w:r w:rsidRPr="00F963B4">
        <w:rPr>
          <w:rFonts w:ascii="Times New Roman" w:hAnsi="Times New Roman" w:cs="Times New Roman"/>
          <w:sz w:val="22"/>
          <w:szCs w:val="22"/>
          <w:lang w:val="en-GB"/>
        </w:rPr>
        <w:lastRenderedPageBreak/>
        <w:t>not use other sources of financing that require fixed payments of interest and principal due to lack of cash flow from current operations and is not subject to any externally imposed capital requirements.</w:t>
      </w:r>
    </w:p>
    <w:p w14:paraId="71A3D246" w14:textId="77777777" w:rsidR="007F54B8" w:rsidRPr="00F963B4" w:rsidRDefault="007F54B8" w:rsidP="007F54B8">
      <w:pPr>
        <w:pStyle w:val="Default"/>
        <w:jc w:val="both"/>
        <w:rPr>
          <w:rFonts w:ascii="Times New Roman" w:hAnsi="Times New Roman" w:cs="Times New Roman"/>
          <w:sz w:val="22"/>
          <w:szCs w:val="22"/>
        </w:rPr>
      </w:pPr>
    </w:p>
    <w:p w14:paraId="34C6C5AF" w14:textId="77777777" w:rsidR="007F54B8" w:rsidRPr="00F963B4" w:rsidRDefault="007F54B8" w:rsidP="007F54B8">
      <w:pPr>
        <w:pStyle w:val="Default"/>
        <w:ind w:left="360"/>
        <w:jc w:val="both"/>
        <w:rPr>
          <w:rFonts w:ascii="Times New Roman" w:hAnsi="Times New Roman" w:cs="Times New Roman"/>
          <w:sz w:val="22"/>
          <w:szCs w:val="22"/>
        </w:rPr>
      </w:pPr>
      <w:r w:rsidRPr="00F963B4">
        <w:rPr>
          <w:rFonts w:ascii="Times New Roman" w:hAnsi="Times New Roman" w:cs="Times New Roman"/>
          <w:sz w:val="22"/>
          <w:szCs w:val="22"/>
        </w:rPr>
        <w:t>The Company’s objective when managing capital is to safeguard the Company’s ability to continue as a going concern. The Company did not change its approach to capital management during th</w:t>
      </w:r>
      <w:r>
        <w:rPr>
          <w:rFonts w:ascii="Times New Roman" w:hAnsi="Times New Roman" w:cs="Times New Roman"/>
          <w:sz w:val="22"/>
          <w:szCs w:val="22"/>
        </w:rPr>
        <w:t>e period</w:t>
      </w:r>
      <w:r w:rsidRPr="00F963B4">
        <w:rPr>
          <w:rFonts w:ascii="Times New Roman" w:hAnsi="Times New Roman" w:cs="Times New Roman"/>
          <w:sz w:val="22"/>
          <w:szCs w:val="22"/>
        </w:rPr>
        <w:t xml:space="preserve"> ended </w:t>
      </w:r>
      <w:r>
        <w:rPr>
          <w:rFonts w:ascii="Times New Roman" w:hAnsi="Times New Roman" w:cs="Times New Roman"/>
          <w:sz w:val="22"/>
          <w:szCs w:val="22"/>
        </w:rPr>
        <w:t>May 31, 2021</w:t>
      </w:r>
      <w:r w:rsidRPr="00F963B4">
        <w:rPr>
          <w:rFonts w:ascii="Times New Roman" w:hAnsi="Times New Roman" w:cs="Times New Roman"/>
          <w:sz w:val="22"/>
          <w:szCs w:val="22"/>
        </w:rPr>
        <w:t>.</w:t>
      </w:r>
    </w:p>
    <w:p w14:paraId="489AA6F6" w14:textId="77777777" w:rsidR="007F54B8" w:rsidRPr="00F963B4" w:rsidRDefault="007F54B8" w:rsidP="007F54B8">
      <w:pPr>
        <w:keepNext/>
        <w:keepLines/>
        <w:autoSpaceDE w:val="0"/>
        <w:autoSpaceDN w:val="0"/>
        <w:adjustRightInd w:val="0"/>
        <w:ind w:left="360"/>
        <w:jc w:val="both"/>
        <w:rPr>
          <w:szCs w:val="22"/>
        </w:rPr>
      </w:pPr>
    </w:p>
    <w:p w14:paraId="700403C8" w14:textId="77777777" w:rsidR="007F54B8" w:rsidRPr="00F963B4" w:rsidRDefault="007F54B8" w:rsidP="007F54B8">
      <w:pPr>
        <w:keepNext/>
        <w:keepLines/>
        <w:autoSpaceDE w:val="0"/>
        <w:autoSpaceDN w:val="0"/>
        <w:adjustRightInd w:val="0"/>
        <w:ind w:left="360"/>
        <w:jc w:val="both"/>
        <w:rPr>
          <w:b/>
          <w:bCs/>
          <w:color w:val="000000"/>
          <w:szCs w:val="22"/>
        </w:rPr>
      </w:pPr>
      <w:r w:rsidRPr="00F963B4">
        <w:rPr>
          <w:szCs w:val="22"/>
        </w:rPr>
        <w:t>The Company defines its capital as shareholders’ equity and related party loans. Capital requirements are driven by the Company’s general operations. To effectively manage the Company’s capital requirements, the Company monitors expenses and overhead to ensure costs and commitments are being paid.</w:t>
      </w:r>
    </w:p>
    <w:p w14:paraId="6511F662" w14:textId="77777777" w:rsidR="007F54B8" w:rsidRPr="004469BE" w:rsidRDefault="007F54B8" w:rsidP="007F54B8">
      <w:pPr>
        <w:keepNext/>
        <w:keepLines/>
        <w:autoSpaceDE w:val="0"/>
        <w:autoSpaceDN w:val="0"/>
        <w:adjustRightInd w:val="0"/>
        <w:ind w:left="360"/>
        <w:jc w:val="both"/>
        <w:rPr>
          <w:rFonts w:cs="Arial"/>
          <w:b/>
          <w:bCs/>
          <w:color w:val="000000"/>
        </w:rPr>
      </w:pPr>
    </w:p>
    <w:p w14:paraId="7D25E8A3" w14:textId="77777777" w:rsidR="007F54B8" w:rsidRPr="00F963B4" w:rsidRDefault="007F54B8" w:rsidP="001B68AD">
      <w:pPr>
        <w:pStyle w:val="ListParagraph"/>
        <w:keepNext/>
        <w:keepLines/>
        <w:numPr>
          <w:ilvl w:val="0"/>
          <w:numId w:val="11"/>
        </w:numPr>
        <w:autoSpaceDE w:val="0"/>
        <w:autoSpaceDN w:val="0"/>
        <w:adjustRightInd w:val="0"/>
        <w:ind w:left="360"/>
        <w:jc w:val="both"/>
        <w:rPr>
          <w:rFonts w:ascii="Times New Roman" w:hAnsi="Times New Roman"/>
          <w:b/>
          <w:bCs/>
          <w:color w:val="000000"/>
          <w:szCs w:val="22"/>
        </w:rPr>
      </w:pPr>
      <w:r w:rsidRPr="00F963B4">
        <w:rPr>
          <w:rFonts w:ascii="Times New Roman" w:hAnsi="Times New Roman"/>
          <w:b/>
          <w:bCs/>
          <w:color w:val="000000"/>
          <w:szCs w:val="22"/>
        </w:rPr>
        <w:t>SEGMENTED INFORMATION</w:t>
      </w:r>
    </w:p>
    <w:p w14:paraId="325AA9A8" w14:textId="77777777" w:rsidR="007F54B8" w:rsidRPr="004469BE" w:rsidRDefault="007F54B8" w:rsidP="007F54B8">
      <w:pPr>
        <w:keepNext/>
        <w:keepLines/>
        <w:autoSpaceDE w:val="0"/>
        <w:autoSpaceDN w:val="0"/>
        <w:adjustRightInd w:val="0"/>
        <w:ind w:left="360"/>
        <w:jc w:val="both"/>
        <w:rPr>
          <w:rFonts w:cs="Arial"/>
          <w:b/>
          <w:bCs/>
          <w:color w:val="000000"/>
        </w:rPr>
      </w:pPr>
    </w:p>
    <w:p w14:paraId="5B2B4FFF" w14:textId="77777777" w:rsidR="007F54B8" w:rsidRDefault="007F54B8" w:rsidP="007F54B8">
      <w:pPr>
        <w:keepNext/>
        <w:keepLines/>
        <w:autoSpaceDE w:val="0"/>
        <w:autoSpaceDN w:val="0"/>
        <w:adjustRightInd w:val="0"/>
        <w:ind w:left="360"/>
        <w:jc w:val="both"/>
        <w:rPr>
          <w:szCs w:val="22"/>
        </w:rPr>
      </w:pPr>
      <w:r w:rsidRPr="00F963B4">
        <w:rPr>
          <w:szCs w:val="22"/>
        </w:rPr>
        <w:t>The Company has one operating segment</w:t>
      </w:r>
      <w:r>
        <w:rPr>
          <w:szCs w:val="22"/>
        </w:rPr>
        <w:t xml:space="preserve">, </w:t>
      </w:r>
      <w:r w:rsidRPr="00F963B4">
        <w:rPr>
          <w:szCs w:val="22"/>
        </w:rPr>
        <w:t>acquisition, exploration and evaluation of resource properties, and all long-term assets of the Company are located in Canada.</w:t>
      </w:r>
    </w:p>
    <w:p w14:paraId="27A8CBCB" w14:textId="77777777" w:rsidR="007F54B8" w:rsidRDefault="007F54B8" w:rsidP="007F54B8">
      <w:pPr>
        <w:keepNext/>
        <w:keepLines/>
        <w:autoSpaceDE w:val="0"/>
        <w:autoSpaceDN w:val="0"/>
        <w:adjustRightInd w:val="0"/>
        <w:ind w:left="360"/>
        <w:jc w:val="both"/>
        <w:rPr>
          <w:szCs w:val="22"/>
        </w:rPr>
      </w:pPr>
    </w:p>
    <w:p w14:paraId="119F02A4" w14:textId="77777777" w:rsidR="007F54B8" w:rsidRDefault="007F54B8" w:rsidP="007F54B8">
      <w:pPr>
        <w:rPr>
          <w:b/>
          <w:bCs/>
          <w:color w:val="000000"/>
          <w:szCs w:val="22"/>
        </w:rPr>
      </w:pPr>
      <w:r>
        <w:rPr>
          <w:b/>
          <w:bCs/>
          <w:color w:val="000000"/>
          <w:szCs w:val="22"/>
        </w:rPr>
        <w:br w:type="page"/>
      </w:r>
    </w:p>
    <w:p w14:paraId="1C350387" w14:textId="77777777" w:rsidR="007F54B8" w:rsidRPr="00F963B4" w:rsidRDefault="007F54B8" w:rsidP="001B68AD">
      <w:pPr>
        <w:pStyle w:val="ListParagraph"/>
        <w:keepNext/>
        <w:keepLines/>
        <w:numPr>
          <w:ilvl w:val="0"/>
          <w:numId w:val="11"/>
        </w:numPr>
        <w:autoSpaceDE w:val="0"/>
        <w:autoSpaceDN w:val="0"/>
        <w:adjustRightInd w:val="0"/>
        <w:ind w:left="360"/>
        <w:jc w:val="both"/>
        <w:rPr>
          <w:rFonts w:ascii="Times New Roman" w:hAnsi="Times New Roman"/>
          <w:b/>
          <w:bCs/>
          <w:color w:val="000000"/>
          <w:szCs w:val="22"/>
        </w:rPr>
      </w:pPr>
      <w:r>
        <w:rPr>
          <w:rFonts w:ascii="Times New Roman" w:hAnsi="Times New Roman"/>
          <w:b/>
          <w:bCs/>
          <w:color w:val="000000"/>
          <w:szCs w:val="22"/>
        </w:rPr>
        <w:lastRenderedPageBreak/>
        <w:t>SUBSEQUENT EVENTS</w:t>
      </w:r>
    </w:p>
    <w:p w14:paraId="38D5237E" w14:textId="77777777" w:rsidR="007F54B8" w:rsidRDefault="007F54B8" w:rsidP="007F54B8">
      <w:pPr>
        <w:keepNext/>
        <w:keepLines/>
        <w:autoSpaceDE w:val="0"/>
        <w:autoSpaceDN w:val="0"/>
        <w:adjustRightInd w:val="0"/>
        <w:ind w:left="360"/>
        <w:jc w:val="both"/>
        <w:rPr>
          <w:rFonts w:cs="Arial"/>
          <w:b/>
          <w:bCs/>
          <w:color w:val="000000"/>
        </w:rPr>
      </w:pPr>
    </w:p>
    <w:p w14:paraId="63BF5D42" w14:textId="77777777" w:rsidR="007F54B8" w:rsidRPr="0073359C" w:rsidRDefault="007F54B8" w:rsidP="007F54B8">
      <w:pPr>
        <w:keepNext/>
        <w:keepLines/>
        <w:autoSpaceDE w:val="0"/>
        <w:autoSpaceDN w:val="0"/>
        <w:adjustRightInd w:val="0"/>
        <w:ind w:left="360"/>
        <w:jc w:val="both"/>
        <w:rPr>
          <w:szCs w:val="22"/>
        </w:rPr>
      </w:pPr>
      <w:r w:rsidRPr="0073359C">
        <w:rPr>
          <w:szCs w:val="22"/>
        </w:rPr>
        <w:t>Subsequen</w:t>
      </w:r>
      <w:r>
        <w:rPr>
          <w:szCs w:val="22"/>
        </w:rPr>
        <w:t>t to May 31, 2021:</w:t>
      </w:r>
    </w:p>
    <w:p w14:paraId="3F698791" w14:textId="77777777" w:rsidR="007F54B8" w:rsidRPr="004A0302" w:rsidRDefault="007F54B8" w:rsidP="007F54B8">
      <w:pPr>
        <w:keepNext/>
        <w:keepLines/>
        <w:autoSpaceDE w:val="0"/>
        <w:autoSpaceDN w:val="0"/>
        <w:adjustRightInd w:val="0"/>
        <w:ind w:left="360"/>
        <w:jc w:val="both"/>
        <w:rPr>
          <w:rFonts w:cs="Arial"/>
          <w:b/>
          <w:bCs/>
        </w:rPr>
      </w:pPr>
    </w:p>
    <w:p w14:paraId="4E82904E" w14:textId="77777777" w:rsidR="007F54B8" w:rsidRPr="004A0302" w:rsidRDefault="007F54B8" w:rsidP="001B68AD">
      <w:pPr>
        <w:pStyle w:val="Nbodyindentinput"/>
        <w:widowControl/>
        <w:numPr>
          <w:ilvl w:val="1"/>
          <w:numId w:val="21"/>
        </w:numPr>
        <w:tabs>
          <w:tab w:val="clear" w:pos="1440"/>
        </w:tabs>
        <w:spacing w:before="0"/>
        <w:ind w:left="720" w:hanging="360"/>
        <w:rPr>
          <w:rFonts w:ascii="Times New Roman" w:hAnsi="Times New Roman"/>
          <w:color w:val="auto"/>
          <w:sz w:val="22"/>
          <w:szCs w:val="22"/>
        </w:rPr>
      </w:pPr>
      <w:r w:rsidRPr="004A0302">
        <w:rPr>
          <w:rFonts w:ascii="Times New Roman" w:hAnsi="Times New Roman"/>
          <w:color w:val="auto"/>
          <w:sz w:val="22"/>
          <w:szCs w:val="22"/>
        </w:rPr>
        <w:t>48,650 warrants with an exercise price of $0.10 per common share were exercised.</w:t>
      </w:r>
    </w:p>
    <w:p w14:paraId="01E6D6E2" w14:textId="77777777" w:rsidR="007F54B8" w:rsidRDefault="007F54B8" w:rsidP="007F54B8">
      <w:pPr>
        <w:pStyle w:val="Nbodyindentinput"/>
        <w:widowControl/>
        <w:spacing w:before="0"/>
        <w:ind w:left="720"/>
        <w:rPr>
          <w:rFonts w:ascii="Times New Roman" w:hAnsi="Times New Roman"/>
          <w:sz w:val="22"/>
          <w:szCs w:val="22"/>
        </w:rPr>
      </w:pPr>
    </w:p>
    <w:p w14:paraId="0FCE47B7" w14:textId="77777777" w:rsidR="007F54B8" w:rsidRDefault="007F54B8" w:rsidP="001B68AD">
      <w:pPr>
        <w:pStyle w:val="Nbodyindentinput"/>
        <w:widowControl/>
        <w:numPr>
          <w:ilvl w:val="1"/>
          <w:numId w:val="21"/>
        </w:numPr>
        <w:tabs>
          <w:tab w:val="clear" w:pos="1440"/>
        </w:tabs>
        <w:spacing w:before="0"/>
        <w:ind w:left="720" w:hanging="360"/>
        <w:rPr>
          <w:rFonts w:ascii="Times New Roman" w:hAnsi="Times New Roman"/>
          <w:sz w:val="22"/>
          <w:szCs w:val="22"/>
        </w:rPr>
      </w:pPr>
      <w:r>
        <w:rPr>
          <w:rFonts w:ascii="Times New Roman" w:hAnsi="Times New Roman"/>
          <w:sz w:val="22"/>
          <w:szCs w:val="22"/>
        </w:rPr>
        <w:t>The Company entered into a non-binding letter of intent with Goldeneye Capital Ltd. (“Goldeneye”) to acquire 100% of the right, title and interest to two gold properties in Guyana known as the Tassawini and Harpy properties (the “Transaction”). On completion of the Transaction, the Company will pay Goldeneye the following consideration:</w:t>
      </w:r>
    </w:p>
    <w:p w14:paraId="77A1E004" w14:textId="77777777" w:rsidR="007F54B8" w:rsidRDefault="007F54B8" w:rsidP="007F54B8">
      <w:pPr>
        <w:pStyle w:val="ListParagraph"/>
        <w:rPr>
          <w:rFonts w:ascii="Times New Roman" w:hAnsi="Times New Roman"/>
          <w:szCs w:val="22"/>
        </w:rPr>
      </w:pPr>
    </w:p>
    <w:p w14:paraId="181BF490" w14:textId="77777777" w:rsidR="007F54B8" w:rsidRDefault="007F54B8" w:rsidP="001B68AD">
      <w:pPr>
        <w:pStyle w:val="Nbodyindentinput"/>
        <w:widowControl/>
        <w:numPr>
          <w:ilvl w:val="0"/>
          <w:numId w:val="22"/>
        </w:numPr>
        <w:spacing w:before="0"/>
        <w:rPr>
          <w:rFonts w:ascii="Times New Roman" w:hAnsi="Times New Roman"/>
          <w:sz w:val="22"/>
          <w:szCs w:val="22"/>
        </w:rPr>
      </w:pPr>
      <w:r>
        <w:rPr>
          <w:rFonts w:ascii="Times New Roman" w:hAnsi="Times New Roman"/>
          <w:sz w:val="22"/>
          <w:szCs w:val="22"/>
        </w:rPr>
        <w:t>USD$500,000 in cash;</w:t>
      </w:r>
    </w:p>
    <w:p w14:paraId="0381FC94" w14:textId="77777777" w:rsidR="007F54B8" w:rsidRDefault="007F54B8" w:rsidP="001B68AD">
      <w:pPr>
        <w:pStyle w:val="Nbodyindentinput"/>
        <w:widowControl/>
        <w:numPr>
          <w:ilvl w:val="0"/>
          <w:numId w:val="22"/>
        </w:numPr>
        <w:spacing w:before="0"/>
        <w:rPr>
          <w:rFonts w:ascii="Times New Roman" w:hAnsi="Times New Roman"/>
          <w:sz w:val="22"/>
          <w:szCs w:val="22"/>
        </w:rPr>
      </w:pPr>
      <w:r>
        <w:rPr>
          <w:rFonts w:ascii="Times New Roman" w:hAnsi="Times New Roman"/>
          <w:sz w:val="22"/>
          <w:szCs w:val="22"/>
        </w:rPr>
        <w:t>50,000,000 common shares of the Company at a deemed issue price of $0.25 per share; and</w:t>
      </w:r>
    </w:p>
    <w:p w14:paraId="2CC35916" w14:textId="77777777" w:rsidR="007F54B8" w:rsidRDefault="007F54B8" w:rsidP="001B68AD">
      <w:pPr>
        <w:pStyle w:val="Nbodyindentinput"/>
        <w:widowControl/>
        <w:numPr>
          <w:ilvl w:val="0"/>
          <w:numId w:val="22"/>
        </w:numPr>
        <w:spacing w:before="0"/>
        <w:rPr>
          <w:rFonts w:ascii="Times New Roman" w:hAnsi="Times New Roman"/>
          <w:sz w:val="22"/>
          <w:szCs w:val="22"/>
        </w:rPr>
      </w:pPr>
      <w:r>
        <w:rPr>
          <w:rFonts w:ascii="Times New Roman" w:hAnsi="Times New Roman"/>
          <w:sz w:val="22"/>
          <w:szCs w:val="22"/>
        </w:rPr>
        <w:t>A net smelter return (“NSR”) of 3% with respect to the Tassawini property, with the option to repurchase 1.5% of the NSR for a one-time payment of USD$3,000,000.</w:t>
      </w:r>
    </w:p>
    <w:p w14:paraId="5D3D77FC" w14:textId="77777777" w:rsidR="007F54B8" w:rsidRDefault="007F54B8" w:rsidP="007F54B8">
      <w:pPr>
        <w:pStyle w:val="Nbodyindentinput"/>
        <w:widowControl/>
        <w:spacing w:before="0"/>
        <w:rPr>
          <w:rFonts w:ascii="Times New Roman" w:hAnsi="Times New Roman"/>
          <w:sz w:val="22"/>
          <w:szCs w:val="22"/>
        </w:rPr>
      </w:pPr>
    </w:p>
    <w:p w14:paraId="1A30D3F8" w14:textId="77777777" w:rsidR="007F54B8" w:rsidRDefault="007F54B8" w:rsidP="007F54B8">
      <w:pPr>
        <w:pStyle w:val="Nbodyindentinput"/>
        <w:widowControl/>
        <w:spacing w:before="0"/>
        <w:ind w:left="720"/>
        <w:rPr>
          <w:rFonts w:ascii="Times New Roman" w:hAnsi="Times New Roman"/>
          <w:sz w:val="22"/>
          <w:szCs w:val="22"/>
        </w:rPr>
      </w:pPr>
      <w:r>
        <w:rPr>
          <w:rFonts w:ascii="Times New Roman" w:hAnsi="Times New Roman"/>
          <w:sz w:val="22"/>
          <w:szCs w:val="22"/>
        </w:rPr>
        <w:t>Concurrent with the closing of the Transaction, the Company intends to complete a private placement for up to 5,000,000 units at a price of $0.25 per unit for gross proceeds of up to $1,250,000. Each unit is comprised of one common share and one half warrant with each full warrant being exercisable into one common share at $0.40 for one year.</w:t>
      </w:r>
    </w:p>
    <w:p w14:paraId="37A55EF2" w14:textId="77777777" w:rsidR="00DB66EA" w:rsidRDefault="00DB66EA" w:rsidP="00321E9C">
      <w:pPr>
        <w:rPr>
          <w:b/>
          <w:bCs/>
          <w:sz w:val="24"/>
        </w:rPr>
      </w:pPr>
    </w:p>
    <w:p w14:paraId="5695F088" w14:textId="77777777" w:rsidR="00CA3C94" w:rsidRDefault="00CA3C94">
      <w:pPr>
        <w:rPr>
          <w:rFonts w:ascii="Arial" w:hAnsi="Arial"/>
          <w:sz w:val="24"/>
        </w:rPr>
      </w:pPr>
    </w:p>
    <w:p w14:paraId="5139865E" w14:textId="77777777" w:rsidR="0048706B" w:rsidRDefault="0048706B">
      <w:pPr>
        <w:pStyle w:val="Heading1"/>
        <w:spacing w:line="280" w:lineRule="exact"/>
        <w:rPr>
          <w:rFonts w:ascii="Arial" w:hAnsi="Arial"/>
        </w:rPr>
      </w:pPr>
      <w:r>
        <w:rPr>
          <w:rFonts w:ascii="Arial" w:hAnsi="Arial"/>
        </w:rPr>
        <w:t>SCHEDULE B:  SUPPLEMENTARY INFORMATION</w:t>
      </w:r>
    </w:p>
    <w:p w14:paraId="26E4B2BF" w14:textId="77777777" w:rsidR="00526387" w:rsidRPr="00526387" w:rsidRDefault="00526387" w:rsidP="00526387"/>
    <w:p w14:paraId="2EAA00C3"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4AEBF53B" w14:textId="77777777" w:rsidR="0048706B" w:rsidRDefault="0048706B">
      <w:pPr>
        <w:spacing w:line="280" w:lineRule="exact"/>
        <w:jc w:val="both"/>
        <w:rPr>
          <w:rFonts w:ascii="Arial" w:hAnsi="Arial"/>
          <w:sz w:val="24"/>
        </w:rPr>
      </w:pPr>
    </w:p>
    <w:p w14:paraId="592BC1B5" w14:textId="77777777" w:rsidR="0048706B" w:rsidRDefault="0048706B">
      <w:pPr>
        <w:spacing w:line="280" w:lineRule="exact"/>
        <w:jc w:val="both"/>
        <w:rPr>
          <w:rFonts w:ascii="Arial" w:hAnsi="Arial"/>
          <w:sz w:val="24"/>
        </w:rPr>
      </w:pPr>
    </w:p>
    <w:p w14:paraId="7EB31E75" w14:textId="77777777" w:rsidR="0048706B" w:rsidRDefault="0048706B" w:rsidP="00D85827">
      <w:pPr>
        <w:numPr>
          <w:ilvl w:val="0"/>
          <w:numId w:val="2"/>
        </w:numPr>
        <w:spacing w:line="280" w:lineRule="exact"/>
        <w:jc w:val="both"/>
        <w:rPr>
          <w:rFonts w:ascii="Arial" w:hAnsi="Arial"/>
          <w:b/>
          <w:sz w:val="24"/>
        </w:rPr>
      </w:pPr>
      <w:r>
        <w:rPr>
          <w:rFonts w:ascii="Arial" w:hAnsi="Arial"/>
          <w:b/>
          <w:sz w:val="24"/>
        </w:rPr>
        <w:t>Related party transactions</w:t>
      </w:r>
    </w:p>
    <w:p w14:paraId="38A46950" w14:textId="77777777" w:rsidR="0048706B" w:rsidRDefault="0048706B">
      <w:pPr>
        <w:spacing w:line="280" w:lineRule="exact"/>
        <w:jc w:val="both"/>
        <w:rPr>
          <w:rFonts w:ascii="Arial" w:hAnsi="Arial"/>
          <w:sz w:val="24"/>
        </w:rPr>
      </w:pPr>
    </w:p>
    <w:p w14:paraId="1668F0D1" w14:textId="191202A5"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62FC3234" w14:textId="001EF2ED" w:rsidR="00E27F98" w:rsidRDefault="00E27F98">
      <w:pPr>
        <w:pStyle w:val="BodyTextIndent"/>
        <w:spacing w:line="280" w:lineRule="exact"/>
        <w:rPr>
          <w:rFonts w:ascii="Arial" w:hAnsi="Arial"/>
        </w:rPr>
      </w:pPr>
    </w:p>
    <w:p w14:paraId="3E5A0F24" w14:textId="0F232860" w:rsidR="00E27F98" w:rsidRPr="00AB2AD8" w:rsidRDefault="00AB2AD8">
      <w:pPr>
        <w:pStyle w:val="BodyTextIndent"/>
        <w:spacing w:line="280" w:lineRule="exact"/>
        <w:rPr>
          <w:rFonts w:ascii="Arial" w:hAnsi="Arial"/>
          <w:b/>
          <w:bCs/>
        </w:rPr>
      </w:pPr>
      <w:r w:rsidRPr="00AB2AD8">
        <w:rPr>
          <w:rFonts w:ascii="Arial" w:hAnsi="Arial"/>
          <w:b/>
          <w:bCs/>
        </w:rPr>
        <w:t>Included in financial statements</w:t>
      </w:r>
      <w:r w:rsidR="00AD20F6">
        <w:rPr>
          <w:rFonts w:ascii="Arial" w:hAnsi="Arial"/>
          <w:b/>
          <w:bCs/>
        </w:rPr>
        <w:t xml:space="preserve"> and in MD&amp;A</w:t>
      </w:r>
    </w:p>
    <w:p w14:paraId="52EB31BB" w14:textId="77777777" w:rsidR="0048706B" w:rsidRDefault="0048706B">
      <w:pPr>
        <w:pStyle w:val="BodyTextIndent"/>
        <w:spacing w:line="280" w:lineRule="exact"/>
        <w:rPr>
          <w:rFonts w:ascii="Arial" w:hAnsi="Arial"/>
        </w:rPr>
      </w:pPr>
    </w:p>
    <w:p w14:paraId="6CC764AD" w14:textId="77777777" w:rsidR="0048706B" w:rsidRDefault="0048706B">
      <w:pPr>
        <w:spacing w:line="280" w:lineRule="exact"/>
        <w:ind w:left="720"/>
        <w:jc w:val="both"/>
        <w:rPr>
          <w:rFonts w:ascii="Arial" w:hAnsi="Arial"/>
          <w:sz w:val="24"/>
        </w:rPr>
      </w:pPr>
    </w:p>
    <w:p w14:paraId="386E1FB5" w14:textId="77777777" w:rsidR="0048706B" w:rsidRDefault="0048706B" w:rsidP="00D85827">
      <w:pPr>
        <w:numPr>
          <w:ilvl w:val="0"/>
          <w:numId w:val="2"/>
        </w:numPr>
        <w:spacing w:line="280" w:lineRule="exact"/>
        <w:jc w:val="both"/>
        <w:rPr>
          <w:rFonts w:ascii="Arial" w:hAnsi="Arial"/>
          <w:b/>
          <w:sz w:val="24"/>
        </w:rPr>
      </w:pPr>
      <w:r>
        <w:rPr>
          <w:rFonts w:ascii="Arial" w:hAnsi="Arial"/>
          <w:b/>
          <w:sz w:val="24"/>
        </w:rPr>
        <w:t>Summary of securities issued and options granted during the period.</w:t>
      </w:r>
    </w:p>
    <w:p w14:paraId="73C33B17" w14:textId="77777777" w:rsidR="0048706B" w:rsidRDefault="0048706B">
      <w:pPr>
        <w:spacing w:line="280" w:lineRule="exact"/>
        <w:jc w:val="both"/>
        <w:rPr>
          <w:rFonts w:ascii="Arial" w:hAnsi="Arial"/>
          <w:sz w:val="24"/>
        </w:rPr>
      </w:pPr>
    </w:p>
    <w:p w14:paraId="23BEE77B"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6DC3128D" w14:textId="77777777" w:rsidR="0048706B" w:rsidRDefault="0048706B">
      <w:pPr>
        <w:spacing w:line="280" w:lineRule="exact"/>
        <w:ind w:left="720"/>
        <w:jc w:val="both"/>
        <w:rPr>
          <w:rFonts w:ascii="Arial" w:hAnsi="Arial"/>
          <w:sz w:val="24"/>
        </w:rPr>
      </w:pPr>
    </w:p>
    <w:p w14:paraId="6FABA641" w14:textId="77777777" w:rsidR="0048706B" w:rsidRDefault="0048706B" w:rsidP="00D85827">
      <w:pPr>
        <w:numPr>
          <w:ilvl w:val="0"/>
          <w:numId w:val="3"/>
        </w:numPr>
        <w:spacing w:line="280" w:lineRule="exact"/>
        <w:jc w:val="both"/>
        <w:rPr>
          <w:rFonts w:ascii="Arial" w:hAnsi="Arial"/>
          <w:sz w:val="24"/>
        </w:rPr>
      </w:pPr>
      <w:r>
        <w:rPr>
          <w:rFonts w:ascii="Arial" w:hAnsi="Arial"/>
          <w:sz w:val="24"/>
        </w:rPr>
        <w:t>summary of securities issued during the period,</w:t>
      </w:r>
    </w:p>
    <w:p w14:paraId="2715EF58"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1E093A62" w14:textId="77777777">
        <w:tc>
          <w:tcPr>
            <w:tcW w:w="990" w:type="dxa"/>
          </w:tcPr>
          <w:p w14:paraId="0F8BD3D2" w14:textId="77777777" w:rsidR="0048706B" w:rsidRDefault="0048706B">
            <w:pPr>
              <w:keepNext/>
              <w:keepLines/>
              <w:spacing w:line="280" w:lineRule="exact"/>
              <w:jc w:val="center"/>
              <w:rPr>
                <w:rFonts w:ascii="Arial" w:hAnsi="Arial"/>
                <w:b/>
              </w:rPr>
            </w:pPr>
          </w:p>
          <w:p w14:paraId="0249D265" w14:textId="77777777" w:rsidR="0048706B" w:rsidRDefault="0048706B">
            <w:pPr>
              <w:keepNext/>
              <w:keepLines/>
              <w:spacing w:line="280" w:lineRule="exact"/>
              <w:jc w:val="center"/>
              <w:rPr>
                <w:rFonts w:ascii="Arial" w:hAnsi="Arial"/>
                <w:b/>
              </w:rPr>
            </w:pPr>
          </w:p>
          <w:p w14:paraId="65191B85" w14:textId="77777777" w:rsidR="0048706B" w:rsidRDefault="0048706B">
            <w:pPr>
              <w:keepNext/>
              <w:keepLines/>
              <w:spacing w:line="280" w:lineRule="exact"/>
              <w:jc w:val="center"/>
              <w:rPr>
                <w:rFonts w:ascii="Arial" w:hAnsi="Arial"/>
                <w:b/>
              </w:rPr>
            </w:pPr>
          </w:p>
          <w:p w14:paraId="0F41AB51" w14:textId="77777777" w:rsidR="0048706B" w:rsidRDefault="0048706B">
            <w:pPr>
              <w:keepNext/>
              <w:keepLines/>
              <w:spacing w:line="280" w:lineRule="exact"/>
              <w:jc w:val="center"/>
              <w:rPr>
                <w:rFonts w:ascii="Arial" w:hAnsi="Arial"/>
                <w:b/>
              </w:rPr>
            </w:pPr>
          </w:p>
          <w:p w14:paraId="6555FF6A" w14:textId="77777777" w:rsidR="0048706B" w:rsidRDefault="0048706B">
            <w:pPr>
              <w:keepNext/>
              <w:keepLines/>
              <w:spacing w:line="280" w:lineRule="exact"/>
              <w:jc w:val="center"/>
              <w:rPr>
                <w:rFonts w:ascii="Arial" w:hAnsi="Arial"/>
                <w:b/>
              </w:rPr>
            </w:pPr>
          </w:p>
          <w:p w14:paraId="2F34802B" w14:textId="77777777" w:rsidR="0048706B" w:rsidRDefault="0048706B">
            <w:pPr>
              <w:keepNext/>
              <w:keepLines/>
              <w:spacing w:line="280" w:lineRule="exact"/>
              <w:jc w:val="center"/>
              <w:rPr>
                <w:rFonts w:ascii="Arial" w:hAnsi="Arial"/>
                <w:b/>
              </w:rPr>
            </w:pPr>
          </w:p>
          <w:p w14:paraId="0C25B25D"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1D384ADE" w14:textId="77777777" w:rsidR="0048706B" w:rsidRDefault="0048706B">
            <w:pPr>
              <w:keepNext/>
              <w:keepLines/>
              <w:spacing w:line="280" w:lineRule="exact"/>
              <w:jc w:val="center"/>
              <w:rPr>
                <w:rFonts w:ascii="Arial" w:hAnsi="Arial"/>
                <w:b/>
              </w:rPr>
            </w:pPr>
          </w:p>
          <w:p w14:paraId="139CD927"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034370FB"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4D520F6B" w14:textId="77777777" w:rsidR="0048706B" w:rsidRDefault="0048706B">
            <w:pPr>
              <w:pStyle w:val="Heading3"/>
              <w:keepLines/>
              <w:jc w:val="center"/>
              <w:rPr>
                <w:sz w:val="20"/>
              </w:rPr>
            </w:pPr>
          </w:p>
          <w:p w14:paraId="60266B97" w14:textId="77777777" w:rsidR="0048706B" w:rsidRDefault="0048706B">
            <w:pPr>
              <w:pStyle w:val="Heading3"/>
              <w:keepLines/>
              <w:jc w:val="center"/>
              <w:rPr>
                <w:sz w:val="20"/>
              </w:rPr>
            </w:pPr>
          </w:p>
          <w:p w14:paraId="3CFA6A08" w14:textId="77777777" w:rsidR="0048706B" w:rsidRDefault="0048706B">
            <w:pPr>
              <w:pStyle w:val="Heading3"/>
              <w:keepLines/>
              <w:jc w:val="center"/>
              <w:rPr>
                <w:sz w:val="20"/>
              </w:rPr>
            </w:pPr>
          </w:p>
          <w:p w14:paraId="6DC27724" w14:textId="77777777" w:rsidR="0048706B" w:rsidRDefault="0048706B">
            <w:pPr>
              <w:pStyle w:val="Heading3"/>
              <w:keepLines/>
              <w:jc w:val="center"/>
              <w:rPr>
                <w:sz w:val="20"/>
              </w:rPr>
            </w:pPr>
          </w:p>
          <w:p w14:paraId="58618FCC" w14:textId="77777777" w:rsidR="0048706B" w:rsidRDefault="0048706B">
            <w:pPr>
              <w:pStyle w:val="Heading3"/>
              <w:keepLines/>
              <w:jc w:val="center"/>
              <w:rPr>
                <w:sz w:val="20"/>
              </w:rPr>
            </w:pPr>
          </w:p>
          <w:p w14:paraId="31D6585B" w14:textId="77777777" w:rsidR="0048706B" w:rsidRDefault="0048706B">
            <w:pPr>
              <w:pStyle w:val="Heading3"/>
              <w:keepLines/>
              <w:jc w:val="center"/>
              <w:rPr>
                <w:sz w:val="20"/>
              </w:rPr>
            </w:pPr>
          </w:p>
          <w:p w14:paraId="07086D55" w14:textId="77777777" w:rsidR="0048706B" w:rsidRDefault="0048706B">
            <w:pPr>
              <w:pStyle w:val="Heading3"/>
              <w:keepLines/>
              <w:jc w:val="center"/>
              <w:rPr>
                <w:sz w:val="20"/>
              </w:rPr>
            </w:pPr>
          </w:p>
          <w:p w14:paraId="69571A49" w14:textId="77777777" w:rsidR="0048706B" w:rsidRDefault="0048706B">
            <w:pPr>
              <w:pStyle w:val="Heading3"/>
              <w:keepLines/>
              <w:jc w:val="center"/>
              <w:rPr>
                <w:sz w:val="20"/>
              </w:rPr>
            </w:pPr>
            <w:r>
              <w:rPr>
                <w:sz w:val="20"/>
              </w:rPr>
              <w:t>Number</w:t>
            </w:r>
          </w:p>
        </w:tc>
        <w:tc>
          <w:tcPr>
            <w:tcW w:w="810" w:type="dxa"/>
          </w:tcPr>
          <w:p w14:paraId="4D985C81" w14:textId="77777777" w:rsidR="0048706B" w:rsidRDefault="0048706B">
            <w:pPr>
              <w:keepNext/>
              <w:keepLines/>
              <w:spacing w:line="280" w:lineRule="exact"/>
              <w:jc w:val="center"/>
              <w:rPr>
                <w:rFonts w:ascii="Arial" w:hAnsi="Arial"/>
                <w:b/>
              </w:rPr>
            </w:pPr>
          </w:p>
          <w:p w14:paraId="69218F9C" w14:textId="77777777" w:rsidR="0048706B" w:rsidRDefault="0048706B">
            <w:pPr>
              <w:keepNext/>
              <w:keepLines/>
              <w:spacing w:line="280" w:lineRule="exact"/>
              <w:jc w:val="center"/>
              <w:rPr>
                <w:rFonts w:ascii="Arial" w:hAnsi="Arial"/>
                <w:b/>
              </w:rPr>
            </w:pPr>
          </w:p>
          <w:p w14:paraId="478F5034" w14:textId="77777777" w:rsidR="0048706B" w:rsidRDefault="0048706B">
            <w:pPr>
              <w:keepNext/>
              <w:keepLines/>
              <w:spacing w:line="280" w:lineRule="exact"/>
              <w:jc w:val="center"/>
              <w:rPr>
                <w:rFonts w:ascii="Arial" w:hAnsi="Arial"/>
                <w:b/>
              </w:rPr>
            </w:pPr>
          </w:p>
          <w:p w14:paraId="6004B062" w14:textId="77777777" w:rsidR="0048706B" w:rsidRDefault="0048706B">
            <w:pPr>
              <w:keepNext/>
              <w:keepLines/>
              <w:spacing w:line="280" w:lineRule="exact"/>
              <w:jc w:val="center"/>
              <w:rPr>
                <w:rFonts w:ascii="Arial" w:hAnsi="Arial"/>
                <w:b/>
              </w:rPr>
            </w:pPr>
          </w:p>
          <w:p w14:paraId="2EEF831C" w14:textId="77777777" w:rsidR="0048706B" w:rsidRDefault="0048706B">
            <w:pPr>
              <w:keepNext/>
              <w:keepLines/>
              <w:spacing w:line="280" w:lineRule="exact"/>
              <w:jc w:val="center"/>
              <w:rPr>
                <w:rFonts w:ascii="Arial" w:hAnsi="Arial"/>
                <w:b/>
              </w:rPr>
            </w:pPr>
          </w:p>
          <w:p w14:paraId="3585850A" w14:textId="77777777" w:rsidR="0048706B" w:rsidRDefault="0048706B">
            <w:pPr>
              <w:keepNext/>
              <w:keepLines/>
              <w:spacing w:line="280" w:lineRule="exact"/>
              <w:jc w:val="center"/>
              <w:rPr>
                <w:rFonts w:ascii="Arial" w:hAnsi="Arial"/>
                <w:b/>
              </w:rPr>
            </w:pPr>
          </w:p>
          <w:p w14:paraId="5E4DAF7E" w14:textId="77777777" w:rsidR="0048706B" w:rsidRDefault="0048706B">
            <w:pPr>
              <w:keepNext/>
              <w:keepLines/>
              <w:spacing w:line="280" w:lineRule="exact"/>
              <w:jc w:val="center"/>
              <w:rPr>
                <w:rFonts w:ascii="Arial" w:hAnsi="Arial"/>
                <w:b/>
              </w:rPr>
            </w:pPr>
          </w:p>
          <w:p w14:paraId="65524CF6"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215F718E" w14:textId="77777777" w:rsidR="0048706B" w:rsidRDefault="0048706B">
            <w:pPr>
              <w:keepNext/>
              <w:keepLines/>
              <w:spacing w:line="280" w:lineRule="exact"/>
              <w:jc w:val="center"/>
              <w:rPr>
                <w:rFonts w:ascii="Arial" w:hAnsi="Arial"/>
                <w:b/>
              </w:rPr>
            </w:pPr>
          </w:p>
          <w:p w14:paraId="6594158C" w14:textId="77777777" w:rsidR="0048706B" w:rsidRDefault="0048706B">
            <w:pPr>
              <w:keepNext/>
              <w:keepLines/>
              <w:spacing w:line="280" w:lineRule="exact"/>
              <w:jc w:val="center"/>
              <w:rPr>
                <w:rFonts w:ascii="Arial" w:hAnsi="Arial"/>
                <w:b/>
              </w:rPr>
            </w:pPr>
          </w:p>
          <w:p w14:paraId="7D0B8834" w14:textId="77777777" w:rsidR="0048706B" w:rsidRDefault="0048706B">
            <w:pPr>
              <w:keepNext/>
              <w:keepLines/>
              <w:spacing w:line="280" w:lineRule="exact"/>
              <w:jc w:val="center"/>
              <w:rPr>
                <w:rFonts w:ascii="Arial" w:hAnsi="Arial"/>
                <w:b/>
              </w:rPr>
            </w:pPr>
          </w:p>
          <w:p w14:paraId="3E7525C2" w14:textId="77777777" w:rsidR="0048706B" w:rsidRDefault="0048706B">
            <w:pPr>
              <w:keepNext/>
              <w:keepLines/>
              <w:spacing w:line="280" w:lineRule="exact"/>
              <w:jc w:val="center"/>
              <w:rPr>
                <w:rFonts w:ascii="Arial" w:hAnsi="Arial"/>
                <w:b/>
              </w:rPr>
            </w:pPr>
          </w:p>
          <w:p w14:paraId="2F36487D" w14:textId="77777777" w:rsidR="0048706B" w:rsidRDefault="0048706B">
            <w:pPr>
              <w:keepNext/>
              <w:keepLines/>
              <w:spacing w:line="280" w:lineRule="exact"/>
              <w:jc w:val="center"/>
              <w:rPr>
                <w:rFonts w:ascii="Arial" w:hAnsi="Arial"/>
                <w:b/>
              </w:rPr>
            </w:pPr>
          </w:p>
          <w:p w14:paraId="5087A20D" w14:textId="77777777" w:rsidR="0048706B" w:rsidRDefault="0048706B">
            <w:pPr>
              <w:keepNext/>
              <w:keepLines/>
              <w:spacing w:line="280" w:lineRule="exact"/>
              <w:jc w:val="center"/>
              <w:rPr>
                <w:rFonts w:ascii="Arial" w:hAnsi="Arial"/>
                <w:b/>
              </w:rPr>
            </w:pPr>
          </w:p>
          <w:p w14:paraId="7E60A0DD"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5C083DD0" w14:textId="77777777" w:rsidR="0048706B" w:rsidRDefault="0048706B">
            <w:pPr>
              <w:keepNext/>
              <w:keepLines/>
              <w:spacing w:line="280" w:lineRule="exact"/>
              <w:jc w:val="center"/>
              <w:rPr>
                <w:rFonts w:ascii="Arial" w:hAnsi="Arial"/>
                <w:b/>
              </w:rPr>
            </w:pPr>
          </w:p>
          <w:p w14:paraId="43383465" w14:textId="77777777" w:rsidR="0048706B" w:rsidRDefault="0048706B">
            <w:pPr>
              <w:keepNext/>
              <w:keepLines/>
              <w:spacing w:line="280" w:lineRule="exact"/>
              <w:jc w:val="center"/>
              <w:rPr>
                <w:rFonts w:ascii="Arial" w:hAnsi="Arial"/>
                <w:b/>
              </w:rPr>
            </w:pPr>
          </w:p>
          <w:p w14:paraId="5E3EECBE" w14:textId="77777777" w:rsidR="0048706B" w:rsidRDefault="0048706B">
            <w:pPr>
              <w:keepNext/>
              <w:keepLines/>
              <w:spacing w:line="280" w:lineRule="exact"/>
              <w:jc w:val="center"/>
              <w:rPr>
                <w:rFonts w:ascii="Arial" w:hAnsi="Arial"/>
                <w:b/>
              </w:rPr>
            </w:pPr>
          </w:p>
          <w:p w14:paraId="2F0D1E00" w14:textId="77777777" w:rsidR="0048706B" w:rsidRDefault="0048706B">
            <w:pPr>
              <w:keepNext/>
              <w:keepLines/>
              <w:spacing w:line="280" w:lineRule="exact"/>
              <w:jc w:val="center"/>
              <w:rPr>
                <w:rFonts w:ascii="Arial" w:hAnsi="Arial"/>
                <w:b/>
              </w:rPr>
            </w:pPr>
          </w:p>
          <w:p w14:paraId="2544ABD6"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5680EF4E" w14:textId="77777777" w:rsidR="0048706B" w:rsidRDefault="0048706B">
            <w:pPr>
              <w:keepNext/>
              <w:keepLines/>
              <w:spacing w:line="280" w:lineRule="exact"/>
              <w:jc w:val="center"/>
              <w:rPr>
                <w:rFonts w:ascii="Arial" w:hAnsi="Arial"/>
                <w:b/>
              </w:rPr>
            </w:pPr>
          </w:p>
          <w:p w14:paraId="2B6976E0"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08024CAA" w14:textId="77777777" w:rsidR="0048706B" w:rsidRDefault="0048706B">
            <w:pPr>
              <w:keepNext/>
              <w:keepLines/>
              <w:spacing w:line="280" w:lineRule="exact"/>
              <w:jc w:val="center"/>
              <w:rPr>
                <w:rFonts w:ascii="Arial" w:hAnsi="Arial"/>
                <w:b/>
              </w:rPr>
            </w:pPr>
          </w:p>
          <w:p w14:paraId="5B43CEB4" w14:textId="77777777" w:rsidR="0048706B" w:rsidRDefault="0048706B">
            <w:pPr>
              <w:keepNext/>
              <w:keepLines/>
              <w:spacing w:line="280" w:lineRule="exact"/>
              <w:jc w:val="center"/>
              <w:rPr>
                <w:rFonts w:ascii="Arial" w:hAnsi="Arial"/>
                <w:b/>
              </w:rPr>
            </w:pPr>
          </w:p>
          <w:p w14:paraId="535DAB07" w14:textId="77777777" w:rsidR="0048706B" w:rsidRDefault="0048706B">
            <w:pPr>
              <w:keepNext/>
              <w:keepLines/>
              <w:spacing w:line="280" w:lineRule="exact"/>
              <w:jc w:val="center"/>
              <w:rPr>
                <w:rFonts w:ascii="Arial" w:hAnsi="Arial"/>
                <w:b/>
              </w:rPr>
            </w:pPr>
          </w:p>
          <w:p w14:paraId="4B770B00" w14:textId="77777777" w:rsidR="0048706B" w:rsidRDefault="0048706B">
            <w:pPr>
              <w:keepNext/>
              <w:keepLines/>
              <w:spacing w:line="280" w:lineRule="exact"/>
              <w:jc w:val="center"/>
              <w:rPr>
                <w:rFonts w:ascii="Arial" w:hAnsi="Arial"/>
                <w:b/>
              </w:rPr>
            </w:pPr>
          </w:p>
          <w:p w14:paraId="30EDE893" w14:textId="77777777" w:rsidR="0048706B" w:rsidRDefault="0048706B">
            <w:pPr>
              <w:keepNext/>
              <w:keepLines/>
              <w:spacing w:line="280" w:lineRule="exact"/>
              <w:jc w:val="center"/>
              <w:rPr>
                <w:rFonts w:ascii="Arial" w:hAnsi="Arial"/>
                <w:b/>
              </w:rPr>
            </w:pPr>
          </w:p>
          <w:p w14:paraId="3200269F" w14:textId="77777777" w:rsidR="0048706B" w:rsidRDefault="0048706B">
            <w:pPr>
              <w:keepNext/>
              <w:keepLines/>
              <w:spacing w:line="280" w:lineRule="exact"/>
              <w:jc w:val="center"/>
              <w:rPr>
                <w:rFonts w:ascii="Arial" w:hAnsi="Arial"/>
                <w:b/>
              </w:rPr>
            </w:pPr>
          </w:p>
          <w:p w14:paraId="4AD665B9"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3447BE0B" w14:textId="77777777">
        <w:tc>
          <w:tcPr>
            <w:tcW w:w="990" w:type="dxa"/>
          </w:tcPr>
          <w:p w14:paraId="631182B6" w14:textId="389AF89B" w:rsidR="0048706B" w:rsidRDefault="007F54B8">
            <w:pPr>
              <w:keepNext/>
              <w:keepLines/>
              <w:spacing w:line="280" w:lineRule="exact"/>
              <w:jc w:val="both"/>
              <w:rPr>
                <w:rFonts w:ascii="Arial" w:hAnsi="Arial"/>
              </w:rPr>
            </w:pPr>
            <w:r>
              <w:rPr>
                <w:rFonts w:ascii="Arial" w:hAnsi="Arial"/>
              </w:rPr>
              <w:t>May 27</w:t>
            </w:r>
          </w:p>
        </w:tc>
        <w:tc>
          <w:tcPr>
            <w:tcW w:w="1440" w:type="dxa"/>
          </w:tcPr>
          <w:p w14:paraId="31D07A67" w14:textId="6E2F334A" w:rsidR="0048706B" w:rsidRDefault="007F54B8">
            <w:pPr>
              <w:keepNext/>
              <w:keepLines/>
              <w:spacing w:line="280" w:lineRule="exact"/>
              <w:jc w:val="both"/>
              <w:rPr>
                <w:rFonts w:ascii="Arial" w:hAnsi="Arial"/>
              </w:rPr>
            </w:pPr>
            <w:r>
              <w:rPr>
                <w:rFonts w:ascii="Arial" w:hAnsi="Arial"/>
              </w:rPr>
              <w:t>common</w:t>
            </w:r>
          </w:p>
        </w:tc>
        <w:tc>
          <w:tcPr>
            <w:tcW w:w="1350" w:type="dxa"/>
          </w:tcPr>
          <w:p w14:paraId="25F485AE" w14:textId="0750928B" w:rsidR="0048706B" w:rsidRDefault="007F54B8">
            <w:pPr>
              <w:keepNext/>
              <w:keepLines/>
              <w:spacing w:line="280" w:lineRule="exact"/>
              <w:jc w:val="both"/>
              <w:rPr>
                <w:rFonts w:ascii="Arial" w:hAnsi="Arial"/>
              </w:rPr>
            </w:pPr>
            <w:r>
              <w:rPr>
                <w:rFonts w:ascii="Arial" w:hAnsi="Arial"/>
              </w:rPr>
              <w:t>Exercise of warrants</w:t>
            </w:r>
          </w:p>
        </w:tc>
        <w:tc>
          <w:tcPr>
            <w:tcW w:w="990" w:type="dxa"/>
          </w:tcPr>
          <w:p w14:paraId="30B929E5" w14:textId="0EBE9DE3" w:rsidR="0048706B" w:rsidRDefault="007F54B8">
            <w:pPr>
              <w:keepNext/>
              <w:keepLines/>
              <w:spacing w:line="280" w:lineRule="exact"/>
              <w:jc w:val="both"/>
              <w:rPr>
                <w:rFonts w:ascii="Arial" w:hAnsi="Arial"/>
              </w:rPr>
            </w:pPr>
            <w:r>
              <w:rPr>
                <w:rFonts w:ascii="Arial" w:hAnsi="Arial"/>
              </w:rPr>
              <w:t>114,350</w:t>
            </w:r>
          </w:p>
        </w:tc>
        <w:tc>
          <w:tcPr>
            <w:tcW w:w="810" w:type="dxa"/>
          </w:tcPr>
          <w:p w14:paraId="4A890D2F" w14:textId="598FCAD3" w:rsidR="0048706B" w:rsidRDefault="007F54B8">
            <w:pPr>
              <w:keepNext/>
              <w:keepLines/>
              <w:spacing w:line="280" w:lineRule="exact"/>
              <w:jc w:val="both"/>
              <w:rPr>
                <w:rFonts w:ascii="Arial" w:hAnsi="Arial"/>
              </w:rPr>
            </w:pPr>
            <w:r>
              <w:rPr>
                <w:rFonts w:ascii="Arial" w:hAnsi="Arial"/>
              </w:rPr>
              <w:t>.10</w:t>
            </w:r>
          </w:p>
        </w:tc>
        <w:tc>
          <w:tcPr>
            <w:tcW w:w="1260" w:type="dxa"/>
          </w:tcPr>
          <w:p w14:paraId="06CB997F" w14:textId="08B1CB44" w:rsidR="0048706B" w:rsidRDefault="007F54B8">
            <w:pPr>
              <w:keepNext/>
              <w:keepLines/>
              <w:spacing w:line="280" w:lineRule="exact"/>
              <w:jc w:val="both"/>
              <w:rPr>
                <w:rFonts w:ascii="Arial" w:hAnsi="Arial"/>
              </w:rPr>
            </w:pPr>
            <w:r>
              <w:rPr>
                <w:rFonts w:ascii="Arial" w:hAnsi="Arial"/>
              </w:rPr>
              <w:t>$11,435</w:t>
            </w:r>
          </w:p>
        </w:tc>
        <w:tc>
          <w:tcPr>
            <w:tcW w:w="1620" w:type="dxa"/>
          </w:tcPr>
          <w:p w14:paraId="4BCC534F" w14:textId="71BC6AE3" w:rsidR="0048706B" w:rsidRDefault="007F54B8">
            <w:pPr>
              <w:keepNext/>
              <w:keepLines/>
              <w:spacing w:line="280" w:lineRule="exact"/>
              <w:jc w:val="both"/>
              <w:rPr>
                <w:rFonts w:ascii="Arial" w:hAnsi="Arial"/>
              </w:rPr>
            </w:pPr>
            <w:r>
              <w:rPr>
                <w:rFonts w:ascii="Arial" w:hAnsi="Arial"/>
              </w:rPr>
              <w:t>cash</w:t>
            </w:r>
          </w:p>
        </w:tc>
        <w:tc>
          <w:tcPr>
            <w:tcW w:w="1350" w:type="dxa"/>
          </w:tcPr>
          <w:p w14:paraId="78A4E40C" w14:textId="727D05DE" w:rsidR="0048706B" w:rsidRDefault="007F54B8">
            <w:pPr>
              <w:keepNext/>
              <w:keepLines/>
              <w:spacing w:line="280" w:lineRule="exact"/>
              <w:jc w:val="both"/>
              <w:rPr>
                <w:rFonts w:ascii="Arial" w:hAnsi="Arial"/>
              </w:rPr>
            </w:pPr>
            <w:r>
              <w:rPr>
                <w:rFonts w:ascii="Arial" w:hAnsi="Arial"/>
              </w:rPr>
              <w:t>no</w:t>
            </w:r>
          </w:p>
        </w:tc>
        <w:tc>
          <w:tcPr>
            <w:tcW w:w="1440" w:type="dxa"/>
          </w:tcPr>
          <w:p w14:paraId="68CDA534" w14:textId="4524BB8F" w:rsidR="0048706B" w:rsidRDefault="007F54B8">
            <w:pPr>
              <w:keepNext/>
              <w:keepLines/>
              <w:spacing w:line="280" w:lineRule="exact"/>
              <w:jc w:val="both"/>
              <w:rPr>
                <w:rFonts w:ascii="Arial" w:hAnsi="Arial"/>
              </w:rPr>
            </w:pPr>
            <w:r>
              <w:rPr>
                <w:rFonts w:ascii="Arial" w:hAnsi="Arial"/>
              </w:rPr>
              <w:t>no</w:t>
            </w:r>
          </w:p>
        </w:tc>
      </w:tr>
      <w:tr w:rsidR="0048706B" w14:paraId="371142D7" w14:textId="77777777">
        <w:tc>
          <w:tcPr>
            <w:tcW w:w="990" w:type="dxa"/>
          </w:tcPr>
          <w:p w14:paraId="3F527307" w14:textId="77777777" w:rsidR="0048706B" w:rsidRDefault="0048706B">
            <w:pPr>
              <w:keepNext/>
              <w:keepLines/>
              <w:spacing w:line="280" w:lineRule="exact"/>
              <w:jc w:val="both"/>
              <w:rPr>
                <w:rFonts w:ascii="Arial" w:hAnsi="Arial"/>
              </w:rPr>
            </w:pPr>
          </w:p>
        </w:tc>
        <w:tc>
          <w:tcPr>
            <w:tcW w:w="1440" w:type="dxa"/>
          </w:tcPr>
          <w:p w14:paraId="5913B4E0" w14:textId="77777777" w:rsidR="0048706B" w:rsidRDefault="0048706B">
            <w:pPr>
              <w:keepNext/>
              <w:keepLines/>
              <w:spacing w:line="280" w:lineRule="exact"/>
              <w:jc w:val="both"/>
              <w:rPr>
                <w:rFonts w:ascii="Arial" w:hAnsi="Arial"/>
              </w:rPr>
            </w:pPr>
          </w:p>
        </w:tc>
        <w:tc>
          <w:tcPr>
            <w:tcW w:w="1350" w:type="dxa"/>
          </w:tcPr>
          <w:p w14:paraId="640ECD57" w14:textId="77777777" w:rsidR="0048706B" w:rsidRDefault="0048706B">
            <w:pPr>
              <w:keepNext/>
              <w:keepLines/>
              <w:spacing w:line="280" w:lineRule="exact"/>
              <w:jc w:val="both"/>
              <w:rPr>
                <w:rFonts w:ascii="Arial" w:hAnsi="Arial"/>
              </w:rPr>
            </w:pPr>
          </w:p>
        </w:tc>
        <w:tc>
          <w:tcPr>
            <w:tcW w:w="990" w:type="dxa"/>
          </w:tcPr>
          <w:p w14:paraId="26E865E3" w14:textId="77777777" w:rsidR="0048706B" w:rsidRDefault="0048706B">
            <w:pPr>
              <w:keepNext/>
              <w:keepLines/>
              <w:spacing w:line="280" w:lineRule="exact"/>
              <w:jc w:val="both"/>
              <w:rPr>
                <w:rFonts w:ascii="Arial" w:hAnsi="Arial"/>
              </w:rPr>
            </w:pPr>
          </w:p>
        </w:tc>
        <w:tc>
          <w:tcPr>
            <w:tcW w:w="810" w:type="dxa"/>
          </w:tcPr>
          <w:p w14:paraId="3C9982CB" w14:textId="77777777" w:rsidR="0048706B" w:rsidRDefault="0048706B">
            <w:pPr>
              <w:keepNext/>
              <w:keepLines/>
              <w:spacing w:line="280" w:lineRule="exact"/>
              <w:jc w:val="both"/>
              <w:rPr>
                <w:rFonts w:ascii="Arial" w:hAnsi="Arial"/>
              </w:rPr>
            </w:pPr>
          </w:p>
        </w:tc>
        <w:tc>
          <w:tcPr>
            <w:tcW w:w="1260" w:type="dxa"/>
          </w:tcPr>
          <w:p w14:paraId="683B6A9A" w14:textId="77777777" w:rsidR="0048706B" w:rsidRDefault="0048706B">
            <w:pPr>
              <w:keepNext/>
              <w:keepLines/>
              <w:spacing w:line="280" w:lineRule="exact"/>
              <w:jc w:val="both"/>
              <w:rPr>
                <w:rFonts w:ascii="Arial" w:hAnsi="Arial"/>
              </w:rPr>
            </w:pPr>
          </w:p>
        </w:tc>
        <w:tc>
          <w:tcPr>
            <w:tcW w:w="1620" w:type="dxa"/>
          </w:tcPr>
          <w:p w14:paraId="4A759360" w14:textId="77777777" w:rsidR="0048706B" w:rsidRDefault="0048706B">
            <w:pPr>
              <w:keepNext/>
              <w:keepLines/>
              <w:spacing w:line="280" w:lineRule="exact"/>
              <w:jc w:val="both"/>
              <w:rPr>
                <w:rFonts w:ascii="Arial" w:hAnsi="Arial"/>
              </w:rPr>
            </w:pPr>
          </w:p>
        </w:tc>
        <w:tc>
          <w:tcPr>
            <w:tcW w:w="1350" w:type="dxa"/>
          </w:tcPr>
          <w:p w14:paraId="1BA3A644" w14:textId="77777777" w:rsidR="0048706B" w:rsidRDefault="0048706B">
            <w:pPr>
              <w:keepNext/>
              <w:keepLines/>
              <w:spacing w:line="280" w:lineRule="exact"/>
              <w:jc w:val="both"/>
              <w:rPr>
                <w:rFonts w:ascii="Arial" w:hAnsi="Arial"/>
              </w:rPr>
            </w:pPr>
          </w:p>
        </w:tc>
        <w:tc>
          <w:tcPr>
            <w:tcW w:w="1440" w:type="dxa"/>
          </w:tcPr>
          <w:p w14:paraId="702E30C1" w14:textId="77777777" w:rsidR="0048706B" w:rsidRDefault="0048706B">
            <w:pPr>
              <w:keepNext/>
              <w:keepLines/>
              <w:spacing w:line="280" w:lineRule="exact"/>
              <w:jc w:val="both"/>
              <w:rPr>
                <w:rFonts w:ascii="Arial" w:hAnsi="Arial"/>
              </w:rPr>
            </w:pPr>
          </w:p>
        </w:tc>
      </w:tr>
      <w:tr w:rsidR="0048706B" w14:paraId="266B0B57" w14:textId="77777777">
        <w:tc>
          <w:tcPr>
            <w:tcW w:w="990" w:type="dxa"/>
          </w:tcPr>
          <w:p w14:paraId="2C3E0D25" w14:textId="77777777" w:rsidR="0048706B" w:rsidRDefault="0048706B">
            <w:pPr>
              <w:keepNext/>
              <w:keepLines/>
              <w:spacing w:line="280" w:lineRule="exact"/>
              <w:jc w:val="both"/>
              <w:rPr>
                <w:rFonts w:ascii="Arial" w:hAnsi="Arial"/>
              </w:rPr>
            </w:pPr>
          </w:p>
        </w:tc>
        <w:tc>
          <w:tcPr>
            <w:tcW w:w="1440" w:type="dxa"/>
          </w:tcPr>
          <w:p w14:paraId="638B1284" w14:textId="77777777" w:rsidR="0048706B" w:rsidRDefault="0048706B">
            <w:pPr>
              <w:keepNext/>
              <w:keepLines/>
              <w:spacing w:line="280" w:lineRule="exact"/>
              <w:jc w:val="both"/>
              <w:rPr>
                <w:rFonts w:ascii="Arial" w:hAnsi="Arial"/>
              </w:rPr>
            </w:pPr>
          </w:p>
        </w:tc>
        <w:tc>
          <w:tcPr>
            <w:tcW w:w="1350" w:type="dxa"/>
          </w:tcPr>
          <w:p w14:paraId="69523621" w14:textId="77777777" w:rsidR="0048706B" w:rsidRDefault="0048706B">
            <w:pPr>
              <w:keepNext/>
              <w:keepLines/>
              <w:spacing w:line="280" w:lineRule="exact"/>
              <w:jc w:val="both"/>
              <w:rPr>
                <w:rFonts w:ascii="Arial" w:hAnsi="Arial"/>
              </w:rPr>
            </w:pPr>
          </w:p>
        </w:tc>
        <w:tc>
          <w:tcPr>
            <w:tcW w:w="990" w:type="dxa"/>
          </w:tcPr>
          <w:p w14:paraId="11F38A93" w14:textId="77777777" w:rsidR="0048706B" w:rsidRDefault="0048706B">
            <w:pPr>
              <w:keepNext/>
              <w:keepLines/>
              <w:spacing w:line="280" w:lineRule="exact"/>
              <w:jc w:val="both"/>
              <w:rPr>
                <w:rFonts w:ascii="Arial" w:hAnsi="Arial"/>
              </w:rPr>
            </w:pPr>
          </w:p>
        </w:tc>
        <w:tc>
          <w:tcPr>
            <w:tcW w:w="810" w:type="dxa"/>
          </w:tcPr>
          <w:p w14:paraId="4717E32C" w14:textId="77777777" w:rsidR="0048706B" w:rsidRDefault="0048706B">
            <w:pPr>
              <w:keepNext/>
              <w:keepLines/>
              <w:spacing w:line="280" w:lineRule="exact"/>
              <w:jc w:val="both"/>
              <w:rPr>
                <w:rFonts w:ascii="Arial" w:hAnsi="Arial"/>
              </w:rPr>
            </w:pPr>
          </w:p>
        </w:tc>
        <w:tc>
          <w:tcPr>
            <w:tcW w:w="1260" w:type="dxa"/>
          </w:tcPr>
          <w:p w14:paraId="7A72EA8B" w14:textId="77777777" w:rsidR="0048706B" w:rsidRDefault="0048706B">
            <w:pPr>
              <w:keepNext/>
              <w:keepLines/>
              <w:spacing w:line="280" w:lineRule="exact"/>
              <w:jc w:val="both"/>
              <w:rPr>
                <w:rFonts w:ascii="Arial" w:hAnsi="Arial"/>
              </w:rPr>
            </w:pPr>
          </w:p>
        </w:tc>
        <w:tc>
          <w:tcPr>
            <w:tcW w:w="1620" w:type="dxa"/>
          </w:tcPr>
          <w:p w14:paraId="259CD55A" w14:textId="77777777" w:rsidR="0048706B" w:rsidRDefault="0048706B">
            <w:pPr>
              <w:keepNext/>
              <w:keepLines/>
              <w:spacing w:line="280" w:lineRule="exact"/>
              <w:jc w:val="both"/>
              <w:rPr>
                <w:rFonts w:ascii="Arial" w:hAnsi="Arial"/>
              </w:rPr>
            </w:pPr>
          </w:p>
        </w:tc>
        <w:tc>
          <w:tcPr>
            <w:tcW w:w="1350" w:type="dxa"/>
          </w:tcPr>
          <w:p w14:paraId="0CB1A51B" w14:textId="77777777" w:rsidR="0048706B" w:rsidRDefault="0048706B">
            <w:pPr>
              <w:keepNext/>
              <w:keepLines/>
              <w:spacing w:line="280" w:lineRule="exact"/>
              <w:jc w:val="both"/>
              <w:rPr>
                <w:rFonts w:ascii="Arial" w:hAnsi="Arial"/>
              </w:rPr>
            </w:pPr>
          </w:p>
        </w:tc>
        <w:tc>
          <w:tcPr>
            <w:tcW w:w="1440" w:type="dxa"/>
          </w:tcPr>
          <w:p w14:paraId="1617B442" w14:textId="77777777" w:rsidR="0048706B" w:rsidRDefault="0048706B">
            <w:pPr>
              <w:keepNext/>
              <w:keepLines/>
              <w:spacing w:line="280" w:lineRule="exact"/>
              <w:jc w:val="both"/>
              <w:rPr>
                <w:rFonts w:ascii="Arial" w:hAnsi="Arial"/>
              </w:rPr>
            </w:pPr>
          </w:p>
        </w:tc>
      </w:tr>
    </w:tbl>
    <w:p w14:paraId="739EC764" w14:textId="77777777" w:rsidR="0048706B" w:rsidRDefault="0048706B">
      <w:pPr>
        <w:spacing w:line="280" w:lineRule="exact"/>
        <w:ind w:left="720"/>
        <w:jc w:val="both"/>
        <w:rPr>
          <w:rFonts w:ascii="Arial" w:hAnsi="Arial"/>
          <w:sz w:val="24"/>
        </w:rPr>
      </w:pPr>
    </w:p>
    <w:p w14:paraId="2D544FC6" w14:textId="52712D9A" w:rsidR="0048706B" w:rsidRDefault="0048706B" w:rsidP="00D85827">
      <w:pPr>
        <w:numPr>
          <w:ilvl w:val="0"/>
          <w:numId w:val="3"/>
        </w:numPr>
        <w:spacing w:line="280" w:lineRule="exact"/>
        <w:jc w:val="both"/>
        <w:rPr>
          <w:rFonts w:ascii="Arial" w:hAnsi="Arial"/>
          <w:sz w:val="24"/>
        </w:rPr>
      </w:pPr>
      <w:r>
        <w:rPr>
          <w:rFonts w:ascii="Arial" w:hAnsi="Arial"/>
          <w:sz w:val="24"/>
        </w:rPr>
        <w:t>summary of options granted</w:t>
      </w:r>
      <w:r w:rsidR="002622C2">
        <w:rPr>
          <w:rFonts w:ascii="Arial" w:hAnsi="Arial"/>
          <w:sz w:val="24"/>
        </w:rPr>
        <w:t>/cancelled</w:t>
      </w:r>
      <w:r>
        <w:rPr>
          <w:rFonts w:ascii="Arial" w:hAnsi="Arial"/>
          <w:sz w:val="24"/>
        </w:rPr>
        <w:t xml:space="preserve"> during the period,</w:t>
      </w:r>
    </w:p>
    <w:p w14:paraId="16852FEE"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3DF7619C" w14:textId="77777777">
        <w:tc>
          <w:tcPr>
            <w:tcW w:w="1098" w:type="dxa"/>
          </w:tcPr>
          <w:p w14:paraId="0E8C7E81" w14:textId="77777777" w:rsidR="0048706B" w:rsidRDefault="0048706B">
            <w:pPr>
              <w:pStyle w:val="Heading4"/>
              <w:jc w:val="center"/>
            </w:pPr>
          </w:p>
          <w:p w14:paraId="3EDDC174" w14:textId="77777777" w:rsidR="0048706B" w:rsidRDefault="0048706B">
            <w:pPr>
              <w:pStyle w:val="Heading4"/>
              <w:jc w:val="center"/>
            </w:pPr>
          </w:p>
          <w:p w14:paraId="5C534785" w14:textId="77777777" w:rsidR="0048706B" w:rsidRDefault="0048706B">
            <w:pPr>
              <w:pStyle w:val="Heading4"/>
              <w:jc w:val="center"/>
            </w:pPr>
            <w:r>
              <w:t>Date</w:t>
            </w:r>
          </w:p>
        </w:tc>
        <w:tc>
          <w:tcPr>
            <w:tcW w:w="1350" w:type="dxa"/>
          </w:tcPr>
          <w:p w14:paraId="01EBA4FE" w14:textId="77777777" w:rsidR="0048706B" w:rsidRDefault="0048706B">
            <w:pPr>
              <w:spacing w:line="280" w:lineRule="exact"/>
              <w:jc w:val="center"/>
              <w:rPr>
                <w:rFonts w:ascii="Arial" w:hAnsi="Arial"/>
                <w:b/>
              </w:rPr>
            </w:pPr>
          </w:p>
          <w:p w14:paraId="4825586C" w14:textId="77777777" w:rsidR="0048706B" w:rsidRDefault="0048706B">
            <w:pPr>
              <w:spacing w:line="280" w:lineRule="exact"/>
              <w:jc w:val="center"/>
              <w:rPr>
                <w:rFonts w:ascii="Arial" w:hAnsi="Arial"/>
                <w:b/>
              </w:rPr>
            </w:pPr>
          </w:p>
          <w:p w14:paraId="5BBE1142" w14:textId="77777777" w:rsidR="0048706B" w:rsidRDefault="0048706B">
            <w:pPr>
              <w:spacing w:line="280" w:lineRule="exact"/>
              <w:jc w:val="center"/>
              <w:rPr>
                <w:rFonts w:ascii="Arial" w:hAnsi="Arial"/>
                <w:b/>
              </w:rPr>
            </w:pPr>
            <w:r>
              <w:rPr>
                <w:rFonts w:ascii="Arial" w:hAnsi="Arial"/>
                <w:b/>
              </w:rPr>
              <w:t>Number</w:t>
            </w:r>
          </w:p>
        </w:tc>
        <w:tc>
          <w:tcPr>
            <w:tcW w:w="2160" w:type="dxa"/>
          </w:tcPr>
          <w:p w14:paraId="25A902A5" w14:textId="77777777" w:rsidR="0048706B" w:rsidRDefault="0048706B">
            <w:pPr>
              <w:spacing w:line="280" w:lineRule="exact"/>
              <w:jc w:val="center"/>
              <w:rPr>
                <w:rFonts w:ascii="Arial" w:hAnsi="Arial"/>
                <w:b/>
              </w:rPr>
            </w:pPr>
          </w:p>
          <w:p w14:paraId="5FD73C78" w14:textId="77777777" w:rsidR="0048706B" w:rsidRDefault="0048706B">
            <w:pPr>
              <w:spacing w:line="280" w:lineRule="exact"/>
              <w:jc w:val="center"/>
              <w:rPr>
                <w:rFonts w:ascii="Arial" w:hAnsi="Arial"/>
                <w:b/>
              </w:rPr>
            </w:pPr>
            <w:r>
              <w:rPr>
                <w:rFonts w:ascii="Arial" w:hAnsi="Arial"/>
                <w:b/>
              </w:rPr>
              <w:t>Name of Optionee</w:t>
            </w:r>
          </w:p>
          <w:p w14:paraId="5F37C133" w14:textId="77777777" w:rsidR="0048706B" w:rsidRDefault="0048706B">
            <w:pPr>
              <w:spacing w:line="280" w:lineRule="exact"/>
              <w:jc w:val="center"/>
              <w:rPr>
                <w:rFonts w:ascii="Arial" w:hAnsi="Arial"/>
                <w:b/>
              </w:rPr>
            </w:pPr>
            <w:r>
              <w:rPr>
                <w:rFonts w:ascii="Arial" w:hAnsi="Arial"/>
                <w:b/>
              </w:rPr>
              <w:t>if Related Person</w:t>
            </w:r>
          </w:p>
          <w:p w14:paraId="78FBBA29"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6C21A1AA" w14:textId="77777777" w:rsidR="0048706B" w:rsidRDefault="0048706B">
            <w:pPr>
              <w:spacing w:line="280" w:lineRule="exact"/>
              <w:jc w:val="center"/>
              <w:rPr>
                <w:rFonts w:ascii="Arial" w:hAnsi="Arial"/>
                <w:b/>
              </w:rPr>
            </w:pPr>
          </w:p>
          <w:p w14:paraId="6143F0D0"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067A57B9" w14:textId="77777777" w:rsidR="0048706B" w:rsidRDefault="0048706B">
            <w:pPr>
              <w:spacing w:line="280" w:lineRule="exact"/>
              <w:jc w:val="center"/>
              <w:rPr>
                <w:rFonts w:ascii="Arial" w:hAnsi="Arial"/>
                <w:b/>
              </w:rPr>
            </w:pPr>
          </w:p>
          <w:p w14:paraId="1E8406DC" w14:textId="77777777" w:rsidR="0048706B" w:rsidRDefault="0048706B">
            <w:pPr>
              <w:spacing w:line="280" w:lineRule="exact"/>
              <w:jc w:val="center"/>
              <w:rPr>
                <w:rFonts w:ascii="Arial" w:hAnsi="Arial"/>
                <w:b/>
              </w:rPr>
            </w:pPr>
          </w:p>
          <w:p w14:paraId="4A07F7AB"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2EB53B7B" w14:textId="77777777" w:rsidR="0048706B" w:rsidRDefault="0048706B">
            <w:pPr>
              <w:spacing w:line="280" w:lineRule="exact"/>
              <w:jc w:val="center"/>
              <w:rPr>
                <w:rFonts w:ascii="Arial" w:hAnsi="Arial"/>
                <w:b/>
              </w:rPr>
            </w:pPr>
          </w:p>
          <w:p w14:paraId="79B7A7C9" w14:textId="77777777" w:rsidR="0048706B" w:rsidRDefault="0048706B">
            <w:pPr>
              <w:spacing w:line="280" w:lineRule="exact"/>
              <w:jc w:val="center"/>
              <w:rPr>
                <w:rFonts w:ascii="Arial" w:hAnsi="Arial"/>
                <w:b/>
              </w:rPr>
            </w:pPr>
          </w:p>
          <w:p w14:paraId="15ACBC83"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1EC8B60C" w14:textId="77777777" w:rsidR="0048706B" w:rsidRDefault="0048706B">
            <w:pPr>
              <w:spacing w:line="280" w:lineRule="exact"/>
              <w:jc w:val="center"/>
              <w:rPr>
                <w:rFonts w:ascii="Arial" w:hAnsi="Arial"/>
                <w:b/>
              </w:rPr>
            </w:pPr>
          </w:p>
          <w:p w14:paraId="14FCB6A4"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24538645" w14:textId="77777777">
        <w:tc>
          <w:tcPr>
            <w:tcW w:w="1098" w:type="dxa"/>
          </w:tcPr>
          <w:p w14:paraId="566861B5" w14:textId="0194615A" w:rsidR="0048706B" w:rsidRDefault="0048706B">
            <w:pPr>
              <w:spacing w:line="280" w:lineRule="exact"/>
              <w:jc w:val="both"/>
              <w:rPr>
                <w:rFonts w:ascii="Arial" w:hAnsi="Arial"/>
              </w:rPr>
            </w:pPr>
          </w:p>
        </w:tc>
        <w:tc>
          <w:tcPr>
            <w:tcW w:w="1350" w:type="dxa"/>
          </w:tcPr>
          <w:p w14:paraId="7D7933E4" w14:textId="486FBC37" w:rsidR="0048706B" w:rsidRDefault="0048706B">
            <w:pPr>
              <w:spacing w:line="280" w:lineRule="exact"/>
              <w:jc w:val="both"/>
              <w:rPr>
                <w:rFonts w:ascii="Arial" w:hAnsi="Arial"/>
              </w:rPr>
            </w:pPr>
          </w:p>
        </w:tc>
        <w:tc>
          <w:tcPr>
            <w:tcW w:w="2160" w:type="dxa"/>
          </w:tcPr>
          <w:p w14:paraId="2DC8BB8C" w14:textId="53E30CD2" w:rsidR="00DB66EA" w:rsidRDefault="00DB66EA">
            <w:pPr>
              <w:spacing w:line="280" w:lineRule="exact"/>
              <w:jc w:val="both"/>
              <w:rPr>
                <w:rFonts w:ascii="Arial" w:hAnsi="Arial"/>
              </w:rPr>
            </w:pPr>
          </w:p>
        </w:tc>
        <w:tc>
          <w:tcPr>
            <w:tcW w:w="2250" w:type="dxa"/>
          </w:tcPr>
          <w:p w14:paraId="08CFBE4F" w14:textId="4A44FE78" w:rsidR="0048706B" w:rsidRDefault="0048706B">
            <w:pPr>
              <w:spacing w:line="280" w:lineRule="exact"/>
              <w:jc w:val="both"/>
              <w:rPr>
                <w:rFonts w:ascii="Arial" w:hAnsi="Arial"/>
              </w:rPr>
            </w:pPr>
          </w:p>
        </w:tc>
        <w:tc>
          <w:tcPr>
            <w:tcW w:w="1620" w:type="dxa"/>
          </w:tcPr>
          <w:p w14:paraId="24C48503" w14:textId="3CC41ACD" w:rsidR="0048706B" w:rsidRDefault="0048706B">
            <w:pPr>
              <w:spacing w:line="280" w:lineRule="exact"/>
              <w:jc w:val="both"/>
              <w:rPr>
                <w:rFonts w:ascii="Arial" w:hAnsi="Arial"/>
              </w:rPr>
            </w:pPr>
          </w:p>
        </w:tc>
        <w:tc>
          <w:tcPr>
            <w:tcW w:w="1422" w:type="dxa"/>
          </w:tcPr>
          <w:p w14:paraId="222F934B" w14:textId="7095C56F" w:rsidR="0048706B" w:rsidRDefault="0048706B">
            <w:pPr>
              <w:spacing w:line="280" w:lineRule="exact"/>
              <w:jc w:val="both"/>
              <w:rPr>
                <w:rFonts w:ascii="Arial" w:hAnsi="Arial"/>
              </w:rPr>
            </w:pPr>
          </w:p>
        </w:tc>
        <w:tc>
          <w:tcPr>
            <w:tcW w:w="1350" w:type="dxa"/>
          </w:tcPr>
          <w:p w14:paraId="16325780" w14:textId="60B0901E" w:rsidR="0048706B" w:rsidRDefault="0048706B">
            <w:pPr>
              <w:spacing w:line="280" w:lineRule="exact"/>
              <w:jc w:val="both"/>
              <w:rPr>
                <w:rFonts w:ascii="Arial" w:hAnsi="Arial"/>
              </w:rPr>
            </w:pPr>
          </w:p>
        </w:tc>
      </w:tr>
      <w:tr w:rsidR="0048706B" w14:paraId="3DE89C95" w14:textId="77777777">
        <w:tc>
          <w:tcPr>
            <w:tcW w:w="1098" w:type="dxa"/>
          </w:tcPr>
          <w:p w14:paraId="3352C475" w14:textId="77777777" w:rsidR="0048706B" w:rsidRDefault="0048706B">
            <w:pPr>
              <w:spacing w:line="280" w:lineRule="exact"/>
              <w:jc w:val="both"/>
              <w:rPr>
                <w:rFonts w:ascii="Arial" w:hAnsi="Arial"/>
              </w:rPr>
            </w:pPr>
          </w:p>
        </w:tc>
        <w:tc>
          <w:tcPr>
            <w:tcW w:w="1350" w:type="dxa"/>
          </w:tcPr>
          <w:p w14:paraId="0947899C" w14:textId="77777777" w:rsidR="0048706B" w:rsidRDefault="0048706B">
            <w:pPr>
              <w:spacing w:line="280" w:lineRule="exact"/>
              <w:jc w:val="both"/>
              <w:rPr>
                <w:rFonts w:ascii="Arial" w:hAnsi="Arial"/>
              </w:rPr>
            </w:pPr>
          </w:p>
        </w:tc>
        <w:tc>
          <w:tcPr>
            <w:tcW w:w="2160" w:type="dxa"/>
          </w:tcPr>
          <w:p w14:paraId="1876D5A1" w14:textId="77777777" w:rsidR="0048706B" w:rsidRDefault="0048706B">
            <w:pPr>
              <w:spacing w:line="280" w:lineRule="exact"/>
              <w:jc w:val="both"/>
              <w:rPr>
                <w:rFonts w:ascii="Arial" w:hAnsi="Arial"/>
              </w:rPr>
            </w:pPr>
          </w:p>
        </w:tc>
        <w:tc>
          <w:tcPr>
            <w:tcW w:w="2250" w:type="dxa"/>
          </w:tcPr>
          <w:p w14:paraId="21EE3E8F" w14:textId="77777777" w:rsidR="0048706B" w:rsidRDefault="0048706B">
            <w:pPr>
              <w:spacing w:line="280" w:lineRule="exact"/>
              <w:jc w:val="both"/>
              <w:rPr>
                <w:rFonts w:ascii="Arial" w:hAnsi="Arial"/>
              </w:rPr>
            </w:pPr>
          </w:p>
        </w:tc>
        <w:tc>
          <w:tcPr>
            <w:tcW w:w="1620" w:type="dxa"/>
          </w:tcPr>
          <w:p w14:paraId="4BE2A8D9" w14:textId="77777777" w:rsidR="0048706B" w:rsidRDefault="0048706B">
            <w:pPr>
              <w:spacing w:line="280" w:lineRule="exact"/>
              <w:jc w:val="both"/>
              <w:rPr>
                <w:rFonts w:ascii="Arial" w:hAnsi="Arial"/>
              </w:rPr>
            </w:pPr>
          </w:p>
        </w:tc>
        <w:tc>
          <w:tcPr>
            <w:tcW w:w="1422" w:type="dxa"/>
          </w:tcPr>
          <w:p w14:paraId="51746FD0" w14:textId="77777777" w:rsidR="0048706B" w:rsidRDefault="0048706B">
            <w:pPr>
              <w:spacing w:line="280" w:lineRule="exact"/>
              <w:jc w:val="both"/>
              <w:rPr>
                <w:rFonts w:ascii="Arial" w:hAnsi="Arial"/>
              </w:rPr>
            </w:pPr>
          </w:p>
        </w:tc>
        <w:tc>
          <w:tcPr>
            <w:tcW w:w="1350" w:type="dxa"/>
          </w:tcPr>
          <w:p w14:paraId="7AF25660" w14:textId="77777777" w:rsidR="0048706B" w:rsidRDefault="0048706B">
            <w:pPr>
              <w:spacing w:line="280" w:lineRule="exact"/>
              <w:jc w:val="both"/>
              <w:rPr>
                <w:rFonts w:ascii="Arial" w:hAnsi="Arial"/>
              </w:rPr>
            </w:pPr>
          </w:p>
        </w:tc>
      </w:tr>
      <w:tr w:rsidR="0048706B" w14:paraId="267EC30F" w14:textId="77777777">
        <w:tc>
          <w:tcPr>
            <w:tcW w:w="1098" w:type="dxa"/>
          </w:tcPr>
          <w:p w14:paraId="1FCBD5C6" w14:textId="77777777" w:rsidR="0048706B" w:rsidRDefault="0048706B">
            <w:pPr>
              <w:spacing w:line="280" w:lineRule="exact"/>
              <w:jc w:val="both"/>
              <w:rPr>
                <w:rFonts w:ascii="Arial" w:hAnsi="Arial"/>
              </w:rPr>
            </w:pPr>
          </w:p>
        </w:tc>
        <w:tc>
          <w:tcPr>
            <w:tcW w:w="1350" w:type="dxa"/>
          </w:tcPr>
          <w:p w14:paraId="69D4D801" w14:textId="77777777" w:rsidR="0048706B" w:rsidRDefault="0048706B">
            <w:pPr>
              <w:spacing w:line="280" w:lineRule="exact"/>
              <w:jc w:val="both"/>
              <w:rPr>
                <w:rFonts w:ascii="Arial" w:hAnsi="Arial"/>
              </w:rPr>
            </w:pPr>
          </w:p>
        </w:tc>
        <w:tc>
          <w:tcPr>
            <w:tcW w:w="2160" w:type="dxa"/>
          </w:tcPr>
          <w:p w14:paraId="256F9EB8" w14:textId="77777777" w:rsidR="0048706B" w:rsidRDefault="0048706B">
            <w:pPr>
              <w:spacing w:line="280" w:lineRule="exact"/>
              <w:jc w:val="both"/>
              <w:rPr>
                <w:rFonts w:ascii="Arial" w:hAnsi="Arial"/>
              </w:rPr>
            </w:pPr>
          </w:p>
        </w:tc>
        <w:tc>
          <w:tcPr>
            <w:tcW w:w="2250" w:type="dxa"/>
          </w:tcPr>
          <w:p w14:paraId="4628B217" w14:textId="77777777" w:rsidR="0048706B" w:rsidRDefault="0048706B">
            <w:pPr>
              <w:spacing w:line="280" w:lineRule="exact"/>
              <w:jc w:val="both"/>
              <w:rPr>
                <w:rFonts w:ascii="Arial" w:hAnsi="Arial"/>
              </w:rPr>
            </w:pPr>
          </w:p>
        </w:tc>
        <w:tc>
          <w:tcPr>
            <w:tcW w:w="1620" w:type="dxa"/>
          </w:tcPr>
          <w:p w14:paraId="2244ED81" w14:textId="77777777" w:rsidR="0048706B" w:rsidRDefault="0048706B">
            <w:pPr>
              <w:spacing w:line="280" w:lineRule="exact"/>
              <w:jc w:val="both"/>
              <w:rPr>
                <w:rFonts w:ascii="Arial" w:hAnsi="Arial"/>
              </w:rPr>
            </w:pPr>
          </w:p>
        </w:tc>
        <w:tc>
          <w:tcPr>
            <w:tcW w:w="1422" w:type="dxa"/>
          </w:tcPr>
          <w:p w14:paraId="49583CD6" w14:textId="77777777" w:rsidR="0048706B" w:rsidRDefault="0048706B">
            <w:pPr>
              <w:spacing w:line="280" w:lineRule="exact"/>
              <w:jc w:val="both"/>
              <w:rPr>
                <w:rFonts w:ascii="Arial" w:hAnsi="Arial"/>
              </w:rPr>
            </w:pPr>
          </w:p>
        </w:tc>
        <w:tc>
          <w:tcPr>
            <w:tcW w:w="1350" w:type="dxa"/>
          </w:tcPr>
          <w:p w14:paraId="5922C8D0" w14:textId="77777777" w:rsidR="0048706B" w:rsidRDefault="0048706B">
            <w:pPr>
              <w:spacing w:line="280" w:lineRule="exact"/>
              <w:jc w:val="both"/>
              <w:rPr>
                <w:rFonts w:ascii="Arial" w:hAnsi="Arial"/>
              </w:rPr>
            </w:pPr>
          </w:p>
        </w:tc>
      </w:tr>
    </w:tbl>
    <w:p w14:paraId="680DD4B6" w14:textId="77777777" w:rsidR="0048706B" w:rsidRDefault="0048706B">
      <w:pPr>
        <w:spacing w:line="280" w:lineRule="exact"/>
        <w:ind w:left="720"/>
        <w:jc w:val="both"/>
        <w:rPr>
          <w:rFonts w:ascii="Arial" w:hAnsi="Arial"/>
          <w:sz w:val="24"/>
        </w:rPr>
      </w:pPr>
    </w:p>
    <w:p w14:paraId="75A64825" w14:textId="77777777" w:rsidR="0048706B" w:rsidRDefault="0048706B" w:rsidP="00D85827">
      <w:pPr>
        <w:keepNext/>
        <w:numPr>
          <w:ilvl w:val="0"/>
          <w:numId w:val="2"/>
        </w:numPr>
        <w:spacing w:line="280" w:lineRule="exact"/>
        <w:jc w:val="both"/>
        <w:rPr>
          <w:rFonts w:ascii="Arial" w:hAnsi="Arial"/>
          <w:b/>
          <w:sz w:val="24"/>
        </w:rPr>
      </w:pPr>
      <w:r>
        <w:rPr>
          <w:rFonts w:ascii="Arial" w:hAnsi="Arial"/>
          <w:b/>
          <w:sz w:val="24"/>
        </w:rPr>
        <w:t xml:space="preserve">Summary of securities as at the end of the reporting period. </w:t>
      </w:r>
    </w:p>
    <w:p w14:paraId="072AA137" w14:textId="77777777" w:rsidR="0048706B" w:rsidRDefault="0048706B">
      <w:pPr>
        <w:keepNext/>
        <w:spacing w:line="280" w:lineRule="exact"/>
        <w:jc w:val="both"/>
        <w:rPr>
          <w:rFonts w:ascii="Arial" w:hAnsi="Arial"/>
          <w:sz w:val="24"/>
        </w:rPr>
      </w:pPr>
    </w:p>
    <w:p w14:paraId="09777282" w14:textId="77777777" w:rsidR="00DD7323" w:rsidRDefault="0048706B">
      <w:pPr>
        <w:keepNext/>
        <w:spacing w:line="280" w:lineRule="exact"/>
        <w:ind w:left="720"/>
        <w:jc w:val="both"/>
        <w:rPr>
          <w:rFonts w:ascii="Arial" w:hAnsi="Arial"/>
          <w:b/>
          <w:bCs/>
          <w:sz w:val="24"/>
        </w:rPr>
      </w:pPr>
      <w:r>
        <w:rPr>
          <w:rFonts w:ascii="Arial" w:hAnsi="Arial"/>
          <w:sz w:val="24"/>
        </w:rPr>
        <w:t>Provide the following information in tabular format as at the end of the reporting period:</w:t>
      </w:r>
      <w:r w:rsidR="00DD7323" w:rsidRPr="00DD7323">
        <w:rPr>
          <w:rFonts w:ascii="Arial" w:hAnsi="Arial"/>
          <w:b/>
          <w:bCs/>
          <w:sz w:val="24"/>
        </w:rPr>
        <w:t xml:space="preserve"> SEE CHANGES IN EQUITY TABLE IN SCHEDULE A ABOVE</w:t>
      </w:r>
      <w:r w:rsidR="00DD7323">
        <w:rPr>
          <w:rFonts w:ascii="Arial" w:hAnsi="Arial"/>
          <w:b/>
          <w:bCs/>
          <w:sz w:val="24"/>
        </w:rPr>
        <w:t xml:space="preserve"> </w:t>
      </w:r>
    </w:p>
    <w:p w14:paraId="46708931" w14:textId="77777777" w:rsidR="00DD7323" w:rsidRDefault="00DD7323">
      <w:pPr>
        <w:keepNext/>
        <w:spacing w:line="280" w:lineRule="exact"/>
        <w:ind w:left="720"/>
        <w:jc w:val="both"/>
        <w:rPr>
          <w:rFonts w:ascii="Arial" w:hAnsi="Arial"/>
          <w:b/>
          <w:bCs/>
          <w:sz w:val="24"/>
        </w:rPr>
      </w:pPr>
    </w:p>
    <w:p w14:paraId="664BFDD5" w14:textId="6077FE95" w:rsidR="0048706B" w:rsidRDefault="00DD7323">
      <w:pPr>
        <w:keepNext/>
        <w:spacing w:line="280" w:lineRule="exact"/>
        <w:ind w:left="720"/>
        <w:jc w:val="both"/>
        <w:rPr>
          <w:rFonts w:ascii="Arial" w:hAnsi="Arial"/>
          <w:sz w:val="24"/>
        </w:rPr>
      </w:pPr>
      <w:r>
        <w:rPr>
          <w:rFonts w:ascii="Arial" w:hAnsi="Arial"/>
          <w:b/>
          <w:bCs/>
          <w:sz w:val="24"/>
        </w:rPr>
        <w:t xml:space="preserve">As at </w:t>
      </w:r>
      <w:r w:rsidR="001B1F2A">
        <w:rPr>
          <w:rFonts w:ascii="Arial" w:hAnsi="Arial"/>
          <w:b/>
          <w:bCs/>
          <w:sz w:val="24"/>
        </w:rPr>
        <w:t>May 31</w:t>
      </w:r>
      <w:r w:rsidR="002622C2">
        <w:rPr>
          <w:rFonts w:ascii="Arial" w:hAnsi="Arial"/>
          <w:b/>
          <w:bCs/>
          <w:sz w:val="24"/>
        </w:rPr>
        <w:t>,2021</w:t>
      </w:r>
      <w:r>
        <w:rPr>
          <w:rFonts w:ascii="Arial" w:hAnsi="Arial"/>
          <w:b/>
          <w:bCs/>
          <w:sz w:val="24"/>
        </w:rPr>
        <w:t xml:space="preserve"> there </w:t>
      </w:r>
      <w:r w:rsidR="00DB66EA">
        <w:rPr>
          <w:rFonts w:ascii="Arial" w:hAnsi="Arial"/>
          <w:b/>
          <w:bCs/>
          <w:sz w:val="24"/>
        </w:rPr>
        <w:t>were</w:t>
      </w:r>
      <w:r>
        <w:rPr>
          <w:rFonts w:ascii="Arial" w:hAnsi="Arial"/>
          <w:b/>
          <w:bCs/>
          <w:sz w:val="24"/>
        </w:rPr>
        <w:t xml:space="preserve"> </w:t>
      </w:r>
      <w:r w:rsidR="00121A06" w:rsidRPr="001B5FEC">
        <w:rPr>
          <w:rFonts w:ascii="Arial" w:hAnsi="Arial"/>
          <w:b/>
          <w:bCs/>
          <w:sz w:val="24"/>
        </w:rPr>
        <w:t>3,</w:t>
      </w:r>
      <w:r w:rsidR="000E77EC">
        <w:rPr>
          <w:rFonts w:ascii="Arial" w:hAnsi="Arial"/>
          <w:b/>
          <w:bCs/>
          <w:sz w:val="24"/>
        </w:rPr>
        <w:t>4</w:t>
      </w:r>
      <w:r w:rsidR="00121A06" w:rsidRPr="001B5FEC">
        <w:rPr>
          <w:rFonts w:ascii="Arial" w:hAnsi="Arial"/>
          <w:b/>
          <w:bCs/>
          <w:sz w:val="24"/>
        </w:rPr>
        <w:t>11,656</w:t>
      </w:r>
      <w:r w:rsidRPr="001B5FEC">
        <w:rPr>
          <w:rFonts w:ascii="Arial" w:hAnsi="Arial"/>
          <w:b/>
          <w:bCs/>
          <w:sz w:val="24"/>
        </w:rPr>
        <w:t xml:space="preserve"> warrants issued by the Company.</w:t>
      </w:r>
      <w:r w:rsidR="00471305" w:rsidRPr="001B5FEC">
        <w:rPr>
          <w:rFonts w:ascii="Arial" w:hAnsi="Arial"/>
          <w:b/>
          <w:bCs/>
          <w:sz w:val="24"/>
        </w:rPr>
        <w:t xml:space="preserve"> </w:t>
      </w:r>
      <w:r w:rsidR="001B1F2A">
        <w:rPr>
          <w:rFonts w:ascii="Arial" w:hAnsi="Arial"/>
          <w:b/>
          <w:bCs/>
          <w:sz w:val="24"/>
        </w:rPr>
        <w:t>There are 48,650 compensation options awarded to the IPO broker at an exercise price of $0.10 remain.</w:t>
      </w:r>
    </w:p>
    <w:p w14:paraId="0C55B6D7" w14:textId="77777777" w:rsidR="0048706B" w:rsidRDefault="0048706B">
      <w:pPr>
        <w:keepNext/>
        <w:spacing w:line="280" w:lineRule="exact"/>
        <w:ind w:left="720"/>
        <w:jc w:val="both"/>
        <w:rPr>
          <w:rFonts w:ascii="Arial" w:hAnsi="Arial"/>
          <w:sz w:val="24"/>
        </w:rPr>
      </w:pPr>
    </w:p>
    <w:p w14:paraId="4F53FD24" w14:textId="77777777" w:rsidR="0048706B" w:rsidRDefault="0048706B">
      <w:pPr>
        <w:spacing w:line="280" w:lineRule="exact"/>
        <w:jc w:val="both"/>
        <w:rPr>
          <w:rFonts w:ascii="Arial" w:hAnsi="Arial"/>
          <w:sz w:val="24"/>
        </w:rPr>
      </w:pPr>
    </w:p>
    <w:p w14:paraId="64234044" w14:textId="77777777" w:rsidR="0048706B" w:rsidRDefault="0048706B" w:rsidP="00D85827">
      <w:pPr>
        <w:pStyle w:val="BodyText2"/>
        <w:numPr>
          <w:ilvl w:val="0"/>
          <w:numId w:val="2"/>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37656A03" w14:textId="77777777" w:rsidR="00DD7323" w:rsidRDefault="00DD7323" w:rsidP="00DD7323">
      <w:pPr>
        <w:pStyle w:val="BodyText2"/>
        <w:spacing w:line="280" w:lineRule="exact"/>
        <w:rPr>
          <w:rFonts w:ascii="Arial" w:hAnsi="Arial"/>
          <w:b/>
        </w:rPr>
      </w:pPr>
    </w:p>
    <w:p w14:paraId="48A0D1DA" w14:textId="4944D26B" w:rsidR="00DD7323" w:rsidRDefault="00DD7323" w:rsidP="00DD7323">
      <w:pPr>
        <w:pStyle w:val="BodyText2"/>
        <w:spacing w:line="280" w:lineRule="exact"/>
        <w:rPr>
          <w:rFonts w:ascii="Arial" w:hAnsi="Arial"/>
          <w:b/>
        </w:rPr>
      </w:pPr>
      <w:r>
        <w:rPr>
          <w:rFonts w:ascii="Arial" w:hAnsi="Arial"/>
          <w:b/>
        </w:rPr>
        <w:t xml:space="preserve">Directors and Officers of the Company as at </w:t>
      </w:r>
      <w:r w:rsidR="000E77EC">
        <w:rPr>
          <w:rFonts w:ascii="Arial" w:hAnsi="Arial"/>
          <w:b/>
        </w:rPr>
        <w:t>May 31</w:t>
      </w:r>
      <w:r w:rsidR="002622C2">
        <w:rPr>
          <w:rFonts w:ascii="Arial" w:hAnsi="Arial"/>
          <w:b/>
        </w:rPr>
        <w:t>, 2021</w:t>
      </w:r>
    </w:p>
    <w:p w14:paraId="5C9F6D16" w14:textId="77777777" w:rsidR="00DD7323" w:rsidRDefault="00DD7323" w:rsidP="00DD7323">
      <w:pPr>
        <w:pStyle w:val="BodyText2"/>
        <w:spacing w:line="280" w:lineRule="exact"/>
        <w:rPr>
          <w:rFonts w:ascii="Arial" w:hAnsi="Arial"/>
          <w:b/>
        </w:rPr>
      </w:pPr>
    </w:p>
    <w:p w14:paraId="6B28DD79" w14:textId="71A586FA" w:rsidR="00DD7323" w:rsidRDefault="00DD7323" w:rsidP="00DD7323">
      <w:pPr>
        <w:pStyle w:val="BodyText2"/>
        <w:spacing w:line="280" w:lineRule="exact"/>
        <w:rPr>
          <w:rFonts w:ascii="Arial" w:hAnsi="Arial"/>
          <w:b/>
        </w:rPr>
      </w:pPr>
      <w:r>
        <w:rPr>
          <w:rFonts w:ascii="Arial" w:hAnsi="Arial"/>
          <w:b/>
        </w:rPr>
        <w:t>Ron Shenton, CEO and Director</w:t>
      </w:r>
    </w:p>
    <w:p w14:paraId="19C56E29" w14:textId="77777777" w:rsidR="00DD7323" w:rsidRDefault="00DD7323" w:rsidP="00DD7323">
      <w:pPr>
        <w:pStyle w:val="BodyText2"/>
        <w:spacing w:line="280" w:lineRule="exact"/>
        <w:rPr>
          <w:rFonts w:ascii="Arial" w:hAnsi="Arial"/>
          <w:b/>
        </w:rPr>
      </w:pPr>
      <w:r>
        <w:rPr>
          <w:rFonts w:ascii="Arial" w:hAnsi="Arial"/>
          <w:b/>
        </w:rPr>
        <w:t>Jonathan George,  Director</w:t>
      </w:r>
    </w:p>
    <w:p w14:paraId="461FD078" w14:textId="30E12FEA" w:rsidR="00DD7323" w:rsidRDefault="00DD7323" w:rsidP="00DD7323">
      <w:pPr>
        <w:pStyle w:val="BodyText2"/>
        <w:spacing w:line="280" w:lineRule="exact"/>
        <w:rPr>
          <w:rFonts w:ascii="Arial" w:hAnsi="Arial"/>
          <w:b/>
        </w:rPr>
      </w:pPr>
      <w:r>
        <w:rPr>
          <w:rFonts w:ascii="Arial" w:hAnsi="Arial"/>
          <w:b/>
        </w:rPr>
        <w:t>Jordan Lipton, Director</w:t>
      </w:r>
    </w:p>
    <w:p w14:paraId="49F80171" w14:textId="276F3CAE" w:rsidR="00DB66EA" w:rsidRDefault="008008B5" w:rsidP="00DD7323">
      <w:pPr>
        <w:pStyle w:val="BodyText2"/>
        <w:spacing w:line="280" w:lineRule="exact"/>
        <w:rPr>
          <w:rFonts w:ascii="Arial" w:hAnsi="Arial"/>
          <w:b/>
        </w:rPr>
      </w:pPr>
      <w:r>
        <w:rPr>
          <w:rFonts w:ascii="Arial" w:hAnsi="Arial"/>
          <w:b/>
        </w:rPr>
        <w:t>Charles Clark, Director</w:t>
      </w:r>
    </w:p>
    <w:p w14:paraId="4D8D6090" w14:textId="1DAAB667" w:rsidR="00DD7323" w:rsidRDefault="00DD7323" w:rsidP="00DD7323">
      <w:pPr>
        <w:pStyle w:val="BodyText2"/>
        <w:spacing w:line="280" w:lineRule="exact"/>
        <w:rPr>
          <w:rFonts w:ascii="Arial" w:hAnsi="Arial"/>
          <w:b/>
        </w:rPr>
      </w:pPr>
      <w:r>
        <w:rPr>
          <w:rFonts w:ascii="Arial" w:hAnsi="Arial"/>
          <w:b/>
        </w:rPr>
        <w:t>Brian Roberts, CFO and Director</w:t>
      </w:r>
    </w:p>
    <w:p w14:paraId="39244A56" w14:textId="77777777" w:rsidR="00E27F98" w:rsidRDefault="00E27F98" w:rsidP="00DD7323">
      <w:pPr>
        <w:pStyle w:val="BodyText2"/>
        <w:spacing w:line="280" w:lineRule="exact"/>
        <w:rPr>
          <w:rFonts w:ascii="Arial" w:hAnsi="Arial"/>
          <w:b/>
        </w:rPr>
      </w:pPr>
    </w:p>
    <w:p w14:paraId="43BE4D67" w14:textId="77777777" w:rsidR="0048706B" w:rsidRDefault="0048706B">
      <w:pPr>
        <w:pStyle w:val="BodyText2"/>
        <w:spacing w:line="280" w:lineRule="exact"/>
        <w:rPr>
          <w:rFonts w:ascii="Arial" w:hAnsi="Arial"/>
        </w:rPr>
      </w:pPr>
    </w:p>
    <w:p w14:paraId="76AC4121" w14:textId="11352DDF" w:rsidR="0048706B" w:rsidRDefault="0048706B">
      <w:pPr>
        <w:pStyle w:val="BodyText2"/>
        <w:keepNext/>
        <w:spacing w:line="280" w:lineRule="exact"/>
        <w:rPr>
          <w:rFonts w:ascii="Arial" w:hAnsi="Arial"/>
          <w:b/>
        </w:rPr>
      </w:pPr>
      <w:r>
        <w:rPr>
          <w:rFonts w:ascii="Arial" w:hAnsi="Arial"/>
          <w:b/>
        </w:rPr>
        <w:t>SCHEDULE C: MANAGEMENT DISCUSSION AND ANALYSIS</w:t>
      </w:r>
    </w:p>
    <w:p w14:paraId="402D6D73" w14:textId="29CC996A" w:rsidR="007F54B8" w:rsidRDefault="007F54B8">
      <w:pPr>
        <w:pStyle w:val="BodyText2"/>
        <w:keepNext/>
        <w:spacing w:line="280" w:lineRule="exact"/>
        <w:rPr>
          <w:rFonts w:ascii="Arial" w:hAnsi="Arial"/>
          <w:b/>
        </w:rPr>
      </w:pPr>
    </w:p>
    <w:p w14:paraId="3A7F3DDF" w14:textId="77777777" w:rsidR="007F54B8" w:rsidRPr="00952773" w:rsidRDefault="007F54B8" w:rsidP="007F54B8">
      <w:pPr>
        <w:jc w:val="center"/>
        <w:rPr>
          <w:b/>
        </w:rPr>
      </w:pPr>
      <w:r w:rsidRPr="00952773">
        <w:rPr>
          <w:b/>
        </w:rPr>
        <w:t>PROJECT ONE RESOURCES LTD</w:t>
      </w:r>
    </w:p>
    <w:p w14:paraId="3E756B4E" w14:textId="77777777" w:rsidR="007F54B8" w:rsidRPr="00952773" w:rsidRDefault="007F54B8" w:rsidP="007F54B8">
      <w:pPr>
        <w:jc w:val="center"/>
        <w:rPr>
          <w:b/>
        </w:rPr>
      </w:pPr>
      <w:r w:rsidRPr="00952773">
        <w:rPr>
          <w:b/>
        </w:rPr>
        <w:t>MANAGEMENT’S DISCUSSION AND ANALYSIS OF FINANCIAL CONDITIONS</w:t>
      </w:r>
    </w:p>
    <w:p w14:paraId="39A25A44" w14:textId="77777777" w:rsidR="007F54B8" w:rsidRPr="00952773" w:rsidRDefault="007F54B8" w:rsidP="007F54B8">
      <w:pPr>
        <w:jc w:val="center"/>
        <w:rPr>
          <w:b/>
        </w:rPr>
      </w:pPr>
      <w:r w:rsidRPr="00952773">
        <w:rPr>
          <w:b/>
        </w:rPr>
        <w:t>AND RESULTS OF OPERATIONS</w:t>
      </w:r>
    </w:p>
    <w:p w14:paraId="246DAEC2" w14:textId="77777777" w:rsidR="007F54B8" w:rsidRPr="00952773" w:rsidRDefault="007F54B8" w:rsidP="007F54B8">
      <w:pPr>
        <w:jc w:val="center"/>
        <w:rPr>
          <w:b/>
        </w:rPr>
      </w:pPr>
      <w:r w:rsidRPr="00952773">
        <w:rPr>
          <w:b/>
        </w:rPr>
        <w:t>FOR THE THREE</w:t>
      </w:r>
      <w:r>
        <w:rPr>
          <w:b/>
        </w:rPr>
        <w:t xml:space="preserve"> AND NINE</w:t>
      </w:r>
      <w:r w:rsidRPr="00952773">
        <w:rPr>
          <w:b/>
        </w:rPr>
        <w:t xml:space="preserve">-MONTH PERIODS ENDED </w:t>
      </w:r>
      <w:r>
        <w:rPr>
          <w:b/>
        </w:rPr>
        <w:t>MAY 31</w:t>
      </w:r>
      <w:r w:rsidRPr="00952773">
        <w:rPr>
          <w:b/>
        </w:rPr>
        <w:t>, 2021</w:t>
      </w:r>
    </w:p>
    <w:p w14:paraId="1ED609F7" w14:textId="77777777" w:rsidR="007F54B8" w:rsidRPr="00952773" w:rsidRDefault="007F54B8" w:rsidP="007F54B8">
      <w:pPr>
        <w:jc w:val="center"/>
        <w:rPr>
          <w:b/>
        </w:rPr>
      </w:pPr>
    </w:p>
    <w:p w14:paraId="14491922" w14:textId="5848A34F" w:rsidR="007F54B8" w:rsidRDefault="007F54B8" w:rsidP="007F54B8">
      <w:r w:rsidRPr="00952773">
        <w:t>The following is management’s discussion and analysis (“MD&amp;A”) of the financial condition and results of operations of Project One Resources Ltd. (the “Company”) for the three</w:t>
      </w:r>
      <w:r>
        <w:t xml:space="preserve"> and nine</w:t>
      </w:r>
      <w:r w:rsidRPr="00952773">
        <w:t xml:space="preserve">-month periods ended </w:t>
      </w:r>
      <w:r>
        <w:t>May 31</w:t>
      </w:r>
      <w:r w:rsidRPr="00952773">
        <w:t>, 2021. This MD&amp;A should be read in conjunction with the Company’s audited financial statements and the related notes contained therein for the years ended August 31, 2020 and 2019. The accompanying three</w:t>
      </w:r>
      <w:r>
        <w:t xml:space="preserve"> and nine</w:t>
      </w:r>
      <w:r w:rsidRPr="00952773">
        <w:t>-month financial statements and related notes are manag</w:t>
      </w:r>
      <w:r>
        <w:t>ement prepared but have been reviewed by our auditing firm.</w:t>
      </w:r>
      <w:r w:rsidRPr="00952773">
        <w:t xml:space="preserve"> All figures are in Canadian dollars unless otherwise stated. </w:t>
      </w:r>
    </w:p>
    <w:p w14:paraId="75ADF03A" w14:textId="77777777" w:rsidR="007F54B8" w:rsidRPr="00952773" w:rsidRDefault="007F54B8" w:rsidP="007F54B8"/>
    <w:p w14:paraId="5355DD01" w14:textId="77777777" w:rsidR="007F54B8" w:rsidRPr="00952773" w:rsidRDefault="007F54B8" w:rsidP="007F54B8">
      <w:pPr>
        <w:pStyle w:val="Default"/>
        <w:jc w:val="both"/>
        <w:rPr>
          <w:rFonts w:ascii="Times New Roman" w:hAnsi="Times New Roman" w:cs="Times New Roman"/>
          <w:color w:val="auto"/>
          <w:sz w:val="20"/>
          <w:szCs w:val="20"/>
        </w:rPr>
      </w:pPr>
      <w:r w:rsidRPr="00952773">
        <w:rPr>
          <w:rFonts w:ascii="Times New Roman" w:hAnsi="Times New Roman" w:cs="Times New Roman"/>
          <w:color w:val="auto"/>
          <w:sz w:val="20"/>
          <w:szCs w:val="20"/>
        </w:rPr>
        <w:t xml:space="preserve">This MD&amp;A has been reviewed by the Company’s Audit Committee and approved and authorized for issue by the Company’s Board of Directors on </w:t>
      </w:r>
      <w:bookmarkStart w:id="8" w:name="ReportDate3"/>
      <w:bookmarkStart w:id="9" w:name="OS3_ApprovalDate"/>
      <w:bookmarkEnd w:id="8"/>
      <w:bookmarkEnd w:id="9"/>
      <w:r>
        <w:rPr>
          <w:rFonts w:ascii="Times New Roman" w:hAnsi="Times New Roman" w:cs="Times New Roman"/>
          <w:color w:val="auto"/>
          <w:sz w:val="20"/>
          <w:szCs w:val="20"/>
        </w:rPr>
        <w:t>July 26</w:t>
      </w:r>
      <w:r w:rsidRPr="00952773">
        <w:rPr>
          <w:rFonts w:ascii="Times New Roman" w:hAnsi="Times New Roman" w:cs="Times New Roman"/>
          <w:color w:val="auto"/>
          <w:sz w:val="20"/>
          <w:szCs w:val="20"/>
        </w:rPr>
        <w:t>, 2021.  The information contained within this MD&amp;A is current to the same date.</w:t>
      </w:r>
    </w:p>
    <w:p w14:paraId="200C5D49" w14:textId="77777777" w:rsidR="007F54B8" w:rsidRPr="00952773" w:rsidRDefault="007F54B8" w:rsidP="007F54B8">
      <w:pPr>
        <w:pStyle w:val="Default"/>
        <w:jc w:val="both"/>
        <w:rPr>
          <w:rFonts w:ascii="Times New Roman" w:hAnsi="Times New Roman" w:cs="Times New Roman"/>
          <w:color w:val="auto"/>
          <w:sz w:val="20"/>
          <w:szCs w:val="20"/>
        </w:rPr>
      </w:pPr>
    </w:p>
    <w:p w14:paraId="15637EE8" w14:textId="77777777" w:rsidR="007F54B8" w:rsidRPr="00952773" w:rsidRDefault="007F54B8" w:rsidP="007F54B8">
      <w:pPr>
        <w:rPr>
          <w:b/>
        </w:rPr>
      </w:pPr>
      <w:r w:rsidRPr="00952773">
        <w:rPr>
          <w:b/>
        </w:rPr>
        <w:t>Cautionary Notices Regarding Forward Looking Statements</w:t>
      </w:r>
    </w:p>
    <w:p w14:paraId="25084567" w14:textId="2CE5DBCE" w:rsidR="007F54B8" w:rsidRDefault="007F54B8" w:rsidP="007F54B8">
      <w:r w:rsidRPr="00952773">
        <w:t xml:space="preserve">While the Company believes that the assumptions underlying any forward-looking statements are reasonable, undue reliance should not be placed on these statements, which only apply as of the date of this document. The Company disclaims any intention or obligation to update or revise any forward-looking statement, whether it should be revised because of new information, future events or otherwise, unless required to do so by the applicable securities laws. </w:t>
      </w:r>
    </w:p>
    <w:p w14:paraId="092E35B2" w14:textId="77777777" w:rsidR="007F54B8" w:rsidRPr="00952773" w:rsidRDefault="007F54B8" w:rsidP="007F54B8"/>
    <w:p w14:paraId="495B3FF5" w14:textId="77777777" w:rsidR="007F54B8" w:rsidRPr="00952773" w:rsidRDefault="007F54B8" w:rsidP="007F54B8">
      <w:pPr>
        <w:rPr>
          <w:b/>
        </w:rPr>
      </w:pPr>
      <w:r w:rsidRPr="00952773">
        <w:rPr>
          <w:b/>
        </w:rPr>
        <w:t xml:space="preserve">OVERVIEW </w:t>
      </w:r>
    </w:p>
    <w:p w14:paraId="4CB1750B" w14:textId="77777777" w:rsidR="007F54B8" w:rsidRPr="00952773" w:rsidRDefault="007F54B8" w:rsidP="007F54B8">
      <w:pPr>
        <w:shd w:val="clear" w:color="auto" w:fill="FFFFFF"/>
      </w:pPr>
      <w:r w:rsidRPr="00952773">
        <w:t>In March 2020, the World Health Organization declared coronavirus COVID-19 a global pandemic. The impact of the COVID-19 pandemic has major implications for all economic activity, including that of the Company.</w:t>
      </w:r>
    </w:p>
    <w:p w14:paraId="4EE3F512" w14:textId="77777777" w:rsidR="007F54B8" w:rsidRPr="00952773" w:rsidRDefault="007F54B8" w:rsidP="007F54B8">
      <w:pPr>
        <w:pStyle w:val="ListParagraph"/>
        <w:shd w:val="clear" w:color="auto" w:fill="FFFFFF"/>
        <w:ind w:left="360"/>
        <w:rPr>
          <w:rFonts w:ascii="Times New Roman" w:hAnsi="Times New Roman"/>
          <w:sz w:val="20"/>
          <w:szCs w:val="20"/>
        </w:rPr>
      </w:pPr>
    </w:p>
    <w:p w14:paraId="1A3D97B9" w14:textId="77777777" w:rsidR="007F54B8" w:rsidRPr="00952773" w:rsidRDefault="007F54B8" w:rsidP="007F54B8">
      <w:pPr>
        <w:shd w:val="clear" w:color="auto" w:fill="FFFFFF"/>
      </w:pPr>
      <w:r w:rsidRPr="00952773">
        <w:t>At this time, it is not pos</w:t>
      </w:r>
      <w:r>
        <w:t>sible to predict the</w:t>
      </w:r>
      <w:r w:rsidRPr="00952773">
        <w:t xml:space="preserve"> magnitude of the adverse results of the outbreak and its effects on the Company’s business but believes that the COVID-19 Pandemic will likely have only a minimal impact on the Company’s activities, most notably in curtailment of travel and access to projects due to travel and social distancing restrictions. There is no material disruption to the Company’s current operations. </w:t>
      </w:r>
    </w:p>
    <w:p w14:paraId="47F24210" w14:textId="77777777" w:rsidR="007F54B8" w:rsidRPr="00952773" w:rsidRDefault="007F54B8" w:rsidP="007F54B8">
      <w:pPr>
        <w:shd w:val="clear" w:color="auto" w:fill="FFFFFF"/>
        <w:rPr>
          <w:b/>
          <w:bCs/>
        </w:rPr>
      </w:pPr>
    </w:p>
    <w:p w14:paraId="33DD3FF2" w14:textId="4CCEA88F" w:rsidR="007F54B8" w:rsidRDefault="007F54B8" w:rsidP="007F54B8">
      <w:pPr>
        <w:autoSpaceDE w:val="0"/>
        <w:autoSpaceDN w:val="0"/>
        <w:adjustRightInd w:val="0"/>
      </w:pPr>
      <w:r w:rsidRPr="00952773">
        <w:rPr>
          <w:spacing w:val="3"/>
        </w:rPr>
        <w:t>T</w:t>
      </w:r>
      <w:r w:rsidRPr="00952773">
        <w:rPr>
          <w:spacing w:val="-1"/>
        </w:rPr>
        <w:t>h</w:t>
      </w:r>
      <w:r w:rsidRPr="00952773">
        <w:t>e</w:t>
      </w:r>
      <w:r w:rsidRPr="00952773">
        <w:rPr>
          <w:spacing w:val="-2"/>
        </w:rPr>
        <w:t xml:space="preserve"> </w:t>
      </w:r>
      <w:r w:rsidRPr="00952773">
        <w:rPr>
          <w:spacing w:val="-1"/>
        </w:rPr>
        <w:t>C</w:t>
      </w:r>
      <w:r w:rsidRPr="00952773">
        <w:rPr>
          <w:spacing w:val="4"/>
        </w:rPr>
        <w:t>o</w:t>
      </w:r>
      <w:r w:rsidRPr="00952773">
        <w:rPr>
          <w:spacing w:val="-3"/>
        </w:rPr>
        <w:t>m</w:t>
      </w:r>
      <w:r w:rsidRPr="00952773">
        <w:rPr>
          <w:spacing w:val="1"/>
        </w:rPr>
        <w:t>pan</w:t>
      </w:r>
      <w:r w:rsidRPr="00952773">
        <w:t>y</w:t>
      </w:r>
      <w:r w:rsidRPr="00952773">
        <w:rPr>
          <w:spacing w:val="-6"/>
        </w:rPr>
        <w:t xml:space="preserve"> </w:t>
      </w:r>
      <w:r w:rsidRPr="00952773">
        <w:rPr>
          <w:spacing w:val="-2"/>
        </w:rPr>
        <w:t>w</w:t>
      </w:r>
      <w:r w:rsidRPr="00952773">
        <w:rPr>
          <w:spacing w:val="1"/>
        </w:rPr>
        <w:t>a</w:t>
      </w:r>
      <w:r w:rsidRPr="00952773">
        <w:t>s</w:t>
      </w:r>
      <w:r w:rsidRPr="00952773">
        <w:rPr>
          <w:spacing w:val="-3"/>
        </w:rPr>
        <w:t xml:space="preserve"> </w:t>
      </w:r>
      <w:r w:rsidRPr="00952773">
        <w:rPr>
          <w:spacing w:val="2"/>
        </w:rPr>
        <w:t>i</w:t>
      </w:r>
      <w:r w:rsidRPr="00952773">
        <w:rPr>
          <w:spacing w:val="-1"/>
        </w:rPr>
        <w:t>n</w:t>
      </w:r>
      <w:r w:rsidRPr="00952773">
        <w:rPr>
          <w:spacing w:val="1"/>
        </w:rPr>
        <w:t>corpora</w:t>
      </w:r>
      <w:r w:rsidRPr="00952773">
        <w:rPr>
          <w:spacing w:val="-2"/>
        </w:rPr>
        <w:t>t</w:t>
      </w:r>
      <w:r w:rsidRPr="00952773">
        <w:rPr>
          <w:spacing w:val="1"/>
        </w:rPr>
        <w:t>e</w:t>
      </w:r>
      <w:r w:rsidRPr="00952773">
        <w:t>d</w:t>
      </w:r>
      <w:r w:rsidRPr="00952773">
        <w:rPr>
          <w:spacing w:val="-8"/>
        </w:rPr>
        <w:t xml:space="preserve"> </w:t>
      </w:r>
      <w:r w:rsidRPr="00952773">
        <w:rPr>
          <w:spacing w:val="1"/>
        </w:rPr>
        <w:t>on</w:t>
      </w:r>
      <w:r w:rsidRPr="00952773">
        <w:rPr>
          <w:spacing w:val="-9"/>
        </w:rPr>
        <w:t xml:space="preserve"> </w:t>
      </w:r>
      <w:r w:rsidRPr="00952773">
        <w:rPr>
          <w:spacing w:val="1"/>
        </w:rPr>
        <w:t>March 22, 2018</w:t>
      </w:r>
      <w:r w:rsidRPr="00952773">
        <w:t xml:space="preserve"> in the Province of British Columbia, Canada by registration of its Incorporation Application and Notice of Articles pursuant to the BC Act.</w:t>
      </w:r>
      <w:r w:rsidRPr="00952773">
        <w:rPr>
          <w:spacing w:val="46"/>
        </w:rPr>
        <w:t xml:space="preserve"> </w:t>
      </w:r>
      <w:r w:rsidRPr="00952773">
        <w:rPr>
          <w:spacing w:val="3"/>
        </w:rPr>
        <w:t>T</w:t>
      </w:r>
      <w:r w:rsidRPr="00952773">
        <w:rPr>
          <w:spacing w:val="-1"/>
        </w:rPr>
        <w:t>h</w:t>
      </w:r>
      <w:r w:rsidRPr="00952773">
        <w:t xml:space="preserve">e </w:t>
      </w:r>
      <w:r w:rsidRPr="00952773">
        <w:rPr>
          <w:spacing w:val="-1"/>
        </w:rPr>
        <w:t>C</w:t>
      </w:r>
      <w:r w:rsidRPr="00952773">
        <w:rPr>
          <w:spacing w:val="4"/>
        </w:rPr>
        <w:t>o</w:t>
      </w:r>
      <w:r w:rsidRPr="00952773">
        <w:rPr>
          <w:spacing w:val="-3"/>
        </w:rPr>
        <w:t>m</w:t>
      </w:r>
      <w:r w:rsidRPr="00952773">
        <w:rPr>
          <w:spacing w:val="1"/>
        </w:rPr>
        <w:t>pan</w:t>
      </w:r>
      <w:r w:rsidRPr="00952773">
        <w:rPr>
          <w:spacing w:val="-1"/>
        </w:rPr>
        <w:t>y</w:t>
      </w:r>
      <w:r w:rsidRPr="00952773">
        <w:t>'s</w:t>
      </w:r>
      <w:r w:rsidRPr="00952773">
        <w:rPr>
          <w:spacing w:val="22"/>
        </w:rPr>
        <w:t xml:space="preserve"> </w:t>
      </w:r>
      <w:r w:rsidRPr="00952773">
        <w:t>business</w:t>
      </w:r>
      <w:r w:rsidRPr="00952773">
        <w:rPr>
          <w:spacing w:val="27"/>
        </w:rPr>
        <w:t xml:space="preserve"> </w:t>
      </w:r>
      <w:r w:rsidRPr="00952773">
        <w:rPr>
          <w:spacing w:val="1"/>
        </w:rPr>
        <w:t>a</w:t>
      </w:r>
      <w:r w:rsidRPr="00952773">
        <w:rPr>
          <w:spacing w:val="-1"/>
        </w:rPr>
        <w:t>n</w:t>
      </w:r>
      <w:r w:rsidRPr="00952773">
        <w:t>d</w:t>
      </w:r>
      <w:r w:rsidRPr="00952773">
        <w:rPr>
          <w:spacing w:val="28"/>
        </w:rPr>
        <w:t xml:space="preserve"> </w:t>
      </w:r>
      <w:r w:rsidRPr="00952773">
        <w:t>registered</w:t>
      </w:r>
      <w:r w:rsidRPr="00952773">
        <w:rPr>
          <w:spacing w:val="-6"/>
        </w:rPr>
        <w:t xml:space="preserve"> </w:t>
      </w:r>
      <w:r w:rsidRPr="00952773">
        <w:rPr>
          <w:spacing w:val="1"/>
        </w:rPr>
        <w:t>of</w:t>
      </w:r>
      <w:r w:rsidRPr="00952773">
        <w:rPr>
          <w:spacing w:val="-1"/>
        </w:rPr>
        <w:t>f</w:t>
      </w:r>
      <w:r w:rsidRPr="00952773">
        <w:t>i</w:t>
      </w:r>
      <w:r w:rsidRPr="00952773">
        <w:rPr>
          <w:spacing w:val="1"/>
        </w:rPr>
        <w:t>c</w:t>
      </w:r>
      <w:r w:rsidRPr="00952773">
        <w:t>e</w:t>
      </w:r>
      <w:r w:rsidRPr="00952773">
        <w:rPr>
          <w:spacing w:val="-4"/>
        </w:rPr>
        <w:t xml:space="preserve"> </w:t>
      </w:r>
      <w:r w:rsidRPr="00952773">
        <w:rPr>
          <w:spacing w:val="1"/>
        </w:rPr>
        <w:t>addre</w:t>
      </w:r>
      <w:r w:rsidRPr="00952773">
        <w:rPr>
          <w:spacing w:val="-1"/>
        </w:rPr>
        <w:t>s</w:t>
      </w:r>
      <w:r w:rsidRPr="00952773">
        <w:t>s</w:t>
      </w:r>
      <w:r w:rsidRPr="00952773">
        <w:rPr>
          <w:spacing w:val="-6"/>
        </w:rPr>
        <w:t xml:space="preserve"> </w:t>
      </w:r>
      <w:r w:rsidRPr="00952773">
        <w:t>is</w:t>
      </w:r>
      <w:r w:rsidRPr="00952773">
        <w:rPr>
          <w:spacing w:val="-1"/>
        </w:rPr>
        <w:t xml:space="preserve"> </w:t>
      </w:r>
      <w:r w:rsidRPr="00952773">
        <w:t>l</w:t>
      </w:r>
      <w:r w:rsidRPr="00952773">
        <w:rPr>
          <w:spacing w:val="1"/>
        </w:rPr>
        <w:t>o</w:t>
      </w:r>
      <w:r w:rsidRPr="00952773">
        <w:rPr>
          <w:spacing w:val="3"/>
        </w:rPr>
        <w:t>c</w:t>
      </w:r>
      <w:r w:rsidRPr="00952773">
        <w:rPr>
          <w:spacing w:val="1"/>
        </w:rPr>
        <w:t>a</w:t>
      </w:r>
      <w:r w:rsidRPr="00952773">
        <w:t>t</w:t>
      </w:r>
      <w:r w:rsidRPr="00952773">
        <w:rPr>
          <w:spacing w:val="1"/>
        </w:rPr>
        <w:t>e</w:t>
      </w:r>
      <w:r w:rsidRPr="00952773">
        <w:t>d</w:t>
      </w:r>
      <w:r w:rsidRPr="00952773">
        <w:rPr>
          <w:spacing w:val="-4"/>
        </w:rPr>
        <w:t xml:space="preserve"> </w:t>
      </w:r>
      <w:r w:rsidRPr="00952773">
        <w:rPr>
          <w:spacing w:val="1"/>
        </w:rPr>
        <w:t>a</w:t>
      </w:r>
      <w:r w:rsidRPr="00952773">
        <w:t>t</w:t>
      </w:r>
      <w:r w:rsidRPr="00952773">
        <w:rPr>
          <w:spacing w:val="-1"/>
        </w:rPr>
        <w:t xml:space="preserve"> </w:t>
      </w:r>
      <w:r w:rsidRPr="00952773">
        <w:t>Suite 1710–1177 West Hastings</w:t>
      </w:r>
      <w:r w:rsidRPr="00952773">
        <w:rPr>
          <w:spacing w:val="-5"/>
        </w:rPr>
        <w:t xml:space="preserve"> </w:t>
      </w:r>
      <w:r w:rsidRPr="00952773">
        <w:t>St</w:t>
      </w:r>
      <w:r w:rsidRPr="00952773">
        <w:rPr>
          <w:spacing w:val="1"/>
        </w:rPr>
        <w:t>ree</w:t>
      </w:r>
      <w:r w:rsidRPr="00952773">
        <w:t>t,</w:t>
      </w:r>
      <w:r w:rsidRPr="00952773">
        <w:rPr>
          <w:spacing w:val="-4"/>
        </w:rPr>
        <w:t xml:space="preserve"> </w:t>
      </w:r>
      <w:r w:rsidRPr="00952773">
        <w:t>V</w:t>
      </w:r>
      <w:r w:rsidRPr="00952773">
        <w:rPr>
          <w:spacing w:val="1"/>
        </w:rPr>
        <w:t>a</w:t>
      </w:r>
      <w:r w:rsidRPr="00952773">
        <w:rPr>
          <w:spacing w:val="-1"/>
        </w:rPr>
        <w:t>n</w:t>
      </w:r>
      <w:r w:rsidRPr="00952773">
        <w:rPr>
          <w:spacing w:val="1"/>
        </w:rPr>
        <w:t>cou</w:t>
      </w:r>
      <w:r w:rsidRPr="00952773">
        <w:rPr>
          <w:spacing w:val="-1"/>
        </w:rPr>
        <w:t>v</w:t>
      </w:r>
      <w:r w:rsidRPr="00952773">
        <w:rPr>
          <w:spacing w:val="1"/>
        </w:rPr>
        <w:t>er</w:t>
      </w:r>
      <w:r w:rsidRPr="00952773">
        <w:t>,</w:t>
      </w:r>
      <w:r w:rsidRPr="00952773">
        <w:rPr>
          <w:spacing w:val="-8"/>
        </w:rPr>
        <w:t xml:space="preserve"> </w:t>
      </w:r>
      <w:r w:rsidRPr="00952773">
        <w:rPr>
          <w:spacing w:val="2"/>
        </w:rPr>
        <w:t>B</w:t>
      </w:r>
      <w:r w:rsidRPr="00952773">
        <w:rPr>
          <w:spacing w:val="1"/>
        </w:rPr>
        <w:t>r</w:t>
      </w:r>
      <w:r w:rsidRPr="00952773">
        <w:t>iti</w:t>
      </w:r>
      <w:r w:rsidRPr="00952773">
        <w:rPr>
          <w:spacing w:val="2"/>
        </w:rPr>
        <w:t>s</w:t>
      </w:r>
      <w:r w:rsidRPr="00952773">
        <w:t>h</w:t>
      </w:r>
      <w:r w:rsidRPr="00952773">
        <w:rPr>
          <w:spacing w:val="-6"/>
        </w:rPr>
        <w:t xml:space="preserve"> </w:t>
      </w:r>
      <w:r w:rsidRPr="00952773">
        <w:rPr>
          <w:spacing w:val="-1"/>
        </w:rPr>
        <w:t>C</w:t>
      </w:r>
      <w:r w:rsidRPr="00952773">
        <w:rPr>
          <w:spacing w:val="1"/>
        </w:rPr>
        <w:t>o</w:t>
      </w:r>
      <w:r w:rsidRPr="00952773">
        <w:t>l</w:t>
      </w:r>
      <w:r w:rsidRPr="00952773">
        <w:rPr>
          <w:spacing w:val="1"/>
        </w:rPr>
        <w:t>u</w:t>
      </w:r>
      <w:r w:rsidRPr="00952773">
        <w:rPr>
          <w:spacing w:val="-1"/>
        </w:rPr>
        <w:t>m</w:t>
      </w:r>
      <w:r w:rsidRPr="00952773">
        <w:rPr>
          <w:spacing w:val="1"/>
        </w:rPr>
        <w:t>b</w:t>
      </w:r>
      <w:r w:rsidRPr="00952773">
        <w:t>i</w:t>
      </w:r>
      <w:r w:rsidRPr="00952773">
        <w:rPr>
          <w:spacing w:val="1"/>
        </w:rPr>
        <w:t>a</w:t>
      </w:r>
      <w:r w:rsidRPr="00952773">
        <w:t>,</w:t>
      </w:r>
      <w:r w:rsidRPr="00952773">
        <w:rPr>
          <w:spacing w:val="-7"/>
        </w:rPr>
        <w:t xml:space="preserve"> </w:t>
      </w:r>
      <w:r w:rsidRPr="00952773">
        <w:t>V</w:t>
      </w:r>
      <w:r w:rsidRPr="00952773">
        <w:rPr>
          <w:spacing w:val="1"/>
        </w:rPr>
        <w:t>6</w:t>
      </w:r>
      <w:r w:rsidRPr="00952773">
        <w:t>E</w:t>
      </w:r>
      <w:r w:rsidRPr="00952773">
        <w:rPr>
          <w:spacing w:val="-4"/>
        </w:rPr>
        <w:t xml:space="preserve"> </w:t>
      </w:r>
      <w:r w:rsidRPr="00952773">
        <w:rPr>
          <w:spacing w:val="4"/>
        </w:rPr>
        <w:t>2L3</w:t>
      </w:r>
      <w:r w:rsidRPr="00952773">
        <w:t>.</w:t>
      </w:r>
    </w:p>
    <w:p w14:paraId="2F2546F3" w14:textId="77777777" w:rsidR="007F54B8" w:rsidRPr="00952773" w:rsidRDefault="007F54B8" w:rsidP="007F54B8">
      <w:pPr>
        <w:autoSpaceDE w:val="0"/>
        <w:autoSpaceDN w:val="0"/>
        <w:adjustRightInd w:val="0"/>
      </w:pPr>
    </w:p>
    <w:p w14:paraId="49EB027A" w14:textId="77777777" w:rsidR="007F54B8" w:rsidRPr="00952773" w:rsidRDefault="007F54B8" w:rsidP="007F54B8">
      <w:r w:rsidRPr="00952773">
        <w:t xml:space="preserve">The Company’s common shares trade on the Canadian Stock Exchange (“CSE”) under the symbol PJO. </w:t>
      </w:r>
    </w:p>
    <w:p w14:paraId="57CADACF" w14:textId="77777777" w:rsidR="007F54B8" w:rsidRPr="00952773" w:rsidRDefault="007F54B8" w:rsidP="007F54B8">
      <w:r w:rsidRPr="00952773">
        <w:t xml:space="preserve">The Company’s primary business to date has been to identify, explore and develop opportunities in the resource sector through acquisition or joint venture. The Company’s current property is the Christa-Aura Property (the “Property”) situated in the New Westminster Mining Division in South Western British Columbia. The Company's objective is to explore and develop the property which consists of four map staked mineral claims comprising 1,950.5 hectares. </w:t>
      </w:r>
    </w:p>
    <w:p w14:paraId="13852EA6" w14:textId="441F9951" w:rsidR="007F54B8" w:rsidRPr="007F54B8" w:rsidRDefault="007F54B8" w:rsidP="007F54B8">
      <w:pPr>
        <w:pStyle w:val="BodyText"/>
        <w:spacing w:before="60"/>
        <w:ind w:right="110"/>
        <w:rPr>
          <w:sz w:val="20"/>
        </w:rPr>
      </w:pPr>
      <w:r w:rsidRPr="00952773">
        <w:rPr>
          <w:sz w:val="20"/>
        </w:rPr>
        <w:t>During 2020</w:t>
      </w:r>
      <w:r>
        <w:rPr>
          <w:sz w:val="20"/>
        </w:rPr>
        <w:t xml:space="preserve"> and 2021</w:t>
      </w:r>
      <w:r w:rsidRPr="00952773">
        <w:rPr>
          <w:sz w:val="20"/>
        </w:rPr>
        <w:t>, management ha</w:t>
      </w:r>
      <w:r>
        <w:rPr>
          <w:sz w:val="20"/>
        </w:rPr>
        <w:t>s</w:t>
      </w:r>
      <w:r w:rsidRPr="00952773">
        <w:rPr>
          <w:sz w:val="20"/>
        </w:rPr>
        <w:t xml:space="preserve"> been assessing various other business opportunities besides mining, including the cybersecurity industry. </w:t>
      </w:r>
    </w:p>
    <w:p w14:paraId="775B5577" w14:textId="77777777" w:rsidR="007F54B8" w:rsidRDefault="007F54B8" w:rsidP="007F54B8">
      <w:pPr>
        <w:shd w:val="clear" w:color="auto" w:fill="FFFFFF"/>
        <w:rPr>
          <w:b/>
          <w:lang w:eastAsia="en-CA"/>
        </w:rPr>
      </w:pPr>
    </w:p>
    <w:p w14:paraId="05EABB28" w14:textId="77777777" w:rsidR="007F54B8" w:rsidRPr="00164B42" w:rsidRDefault="007F54B8" w:rsidP="007F54B8">
      <w:pPr>
        <w:shd w:val="clear" w:color="auto" w:fill="FFFFFF"/>
        <w:rPr>
          <w:b/>
          <w:lang w:eastAsia="en-CA"/>
        </w:rPr>
      </w:pPr>
      <w:r w:rsidRPr="00164B42">
        <w:rPr>
          <w:b/>
          <w:lang w:eastAsia="en-CA"/>
        </w:rPr>
        <w:t>History and Description of the Company</w:t>
      </w:r>
    </w:p>
    <w:p w14:paraId="191AAA00" w14:textId="77777777" w:rsidR="007F54B8" w:rsidRPr="00164B42" w:rsidRDefault="007F54B8" w:rsidP="007F54B8">
      <w:pPr>
        <w:shd w:val="clear" w:color="auto" w:fill="FFFFFF"/>
        <w:rPr>
          <w:lang w:eastAsia="en-CA"/>
        </w:rPr>
      </w:pPr>
      <w:r w:rsidRPr="00164B42">
        <w:rPr>
          <w:lang w:eastAsia="en-CA"/>
        </w:rPr>
        <w:t> </w:t>
      </w:r>
    </w:p>
    <w:p w14:paraId="2EF88BE1" w14:textId="77777777" w:rsidR="007F54B8" w:rsidRPr="00952773" w:rsidRDefault="007F54B8" w:rsidP="007F54B8">
      <w:pPr>
        <w:shd w:val="clear" w:color="auto" w:fill="FFFFFF"/>
        <w:rPr>
          <w:lang w:eastAsia="en-CA"/>
        </w:rPr>
      </w:pPr>
      <w:r w:rsidRPr="00164B42">
        <w:rPr>
          <w:lang w:eastAsia="en-CA"/>
        </w:rPr>
        <w:t>Since incorporation, the Company has undertaken steps to develop its business, including, recruiting directors and officers with the skills required to operate a public company. During 2018, the Company entered into a Mineral Property Purchase Agreement</w:t>
      </w:r>
      <w:r w:rsidRPr="00952773">
        <w:rPr>
          <w:lang w:eastAsia="en-CA"/>
        </w:rPr>
        <w:t xml:space="preserve"> to acquire the Property for shares, raised sufficient capital to commence initial </w:t>
      </w:r>
      <w:r w:rsidRPr="00952773">
        <w:rPr>
          <w:lang w:eastAsia="en-CA"/>
        </w:rPr>
        <w:lastRenderedPageBreak/>
        <w:t xml:space="preserve">exploration on the Property, engaged Carl von Einsiedel, P.Geo. to prepare a qualifying Technical Report, and engaged an agent to assist in obtaining a listing on the CSE. </w:t>
      </w:r>
    </w:p>
    <w:p w14:paraId="101B1454" w14:textId="77777777" w:rsidR="007F54B8" w:rsidRPr="00952773" w:rsidRDefault="007F54B8" w:rsidP="007F54B8">
      <w:pPr>
        <w:shd w:val="clear" w:color="auto" w:fill="FFFFFF"/>
        <w:rPr>
          <w:lang w:eastAsia="en-CA"/>
        </w:rPr>
      </w:pPr>
    </w:p>
    <w:p w14:paraId="79E788F8" w14:textId="77777777" w:rsidR="007F54B8" w:rsidRPr="00952773" w:rsidRDefault="007F54B8" w:rsidP="007F54B8">
      <w:pPr>
        <w:rPr>
          <w:lang w:eastAsia="en-CA"/>
        </w:rPr>
      </w:pPr>
      <w:r w:rsidRPr="00952773">
        <w:rPr>
          <w:bCs/>
        </w:rPr>
        <w:t>Bas</w:t>
      </w:r>
      <w:r w:rsidRPr="00952773">
        <w:rPr>
          <w:lang w:eastAsia="en-CA"/>
        </w:rPr>
        <w:t>ed on the results published by Noranda and Longacre, the Company acquired the Project in March of 2018 and completed a follow up program designed to assess the potential for discovery of additional mineralized breccia zones, consisting of airborne magnetic and radiometric surveys, satellite image analysis, digital elevation modelling and a systematic evaluation of available stream, soil, and rock geochemical data for the project area. </w:t>
      </w:r>
    </w:p>
    <w:p w14:paraId="427E839C" w14:textId="77777777" w:rsidR="007F54B8" w:rsidRPr="00952773" w:rsidRDefault="007F54B8" w:rsidP="007F54B8">
      <w:pPr>
        <w:shd w:val="clear" w:color="auto" w:fill="FFFFFF"/>
        <w:rPr>
          <w:lang w:eastAsia="en-CA"/>
        </w:rPr>
      </w:pPr>
      <w:r w:rsidRPr="00952773">
        <w:rPr>
          <w:lang w:eastAsia="en-CA"/>
        </w:rPr>
        <w:t xml:space="preserve">On August 28, 2018, the Company raised $174,500 through the issuance of 3,290,000 common shares at $0.05 per share. </w:t>
      </w:r>
    </w:p>
    <w:p w14:paraId="0A8BD8B5" w14:textId="77777777" w:rsidR="007F54B8" w:rsidRPr="00952773" w:rsidRDefault="007F54B8" w:rsidP="007F54B8">
      <w:pPr>
        <w:shd w:val="clear" w:color="auto" w:fill="FFFFFF"/>
        <w:rPr>
          <w:lang w:eastAsia="en-CA"/>
        </w:rPr>
      </w:pPr>
      <w:r w:rsidRPr="00952773">
        <w:rPr>
          <w:lang w:eastAsia="en-CA"/>
        </w:rPr>
        <w:t xml:space="preserve">  </w:t>
      </w:r>
    </w:p>
    <w:p w14:paraId="320553D9" w14:textId="77777777" w:rsidR="007F54B8" w:rsidRPr="00952773" w:rsidRDefault="007F54B8" w:rsidP="007F54B8">
      <w:pPr>
        <w:shd w:val="clear" w:color="auto" w:fill="FFFFFF"/>
        <w:rPr>
          <w:lang w:eastAsia="en-CA"/>
        </w:rPr>
      </w:pPr>
      <w:r w:rsidRPr="00952773">
        <w:rPr>
          <w:lang w:eastAsia="en-CA"/>
        </w:rPr>
        <w:t>The Company completed an initial exploration program consisting of airborne magnetic and radiometric surveys, satellite image analysis and digital elevation modelling and a systematic evaluation of available stream, soil, and rock geochemical data for the project area.  The total cost of this exploration program was $81,597.</w:t>
      </w:r>
    </w:p>
    <w:p w14:paraId="116E793C" w14:textId="77777777" w:rsidR="007F54B8" w:rsidRPr="00952773" w:rsidRDefault="007F54B8" w:rsidP="007F54B8">
      <w:pPr>
        <w:shd w:val="clear" w:color="auto" w:fill="FFFFFF"/>
        <w:rPr>
          <w:lang w:eastAsia="en-CA"/>
        </w:rPr>
      </w:pPr>
      <w:r w:rsidRPr="00952773">
        <w:rPr>
          <w:lang w:eastAsia="en-CA"/>
        </w:rPr>
        <w:t> </w:t>
      </w:r>
    </w:p>
    <w:p w14:paraId="562DBEA0" w14:textId="77777777" w:rsidR="007F54B8" w:rsidRPr="00952773" w:rsidRDefault="007F54B8" w:rsidP="007F54B8">
      <w:pPr>
        <w:shd w:val="clear" w:color="auto" w:fill="FFFFFF"/>
        <w:rPr>
          <w:lang w:eastAsia="en-CA"/>
        </w:rPr>
      </w:pPr>
      <w:r w:rsidRPr="00952773">
        <w:rPr>
          <w:lang w:eastAsia="en-CA"/>
        </w:rPr>
        <w:t>On June 12, 2019, the Company closed a public offering and raised $400,000 in gross proceeds through the issuance of 4,000,000 common shares at a price of $0.10 per share. At the same time, the Company’s common shares began trading on the CSE.</w:t>
      </w:r>
    </w:p>
    <w:p w14:paraId="33F6D312" w14:textId="77777777" w:rsidR="007F54B8" w:rsidRPr="00952773" w:rsidRDefault="007F54B8" w:rsidP="007F54B8">
      <w:pPr>
        <w:shd w:val="clear" w:color="auto" w:fill="FFFFFF"/>
        <w:rPr>
          <w:lang w:eastAsia="en-CA"/>
        </w:rPr>
      </w:pPr>
    </w:p>
    <w:p w14:paraId="1F0C364D" w14:textId="77777777" w:rsidR="007F54B8" w:rsidRPr="00952773" w:rsidRDefault="007F54B8" w:rsidP="007F54B8">
      <w:pPr>
        <w:shd w:val="clear" w:color="auto" w:fill="FFFFFF"/>
        <w:rPr>
          <w:lang w:eastAsia="en-CA"/>
        </w:rPr>
      </w:pPr>
      <w:r w:rsidRPr="00952773">
        <w:rPr>
          <w:lang w:eastAsia="en-CA"/>
        </w:rPr>
        <w:t>After the closing of the public offering, the Company contracted with Ram Explorations to carry out the next phase of exploration work. This was completed during July through September of 2019 at a cost of $105,295.</w:t>
      </w:r>
    </w:p>
    <w:p w14:paraId="328BFCDE" w14:textId="77777777" w:rsidR="007F54B8" w:rsidRPr="00952773" w:rsidRDefault="007F54B8" w:rsidP="007F54B8">
      <w:pPr>
        <w:shd w:val="clear" w:color="auto" w:fill="FFFFFF"/>
        <w:rPr>
          <w:lang w:eastAsia="en-CA"/>
        </w:rPr>
      </w:pPr>
    </w:p>
    <w:p w14:paraId="3F70A2C5" w14:textId="77777777" w:rsidR="007F54B8" w:rsidRPr="00952773" w:rsidRDefault="007F54B8" w:rsidP="007F54B8">
      <w:pPr>
        <w:shd w:val="clear" w:color="auto" w:fill="FFFFFF"/>
        <w:rPr>
          <w:lang w:eastAsia="en-CA"/>
        </w:rPr>
      </w:pPr>
      <w:r w:rsidRPr="00952773">
        <w:rPr>
          <w:lang w:eastAsia="en-CA"/>
        </w:rPr>
        <w:t>These funds were expended as follows:</w:t>
      </w:r>
    </w:p>
    <w:p w14:paraId="5F213C67" w14:textId="77777777" w:rsidR="007F54B8" w:rsidRPr="00952773" w:rsidRDefault="007F54B8" w:rsidP="007F54B8">
      <w:pPr>
        <w:shd w:val="clear" w:color="auto" w:fill="FFFFFF"/>
        <w:rPr>
          <w:lang w:eastAsia="en-CA"/>
        </w:rPr>
      </w:pPr>
    </w:p>
    <w:p w14:paraId="19171748" w14:textId="77777777" w:rsidR="007F54B8" w:rsidRPr="00952773" w:rsidRDefault="007F54B8" w:rsidP="007F54B8">
      <w:pPr>
        <w:shd w:val="clear" w:color="auto" w:fill="FFFFFF"/>
        <w:rPr>
          <w:lang w:eastAsia="en-CA"/>
        </w:rPr>
      </w:pPr>
      <w:r w:rsidRPr="00952773">
        <w:rPr>
          <w:lang w:eastAsia="en-CA"/>
        </w:rPr>
        <w:t>Project planning and evaluation of GIS data sets required for field operations</w:t>
      </w:r>
      <w:r w:rsidRPr="00952773">
        <w:rPr>
          <w:lang w:eastAsia="en-CA"/>
        </w:rPr>
        <w:tab/>
      </w:r>
      <w:r w:rsidRPr="00952773">
        <w:rPr>
          <w:lang w:eastAsia="en-CA"/>
        </w:rPr>
        <w:tab/>
      </w:r>
      <w:r>
        <w:rPr>
          <w:lang w:eastAsia="en-CA"/>
        </w:rPr>
        <w:t xml:space="preserve">              </w:t>
      </w:r>
      <w:r w:rsidRPr="00952773">
        <w:rPr>
          <w:lang w:eastAsia="en-CA"/>
        </w:rPr>
        <w:t>$5,200</w:t>
      </w:r>
    </w:p>
    <w:p w14:paraId="25E4F329" w14:textId="77777777" w:rsidR="007F54B8" w:rsidRPr="00952773" w:rsidRDefault="007F54B8" w:rsidP="007F54B8">
      <w:pPr>
        <w:shd w:val="clear" w:color="auto" w:fill="FFFFFF"/>
        <w:rPr>
          <w:lang w:eastAsia="en-CA"/>
        </w:rPr>
      </w:pPr>
      <w:r w:rsidRPr="00952773">
        <w:rPr>
          <w:lang w:eastAsia="en-CA"/>
        </w:rPr>
        <w:t xml:space="preserve">Field operations          </w:t>
      </w:r>
      <w:r w:rsidRPr="00952773">
        <w:rPr>
          <w:lang w:eastAsia="en-CA"/>
        </w:rPr>
        <w:tab/>
      </w:r>
      <w:r w:rsidRPr="00952773">
        <w:rPr>
          <w:lang w:eastAsia="en-CA"/>
        </w:rPr>
        <w:tab/>
      </w:r>
      <w:r w:rsidRPr="00952773">
        <w:rPr>
          <w:lang w:eastAsia="en-CA"/>
        </w:rPr>
        <w:tab/>
      </w:r>
      <w:r w:rsidRPr="00952773">
        <w:rPr>
          <w:lang w:eastAsia="en-CA"/>
        </w:rPr>
        <w:tab/>
      </w:r>
      <w:r w:rsidRPr="00952773">
        <w:rPr>
          <w:lang w:eastAsia="en-CA"/>
        </w:rPr>
        <w:tab/>
      </w:r>
      <w:r w:rsidRPr="00952773">
        <w:rPr>
          <w:lang w:eastAsia="en-CA"/>
        </w:rPr>
        <w:tab/>
      </w:r>
      <w:r w:rsidRPr="00952773">
        <w:rPr>
          <w:lang w:eastAsia="en-CA"/>
        </w:rPr>
        <w:tab/>
      </w:r>
      <w:r w:rsidRPr="00952773">
        <w:rPr>
          <w:lang w:eastAsia="en-CA"/>
        </w:rPr>
        <w:tab/>
      </w:r>
      <w:r w:rsidRPr="00952773">
        <w:rPr>
          <w:lang w:eastAsia="en-CA"/>
        </w:rPr>
        <w:tab/>
        <w:t>$72,887</w:t>
      </w:r>
    </w:p>
    <w:p w14:paraId="5B5122BE" w14:textId="77777777" w:rsidR="007F54B8" w:rsidRPr="00952773" w:rsidRDefault="007F54B8" w:rsidP="007F54B8">
      <w:pPr>
        <w:shd w:val="clear" w:color="auto" w:fill="FFFFFF"/>
        <w:rPr>
          <w:lang w:eastAsia="en-CA"/>
        </w:rPr>
      </w:pPr>
      <w:r w:rsidRPr="00952773">
        <w:rPr>
          <w:lang w:eastAsia="en-CA"/>
        </w:rPr>
        <w:t>Sample analysis</w:t>
      </w:r>
      <w:r w:rsidRPr="00952773">
        <w:rPr>
          <w:lang w:eastAsia="en-CA"/>
        </w:rPr>
        <w:tab/>
      </w:r>
      <w:r w:rsidRPr="00952773">
        <w:rPr>
          <w:lang w:eastAsia="en-CA"/>
        </w:rPr>
        <w:tab/>
      </w:r>
      <w:r w:rsidRPr="00952773">
        <w:rPr>
          <w:lang w:eastAsia="en-CA"/>
        </w:rPr>
        <w:tab/>
      </w:r>
      <w:r w:rsidRPr="00952773">
        <w:rPr>
          <w:lang w:eastAsia="en-CA"/>
        </w:rPr>
        <w:tab/>
      </w:r>
      <w:r w:rsidRPr="00952773">
        <w:rPr>
          <w:lang w:eastAsia="en-CA"/>
        </w:rPr>
        <w:tab/>
      </w:r>
      <w:r w:rsidRPr="00952773">
        <w:rPr>
          <w:lang w:eastAsia="en-CA"/>
        </w:rPr>
        <w:tab/>
      </w:r>
      <w:r w:rsidRPr="00952773">
        <w:rPr>
          <w:lang w:eastAsia="en-CA"/>
        </w:rPr>
        <w:tab/>
      </w:r>
      <w:r w:rsidRPr="00952773">
        <w:rPr>
          <w:lang w:eastAsia="en-CA"/>
        </w:rPr>
        <w:tab/>
      </w:r>
      <w:r w:rsidRPr="00952773">
        <w:rPr>
          <w:lang w:eastAsia="en-CA"/>
        </w:rPr>
        <w:tab/>
      </w:r>
      <w:r w:rsidRPr="00952773">
        <w:rPr>
          <w:lang w:eastAsia="en-CA"/>
        </w:rPr>
        <w:tab/>
        <w:t>$10,032</w:t>
      </w:r>
    </w:p>
    <w:p w14:paraId="52AEAB5D" w14:textId="77777777" w:rsidR="007F54B8" w:rsidRPr="00952773" w:rsidRDefault="007F54B8" w:rsidP="007F54B8">
      <w:pPr>
        <w:shd w:val="clear" w:color="auto" w:fill="FFFFFF"/>
        <w:rPr>
          <w:lang w:eastAsia="en-CA"/>
        </w:rPr>
      </w:pPr>
      <w:r w:rsidRPr="00952773">
        <w:rPr>
          <w:lang w:eastAsia="en-CA"/>
        </w:rPr>
        <w:t>Data interpretation and technical reporting</w:t>
      </w:r>
      <w:r w:rsidRPr="00952773">
        <w:rPr>
          <w:lang w:eastAsia="en-CA"/>
        </w:rPr>
        <w:tab/>
      </w:r>
      <w:r w:rsidRPr="00952773">
        <w:rPr>
          <w:lang w:eastAsia="en-CA"/>
        </w:rPr>
        <w:tab/>
      </w:r>
      <w:r w:rsidRPr="00952773">
        <w:rPr>
          <w:lang w:eastAsia="en-CA"/>
        </w:rPr>
        <w:tab/>
      </w:r>
      <w:r w:rsidRPr="00952773">
        <w:rPr>
          <w:lang w:eastAsia="en-CA"/>
        </w:rPr>
        <w:tab/>
      </w:r>
      <w:r w:rsidRPr="00952773">
        <w:rPr>
          <w:lang w:eastAsia="en-CA"/>
        </w:rPr>
        <w:tab/>
      </w:r>
      <w:r w:rsidRPr="00952773">
        <w:rPr>
          <w:lang w:eastAsia="en-CA"/>
        </w:rPr>
        <w:tab/>
      </w:r>
      <w:r>
        <w:rPr>
          <w:lang w:eastAsia="en-CA"/>
        </w:rPr>
        <w:t xml:space="preserve">              </w:t>
      </w:r>
      <w:r w:rsidRPr="00952773">
        <w:rPr>
          <w:lang w:eastAsia="en-CA"/>
        </w:rPr>
        <w:t>$12,163</w:t>
      </w:r>
    </w:p>
    <w:p w14:paraId="11F0EE8C" w14:textId="77777777" w:rsidR="007F54B8" w:rsidRPr="00952773" w:rsidRDefault="007F54B8" w:rsidP="007F54B8">
      <w:pPr>
        <w:shd w:val="clear" w:color="auto" w:fill="FFFFFF"/>
        <w:rPr>
          <w:lang w:eastAsia="en-CA"/>
        </w:rPr>
      </w:pPr>
    </w:p>
    <w:p w14:paraId="62FC2994" w14:textId="77777777" w:rsidR="007F54B8" w:rsidRPr="00952773" w:rsidRDefault="007F54B8" w:rsidP="007F54B8">
      <w:pPr>
        <w:rPr>
          <w:b/>
        </w:rPr>
      </w:pPr>
      <w:r w:rsidRPr="00952773">
        <w:rPr>
          <w:b/>
        </w:rPr>
        <w:t>Exploration Work Completed to date</w:t>
      </w:r>
    </w:p>
    <w:p w14:paraId="7ED3FFDC" w14:textId="0B498561" w:rsidR="007F54B8" w:rsidRDefault="007F54B8" w:rsidP="007F54B8">
      <w:pPr>
        <w:autoSpaceDE w:val="0"/>
        <w:autoSpaceDN w:val="0"/>
        <w:adjustRightInd w:val="0"/>
        <w:rPr>
          <w:lang w:eastAsia="en-CA"/>
        </w:rPr>
      </w:pPr>
      <w:r w:rsidRPr="00952773">
        <w:rPr>
          <w:lang w:eastAsia="en-CA"/>
        </w:rPr>
        <w:t>Results of the exploration programs to date were encouraging. The 2018 airborne geophysical survey identified a cluster of three high priority target areas centred approximately 1.5 kilometers north of the Noranda Target and identified a series of magnetic lineaments interpreted as possible structurally controlled mineralization localized at or near the bedrock - overburden interface approximately 2.5 kilometers west of the Noranda Target.  Satellite imaging and alteration analysis and results of the compilation studies show that the cluster of new targets to the north of the Noranda target are overburden covered but are localized upslope of a strong “gold in stream” anomaly reported by the BCGS. The series of magnetic lineaments reported to the west of the Noranda Target exhibit sericite – illite alteration responses in satellite imagery and are localized along the projected extension of a northwest trending series of precious and base metal, vein type occurrences (reported by the BCGS Minfile database) located on mineral tenures controlled by unrelated third parties.</w:t>
      </w:r>
    </w:p>
    <w:p w14:paraId="1E8EA29F" w14:textId="77777777" w:rsidR="007F54B8" w:rsidRPr="00952773" w:rsidRDefault="007F54B8" w:rsidP="007F54B8">
      <w:pPr>
        <w:autoSpaceDE w:val="0"/>
        <w:autoSpaceDN w:val="0"/>
        <w:adjustRightInd w:val="0"/>
        <w:rPr>
          <w:lang w:eastAsia="en-CA"/>
        </w:rPr>
      </w:pPr>
    </w:p>
    <w:p w14:paraId="260B86BF" w14:textId="61017312" w:rsidR="007F54B8" w:rsidRDefault="007F54B8" w:rsidP="007F54B8">
      <w:r w:rsidRPr="00952773">
        <w:t xml:space="preserve">The field program results confirmed the initial anomalies with positive results from soil sampling. The program was designed to follow up on the encouraging results of a 2018 aeromagnetic survey completed on the property and which were detailed in the Company's Technical Report dated July 15, 2018. A compilation of the historic 3D IP geophysical and the recent aeromagnetic survey indicated that there is an anomaly coincident with the Noranda showing, a mineralized quartz-breccia zone discovered by Noranda in 1988. </w:t>
      </w:r>
    </w:p>
    <w:p w14:paraId="0FA8540E" w14:textId="77777777" w:rsidR="007F54B8" w:rsidRPr="00952773" w:rsidRDefault="007F54B8" w:rsidP="007F54B8"/>
    <w:p w14:paraId="233D0F8D" w14:textId="77777777" w:rsidR="007F54B8" w:rsidRPr="00952773" w:rsidRDefault="007F54B8" w:rsidP="007F54B8">
      <w:r w:rsidRPr="00952773">
        <w:t xml:space="preserve">A total of 420 soil samples were collected over three new grids that overlay the three priority geophysics targets that are in the central portion of the property. Sample lines were separated by 50 metres with samples being taken every 25 metres on each line. Two of the grids returned anomalous gold values in excess of 15 ppb. The most significant anomaly was identified in the southern part of the three target areas and consists of an east west trending response that was traced for 300 meters with gold values ranging from 15 to 66 ppb and is open to both the east and west. </w:t>
      </w:r>
    </w:p>
    <w:p w14:paraId="788A569B" w14:textId="47AD60BF" w:rsidR="007F54B8" w:rsidRDefault="007F54B8" w:rsidP="007F54B8">
      <w:r w:rsidRPr="00952773">
        <w:t xml:space="preserve">This new target lies approximately one kilometer north of the Noranda showing. The target area is heavily forested and will require prospecting and geological mapping as neither of those have been performed through these new target areas. Extension of the soil grids would also be important in determining the potential extent of the mineralization. </w:t>
      </w:r>
    </w:p>
    <w:p w14:paraId="61655A0C" w14:textId="77777777" w:rsidR="007F54B8" w:rsidRPr="00952773" w:rsidRDefault="007F54B8" w:rsidP="007F54B8"/>
    <w:p w14:paraId="6E2975F6" w14:textId="083C7653" w:rsidR="007F54B8" w:rsidRDefault="007F54B8" w:rsidP="007F54B8">
      <w:r w:rsidRPr="00952773">
        <w:lastRenderedPageBreak/>
        <w:t>The soil samples from the 2019 field program were packaged in sealed plastic bags and transported to the ALS Global assay facility in North Vancouver and were analyzed by standard fire assay (AuAA23) and multi-element trace metal analysis (ME-ICP41).</w:t>
      </w:r>
    </w:p>
    <w:p w14:paraId="1293FA37" w14:textId="77777777" w:rsidR="007F54B8" w:rsidRPr="00952773" w:rsidRDefault="007F54B8" w:rsidP="007F54B8"/>
    <w:p w14:paraId="479F4FBC" w14:textId="51F2BBF6" w:rsidR="007F54B8" w:rsidRDefault="007F54B8" w:rsidP="007F54B8">
      <w:pPr>
        <w:rPr>
          <w:lang w:eastAsia="en-CA"/>
        </w:rPr>
      </w:pPr>
      <w:r w:rsidRPr="00952773">
        <w:rPr>
          <w:lang w:eastAsia="en-CA"/>
        </w:rPr>
        <w:t>Follow up IP surveys and drilling would be warranted however the costs of these programs cannot be estimated at this stage.  This type of follow up work will require permitting through the Ministry of Mines and consultation with affected First Nations.</w:t>
      </w:r>
    </w:p>
    <w:p w14:paraId="6821BE1B" w14:textId="77777777" w:rsidR="007F54B8" w:rsidRPr="00952773" w:rsidRDefault="007F54B8" w:rsidP="007F54B8">
      <w:pPr>
        <w:rPr>
          <w:lang w:eastAsia="en-CA"/>
        </w:rPr>
      </w:pPr>
    </w:p>
    <w:p w14:paraId="45C2B264" w14:textId="3E75D351" w:rsidR="007F54B8" w:rsidRDefault="007F54B8" w:rsidP="007F54B8">
      <w:pPr>
        <w:rPr>
          <w:b/>
          <w:bCs/>
          <w:lang w:eastAsia="en-CA"/>
        </w:rPr>
      </w:pPr>
      <w:r w:rsidRPr="00952773">
        <w:rPr>
          <w:b/>
          <w:bCs/>
          <w:lang w:eastAsia="en-CA"/>
        </w:rPr>
        <w:t>Mineral Activities during fiscal year 2019/2020</w:t>
      </w:r>
    </w:p>
    <w:p w14:paraId="4938B1AD" w14:textId="77777777" w:rsidR="007F54B8" w:rsidRPr="00952773" w:rsidRDefault="007F54B8" w:rsidP="007F54B8">
      <w:pPr>
        <w:rPr>
          <w:b/>
          <w:bCs/>
          <w:lang w:eastAsia="en-CA"/>
        </w:rPr>
      </w:pPr>
    </w:p>
    <w:p w14:paraId="59429106" w14:textId="718707AB" w:rsidR="007F54B8" w:rsidRDefault="007F54B8" w:rsidP="007F54B8">
      <w:pPr>
        <w:rPr>
          <w:lang w:eastAsia="en-CA"/>
        </w:rPr>
      </w:pPr>
      <w:r w:rsidRPr="00952773">
        <w:rPr>
          <w:lang w:eastAsia="en-CA"/>
        </w:rPr>
        <w:t>Due to required permitting and additional extensive financing needed for any ongoing major exploration work on the Aura property, the Company has attempted to identify other project opportunities, both mineral properties and other business entities that could be acquired. The advent of COVID-19 in early 2020, slowed activities considerably. In December 2020, our contract geologist filed an updated property plan</w:t>
      </w:r>
      <w:r>
        <w:rPr>
          <w:lang w:eastAsia="en-CA"/>
        </w:rPr>
        <w:t xml:space="preserve"> for the Aura project </w:t>
      </w:r>
      <w:r w:rsidRPr="00952773">
        <w:rPr>
          <w:lang w:eastAsia="en-CA"/>
        </w:rPr>
        <w:t>with the BC Department of Mines.</w:t>
      </w:r>
    </w:p>
    <w:p w14:paraId="643E209B" w14:textId="77777777" w:rsidR="007F54B8" w:rsidRPr="00952773" w:rsidRDefault="007F54B8" w:rsidP="007F54B8">
      <w:pPr>
        <w:rPr>
          <w:lang w:eastAsia="en-CA"/>
        </w:rPr>
      </w:pPr>
    </w:p>
    <w:p w14:paraId="69C28631" w14:textId="77777777" w:rsidR="007F54B8" w:rsidRPr="00952773" w:rsidRDefault="007F54B8" w:rsidP="007F54B8">
      <w:pPr>
        <w:shd w:val="clear" w:color="auto" w:fill="FFFFFF"/>
        <w:rPr>
          <w:b/>
          <w:lang w:eastAsia="en-CA"/>
        </w:rPr>
      </w:pPr>
      <w:r w:rsidRPr="00952773">
        <w:rPr>
          <w:b/>
          <w:lang w:eastAsia="en-CA"/>
        </w:rPr>
        <w:t>Recent Corporate Update</w:t>
      </w:r>
    </w:p>
    <w:p w14:paraId="66A2FF08" w14:textId="77777777" w:rsidR="007F54B8" w:rsidRPr="00952773" w:rsidRDefault="007F54B8" w:rsidP="007F54B8">
      <w:pPr>
        <w:shd w:val="clear" w:color="auto" w:fill="FFFFFF"/>
        <w:rPr>
          <w:b/>
          <w:lang w:eastAsia="en-CA"/>
        </w:rPr>
      </w:pPr>
    </w:p>
    <w:p w14:paraId="161ED211" w14:textId="77777777" w:rsidR="007F54B8" w:rsidRPr="00952773" w:rsidRDefault="007F54B8" w:rsidP="007F54B8">
      <w:pPr>
        <w:pStyle w:val="canvas-atom"/>
        <w:shd w:val="clear" w:color="auto" w:fill="FFFFFF"/>
        <w:spacing w:before="0" w:beforeAutospacing="0" w:after="240" w:afterAutospacing="0"/>
        <w:rPr>
          <w:sz w:val="20"/>
          <w:szCs w:val="20"/>
        </w:rPr>
      </w:pPr>
      <w:r w:rsidRPr="00952773">
        <w:rPr>
          <w:bCs/>
          <w:color w:val="000000"/>
          <w:sz w:val="20"/>
          <w:szCs w:val="20"/>
        </w:rPr>
        <w:t>-On September 17,2020, the Company announced that it had formed an Advisory Board to be comprised of various industry experts who would assist the company with its potential activities and acquisitions. The two initial appointees are Antoine Karam and John Devlin.</w:t>
      </w:r>
      <w:r w:rsidRPr="00952773">
        <w:rPr>
          <w:sz w:val="20"/>
          <w:szCs w:val="20"/>
        </w:rPr>
        <w:t xml:space="preserve"> </w:t>
      </w:r>
    </w:p>
    <w:p w14:paraId="376D88D4" w14:textId="77777777" w:rsidR="007F54B8" w:rsidRPr="00952773" w:rsidRDefault="007F54B8" w:rsidP="007F54B8">
      <w:pPr>
        <w:pStyle w:val="canvas-atom"/>
        <w:shd w:val="clear" w:color="auto" w:fill="FFFFFF"/>
        <w:spacing w:before="0" w:beforeAutospacing="0" w:after="240" w:afterAutospacing="0"/>
        <w:rPr>
          <w:bCs/>
          <w:color w:val="000000"/>
          <w:sz w:val="20"/>
          <w:szCs w:val="20"/>
        </w:rPr>
      </w:pPr>
      <w:r w:rsidRPr="00952773">
        <w:rPr>
          <w:bCs/>
          <w:color w:val="000000"/>
          <w:sz w:val="20"/>
          <w:szCs w:val="20"/>
        </w:rPr>
        <w:t>-On September 17, 2020, the Company announced that it had allocated a total of 450,000 stock options to consultants and advisory board members at a price of $0.50 and valid for 5 years.</w:t>
      </w:r>
    </w:p>
    <w:p w14:paraId="0026FEC4" w14:textId="77777777" w:rsidR="007F54B8" w:rsidRPr="00952773" w:rsidRDefault="007F54B8" w:rsidP="007F54B8">
      <w:pPr>
        <w:pStyle w:val="canvas-atom"/>
        <w:shd w:val="clear" w:color="auto" w:fill="FFFFFF"/>
        <w:spacing w:before="0" w:beforeAutospacing="0" w:after="240" w:afterAutospacing="0"/>
        <w:rPr>
          <w:bCs/>
          <w:sz w:val="20"/>
          <w:szCs w:val="20"/>
        </w:rPr>
      </w:pPr>
      <w:r w:rsidRPr="00952773">
        <w:rPr>
          <w:bCs/>
          <w:sz w:val="20"/>
          <w:szCs w:val="20"/>
        </w:rPr>
        <w:t xml:space="preserve">-On September 10, 2020, the Company retained Banks Cooper Associates of Hull, UK to assist in undertaking financial due diligence of the two cybersecurity potential acquisitions currently being reviewed. </w:t>
      </w:r>
    </w:p>
    <w:p w14:paraId="73085F32" w14:textId="77777777" w:rsidR="007F54B8" w:rsidRPr="00952773" w:rsidRDefault="007F54B8" w:rsidP="007F54B8">
      <w:pPr>
        <w:pStyle w:val="canvas-atom"/>
        <w:shd w:val="clear" w:color="auto" w:fill="FFFFFF"/>
        <w:spacing w:before="0" w:beforeAutospacing="0" w:after="240" w:afterAutospacing="0"/>
        <w:rPr>
          <w:bCs/>
          <w:sz w:val="20"/>
          <w:szCs w:val="20"/>
        </w:rPr>
      </w:pPr>
      <w:r w:rsidRPr="00952773">
        <w:rPr>
          <w:bCs/>
          <w:sz w:val="20"/>
          <w:szCs w:val="20"/>
        </w:rPr>
        <w:t>-Also on September 10, 2020, the Company retained McMillan LLP of Toronto to oversee all required European legal due diligence regarding the potential acquisitions. The contemplated transaction would involve a senior financing as well as additional Board of Directors members being appointed.</w:t>
      </w:r>
    </w:p>
    <w:p w14:paraId="2338F1A3" w14:textId="77777777" w:rsidR="007F54B8" w:rsidRPr="00952773" w:rsidRDefault="007F54B8" w:rsidP="007F54B8">
      <w:pPr>
        <w:pStyle w:val="canvas-atom"/>
        <w:shd w:val="clear" w:color="auto" w:fill="FFFFFF"/>
        <w:spacing w:before="0" w:beforeAutospacing="0" w:after="240" w:afterAutospacing="0"/>
        <w:rPr>
          <w:bCs/>
          <w:sz w:val="20"/>
          <w:szCs w:val="20"/>
        </w:rPr>
      </w:pPr>
      <w:r w:rsidRPr="00952773">
        <w:rPr>
          <w:bCs/>
          <w:sz w:val="20"/>
          <w:szCs w:val="20"/>
        </w:rPr>
        <w:t>-On February 19, 2021 the Company announced that due to COVID-19 related travel restrictions it was decided to no longer pursue the potential acquisition of two European cyber security firms as previously announced.</w:t>
      </w:r>
    </w:p>
    <w:p w14:paraId="5A9AAE70" w14:textId="77777777" w:rsidR="007F54B8" w:rsidRDefault="007F54B8" w:rsidP="007F54B8">
      <w:pPr>
        <w:pStyle w:val="canvas-atom"/>
        <w:shd w:val="clear" w:color="auto" w:fill="FFFFFF"/>
        <w:spacing w:before="0" w:beforeAutospacing="0" w:after="240" w:afterAutospacing="0"/>
        <w:rPr>
          <w:bCs/>
          <w:sz w:val="20"/>
          <w:szCs w:val="20"/>
        </w:rPr>
      </w:pPr>
      <w:r w:rsidRPr="00952773">
        <w:rPr>
          <w:bCs/>
          <w:sz w:val="20"/>
          <w:szCs w:val="20"/>
        </w:rPr>
        <w:t>-Also in February, the Company has accepted the resignations of John Devlin and Antoine Karam from its Advisory Board and has also cancelled all 450,000 stock options granted to consultants on Sept. 18, 2020.</w:t>
      </w:r>
    </w:p>
    <w:p w14:paraId="7B22EFAD" w14:textId="77777777" w:rsidR="007F54B8" w:rsidRPr="00952773" w:rsidRDefault="007F54B8" w:rsidP="007F54B8">
      <w:pPr>
        <w:rPr>
          <w:b/>
          <w:bCs/>
        </w:rPr>
      </w:pPr>
      <w:r w:rsidRPr="00952773">
        <w:rPr>
          <w:b/>
          <w:bCs/>
        </w:rPr>
        <w:t xml:space="preserve">Subsequent to </w:t>
      </w:r>
      <w:r>
        <w:rPr>
          <w:b/>
          <w:bCs/>
        </w:rPr>
        <w:t>May 31</w:t>
      </w:r>
      <w:r w:rsidRPr="00952773">
        <w:rPr>
          <w:b/>
          <w:bCs/>
        </w:rPr>
        <w:t>, 2021</w:t>
      </w:r>
    </w:p>
    <w:p w14:paraId="0651BCC2" w14:textId="77777777" w:rsidR="007F54B8" w:rsidRPr="00952773" w:rsidRDefault="007F54B8" w:rsidP="007F54B8">
      <w:pPr>
        <w:pStyle w:val="canvas-atom"/>
        <w:shd w:val="clear" w:color="auto" w:fill="FFFFFF"/>
        <w:spacing w:before="0" w:beforeAutospacing="0" w:after="240" w:afterAutospacing="0"/>
        <w:rPr>
          <w:bCs/>
          <w:color w:val="000000"/>
          <w:sz w:val="20"/>
          <w:szCs w:val="20"/>
        </w:rPr>
      </w:pPr>
      <w:r w:rsidRPr="00952773">
        <w:rPr>
          <w:bCs/>
          <w:color w:val="000000"/>
          <w:sz w:val="20"/>
          <w:szCs w:val="20"/>
        </w:rPr>
        <w:t xml:space="preserve">-As of </w:t>
      </w:r>
      <w:r>
        <w:rPr>
          <w:bCs/>
          <w:color w:val="000000"/>
          <w:sz w:val="20"/>
          <w:szCs w:val="20"/>
        </w:rPr>
        <w:t>May 31</w:t>
      </w:r>
      <w:r w:rsidRPr="00952773">
        <w:rPr>
          <w:bCs/>
          <w:color w:val="000000"/>
          <w:sz w:val="20"/>
          <w:szCs w:val="20"/>
        </w:rPr>
        <w:t xml:space="preserve">, 2021 the Company continues diligence activities </w:t>
      </w:r>
      <w:r>
        <w:rPr>
          <w:bCs/>
          <w:color w:val="000000"/>
          <w:sz w:val="20"/>
          <w:szCs w:val="20"/>
        </w:rPr>
        <w:t>regarding potential acquisition candidates.</w:t>
      </w:r>
    </w:p>
    <w:p w14:paraId="08C30A2A" w14:textId="77777777" w:rsidR="007F54B8" w:rsidRPr="00952773" w:rsidRDefault="007F54B8" w:rsidP="007F54B8">
      <w:pPr>
        <w:rPr>
          <w:b/>
        </w:rPr>
      </w:pPr>
      <w:r w:rsidRPr="00952773">
        <w:rPr>
          <w:b/>
        </w:rPr>
        <w:t xml:space="preserve">OVERALL PERFORMANCE </w:t>
      </w:r>
    </w:p>
    <w:p w14:paraId="3D699CC3" w14:textId="77777777" w:rsidR="007F54B8" w:rsidRPr="00952773" w:rsidRDefault="007F54B8" w:rsidP="007F54B8">
      <w:pPr>
        <w:rPr>
          <w:b/>
        </w:rPr>
      </w:pPr>
      <w:r w:rsidRPr="00952773">
        <w:rPr>
          <w:b/>
        </w:rPr>
        <w:t xml:space="preserve">Summary of Quarterly Reports </w:t>
      </w:r>
    </w:p>
    <w:p w14:paraId="17AFC4D3" w14:textId="77777777" w:rsidR="007F54B8" w:rsidRDefault="007F54B8" w:rsidP="007F54B8">
      <w:pPr>
        <w:rPr>
          <w:bCs/>
        </w:rPr>
      </w:pPr>
      <w:r w:rsidRPr="00952773">
        <w:rPr>
          <w:bCs/>
        </w:rPr>
        <w:t>Since incorporation, the Company has been primarily exploring and acquiring the Property. The loss incurred each quarter relates to the expenditures incurred in maintaining the operations of the Company and indirect cost in supporting the Company’s activities. Losses in the past t</w:t>
      </w:r>
      <w:r>
        <w:rPr>
          <w:bCs/>
        </w:rPr>
        <w:t>hree</w:t>
      </w:r>
      <w:r w:rsidRPr="00952773">
        <w:rPr>
          <w:bCs/>
        </w:rPr>
        <w:t xml:space="preserve"> quarters also include potential acquisition diligence costs incurred.</w:t>
      </w:r>
    </w:p>
    <w:p w14:paraId="4D1EA047" w14:textId="77777777" w:rsidR="007F54B8" w:rsidRDefault="007F54B8" w:rsidP="007F54B8">
      <w:pPr>
        <w:rPr>
          <w:bCs/>
        </w:rPr>
      </w:pPr>
    </w:p>
    <w:p w14:paraId="2AF7A487" w14:textId="77777777" w:rsidR="007F54B8" w:rsidRDefault="007F54B8" w:rsidP="007F54B8">
      <w:pPr>
        <w:rPr>
          <w:bCs/>
        </w:rPr>
      </w:pPr>
    </w:p>
    <w:p w14:paraId="796F959F" w14:textId="77777777" w:rsidR="007F54B8" w:rsidRPr="00952773" w:rsidRDefault="007F54B8" w:rsidP="007F54B8">
      <w:pPr>
        <w:rPr>
          <w:bCs/>
        </w:rPr>
      </w:pPr>
    </w:p>
    <w:p w14:paraId="48CBF903" w14:textId="77777777" w:rsidR="007F54B8" w:rsidRPr="00952773" w:rsidRDefault="007F54B8" w:rsidP="007F54B8">
      <w:pPr>
        <w:rPr>
          <w:bCs/>
        </w:rPr>
      </w:pPr>
      <w:r w:rsidRPr="00952773">
        <w:rPr>
          <w:bCs/>
        </w:rPr>
        <w:t xml:space="preserve">Results for the most recent quarters ending with the last quarter for the period ended </w:t>
      </w:r>
      <w:r>
        <w:rPr>
          <w:bCs/>
        </w:rPr>
        <w:t>May 31</w:t>
      </w:r>
      <w:r w:rsidRPr="00952773">
        <w:rPr>
          <w:bCs/>
        </w:rPr>
        <w:t xml:space="preserve">, 2021: </w:t>
      </w:r>
      <w:r w:rsidRPr="00952773">
        <w:rPr>
          <w:bCs/>
        </w:rPr>
        <w:br/>
      </w:r>
    </w:p>
    <w:tbl>
      <w:tblPr>
        <w:tblStyle w:val="TableGrid"/>
        <w:tblW w:w="0" w:type="auto"/>
        <w:tblLook w:val="04A0" w:firstRow="1" w:lastRow="0" w:firstColumn="1" w:lastColumn="0" w:noHBand="0" w:noVBand="1"/>
      </w:tblPr>
      <w:tblGrid>
        <w:gridCol w:w="1672"/>
        <w:gridCol w:w="1276"/>
        <w:gridCol w:w="1288"/>
        <w:gridCol w:w="1288"/>
        <w:gridCol w:w="1273"/>
        <w:gridCol w:w="1273"/>
        <w:gridCol w:w="1280"/>
      </w:tblGrid>
      <w:tr w:rsidR="007F54B8" w:rsidRPr="00952773" w14:paraId="55283923" w14:textId="77777777" w:rsidTr="004238EB">
        <w:tc>
          <w:tcPr>
            <w:tcW w:w="1704" w:type="dxa"/>
          </w:tcPr>
          <w:p w14:paraId="541CB27E" w14:textId="77777777" w:rsidR="007F54B8" w:rsidRPr="00952773" w:rsidRDefault="007F54B8" w:rsidP="004238EB">
            <w:pPr>
              <w:rPr>
                <w:rFonts w:ascii="Times New Roman" w:hAnsi="Times New Roman" w:cs="Times New Roman"/>
                <w:b/>
                <w:bCs/>
                <w:sz w:val="20"/>
                <w:szCs w:val="20"/>
              </w:rPr>
            </w:pPr>
            <w:r w:rsidRPr="00952773">
              <w:rPr>
                <w:rFonts w:ascii="Times New Roman" w:hAnsi="Times New Roman" w:cs="Times New Roman"/>
                <w:b/>
                <w:bCs/>
                <w:sz w:val="20"/>
                <w:szCs w:val="20"/>
              </w:rPr>
              <w:t>For the three month period ending</w:t>
            </w:r>
          </w:p>
        </w:tc>
        <w:tc>
          <w:tcPr>
            <w:tcW w:w="1312" w:type="dxa"/>
          </w:tcPr>
          <w:p w14:paraId="6BF873C6" w14:textId="77777777" w:rsidR="007F54B8" w:rsidRPr="00952773" w:rsidRDefault="007F54B8" w:rsidP="004238EB">
            <w:pPr>
              <w:jc w:val="center"/>
              <w:rPr>
                <w:rFonts w:ascii="Times New Roman" w:hAnsi="Times New Roman" w:cs="Times New Roman"/>
                <w:b/>
                <w:bCs/>
                <w:sz w:val="20"/>
                <w:szCs w:val="20"/>
              </w:rPr>
            </w:pPr>
            <w:r>
              <w:rPr>
                <w:rFonts w:ascii="Times New Roman" w:hAnsi="Times New Roman" w:cs="Times New Roman"/>
                <w:b/>
                <w:bCs/>
                <w:sz w:val="20"/>
                <w:szCs w:val="20"/>
              </w:rPr>
              <w:t>May 31, 2021</w:t>
            </w:r>
          </w:p>
        </w:tc>
        <w:tc>
          <w:tcPr>
            <w:tcW w:w="1312" w:type="dxa"/>
            <w:vAlign w:val="center"/>
          </w:tcPr>
          <w:p w14:paraId="357E5144" w14:textId="77777777" w:rsidR="007F54B8" w:rsidRPr="00952773" w:rsidRDefault="007F54B8" w:rsidP="004238EB">
            <w:pPr>
              <w:jc w:val="center"/>
              <w:rPr>
                <w:rFonts w:ascii="Times New Roman" w:hAnsi="Times New Roman" w:cs="Times New Roman"/>
                <w:b/>
                <w:bCs/>
                <w:sz w:val="20"/>
                <w:szCs w:val="20"/>
              </w:rPr>
            </w:pPr>
            <w:r w:rsidRPr="00952773">
              <w:rPr>
                <w:rFonts w:ascii="Times New Roman" w:hAnsi="Times New Roman" w:cs="Times New Roman"/>
                <w:b/>
                <w:bCs/>
                <w:sz w:val="20"/>
                <w:szCs w:val="20"/>
              </w:rPr>
              <w:t>February 28, 2021</w:t>
            </w:r>
          </w:p>
        </w:tc>
        <w:tc>
          <w:tcPr>
            <w:tcW w:w="1312" w:type="dxa"/>
            <w:vAlign w:val="center"/>
          </w:tcPr>
          <w:p w14:paraId="4A006B8E" w14:textId="77777777" w:rsidR="007F54B8" w:rsidRPr="00952773" w:rsidRDefault="007F54B8" w:rsidP="004238EB">
            <w:pPr>
              <w:jc w:val="center"/>
              <w:rPr>
                <w:rFonts w:ascii="Times New Roman" w:hAnsi="Times New Roman" w:cs="Times New Roman"/>
                <w:b/>
                <w:bCs/>
                <w:sz w:val="20"/>
                <w:szCs w:val="20"/>
              </w:rPr>
            </w:pPr>
            <w:r w:rsidRPr="00952773">
              <w:rPr>
                <w:rFonts w:ascii="Times New Roman" w:hAnsi="Times New Roman" w:cs="Times New Roman"/>
                <w:b/>
                <w:bCs/>
                <w:sz w:val="20"/>
                <w:szCs w:val="20"/>
              </w:rPr>
              <w:t>November 30, 2020</w:t>
            </w:r>
          </w:p>
        </w:tc>
        <w:tc>
          <w:tcPr>
            <w:tcW w:w="1312" w:type="dxa"/>
            <w:vAlign w:val="center"/>
          </w:tcPr>
          <w:p w14:paraId="0D2AF5DD" w14:textId="77777777" w:rsidR="007F54B8" w:rsidRPr="00952773" w:rsidRDefault="007F54B8" w:rsidP="004238EB">
            <w:pPr>
              <w:jc w:val="center"/>
              <w:rPr>
                <w:rFonts w:ascii="Times New Roman" w:hAnsi="Times New Roman" w:cs="Times New Roman"/>
                <w:b/>
                <w:bCs/>
                <w:sz w:val="20"/>
                <w:szCs w:val="20"/>
              </w:rPr>
            </w:pPr>
            <w:r w:rsidRPr="00952773">
              <w:rPr>
                <w:rFonts w:ascii="Times New Roman" w:hAnsi="Times New Roman" w:cs="Times New Roman"/>
                <w:b/>
                <w:bCs/>
                <w:sz w:val="20"/>
                <w:szCs w:val="20"/>
              </w:rPr>
              <w:t>August 31, 2020</w:t>
            </w:r>
          </w:p>
        </w:tc>
        <w:tc>
          <w:tcPr>
            <w:tcW w:w="1312" w:type="dxa"/>
            <w:vAlign w:val="center"/>
          </w:tcPr>
          <w:p w14:paraId="4426D981" w14:textId="77777777" w:rsidR="007F54B8" w:rsidRPr="00952773" w:rsidRDefault="007F54B8" w:rsidP="004238EB">
            <w:pPr>
              <w:jc w:val="center"/>
              <w:rPr>
                <w:rFonts w:ascii="Times New Roman" w:hAnsi="Times New Roman" w:cs="Times New Roman"/>
                <w:b/>
                <w:bCs/>
                <w:sz w:val="20"/>
                <w:szCs w:val="20"/>
              </w:rPr>
            </w:pPr>
            <w:r w:rsidRPr="00952773">
              <w:rPr>
                <w:rFonts w:ascii="Times New Roman" w:hAnsi="Times New Roman" w:cs="Times New Roman"/>
                <w:b/>
                <w:bCs/>
                <w:sz w:val="20"/>
                <w:szCs w:val="20"/>
              </w:rPr>
              <w:t>May 31, 2020</w:t>
            </w:r>
          </w:p>
        </w:tc>
        <w:tc>
          <w:tcPr>
            <w:tcW w:w="1312" w:type="dxa"/>
            <w:vAlign w:val="center"/>
          </w:tcPr>
          <w:p w14:paraId="217308E0" w14:textId="77777777" w:rsidR="007F54B8" w:rsidRPr="00952773" w:rsidRDefault="007F54B8" w:rsidP="004238EB">
            <w:pPr>
              <w:jc w:val="center"/>
              <w:rPr>
                <w:rFonts w:ascii="Times New Roman" w:hAnsi="Times New Roman" w:cs="Times New Roman"/>
                <w:b/>
                <w:bCs/>
                <w:sz w:val="20"/>
                <w:szCs w:val="20"/>
              </w:rPr>
            </w:pPr>
            <w:r w:rsidRPr="00952773">
              <w:rPr>
                <w:rFonts w:ascii="Times New Roman" w:hAnsi="Times New Roman" w:cs="Times New Roman"/>
                <w:b/>
                <w:bCs/>
                <w:sz w:val="20"/>
                <w:szCs w:val="20"/>
              </w:rPr>
              <w:t>February 28, 2020</w:t>
            </w:r>
          </w:p>
        </w:tc>
      </w:tr>
      <w:tr w:rsidR="007F54B8" w:rsidRPr="007952E9" w14:paraId="6E5666A6" w14:textId="77777777" w:rsidTr="004238EB">
        <w:tc>
          <w:tcPr>
            <w:tcW w:w="1704" w:type="dxa"/>
          </w:tcPr>
          <w:p w14:paraId="0324E3A9" w14:textId="77777777" w:rsidR="007F54B8" w:rsidRPr="00693E44" w:rsidRDefault="007F54B8" w:rsidP="004238EB">
            <w:pPr>
              <w:rPr>
                <w:rFonts w:ascii="Times New Roman" w:hAnsi="Times New Roman" w:cs="Times New Roman"/>
                <w:bCs/>
                <w:sz w:val="20"/>
                <w:szCs w:val="20"/>
              </w:rPr>
            </w:pPr>
            <w:r w:rsidRPr="00693E44">
              <w:rPr>
                <w:rFonts w:ascii="Times New Roman" w:hAnsi="Times New Roman" w:cs="Times New Roman"/>
                <w:bCs/>
                <w:sz w:val="20"/>
                <w:szCs w:val="20"/>
              </w:rPr>
              <w:lastRenderedPageBreak/>
              <w:t>Revenue</w:t>
            </w:r>
          </w:p>
        </w:tc>
        <w:tc>
          <w:tcPr>
            <w:tcW w:w="1312" w:type="dxa"/>
            <w:vAlign w:val="center"/>
          </w:tcPr>
          <w:p w14:paraId="393E8C1B"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$nil</w:t>
            </w:r>
          </w:p>
        </w:tc>
        <w:tc>
          <w:tcPr>
            <w:tcW w:w="1312" w:type="dxa"/>
          </w:tcPr>
          <w:p w14:paraId="2F91CD1E"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$nil</w:t>
            </w:r>
          </w:p>
        </w:tc>
        <w:tc>
          <w:tcPr>
            <w:tcW w:w="1312" w:type="dxa"/>
            <w:vAlign w:val="center"/>
          </w:tcPr>
          <w:p w14:paraId="0776B232"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$nil</w:t>
            </w:r>
          </w:p>
        </w:tc>
        <w:tc>
          <w:tcPr>
            <w:tcW w:w="1312" w:type="dxa"/>
            <w:vAlign w:val="center"/>
          </w:tcPr>
          <w:p w14:paraId="6F9EE7C7"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$nil</w:t>
            </w:r>
          </w:p>
        </w:tc>
        <w:tc>
          <w:tcPr>
            <w:tcW w:w="1312" w:type="dxa"/>
            <w:vAlign w:val="center"/>
          </w:tcPr>
          <w:p w14:paraId="3E2E9F4D"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$nil</w:t>
            </w:r>
          </w:p>
        </w:tc>
        <w:tc>
          <w:tcPr>
            <w:tcW w:w="1312" w:type="dxa"/>
            <w:vAlign w:val="center"/>
          </w:tcPr>
          <w:p w14:paraId="1DA216EE"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$nil</w:t>
            </w:r>
          </w:p>
        </w:tc>
      </w:tr>
      <w:tr w:rsidR="007F54B8" w:rsidRPr="007952E9" w14:paraId="4D56339B" w14:textId="77777777" w:rsidTr="004238EB">
        <w:tc>
          <w:tcPr>
            <w:tcW w:w="1704" w:type="dxa"/>
          </w:tcPr>
          <w:p w14:paraId="03ACE55F" w14:textId="77777777" w:rsidR="007F54B8" w:rsidRPr="00693E44" w:rsidRDefault="007F54B8" w:rsidP="004238EB">
            <w:pPr>
              <w:rPr>
                <w:rFonts w:ascii="Times New Roman" w:hAnsi="Times New Roman" w:cs="Times New Roman"/>
                <w:bCs/>
                <w:sz w:val="20"/>
                <w:szCs w:val="20"/>
              </w:rPr>
            </w:pPr>
            <w:r w:rsidRPr="00693E44">
              <w:rPr>
                <w:rFonts w:ascii="Times New Roman" w:hAnsi="Times New Roman" w:cs="Times New Roman"/>
                <w:bCs/>
                <w:sz w:val="20"/>
                <w:szCs w:val="20"/>
              </w:rPr>
              <w:t>Operating Expenses</w:t>
            </w:r>
          </w:p>
        </w:tc>
        <w:tc>
          <w:tcPr>
            <w:tcW w:w="1312" w:type="dxa"/>
            <w:vAlign w:val="center"/>
          </w:tcPr>
          <w:p w14:paraId="1AE812C1"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$(90,439)</w:t>
            </w:r>
          </w:p>
        </w:tc>
        <w:tc>
          <w:tcPr>
            <w:tcW w:w="1312" w:type="dxa"/>
            <w:vAlign w:val="center"/>
          </w:tcPr>
          <w:p w14:paraId="54243427"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$(109,680)</w:t>
            </w:r>
          </w:p>
        </w:tc>
        <w:tc>
          <w:tcPr>
            <w:tcW w:w="1312" w:type="dxa"/>
            <w:vAlign w:val="center"/>
          </w:tcPr>
          <w:p w14:paraId="0BF1A54C"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$164,980</w:t>
            </w:r>
          </w:p>
        </w:tc>
        <w:tc>
          <w:tcPr>
            <w:tcW w:w="1312" w:type="dxa"/>
            <w:vAlign w:val="center"/>
          </w:tcPr>
          <w:p w14:paraId="505F0204"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$407,134</w:t>
            </w:r>
          </w:p>
        </w:tc>
        <w:tc>
          <w:tcPr>
            <w:tcW w:w="1312" w:type="dxa"/>
            <w:vAlign w:val="center"/>
          </w:tcPr>
          <w:p w14:paraId="67DD3023"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$16,392</w:t>
            </w:r>
          </w:p>
        </w:tc>
        <w:tc>
          <w:tcPr>
            <w:tcW w:w="1312" w:type="dxa"/>
            <w:vAlign w:val="center"/>
          </w:tcPr>
          <w:p w14:paraId="2B8CA301"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$19,952</w:t>
            </w:r>
          </w:p>
        </w:tc>
      </w:tr>
      <w:tr w:rsidR="007F54B8" w:rsidRPr="007952E9" w14:paraId="03E688BE" w14:textId="77777777" w:rsidTr="004238EB">
        <w:tc>
          <w:tcPr>
            <w:tcW w:w="1704" w:type="dxa"/>
          </w:tcPr>
          <w:p w14:paraId="7F069DC4" w14:textId="77777777" w:rsidR="007F54B8" w:rsidRPr="00693E44" w:rsidRDefault="007F54B8" w:rsidP="004238EB">
            <w:pPr>
              <w:rPr>
                <w:rFonts w:ascii="Times New Roman" w:hAnsi="Times New Roman" w:cs="Times New Roman"/>
                <w:bCs/>
                <w:sz w:val="20"/>
                <w:szCs w:val="20"/>
              </w:rPr>
            </w:pPr>
            <w:r w:rsidRPr="00693E44">
              <w:rPr>
                <w:rFonts w:ascii="Times New Roman" w:hAnsi="Times New Roman" w:cs="Times New Roman"/>
                <w:bCs/>
                <w:sz w:val="20"/>
                <w:szCs w:val="20"/>
              </w:rPr>
              <w:t>Net loss and comprehensive loss</w:t>
            </w:r>
          </w:p>
        </w:tc>
        <w:tc>
          <w:tcPr>
            <w:tcW w:w="1312" w:type="dxa"/>
            <w:vAlign w:val="center"/>
          </w:tcPr>
          <w:p w14:paraId="3BDF6DF3"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$(90,439)</w:t>
            </w:r>
          </w:p>
        </w:tc>
        <w:tc>
          <w:tcPr>
            <w:tcW w:w="1312" w:type="dxa"/>
            <w:vAlign w:val="center"/>
          </w:tcPr>
          <w:p w14:paraId="0589E5F6"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$(109,680)</w:t>
            </w:r>
          </w:p>
        </w:tc>
        <w:tc>
          <w:tcPr>
            <w:tcW w:w="1312" w:type="dxa"/>
            <w:vAlign w:val="center"/>
          </w:tcPr>
          <w:p w14:paraId="1647CA50"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$164,980</w:t>
            </w:r>
          </w:p>
        </w:tc>
        <w:tc>
          <w:tcPr>
            <w:tcW w:w="1312" w:type="dxa"/>
            <w:vAlign w:val="center"/>
          </w:tcPr>
          <w:p w14:paraId="5B291E87"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$407,134</w:t>
            </w:r>
          </w:p>
        </w:tc>
        <w:tc>
          <w:tcPr>
            <w:tcW w:w="1312" w:type="dxa"/>
            <w:vAlign w:val="center"/>
          </w:tcPr>
          <w:p w14:paraId="5384F51D"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$16,392</w:t>
            </w:r>
          </w:p>
        </w:tc>
        <w:tc>
          <w:tcPr>
            <w:tcW w:w="1312" w:type="dxa"/>
            <w:vAlign w:val="center"/>
          </w:tcPr>
          <w:p w14:paraId="2EBC2BBC"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$19,952</w:t>
            </w:r>
          </w:p>
        </w:tc>
      </w:tr>
      <w:tr w:rsidR="007F54B8" w:rsidRPr="007952E9" w14:paraId="1210F223" w14:textId="77777777" w:rsidTr="004238EB">
        <w:tc>
          <w:tcPr>
            <w:tcW w:w="1704" w:type="dxa"/>
          </w:tcPr>
          <w:p w14:paraId="3E189267" w14:textId="77777777" w:rsidR="007F54B8" w:rsidRPr="00952773" w:rsidRDefault="007F54B8" w:rsidP="004238EB">
            <w:pPr>
              <w:rPr>
                <w:rFonts w:ascii="Times New Roman" w:hAnsi="Times New Roman" w:cs="Times New Roman"/>
                <w:bCs/>
                <w:sz w:val="20"/>
                <w:szCs w:val="20"/>
              </w:rPr>
            </w:pPr>
            <w:r w:rsidRPr="00952773">
              <w:rPr>
                <w:rFonts w:ascii="Times New Roman" w:hAnsi="Times New Roman" w:cs="Times New Roman"/>
                <w:bCs/>
                <w:sz w:val="20"/>
                <w:szCs w:val="20"/>
              </w:rPr>
              <w:t>Basic and diluted loss per share</w:t>
            </w:r>
          </w:p>
        </w:tc>
        <w:tc>
          <w:tcPr>
            <w:tcW w:w="1312" w:type="dxa"/>
            <w:vAlign w:val="center"/>
          </w:tcPr>
          <w:p w14:paraId="4FB547CB" w14:textId="77777777" w:rsidR="007F54B8" w:rsidRPr="00F26D86" w:rsidRDefault="007F54B8" w:rsidP="004238EB">
            <w:pPr>
              <w:jc w:val="right"/>
              <w:rPr>
                <w:rFonts w:ascii="Times New Roman" w:hAnsi="Times New Roman" w:cs="Times New Roman"/>
                <w:bCs/>
                <w:sz w:val="20"/>
                <w:szCs w:val="20"/>
              </w:rPr>
            </w:pPr>
            <w:r w:rsidRPr="00F26D86">
              <w:rPr>
                <w:rFonts w:ascii="Times New Roman" w:hAnsi="Times New Roman" w:cs="Times New Roman"/>
                <w:bCs/>
                <w:sz w:val="20"/>
                <w:szCs w:val="20"/>
              </w:rPr>
              <w:t>$0.01</w:t>
            </w:r>
          </w:p>
        </w:tc>
        <w:tc>
          <w:tcPr>
            <w:tcW w:w="1312" w:type="dxa"/>
            <w:vAlign w:val="center"/>
          </w:tcPr>
          <w:p w14:paraId="7890106F" w14:textId="77777777" w:rsidR="007F54B8" w:rsidRPr="00F26D86" w:rsidRDefault="007F54B8" w:rsidP="004238EB">
            <w:pPr>
              <w:jc w:val="right"/>
              <w:rPr>
                <w:rFonts w:ascii="Times New Roman" w:hAnsi="Times New Roman" w:cs="Times New Roman"/>
                <w:bCs/>
                <w:sz w:val="20"/>
                <w:szCs w:val="20"/>
              </w:rPr>
            </w:pPr>
            <w:r w:rsidRPr="00F26D86">
              <w:rPr>
                <w:rFonts w:ascii="Times New Roman" w:hAnsi="Times New Roman" w:cs="Times New Roman"/>
                <w:bCs/>
                <w:sz w:val="20"/>
                <w:szCs w:val="20"/>
              </w:rPr>
              <w:t>$0.007</w:t>
            </w:r>
          </w:p>
        </w:tc>
        <w:tc>
          <w:tcPr>
            <w:tcW w:w="1312" w:type="dxa"/>
            <w:vAlign w:val="center"/>
          </w:tcPr>
          <w:p w14:paraId="49D35C6C" w14:textId="77777777" w:rsidR="007F54B8" w:rsidRPr="00F26D86" w:rsidRDefault="007F54B8" w:rsidP="004238EB">
            <w:pPr>
              <w:jc w:val="right"/>
              <w:rPr>
                <w:rFonts w:ascii="Times New Roman" w:hAnsi="Times New Roman" w:cs="Times New Roman"/>
                <w:bCs/>
                <w:sz w:val="20"/>
                <w:szCs w:val="20"/>
              </w:rPr>
            </w:pPr>
            <w:r w:rsidRPr="00F26D86">
              <w:rPr>
                <w:rFonts w:ascii="Times New Roman" w:hAnsi="Times New Roman" w:cs="Times New Roman"/>
                <w:bCs/>
                <w:sz w:val="20"/>
                <w:szCs w:val="20"/>
              </w:rPr>
              <w:t>$0.012</w:t>
            </w:r>
          </w:p>
        </w:tc>
        <w:tc>
          <w:tcPr>
            <w:tcW w:w="1312" w:type="dxa"/>
            <w:vAlign w:val="center"/>
          </w:tcPr>
          <w:p w14:paraId="4C8D7CDE" w14:textId="77777777" w:rsidR="007F54B8" w:rsidRPr="00F26D86" w:rsidRDefault="007F54B8" w:rsidP="004238EB">
            <w:pPr>
              <w:jc w:val="right"/>
              <w:rPr>
                <w:rFonts w:ascii="Times New Roman" w:hAnsi="Times New Roman" w:cs="Times New Roman"/>
                <w:bCs/>
                <w:sz w:val="20"/>
                <w:szCs w:val="20"/>
              </w:rPr>
            </w:pPr>
            <w:r w:rsidRPr="00F26D86">
              <w:rPr>
                <w:rFonts w:ascii="Times New Roman" w:hAnsi="Times New Roman" w:cs="Times New Roman"/>
                <w:bCs/>
                <w:sz w:val="20"/>
                <w:szCs w:val="20"/>
              </w:rPr>
              <w:t>$0.022</w:t>
            </w:r>
          </w:p>
        </w:tc>
        <w:tc>
          <w:tcPr>
            <w:tcW w:w="1312" w:type="dxa"/>
            <w:vAlign w:val="center"/>
          </w:tcPr>
          <w:p w14:paraId="6AFC1E1F" w14:textId="77777777" w:rsidR="007F54B8" w:rsidRPr="00F26D86" w:rsidRDefault="007F54B8" w:rsidP="004238EB">
            <w:pPr>
              <w:jc w:val="right"/>
              <w:rPr>
                <w:rFonts w:ascii="Times New Roman" w:hAnsi="Times New Roman" w:cs="Times New Roman"/>
                <w:bCs/>
                <w:sz w:val="20"/>
                <w:szCs w:val="20"/>
              </w:rPr>
            </w:pPr>
            <w:r w:rsidRPr="00F26D86">
              <w:rPr>
                <w:rFonts w:ascii="Times New Roman" w:hAnsi="Times New Roman" w:cs="Times New Roman"/>
                <w:bCs/>
                <w:sz w:val="20"/>
                <w:szCs w:val="20"/>
              </w:rPr>
              <w:t>$0.002</w:t>
            </w:r>
          </w:p>
        </w:tc>
        <w:tc>
          <w:tcPr>
            <w:tcW w:w="1312" w:type="dxa"/>
            <w:vAlign w:val="center"/>
          </w:tcPr>
          <w:p w14:paraId="651C846B" w14:textId="77777777" w:rsidR="007F54B8" w:rsidRPr="00F26D86" w:rsidRDefault="007F54B8" w:rsidP="004238EB">
            <w:pPr>
              <w:jc w:val="right"/>
              <w:rPr>
                <w:rFonts w:ascii="Times New Roman" w:hAnsi="Times New Roman" w:cs="Times New Roman"/>
                <w:bCs/>
                <w:sz w:val="20"/>
                <w:szCs w:val="20"/>
              </w:rPr>
            </w:pPr>
            <w:r w:rsidRPr="00F26D86">
              <w:rPr>
                <w:rFonts w:ascii="Times New Roman" w:hAnsi="Times New Roman" w:cs="Times New Roman"/>
                <w:bCs/>
                <w:sz w:val="20"/>
                <w:szCs w:val="20"/>
              </w:rPr>
              <w:t>$0.002</w:t>
            </w:r>
          </w:p>
        </w:tc>
      </w:tr>
      <w:tr w:rsidR="007F54B8" w:rsidRPr="007952E9" w14:paraId="03E1E6E5" w14:textId="77777777" w:rsidTr="004238EB">
        <w:tc>
          <w:tcPr>
            <w:tcW w:w="1704" w:type="dxa"/>
          </w:tcPr>
          <w:p w14:paraId="2F25E675" w14:textId="77777777" w:rsidR="007F54B8" w:rsidRPr="00693E44" w:rsidRDefault="007F54B8" w:rsidP="004238EB">
            <w:pPr>
              <w:rPr>
                <w:rFonts w:ascii="Times New Roman" w:hAnsi="Times New Roman" w:cs="Times New Roman"/>
                <w:bCs/>
                <w:sz w:val="20"/>
                <w:szCs w:val="20"/>
              </w:rPr>
            </w:pPr>
            <w:r w:rsidRPr="00693E44">
              <w:rPr>
                <w:rFonts w:ascii="Times New Roman" w:hAnsi="Times New Roman" w:cs="Times New Roman"/>
                <w:bCs/>
                <w:sz w:val="20"/>
                <w:szCs w:val="20"/>
              </w:rPr>
              <w:t>Total assets</w:t>
            </w:r>
          </w:p>
        </w:tc>
        <w:tc>
          <w:tcPr>
            <w:tcW w:w="1312" w:type="dxa"/>
            <w:vAlign w:val="center"/>
          </w:tcPr>
          <w:p w14:paraId="5C06E3C1"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$348,026</w:t>
            </w:r>
          </w:p>
        </w:tc>
        <w:tc>
          <w:tcPr>
            <w:tcW w:w="1312" w:type="dxa"/>
            <w:vAlign w:val="center"/>
          </w:tcPr>
          <w:p w14:paraId="0F5C475F"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$598,767</w:t>
            </w:r>
          </w:p>
        </w:tc>
        <w:tc>
          <w:tcPr>
            <w:tcW w:w="1312" w:type="dxa"/>
            <w:vAlign w:val="center"/>
          </w:tcPr>
          <w:p w14:paraId="622ABC56"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$657,269</w:t>
            </w:r>
          </w:p>
        </w:tc>
        <w:tc>
          <w:tcPr>
            <w:tcW w:w="1312" w:type="dxa"/>
            <w:vAlign w:val="center"/>
          </w:tcPr>
          <w:p w14:paraId="1C880B42"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$633,353</w:t>
            </w:r>
          </w:p>
        </w:tc>
        <w:tc>
          <w:tcPr>
            <w:tcW w:w="1312" w:type="dxa"/>
            <w:vAlign w:val="center"/>
          </w:tcPr>
          <w:p w14:paraId="2A24988D"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$140,191</w:t>
            </w:r>
          </w:p>
        </w:tc>
        <w:tc>
          <w:tcPr>
            <w:tcW w:w="1312" w:type="dxa"/>
            <w:vAlign w:val="center"/>
          </w:tcPr>
          <w:p w14:paraId="58FD2E31"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$315,190</w:t>
            </w:r>
          </w:p>
        </w:tc>
      </w:tr>
      <w:tr w:rsidR="007F54B8" w:rsidRPr="007952E9" w14:paraId="6AF2D896" w14:textId="77777777" w:rsidTr="004238EB">
        <w:tc>
          <w:tcPr>
            <w:tcW w:w="1704" w:type="dxa"/>
          </w:tcPr>
          <w:p w14:paraId="0C63918C" w14:textId="77777777" w:rsidR="007F54B8" w:rsidRPr="00693E44" w:rsidRDefault="007F54B8" w:rsidP="004238EB">
            <w:pPr>
              <w:rPr>
                <w:rFonts w:ascii="Times New Roman" w:hAnsi="Times New Roman" w:cs="Times New Roman"/>
                <w:bCs/>
                <w:sz w:val="20"/>
                <w:szCs w:val="20"/>
              </w:rPr>
            </w:pPr>
            <w:r w:rsidRPr="00693E44">
              <w:rPr>
                <w:rFonts w:ascii="Times New Roman" w:hAnsi="Times New Roman" w:cs="Times New Roman"/>
                <w:bCs/>
                <w:sz w:val="20"/>
                <w:szCs w:val="20"/>
              </w:rPr>
              <w:t>Total non-current financial liabilities</w:t>
            </w:r>
          </w:p>
        </w:tc>
        <w:tc>
          <w:tcPr>
            <w:tcW w:w="1312" w:type="dxa"/>
            <w:vAlign w:val="center"/>
          </w:tcPr>
          <w:p w14:paraId="62D35DBB"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$nil</w:t>
            </w:r>
          </w:p>
        </w:tc>
        <w:tc>
          <w:tcPr>
            <w:tcW w:w="1312" w:type="dxa"/>
            <w:vAlign w:val="center"/>
          </w:tcPr>
          <w:p w14:paraId="61BFBFC6"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$nil</w:t>
            </w:r>
          </w:p>
        </w:tc>
        <w:tc>
          <w:tcPr>
            <w:tcW w:w="1312" w:type="dxa"/>
            <w:vAlign w:val="center"/>
          </w:tcPr>
          <w:p w14:paraId="142CFDE7"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$nil</w:t>
            </w:r>
          </w:p>
        </w:tc>
        <w:tc>
          <w:tcPr>
            <w:tcW w:w="1312" w:type="dxa"/>
            <w:vAlign w:val="center"/>
          </w:tcPr>
          <w:p w14:paraId="1D153AC5"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$nil</w:t>
            </w:r>
          </w:p>
        </w:tc>
        <w:tc>
          <w:tcPr>
            <w:tcW w:w="1312" w:type="dxa"/>
            <w:vAlign w:val="center"/>
          </w:tcPr>
          <w:p w14:paraId="527C65B7"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$nil</w:t>
            </w:r>
          </w:p>
        </w:tc>
        <w:tc>
          <w:tcPr>
            <w:tcW w:w="1312" w:type="dxa"/>
            <w:vAlign w:val="center"/>
          </w:tcPr>
          <w:p w14:paraId="095708A2" w14:textId="77777777" w:rsidR="007F54B8" w:rsidRPr="00693E44" w:rsidRDefault="007F54B8" w:rsidP="004238EB">
            <w:pPr>
              <w:jc w:val="right"/>
              <w:rPr>
                <w:rFonts w:ascii="Times New Roman" w:hAnsi="Times New Roman" w:cs="Times New Roman"/>
                <w:bCs/>
                <w:sz w:val="20"/>
                <w:szCs w:val="20"/>
              </w:rPr>
            </w:pPr>
            <w:r w:rsidRPr="00693E44">
              <w:rPr>
                <w:rFonts w:ascii="Times New Roman" w:hAnsi="Times New Roman" w:cs="Times New Roman"/>
                <w:bCs/>
                <w:sz w:val="20"/>
                <w:szCs w:val="20"/>
              </w:rPr>
              <w:t>$nil</w:t>
            </w:r>
          </w:p>
        </w:tc>
      </w:tr>
    </w:tbl>
    <w:p w14:paraId="016BD301" w14:textId="77777777" w:rsidR="007F54B8" w:rsidRPr="00952773" w:rsidRDefault="007F54B8" w:rsidP="007F54B8">
      <w:pPr>
        <w:rPr>
          <w:bCs/>
        </w:rPr>
      </w:pPr>
    </w:p>
    <w:p w14:paraId="208A7F0B" w14:textId="77777777" w:rsidR="007F54B8" w:rsidRPr="00952773" w:rsidRDefault="007F54B8" w:rsidP="007F54B8">
      <w:pPr>
        <w:rPr>
          <w:b/>
          <w:color w:val="FF0000"/>
        </w:rPr>
      </w:pPr>
    </w:p>
    <w:tbl>
      <w:tblPr>
        <w:tblStyle w:val="TableGrid"/>
        <w:tblW w:w="0" w:type="auto"/>
        <w:tblLook w:val="04A0" w:firstRow="1" w:lastRow="0" w:firstColumn="1" w:lastColumn="0" w:noHBand="0" w:noVBand="1"/>
      </w:tblPr>
      <w:tblGrid>
        <w:gridCol w:w="1668"/>
        <w:gridCol w:w="1310"/>
        <w:gridCol w:w="1310"/>
        <w:gridCol w:w="1310"/>
      </w:tblGrid>
      <w:tr w:rsidR="007F54B8" w:rsidRPr="00952773" w14:paraId="736A9040" w14:textId="77777777" w:rsidTr="004238EB">
        <w:tc>
          <w:tcPr>
            <w:tcW w:w="1668" w:type="dxa"/>
          </w:tcPr>
          <w:p w14:paraId="7C388CE1" w14:textId="77777777" w:rsidR="007F54B8" w:rsidRPr="00952773" w:rsidRDefault="007F54B8" w:rsidP="004238EB">
            <w:pPr>
              <w:rPr>
                <w:rFonts w:ascii="Times New Roman" w:hAnsi="Times New Roman" w:cs="Times New Roman"/>
                <w:b/>
                <w:sz w:val="20"/>
                <w:szCs w:val="20"/>
              </w:rPr>
            </w:pPr>
            <w:r w:rsidRPr="00952773">
              <w:rPr>
                <w:rFonts w:ascii="Times New Roman" w:hAnsi="Times New Roman" w:cs="Times New Roman"/>
                <w:b/>
                <w:bCs/>
                <w:sz w:val="20"/>
                <w:szCs w:val="20"/>
              </w:rPr>
              <w:t>For the three month period ending</w:t>
            </w:r>
          </w:p>
        </w:tc>
        <w:tc>
          <w:tcPr>
            <w:tcW w:w="1310" w:type="dxa"/>
            <w:vAlign w:val="center"/>
          </w:tcPr>
          <w:p w14:paraId="20818ECF" w14:textId="77777777" w:rsidR="007F54B8" w:rsidRPr="00952773" w:rsidRDefault="007F54B8" w:rsidP="004238EB">
            <w:pPr>
              <w:jc w:val="center"/>
              <w:rPr>
                <w:rFonts w:ascii="Times New Roman" w:hAnsi="Times New Roman" w:cs="Times New Roman"/>
                <w:b/>
                <w:sz w:val="20"/>
                <w:szCs w:val="20"/>
              </w:rPr>
            </w:pPr>
            <w:r w:rsidRPr="00952773">
              <w:rPr>
                <w:rFonts w:ascii="Times New Roman" w:hAnsi="Times New Roman" w:cs="Times New Roman"/>
                <w:b/>
                <w:bCs/>
                <w:sz w:val="20"/>
                <w:szCs w:val="20"/>
              </w:rPr>
              <w:t>November 30, 2019</w:t>
            </w:r>
          </w:p>
        </w:tc>
        <w:tc>
          <w:tcPr>
            <w:tcW w:w="1310" w:type="dxa"/>
            <w:vAlign w:val="center"/>
          </w:tcPr>
          <w:p w14:paraId="25506F32" w14:textId="77777777" w:rsidR="007F54B8" w:rsidRPr="00952773" w:rsidRDefault="007F54B8" w:rsidP="004238EB">
            <w:pPr>
              <w:jc w:val="center"/>
              <w:rPr>
                <w:rFonts w:ascii="Times New Roman" w:hAnsi="Times New Roman" w:cs="Times New Roman"/>
                <w:b/>
                <w:sz w:val="20"/>
                <w:szCs w:val="20"/>
              </w:rPr>
            </w:pPr>
            <w:r w:rsidRPr="00952773">
              <w:rPr>
                <w:rFonts w:ascii="Times New Roman" w:hAnsi="Times New Roman" w:cs="Times New Roman"/>
                <w:b/>
                <w:sz w:val="20"/>
                <w:szCs w:val="20"/>
              </w:rPr>
              <w:t>August 31, 2019</w:t>
            </w:r>
          </w:p>
        </w:tc>
        <w:tc>
          <w:tcPr>
            <w:tcW w:w="1310" w:type="dxa"/>
            <w:vAlign w:val="center"/>
          </w:tcPr>
          <w:p w14:paraId="19C69C65" w14:textId="77777777" w:rsidR="007F54B8" w:rsidRPr="00952773" w:rsidRDefault="007F54B8" w:rsidP="004238EB">
            <w:pPr>
              <w:jc w:val="center"/>
              <w:rPr>
                <w:rFonts w:ascii="Times New Roman" w:hAnsi="Times New Roman" w:cs="Times New Roman"/>
                <w:b/>
                <w:sz w:val="20"/>
                <w:szCs w:val="20"/>
              </w:rPr>
            </w:pPr>
            <w:r w:rsidRPr="00952773">
              <w:rPr>
                <w:rFonts w:ascii="Times New Roman" w:hAnsi="Times New Roman" w:cs="Times New Roman"/>
                <w:b/>
                <w:sz w:val="20"/>
                <w:szCs w:val="20"/>
              </w:rPr>
              <w:t>May 31, 2019</w:t>
            </w:r>
          </w:p>
        </w:tc>
      </w:tr>
      <w:tr w:rsidR="007F54B8" w:rsidRPr="00952773" w14:paraId="0479CDA2" w14:textId="77777777" w:rsidTr="004238EB">
        <w:tc>
          <w:tcPr>
            <w:tcW w:w="1668" w:type="dxa"/>
          </w:tcPr>
          <w:p w14:paraId="5A2CE4FA" w14:textId="77777777" w:rsidR="007F54B8" w:rsidRPr="00952773" w:rsidRDefault="007F54B8" w:rsidP="004238EB">
            <w:pPr>
              <w:rPr>
                <w:rFonts w:ascii="Times New Roman" w:hAnsi="Times New Roman" w:cs="Times New Roman"/>
                <w:sz w:val="20"/>
                <w:szCs w:val="20"/>
              </w:rPr>
            </w:pPr>
            <w:r w:rsidRPr="00952773">
              <w:rPr>
                <w:rFonts w:ascii="Times New Roman" w:hAnsi="Times New Roman" w:cs="Times New Roman"/>
                <w:bCs/>
                <w:sz w:val="20"/>
                <w:szCs w:val="20"/>
              </w:rPr>
              <w:t>Revenue</w:t>
            </w:r>
          </w:p>
        </w:tc>
        <w:tc>
          <w:tcPr>
            <w:tcW w:w="1310" w:type="dxa"/>
            <w:vAlign w:val="center"/>
          </w:tcPr>
          <w:p w14:paraId="0759433C"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bCs/>
                <w:sz w:val="20"/>
                <w:szCs w:val="20"/>
              </w:rPr>
              <w:t>$nil</w:t>
            </w:r>
          </w:p>
        </w:tc>
        <w:tc>
          <w:tcPr>
            <w:tcW w:w="1310" w:type="dxa"/>
            <w:vAlign w:val="bottom"/>
          </w:tcPr>
          <w:p w14:paraId="0675044E"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$nil</w:t>
            </w:r>
          </w:p>
        </w:tc>
        <w:tc>
          <w:tcPr>
            <w:tcW w:w="1310" w:type="dxa"/>
            <w:vAlign w:val="bottom"/>
          </w:tcPr>
          <w:p w14:paraId="5232DDF4"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$nil</w:t>
            </w:r>
          </w:p>
        </w:tc>
      </w:tr>
      <w:tr w:rsidR="007F54B8" w:rsidRPr="00952773" w14:paraId="0B307988" w14:textId="77777777" w:rsidTr="004238EB">
        <w:tc>
          <w:tcPr>
            <w:tcW w:w="1668" w:type="dxa"/>
          </w:tcPr>
          <w:p w14:paraId="4FD27A38" w14:textId="77777777" w:rsidR="007F54B8" w:rsidRPr="00952773" w:rsidRDefault="007F54B8" w:rsidP="004238EB">
            <w:pPr>
              <w:rPr>
                <w:rFonts w:ascii="Times New Roman" w:hAnsi="Times New Roman" w:cs="Times New Roman"/>
                <w:sz w:val="20"/>
                <w:szCs w:val="20"/>
              </w:rPr>
            </w:pPr>
            <w:r w:rsidRPr="00952773">
              <w:rPr>
                <w:rFonts w:ascii="Times New Roman" w:hAnsi="Times New Roman" w:cs="Times New Roman"/>
                <w:bCs/>
                <w:sz w:val="20"/>
                <w:szCs w:val="20"/>
              </w:rPr>
              <w:t>Operating Expenses</w:t>
            </w:r>
          </w:p>
        </w:tc>
        <w:tc>
          <w:tcPr>
            <w:tcW w:w="1310" w:type="dxa"/>
            <w:vAlign w:val="center"/>
          </w:tcPr>
          <w:p w14:paraId="58A7A34A"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bCs/>
                <w:sz w:val="20"/>
                <w:szCs w:val="20"/>
              </w:rPr>
              <w:t>$48,832</w:t>
            </w:r>
          </w:p>
        </w:tc>
        <w:tc>
          <w:tcPr>
            <w:tcW w:w="1310" w:type="dxa"/>
            <w:vAlign w:val="center"/>
          </w:tcPr>
          <w:p w14:paraId="32302BC5" w14:textId="77777777" w:rsidR="007F54B8" w:rsidRPr="00952773" w:rsidRDefault="007F54B8" w:rsidP="004238EB">
            <w:pPr>
              <w:jc w:val="right"/>
              <w:rPr>
                <w:rFonts w:ascii="Times New Roman" w:hAnsi="Times New Roman" w:cs="Times New Roman"/>
                <w:sz w:val="20"/>
                <w:szCs w:val="20"/>
              </w:rPr>
            </w:pPr>
          </w:p>
          <w:p w14:paraId="7D0BEEE4"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$111,542</w:t>
            </w:r>
          </w:p>
        </w:tc>
        <w:tc>
          <w:tcPr>
            <w:tcW w:w="1310" w:type="dxa"/>
            <w:vAlign w:val="center"/>
          </w:tcPr>
          <w:p w14:paraId="4DD8A839" w14:textId="77777777" w:rsidR="007F54B8" w:rsidRPr="00952773" w:rsidRDefault="007F54B8" w:rsidP="004238EB">
            <w:pPr>
              <w:jc w:val="right"/>
              <w:rPr>
                <w:rFonts w:ascii="Times New Roman" w:hAnsi="Times New Roman" w:cs="Times New Roman"/>
                <w:sz w:val="20"/>
                <w:szCs w:val="20"/>
              </w:rPr>
            </w:pPr>
          </w:p>
          <w:p w14:paraId="0BBA753E"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$27,550</w:t>
            </w:r>
          </w:p>
        </w:tc>
      </w:tr>
      <w:tr w:rsidR="007F54B8" w:rsidRPr="00952773" w14:paraId="035C73D7" w14:textId="77777777" w:rsidTr="004238EB">
        <w:tc>
          <w:tcPr>
            <w:tcW w:w="1668" w:type="dxa"/>
          </w:tcPr>
          <w:p w14:paraId="5DB31E1C" w14:textId="77777777" w:rsidR="007F54B8" w:rsidRPr="00952773" w:rsidRDefault="007F54B8" w:rsidP="004238EB">
            <w:pPr>
              <w:rPr>
                <w:rFonts w:ascii="Times New Roman" w:hAnsi="Times New Roman" w:cs="Times New Roman"/>
                <w:sz w:val="20"/>
                <w:szCs w:val="20"/>
              </w:rPr>
            </w:pPr>
            <w:r w:rsidRPr="00952773">
              <w:rPr>
                <w:rFonts w:ascii="Times New Roman" w:hAnsi="Times New Roman" w:cs="Times New Roman"/>
                <w:bCs/>
                <w:sz w:val="20"/>
                <w:szCs w:val="20"/>
              </w:rPr>
              <w:t>Net loss and comprehensive loss</w:t>
            </w:r>
          </w:p>
        </w:tc>
        <w:tc>
          <w:tcPr>
            <w:tcW w:w="1310" w:type="dxa"/>
            <w:vAlign w:val="center"/>
          </w:tcPr>
          <w:p w14:paraId="3B9711DB"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bCs/>
                <w:sz w:val="20"/>
                <w:szCs w:val="20"/>
              </w:rPr>
              <w:t>$48,832</w:t>
            </w:r>
          </w:p>
        </w:tc>
        <w:tc>
          <w:tcPr>
            <w:tcW w:w="1310" w:type="dxa"/>
            <w:vAlign w:val="center"/>
          </w:tcPr>
          <w:p w14:paraId="2D94D7CD"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$111,542</w:t>
            </w:r>
          </w:p>
        </w:tc>
        <w:tc>
          <w:tcPr>
            <w:tcW w:w="1310" w:type="dxa"/>
            <w:vAlign w:val="center"/>
          </w:tcPr>
          <w:p w14:paraId="422793C3"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$27,550</w:t>
            </w:r>
          </w:p>
        </w:tc>
      </w:tr>
      <w:tr w:rsidR="007F54B8" w:rsidRPr="00952773" w14:paraId="36700064" w14:textId="77777777" w:rsidTr="004238EB">
        <w:tc>
          <w:tcPr>
            <w:tcW w:w="1668" w:type="dxa"/>
          </w:tcPr>
          <w:p w14:paraId="0CD4A3F9" w14:textId="77777777" w:rsidR="007F54B8" w:rsidRPr="00876B55" w:rsidRDefault="007F54B8" w:rsidP="004238EB">
            <w:pPr>
              <w:rPr>
                <w:rFonts w:ascii="Times New Roman" w:hAnsi="Times New Roman" w:cs="Times New Roman"/>
                <w:bCs/>
                <w:sz w:val="20"/>
                <w:szCs w:val="20"/>
              </w:rPr>
            </w:pPr>
            <w:r w:rsidRPr="00876B55">
              <w:rPr>
                <w:rFonts w:ascii="Times New Roman" w:hAnsi="Times New Roman" w:cs="Times New Roman"/>
                <w:bCs/>
                <w:sz w:val="20"/>
                <w:szCs w:val="20"/>
              </w:rPr>
              <w:t>Basic and diluted loss per share</w:t>
            </w:r>
          </w:p>
        </w:tc>
        <w:tc>
          <w:tcPr>
            <w:tcW w:w="1310" w:type="dxa"/>
            <w:vAlign w:val="center"/>
          </w:tcPr>
          <w:p w14:paraId="54A34905" w14:textId="77777777" w:rsidR="007F54B8" w:rsidRPr="00876B55" w:rsidRDefault="007F54B8" w:rsidP="004238EB">
            <w:pPr>
              <w:jc w:val="right"/>
              <w:rPr>
                <w:rFonts w:ascii="Times New Roman" w:hAnsi="Times New Roman" w:cs="Times New Roman"/>
                <w:sz w:val="20"/>
                <w:szCs w:val="20"/>
              </w:rPr>
            </w:pPr>
            <w:r w:rsidRPr="00876B55">
              <w:rPr>
                <w:rFonts w:ascii="Times New Roman" w:hAnsi="Times New Roman" w:cs="Times New Roman"/>
                <w:bCs/>
                <w:sz w:val="20"/>
                <w:szCs w:val="20"/>
              </w:rPr>
              <w:t>$0.0106</w:t>
            </w:r>
          </w:p>
        </w:tc>
        <w:tc>
          <w:tcPr>
            <w:tcW w:w="1310" w:type="dxa"/>
            <w:vAlign w:val="center"/>
          </w:tcPr>
          <w:p w14:paraId="17351C30" w14:textId="77777777" w:rsidR="007F54B8" w:rsidRPr="00876B55" w:rsidRDefault="007F54B8" w:rsidP="004238EB">
            <w:pPr>
              <w:jc w:val="right"/>
              <w:rPr>
                <w:rFonts w:ascii="Times New Roman" w:hAnsi="Times New Roman" w:cs="Times New Roman"/>
                <w:sz w:val="20"/>
                <w:szCs w:val="20"/>
              </w:rPr>
            </w:pPr>
            <w:r w:rsidRPr="00876B55">
              <w:rPr>
                <w:rFonts w:ascii="Times New Roman" w:hAnsi="Times New Roman" w:cs="Times New Roman"/>
                <w:sz w:val="20"/>
                <w:szCs w:val="20"/>
              </w:rPr>
              <w:t>$0.02</w:t>
            </w:r>
          </w:p>
        </w:tc>
        <w:tc>
          <w:tcPr>
            <w:tcW w:w="1310" w:type="dxa"/>
            <w:vAlign w:val="center"/>
          </w:tcPr>
          <w:p w14:paraId="6B8708F8" w14:textId="77777777" w:rsidR="007F54B8" w:rsidRPr="00876B55" w:rsidRDefault="007F54B8" w:rsidP="004238EB">
            <w:pPr>
              <w:jc w:val="right"/>
              <w:rPr>
                <w:rFonts w:ascii="Times New Roman" w:hAnsi="Times New Roman" w:cs="Times New Roman"/>
                <w:sz w:val="20"/>
                <w:szCs w:val="20"/>
              </w:rPr>
            </w:pPr>
            <w:r w:rsidRPr="00876B55">
              <w:rPr>
                <w:rFonts w:ascii="Times New Roman" w:hAnsi="Times New Roman" w:cs="Times New Roman"/>
                <w:sz w:val="20"/>
                <w:szCs w:val="20"/>
              </w:rPr>
              <w:t>$0.004</w:t>
            </w:r>
          </w:p>
        </w:tc>
      </w:tr>
      <w:tr w:rsidR="007F54B8" w:rsidRPr="00952773" w14:paraId="382E8069" w14:textId="77777777" w:rsidTr="004238EB">
        <w:tc>
          <w:tcPr>
            <w:tcW w:w="1668" w:type="dxa"/>
          </w:tcPr>
          <w:p w14:paraId="01CBBE32" w14:textId="77777777" w:rsidR="007F54B8" w:rsidRPr="00952773" w:rsidRDefault="007F54B8" w:rsidP="004238EB">
            <w:pPr>
              <w:rPr>
                <w:rFonts w:ascii="Times New Roman" w:hAnsi="Times New Roman" w:cs="Times New Roman"/>
                <w:sz w:val="20"/>
                <w:szCs w:val="20"/>
              </w:rPr>
            </w:pPr>
            <w:r w:rsidRPr="00952773">
              <w:rPr>
                <w:rFonts w:ascii="Times New Roman" w:hAnsi="Times New Roman" w:cs="Times New Roman"/>
                <w:bCs/>
                <w:sz w:val="20"/>
                <w:szCs w:val="20"/>
              </w:rPr>
              <w:t>Total assets</w:t>
            </w:r>
          </w:p>
        </w:tc>
        <w:tc>
          <w:tcPr>
            <w:tcW w:w="1310" w:type="dxa"/>
            <w:vAlign w:val="center"/>
          </w:tcPr>
          <w:p w14:paraId="004C2AAE"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bCs/>
                <w:sz w:val="20"/>
                <w:szCs w:val="20"/>
              </w:rPr>
              <w:t>$343,591</w:t>
            </w:r>
          </w:p>
        </w:tc>
        <w:tc>
          <w:tcPr>
            <w:tcW w:w="1310" w:type="dxa"/>
            <w:vAlign w:val="center"/>
          </w:tcPr>
          <w:p w14:paraId="050E16A1"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$221,387</w:t>
            </w:r>
          </w:p>
        </w:tc>
        <w:tc>
          <w:tcPr>
            <w:tcW w:w="1310" w:type="dxa"/>
            <w:vAlign w:val="center"/>
          </w:tcPr>
          <w:p w14:paraId="0886D88E"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$47,110</w:t>
            </w:r>
          </w:p>
        </w:tc>
      </w:tr>
      <w:tr w:rsidR="007F54B8" w:rsidRPr="00952773" w14:paraId="7179FE80" w14:textId="77777777" w:rsidTr="004238EB">
        <w:tc>
          <w:tcPr>
            <w:tcW w:w="1668" w:type="dxa"/>
          </w:tcPr>
          <w:p w14:paraId="6B010372" w14:textId="77777777" w:rsidR="007F54B8" w:rsidRPr="00952773" w:rsidRDefault="007F54B8" w:rsidP="004238EB">
            <w:pPr>
              <w:rPr>
                <w:rFonts w:ascii="Times New Roman" w:hAnsi="Times New Roman" w:cs="Times New Roman"/>
                <w:bCs/>
                <w:sz w:val="20"/>
                <w:szCs w:val="20"/>
              </w:rPr>
            </w:pPr>
            <w:r w:rsidRPr="00952773">
              <w:rPr>
                <w:rFonts w:ascii="Times New Roman" w:hAnsi="Times New Roman" w:cs="Times New Roman"/>
                <w:bCs/>
                <w:sz w:val="20"/>
                <w:szCs w:val="20"/>
              </w:rPr>
              <w:t>Total non-current financial liabilities</w:t>
            </w:r>
          </w:p>
        </w:tc>
        <w:tc>
          <w:tcPr>
            <w:tcW w:w="1310" w:type="dxa"/>
            <w:vAlign w:val="center"/>
          </w:tcPr>
          <w:p w14:paraId="20EE2234"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bCs/>
                <w:sz w:val="20"/>
                <w:szCs w:val="20"/>
              </w:rPr>
              <w:t>$nil</w:t>
            </w:r>
          </w:p>
        </w:tc>
        <w:tc>
          <w:tcPr>
            <w:tcW w:w="1310" w:type="dxa"/>
            <w:vAlign w:val="center"/>
          </w:tcPr>
          <w:p w14:paraId="6AA2ED0B"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$nil</w:t>
            </w:r>
          </w:p>
        </w:tc>
        <w:tc>
          <w:tcPr>
            <w:tcW w:w="1310" w:type="dxa"/>
            <w:vAlign w:val="center"/>
          </w:tcPr>
          <w:p w14:paraId="076CBC21"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$nil</w:t>
            </w:r>
          </w:p>
        </w:tc>
      </w:tr>
    </w:tbl>
    <w:p w14:paraId="70255D66" w14:textId="77777777" w:rsidR="007F54B8" w:rsidRPr="00952773" w:rsidRDefault="007F54B8" w:rsidP="007F54B8">
      <w:pPr>
        <w:rPr>
          <w:b/>
        </w:rPr>
      </w:pPr>
    </w:p>
    <w:p w14:paraId="647CF748" w14:textId="77777777" w:rsidR="007F54B8" w:rsidRPr="00952773" w:rsidRDefault="007F54B8" w:rsidP="007F54B8">
      <w:pPr>
        <w:rPr>
          <w:b/>
        </w:rPr>
      </w:pPr>
      <w:r w:rsidRPr="00952773">
        <w:rPr>
          <w:b/>
        </w:rPr>
        <w:t>Selected Annual Information</w:t>
      </w:r>
    </w:p>
    <w:p w14:paraId="29276E48" w14:textId="77777777" w:rsidR="007F54B8" w:rsidRPr="00952773" w:rsidRDefault="007F54B8" w:rsidP="007F54B8">
      <w:pPr>
        <w:rPr>
          <w:b/>
        </w:rPr>
      </w:pPr>
      <w:r w:rsidRPr="00952773">
        <w:rPr>
          <w:bCs/>
        </w:rPr>
        <w:t>The selected annual information set out below has been derived from and should be read in conjunction with the Financial Statements.</w:t>
      </w:r>
    </w:p>
    <w:tbl>
      <w:tblPr>
        <w:tblStyle w:val="TableGrid"/>
        <w:tblW w:w="9445" w:type="dxa"/>
        <w:tblLook w:val="04A0" w:firstRow="1" w:lastRow="0" w:firstColumn="1" w:lastColumn="0" w:noHBand="0" w:noVBand="1"/>
      </w:tblPr>
      <w:tblGrid>
        <w:gridCol w:w="4855"/>
        <w:gridCol w:w="2250"/>
        <w:gridCol w:w="2340"/>
      </w:tblGrid>
      <w:tr w:rsidR="007F54B8" w:rsidRPr="00952773" w14:paraId="203D1529" w14:textId="77777777" w:rsidTr="004238EB">
        <w:tc>
          <w:tcPr>
            <w:tcW w:w="4855" w:type="dxa"/>
            <w:vAlign w:val="bottom"/>
          </w:tcPr>
          <w:p w14:paraId="68BE93ED" w14:textId="77777777" w:rsidR="007F54B8" w:rsidRPr="00952773" w:rsidRDefault="007F54B8" w:rsidP="004238EB">
            <w:pPr>
              <w:jc w:val="right"/>
              <w:rPr>
                <w:rFonts w:ascii="Times New Roman" w:hAnsi="Times New Roman" w:cs="Times New Roman"/>
                <w:b/>
                <w:sz w:val="20"/>
                <w:szCs w:val="20"/>
              </w:rPr>
            </w:pPr>
          </w:p>
        </w:tc>
        <w:tc>
          <w:tcPr>
            <w:tcW w:w="2250" w:type="dxa"/>
            <w:vAlign w:val="bottom"/>
          </w:tcPr>
          <w:p w14:paraId="723DC7C8" w14:textId="77777777" w:rsidR="007F54B8" w:rsidRPr="00952773" w:rsidRDefault="007F54B8" w:rsidP="004238EB">
            <w:pPr>
              <w:jc w:val="right"/>
              <w:rPr>
                <w:rFonts w:ascii="Times New Roman" w:hAnsi="Times New Roman" w:cs="Times New Roman"/>
                <w:b/>
                <w:sz w:val="20"/>
                <w:szCs w:val="20"/>
              </w:rPr>
            </w:pPr>
            <w:r w:rsidRPr="00952773">
              <w:rPr>
                <w:rFonts w:ascii="Times New Roman" w:hAnsi="Times New Roman" w:cs="Times New Roman"/>
                <w:b/>
                <w:sz w:val="20"/>
                <w:szCs w:val="20"/>
              </w:rPr>
              <w:t>Year ended August 31, 2020</w:t>
            </w:r>
          </w:p>
        </w:tc>
        <w:tc>
          <w:tcPr>
            <w:tcW w:w="2340" w:type="dxa"/>
            <w:vAlign w:val="bottom"/>
          </w:tcPr>
          <w:p w14:paraId="472637F2" w14:textId="77777777" w:rsidR="007F54B8" w:rsidRPr="00952773" w:rsidRDefault="007F54B8" w:rsidP="004238EB">
            <w:pPr>
              <w:jc w:val="right"/>
              <w:rPr>
                <w:rFonts w:ascii="Times New Roman" w:hAnsi="Times New Roman" w:cs="Times New Roman"/>
                <w:b/>
                <w:sz w:val="20"/>
                <w:szCs w:val="20"/>
              </w:rPr>
            </w:pPr>
            <w:r w:rsidRPr="00952773">
              <w:rPr>
                <w:rFonts w:ascii="Times New Roman" w:hAnsi="Times New Roman" w:cs="Times New Roman"/>
                <w:b/>
                <w:sz w:val="20"/>
                <w:szCs w:val="20"/>
              </w:rPr>
              <w:t>Year ended August 31, 2019</w:t>
            </w:r>
          </w:p>
        </w:tc>
      </w:tr>
      <w:tr w:rsidR="007F54B8" w:rsidRPr="00952773" w14:paraId="59A2C98D" w14:textId="77777777" w:rsidTr="004238EB">
        <w:tc>
          <w:tcPr>
            <w:tcW w:w="4855" w:type="dxa"/>
            <w:vAlign w:val="bottom"/>
          </w:tcPr>
          <w:p w14:paraId="62617BFE" w14:textId="77777777" w:rsidR="007F54B8" w:rsidRPr="00952773" w:rsidRDefault="007F54B8" w:rsidP="004238EB">
            <w:pPr>
              <w:rPr>
                <w:rFonts w:ascii="Times New Roman" w:hAnsi="Times New Roman" w:cs="Times New Roman"/>
                <w:sz w:val="20"/>
                <w:szCs w:val="20"/>
              </w:rPr>
            </w:pPr>
            <w:r w:rsidRPr="00952773">
              <w:rPr>
                <w:rFonts w:ascii="Times New Roman" w:hAnsi="Times New Roman" w:cs="Times New Roman"/>
                <w:sz w:val="20"/>
                <w:szCs w:val="20"/>
              </w:rPr>
              <w:t>Revenue</w:t>
            </w:r>
          </w:p>
        </w:tc>
        <w:tc>
          <w:tcPr>
            <w:tcW w:w="2250" w:type="dxa"/>
            <w:vAlign w:val="bottom"/>
          </w:tcPr>
          <w:p w14:paraId="50DE9EA8"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$nil</w:t>
            </w:r>
          </w:p>
        </w:tc>
        <w:tc>
          <w:tcPr>
            <w:tcW w:w="2340" w:type="dxa"/>
            <w:vAlign w:val="bottom"/>
          </w:tcPr>
          <w:p w14:paraId="077975A4"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$nil</w:t>
            </w:r>
          </w:p>
        </w:tc>
      </w:tr>
      <w:tr w:rsidR="007F54B8" w:rsidRPr="00952773" w14:paraId="2A081782" w14:textId="77777777" w:rsidTr="004238EB">
        <w:trPr>
          <w:trHeight w:val="107"/>
        </w:trPr>
        <w:tc>
          <w:tcPr>
            <w:tcW w:w="4855" w:type="dxa"/>
            <w:vAlign w:val="bottom"/>
          </w:tcPr>
          <w:p w14:paraId="551B102C" w14:textId="77777777" w:rsidR="007F54B8" w:rsidRPr="00952773" w:rsidRDefault="007F54B8" w:rsidP="004238EB">
            <w:pPr>
              <w:rPr>
                <w:rFonts w:ascii="Times New Roman" w:hAnsi="Times New Roman" w:cs="Times New Roman"/>
                <w:sz w:val="20"/>
                <w:szCs w:val="20"/>
              </w:rPr>
            </w:pPr>
            <w:r w:rsidRPr="00952773">
              <w:rPr>
                <w:rFonts w:ascii="Times New Roman" w:hAnsi="Times New Roman" w:cs="Times New Roman"/>
                <w:sz w:val="20"/>
                <w:szCs w:val="20"/>
              </w:rPr>
              <w:t>Operating expenses</w:t>
            </w:r>
          </w:p>
        </w:tc>
        <w:tc>
          <w:tcPr>
            <w:tcW w:w="2250" w:type="dxa"/>
            <w:vAlign w:val="bottom"/>
          </w:tcPr>
          <w:p w14:paraId="0A483BAF"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$363,092</w:t>
            </w:r>
          </w:p>
        </w:tc>
        <w:tc>
          <w:tcPr>
            <w:tcW w:w="2340" w:type="dxa"/>
            <w:vAlign w:val="bottom"/>
          </w:tcPr>
          <w:p w14:paraId="102657EF"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$183,184</w:t>
            </w:r>
          </w:p>
        </w:tc>
      </w:tr>
      <w:tr w:rsidR="007F54B8" w:rsidRPr="00952773" w14:paraId="4C56592F" w14:textId="77777777" w:rsidTr="004238EB">
        <w:tc>
          <w:tcPr>
            <w:tcW w:w="4855" w:type="dxa"/>
            <w:vAlign w:val="bottom"/>
          </w:tcPr>
          <w:p w14:paraId="137AAC19" w14:textId="77777777" w:rsidR="007F54B8" w:rsidRPr="00952773" w:rsidRDefault="007F54B8" w:rsidP="004238EB">
            <w:pPr>
              <w:rPr>
                <w:rFonts w:ascii="Times New Roman" w:hAnsi="Times New Roman" w:cs="Times New Roman"/>
                <w:sz w:val="20"/>
                <w:szCs w:val="20"/>
              </w:rPr>
            </w:pPr>
            <w:r w:rsidRPr="00952773">
              <w:rPr>
                <w:rFonts w:ascii="Times New Roman" w:hAnsi="Times New Roman" w:cs="Times New Roman"/>
                <w:sz w:val="20"/>
                <w:szCs w:val="20"/>
              </w:rPr>
              <w:t>Net loss and comprehensive loss</w:t>
            </w:r>
          </w:p>
        </w:tc>
        <w:tc>
          <w:tcPr>
            <w:tcW w:w="2250" w:type="dxa"/>
            <w:vAlign w:val="bottom"/>
          </w:tcPr>
          <w:p w14:paraId="6428F4B3"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$407,134</w:t>
            </w:r>
          </w:p>
        </w:tc>
        <w:tc>
          <w:tcPr>
            <w:tcW w:w="2340" w:type="dxa"/>
            <w:vAlign w:val="bottom"/>
          </w:tcPr>
          <w:p w14:paraId="12406B05"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$183,184</w:t>
            </w:r>
          </w:p>
        </w:tc>
      </w:tr>
      <w:tr w:rsidR="007F54B8" w:rsidRPr="00952773" w14:paraId="069710E1" w14:textId="77777777" w:rsidTr="004238EB">
        <w:tc>
          <w:tcPr>
            <w:tcW w:w="4855" w:type="dxa"/>
            <w:vAlign w:val="bottom"/>
          </w:tcPr>
          <w:p w14:paraId="27A84D06" w14:textId="77777777" w:rsidR="007F54B8" w:rsidRPr="00952773" w:rsidRDefault="007F54B8" w:rsidP="004238EB">
            <w:pPr>
              <w:rPr>
                <w:rFonts w:ascii="Times New Roman" w:hAnsi="Times New Roman" w:cs="Times New Roman"/>
                <w:sz w:val="20"/>
                <w:szCs w:val="20"/>
              </w:rPr>
            </w:pPr>
            <w:r w:rsidRPr="00952773">
              <w:rPr>
                <w:rFonts w:ascii="Times New Roman" w:hAnsi="Times New Roman" w:cs="Times New Roman"/>
                <w:sz w:val="20"/>
                <w:szCs w:val="20"/>
              </w:rPr>
              <w:t>Basic and diluted loss per share</w:t>
            </w:r>
          </w:p>
        </w:tc>
        <w:tc>
          <w:tcPr>
            <w:tcW w:w="2250" w:type="dxa"/>
            <w:vAlign w:val="bottom"/>
          </w:tcPr>
          <w:p w14:paraId="7E9F96B3"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$0.02</w:t>
            </w:r>
          </w:p>
        </w:tc>
        <w:tc>
          <w:tcPr>
            <w:tcW w:w="2340" w:type="dxa"/>
            <w:vAlign w:val="bottom"/>
          </w:tcPr>
          <w:p w14:paraId="4B6541B8"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$0.03</w:t>
            </w:r>
          </w:p>
        </w:tc>
      </w:tr>
      <w:tr w:rsidR="007F54B8" w:rsidRPr="00952773" w14:paraId="383C42DD" w14:textId="77777777" w:rsidTr="004238EB">
        <w:tc>
          <w:tcPr>
            <w:tcW w:w="4855" w:type="dxa"/>
            <w:vAlign w:val="bottom"/>
          </w:tcPr>
          <w:p w14:paraId="6C6F43D4" w14:textId="77777777" w:rsidR="007F54B8" w:rsidRPr="00952773" w:rsidRDefault="007F54B8" w:rsidP="004238EB">
            <w:pPr>
              <w:rPr>
                <w:rFonts w:ascii="Times New Roman" w:hAnsi="Times New Roman" w:cs="Times New Roman"/>
                <w:sz w:val="20"/>
                <w:szCs w:val="20"/>
              </w:rPr>
            </w:pPr>
            <w:r w:rsidRPr="00952773">
              <w:rPr>
                <w:rFonts w:ascii="Times New Roman" w:hAnsi="Times New Roman" w:cs="Times New Roman"/>
                <w:sz w:val="20"/>
                <w:szCs w:val="20"/>
              </w:rPr>
              <w:t xml:space="preserve">Total assets </w:t>
            </w:r>
          </w:p>
        </w:tc>
        <w:tc>
          <w:tcPr>
            <w:tcW w:w="2250" w:type="dxa"/>
            <w:vAlign w:val="bottom"/>
          </w:tcPr>
          <w:p w14:paraId="038A0FC9"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$788,125</w:t>
            </w:r>
          </w:p>
        </w:tc>
        <w:tc>
          <w:tcPr>
            <w:tcW w:w="2340" w:type="dxa"/>
            <w:vAlign w:val="bottom"/>
          </w:tcPr>
          <w:p w14:paraId="628C378F"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$221,387</w:t>
            </w:r>
          </w:p>
        </w:tc>
      </w:tr>
      <w:tr w:rsidR="007F54B8" w:rsidRPr="00952773" w14:paraId="7D4CB2B8" w14:textId="77777777" w:rsidTr="004238EB">
        <w:tc>
          <w:tcPr>
            <w:tcW w:w="4855" w:type="dxa"/>
            <w:vAlign w:val="bottom"/>
          </w:tcPr>
          <w:p w14:paraId="7ADDF0EC" w14:textId="77777777" w:rsidR="007F54B8" w:rsidRPr="00952773" w:rsidRDefault="007F54B8" w:rsidP="004238EB">
            <w:pPr>
              <w:rPr>
                <w:rFonts w:ascii="Times New Roman" w:hAnsi="Times New Roman" w:cs="Times New Roman"/>
                <w:sz w:val="20"/>
                <w:szCs w:val="20"/>
              </w:rPr>
            </w:pPr>
            <w:r w:rsidRPr="00952773">
              <w:rPr>
                <w:rFonts w:ascii="Times New Roman" w:hAnsi="Times New Roman" w:cs="Times New Roman"/>
                <w:sz w:val="20"/>
                <w:szCs w:val="20"/>
              </w:rPr>
              <w:t xml:space="preserve">Total non-current financial liabilities </w:t>
            </w:r>
          </w:p>
        </w:tc>
        <w:tc>
          <w:tcPr>
            <w:tcW w:w="2250" w:type="dxa"/>
            <w:vAlign w:val="bottom"/>
          </w:tcPr>
          <w:p w14:paraId="2F70895E"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$nil</w:t>
            </w:r>
          </w:p>
        </w:tc>
        <w:tc>
          <w:tcPr>
            <w:tcW w:w="2340" w:type="dxa"/>
            <w:vAlign w:val="bottom"/>
          </w:tcPr>
          <w:p w14:paraId="0B52A9E7" w14:textId="77777777" w:rsidR="007F54B8" w:rsidRPr="00952773" w:rsidRDefault="007F54B8" w:rsidP="004238EB">
            <w:pPr>
              <w:jc w:val="right"/>
              <w:rPr>
                <w:rFonts w:ascii="Times New Roman" w:hAnsi="Times New Roman" w:cs="Times New Roman"/>
                <w:sz w:val="20"/>
                <w:szCs w:val="20"/>
              </w:rPr>
            </w:pPr>
            <w:r w:rsidRPr="00952773">
              <w:rPr>
                <w:rFonts w:ascii="Times New Roman" w:hAnsi="Times New Roman" w:cs="Times New Roman"/>
                <w:sz w:val="20"/>
                <w:szCs w:val="20"/>
              </w:rPr>
              <w:t>$nil</w:t>
            </w:r>
          </w:p>
        </w:tc>
      </w:tr>
    </w:tbl>
    <w:p w14:paraId="027138B4" w14:textId="77777777" w:rsidR="007F54B8" w:rsidRPr="00952773" w:rsidRDefault="007F54B8" w:rsidP="007F54B8"/>
    <w:p w14:paraId="4C990E9B" w14:textId="1BE9AF36" w:rsidR="007F54B8" w:rsidRDefault="007F54B8" w:rsidP="007F54B8">
      <w:pPr>
        <w:rPr>
          <w:b/>
        </w:rPr>
      </w:pPr>
      <w:bookmarkStart w:id="10" w:name="_Hlk69289123"/>
      <w:r w:rsidRPr="00693E44">
        <w:rPr>
          <w:b/>
        </w:rPr>
        <w:t>Relevant financial information for the three-month period ended May 31, 2021 compared to the three month period ended May 31, 2020</w:t>
      </w:r>
    </w:p>
    <w:p w14:paraId="6EF35E77" w14:textId="77777777" w:rsidR="00321E9C" w:rsidRPr="00693E44" w:rsidRDefault="00321E9C" w:rsidP="007F54B8">
      <w:pPr>
        <w:rPr>
          <w:b/>
        </w:rPr>
      </w:pPr>
    </w:p>
    <w:p w14:paraId="26D23983" w14:textId="697E0012" w:rsidR="007F54B8" w:rsidRDefault="007F54B8" w:rsidP="007F54B8">
      <w:pPr>
        <w:rPr>
          <w:bCs/>
        </w:rPr>
      </w:pPr>
      <w:bookmarkStart w:id="11" w:name="_Hlk59094600"/>
      <w:bookmarkEnd w:id="10"/>
      <w:r w:rsidRPr="00693E44">
        <w:rPr>
          <w:bCs/>
        </w:rPr>
        <w:t>General and administration (“G&amp;A”) expenses are costs associated with the Company’s corporate office and other expenditures that are not directly attributable to the Company’s exploration project and include due diligence related costs regarding potential acquisitions.</w:t>
      </w:r>
    </w:p>
    <w:p w14:paraId="21D5A362" w14:textId="77777777" w:rsidR="00321E9C" w:rsidRPr="00693E44" w:rsidRDefault="00321E9C" w:rsidP="007F54B8">
      <w:pPr>
        <w:rPr>
          <w:bCs/>
        </w:rPr>
      </w:pPr>
    </w:p>
    <w:p w14:paraId="69F521F7" w14:textId="3E4A672D" w:rsidR="007F54B8" w:rsidRDefault="007F54B8" w:rsidP="007F54B8">
      <w:pPr>
        <w:rPr>
          <w:bCs/>
        </w:rPr>
      </w:pPr>
      <w:r w:rsidRPr="00693E44">
        <w:rPr>
          <w:bCs/>
        </w:rPr>
        <w:t>For the three month period ended May 31, 2021, G&amp;A expenses totalled $90,439 (2020 - $16,392), an increase of $74,047. Major cost additions were for due diligence related consulting fees, shareholder communications costs, and legal and filing fees.</w:t>
      </w:r>
    </w:p>
    <w:p w14:paraId="47650FB3" w14:textId="77777777" w:rsidR="00321E9C" w:rsidRPr="00693E44" w:rsidRDefault="00321E9C" w:rsidP="007F54B8">
      <w:pPr>
        <w:rPr>
          <w:bCs/>
        </w:rPr>
      </w:pPr>
    </w:p>
    <w:p w14:paraId="7C24F697" w14:textId="2CFC1D67" w:rsidR="007F54B8" w:rsidRDefault="007F54B8" w:rsidP="007F54B8">
      <w:pPr>
        <w:rPr>
          <w:bCs/>
        </w:rPr>
      </w:pPr>
      <w:r w:rsidRPr="00693E44">
        <w:rPr>
          <w:bCs/>
        </w:rPr>
        <w:t xml:space="preserve">Total legal related expenses during the period were $42,011 as compared to $7,012 in the 2020 comparable period, consulting fees totalled $39,600 as compared to $17,000, mineral property related costs were &lt;$3,414&gt; as compared </w:t>
      </w:r>
      <w:r w:rsidRPr="00693E44">
        <w:rPr>
          <w:bCs/>
        </w:rPr>
        <w:lastRenderedPageBreak/>
        <w:t>to &lt;$14,003&gt; in 2020 (after accounting for BC Mining and CRA tax credits received), and bank service and interest charges amounted to $12 as compared to $111 in the comparable 2019-2020 period.</w:t>
      </w:r>
    </w:p>
    <w:p w14:paraId="5F00B782" w14:textId="77777777" w:rsidR="00321E9C" w:rsidRPr="00693E44" w:rsidRDefault="00321E9C" w:rsidP="007F54B8">
      <w:pPr>
        <w:rPr>
          <w:bCs/>
        </w:rPr>
      </w:pPr>
    </w:p>
    <w:p w14:paraId="3114F458" w14:textId="398CCDD2" w:rsidR="007F54B8" w:rsidRDefault="007F54B8" w:rsidP="007F54B8">
      <w:pPr>
        <w:rPr>
          <w:bCs/>
        </w:rPr>
      </w:pPr>
      <w:r w:rsidRPr="00693E44">
        <w:rPr>
          <w:bCs/>
        </w:rPr>
        <w:t>Shareholder communications costs were $7,000 as compared to NIL, and public company related costs were $2,381 as compared to $2,250 in 2019-2020.</w:t>
      </w:r>
    </w:p>
    <w:p w14:paraId="69C0B1BA" w14:textId="77777777" w:rsidR="00321E9C" w:rsidRPr="00693E44" w:rsidRDefault="00321E9C" w:rsidP="007F54B8">
      <w:pPr>
        <w:rPr>
          <w:bCs/>
        </w:rPr>
      </w:pPr>
    </w:p>
    <w:p w14:paraId="0BEEA69E" w14:textId="206F0E81" w:rsidR="007F54B8" w:rsidRDefault="007F54B8" w:rsidP="007F54B8">
      <w:pPr>
        <w:rPr>
          <w:bCs/>
        </w:rPr>
      </w:pPr>
      <w:r w:rsidRPr="00693E44">
        <w:rPr>
          <w:bCs/>
        </w:rPr>
        <w:t>During the period, audit and accounting fees totalled NIL in 2019/2020 as compared to $2,000 in 2019/2020. Regulatory filing fees were $4,950 as compared to $3,946 in 2019/2020.</w:t>
      </w:r>
    </w:p>
    <w:p w14:paraId="5F8C2DD9" w14:textId="77777777" w:rsidR="00321E9C" w:rsidRPr="00693E44" w:rsidRDefault="00321E9C" w:rsidP="007F54B8">
      <w:pPr>
        <w:rPr>
          <w:bCs/>
        </w:rPr>
      </w:pPr>
    </w:p>
    <w:bookmarkEnd w:id="11"/>
    <w:p w14:paraId="5D7ABC49" w14:textId="7C5C3A1B" w:rsidR="007F54B8" w:rsidRDefault="007F54B8" w:rsidP="007F54B8">
      <w:pPr>
        <w:rPr>
          <w:b/>
        </w:rPr>
      </w:pPr>
      <w:r w:rsidRPr="00693E44">
        <w:rPr>
          <w:b/>
        </w:rPr>
        <w:t>Relevant financial information for the nine-month period ended May 31, 2021 compared to the nine month period ended May 31, 2020</w:t>
      </w:r>
    </w:p>
    <w:p w14:paraId="792E0954" w14:textId="77777777" w:rsidR="00321E9C" w:rsidRPr="00693E44" w:rsidRDefault="00321E9C" w:rsidP="007F54B8">
      <w:pPr>
        <w:rPr>
          <w:b/>
        </w:rPr>
      </w:pPr>
    </w:p>
    <w:p w14:paraId="489621E6" w14:textId="7C01FB87" w:rsidR="007F54B8" w:rsidRDefault="007F54B8" w:rsidP="007F54B8">
      <w:pPr>
        <w:rPr>
          <w:bCs/>
        </w:rPr>
      </w:pPr>
      <w:bookmarkStart w:id="12" w:name="_Hlk73343036"/>
      <w:r w:rsidRPr="00693E44">
        <w:rPr>
          <w:bCs/>
        </w:rPr>
        <w:t>For the nine-month period ended May 31, 2021, G&amp;A expenses totalled $534,582 (2019 - $85,094), an increase of $449,488. Major cost additions were primarily for due diligence activities related to two large potential acquisitions in Greece and Turkey and included consulting and financial accounting fees of $59,056, shareholder communications costs of $24,696, legal fees of $72,383 and stock option based compensations costs of $166,200; a non-cash item.</w:t>
      </w:r>
    </w:p>
    <w:p w14:paraId="731B6C44" w14:textId="77777777" w:rsidR="00321E9C" w:rsidRPr="00693E44" w:rsidRDefault="00321E9C" w:rsidP="007F54B8">
      <w:pPr>
        <w:rPr>
          <w:bCs/>
        </w:rPr>
      </w:pPr>
    </w:p>
    <w:p w14:paraId="429F452D" w14:textId="3C40B008" w:rsidR="007F54B8" w:rsidRDefault="007F54B8" w:rsidP="007F54B8">
      <w:pPr>
        <w:rPr>
          <w:bCs/>
        </w:rPr>
      </w:pPr>
      <w:r w:rsidRPr="00693E44">
        <w:rPr>
          <w:bCs/>
        </w:rPr>
        <w:t>Legal related expenses for attorneys in the UK, Greece, Canada and Turkey during the period were $114,247 as compared to $10,936 in the 2019-2020 comparable period, rent related costs were NIL as compared to $1,500, consulting fees paid to European financial analysis and investment banking professionals  totalled $59,056 and management fees were $130,255 as compared to $48,500, website design costs were $4,219 as compared to $3,728, mineral property related costs were $86 as compared to $2,565 in 2019, and bank service and interest charges amounted to $760 as compared to $625 in the comparable 2019 period.</w:t>
      </w:r>
    </w:p>
    <w:p w14:paraId="18AE0644" w14:textId="77777777" w:rsidR="00321E9C" w:rsidRPr="00693E44" w:rsidRDefault="00321E9C" w:rsidP="007F54B8">
      <w:pPr>
        <w:rPr>
          <w:bCs/>
        </w:rPr>
      </w:pPr>
    </w:p>
    <w:p w14:paraId="732DBA44" w14:textId="67330CA2" w:rsidR="007F54B8" w:rsidRDefault="007F54B8" w:rsidP="007F54B8">
      <w:pPr>
        <w:rPr>
          <w:bCs/>
        </w:rPr>
      </w:pPr>
      <w:r w:rsidRPr="00693E44">
        <w:rPr>
          <w:bCs/>
        </w:rPr>
        <w:t>Shareholder communications costs were $33,550 as compared to $2,157, public company related costs were $12,868 as compared to $14,213 in 2019, and travel related costs were $646 as compared to $830 in the 2019 comparable period. The setting of director and officer stock options during the period is costed at $166,200; a non cash item.</w:t>
      </w:r>
    </w:p>
    <w:p w14:paraId="2C7889F4" w14:textId="77777777" w:rsidR="00321E9C" w:rsidRPr="00693E44" w:rsidRDefault="00321E9C" w:rsidP="007F54B8">
      <w:pPr>
        <w:rPr>
          <w:bCs/>
        </w:rPr>
      </w:pPr>
    </w:p>
    <w:bookmarkEnd w:id="12"/>
    <w:p w14:paraId="3C4FCAA0" w14:textId="04B23A98" w:rsidR="007F54B8" w:rsidRDefault="007F54B8" w:rsidP="007F54B8">
      <w:pPr>
        <w:rPr>
          <w:b/>
        </w:rPr>
      </w:pPr>
      <w:r w:rsidRPr="00952773">
        <w:rPr>
          <w:b/>
        </w:rPr>
        <w:t xml:space="preserve">Results of Operations  </w:t>
      </w:r>
    </w:p>
    <w:p w14:paraId="447E832E" w14:textId="77777777" w:rsidR="00321E9C" w:rsidRPr="00952773" w:rsidRDefault="00321E9C" w:rsidP="007F54B8">
      <w:pPr>
        <w:rPr>
          <w:b/>
        </w:rPr>
      </w:pPr>
    </w:p>
    <w:p w14:paraId="5C1D22C8" w14:textId="366B4154" w:rsidR="007F54B8" w:rsidRDefault="007F54B8" w:rsidP="007F54B8">
      <w:r w:rsidRPr="00952773">
        <w:t xml:space="preserve">The Company anticipates that, for the foreseeable future, quarterly results of any mineral exploration operations will primarily be impacted by several factors, including the timing of exploration and the efforts and timing of expenditures related to the development of the Company. Due to fluctuations in these factors, the Company believes that the period-to-period comparisons of mineral exploration operating results are not a good indication of its future performance.   </w:t>
      </w:r>
    </w:p>
    <w:p w14:paraId="4BB5F228" w14:textId="77777777" w:rsidR="00321E9C" w:rsidRPr="00952773" w:rsidRDefault="00321E9C" w:rsidP="007F54B8"/>
    <w:p w14:paraId="64CC3782" w14:textId="1E17BCAE" w:rsidR="007F54B8" w:rsidRDefault="007F54B8" w:rsidP="007F54B8">
      <w:r w:rsidRPr="00952773">
        <w:t>Management con</w:t>
      </w:r>
      <w:r>
        <w:t>tinues with its diligence activities regarding the potential acquisition candidates.</w:t>
      </w:r>
    </w:p>
    <w:p w14:paraId="0FAE1204" w14:textId="77777777" w:rsidR="00321E9C" w:rsidRPr="00952773" w:rsidRDefault="00321E9C" w:rsidP="007F54B8">
      <w:pPr>
        <w:rPr>
          <w:b/>
        </w:rPr>
      </w:pPr>
    </w:p>
    <w:p w14:paraId="097A62CD" w14:textId="23F5DCC6" w:rsidR="007F54B8" w:rsidRDefault="007F54B8" w:rsidP="007F54B8">
      <w:pPr>
        <w:rPr>
          <w:b/>
        </w:rPr>
      </w:pPr>
      <w:r w:rsidRPr="00952773">
        <w:rPr>
          <w:b/>
        </w:rPr>
        <w:t xml:space="preserve">Revenues </w:t>
      </w:r>
    </w:p>
    <w:p w14:paraId="2A23700C" w14:textId="77777777" w:rsidR="00321E9C" w:rsidRPr="00952773" w:rsidRDefault="00321E9C" w:rsidP="007F54B8">
      <w:pPr>
        <w:rPr>
          <w:b/>
        </w:rPr>
      </w:pPr>
    </w:p>
    <w:p w14:paraId="372D0D84" w14:textId="2C8E4737" w:rsidR="007F54B8" w:rsidRDefault="007F54B8" w:rsidP="007F54B8">
      <w:r w:rsidRPr="00952773">
        <w:t xml:space="preserve">As a mining exploration company, the Company does not generate any income, and must finance its activities through the issuance of equity instruments. </w:t>
      </w:r>
    </w:p>
    <w:p w14:paraId="694ECE10" w14:textId="77777777" w:rsidR="00321E9C" w:rsidRPr="00952773" w:rsidRDefault="00321E9C" w:rsidP="007F54B8"/>
    <w:p w14:paraId="566C5FE3" w14:textId="0F4427CA" w:rsidR="007F54B8" w:rsidRDefault="007F54B8" w:rsidP="007F54B8">
      <w:r w:rsidRPr="00693E44">
        <w:t xml:space="preserve">During the three-month period ended May 31, 2021, the Company incurred a net loss and comprehensive loss of $90,439 compared to a loss of $16,392 for the three-month period ended May 31, 2020. The loss for the fiscal period ended May 31, 2021 is primarily the result of European and Canadian legal and consulting fees related to due diligence and analysis costs regarding potential acquisition candidates. Management fees for directors and officers accounted for $36,000 of the consulting costs. </w:t>
      </w:r>
    </w:p>
    <w:p w14:paraId="44B71A0B" w14:textId="77777777" w:rsidR="00321E9C" w:rsidRPr="00693E44" w:rsidRDefault="00321E9C" w:rsidP="007F54B8"/>
    <w:p w14:paraId="1E34F0EF" w14:textId="77777777" w:rsidR="00321E9C" w:rsidRDefault="007F54B8" w:rsidP="007F54B8">
      <w:pPr>
        <w:rPr>
          <w:b/>
        </w:rPr>
      </w:pPr>
      <w:r w:rsidRPr="00952773">
        <w:rPr>
          <w:b/>
        </w:rPr>
        <w:t xml:space="preserve">Liquidity and Capital Resources  </w:t>
      </w:r>
    </w:p>
    <w:p w14:paraId="16A766A0" w14:textId="3F6EF189" w:rsidR="007F54B8" w:rsidRPr="00952773" w:rsidRDefault="007F54B8" w:rsidP="007F54B8">
      <w:pPr>
        <w:rPr>
          <w:b/>
        </w:rPr>
      </w:pPr>
      <w:r w:rsidRPr="00952773">
        <w:rPr>
          <w:b/>
        </w:rPr>
        <w:t xml:space="preserve"> </w:t>
      </w:r>
    </w:p>
    <w:p w14:paraId="2F18D5D4" w14:textId="77777777" w:rsidR="007F54B8" w:rsidRPr="00693E44" w:rsidRDefault="007F54B8" w:rsidP="007F54B8">
      <w:r w:rsidRPr="00693E44">
        <w:t xml:space="preserve">Funds available have been used for corporate development, potential acquisition due diligence costs and general working capital purposes. Cash and cash equivalents as of May 31, 2021, totaled $336,094 as compared to $113,863 as at the previous year comparable quarter end. </w:t>
      </w:r>
    </w:p>
    <w:p w14:paraId="66CFE75A" w14:textId="77777777" w:rsidR="007F54B8" w:rsidRPr="00952773" w:rsidRDefault="007F54B8" w:rsidP="007F54B8">
      <w:r w:rsidRPr="00952773">
        <w:lastRenderedPageBreak/>
        <w:t>Advanced exploration of the Aura mineral property will require additional financial resources. There is no assurance that such financing will be available when required, or under terms that are favourable to the Company.</w:t>
      </w:r>
    </w:p>
    <w:p w14:paraId="50EB5085" w14:textId="700BC455" w:rsidR="007F54B8" w:rsidRDefault="007F54B8" w:rsidP="007F54B8">
      <w:r>
        <w:t>The Company is pursuing</w:t>
      </w:r>
      <w:r w:rsidRPr="00952773">
        <w:t xml:space="preserve"> opportunities to raise additional capital </w:t>
      </w:r>
      <w:r>
        <w:t>as needed for potential acquisitions</w:t>
      </w:r>
      <w:r w:rsidRPr="00952773">
        <w:t>; however, there can be no assurance that such financing will be available on a timely basis and under terms which are acceptable to the Company.</w:t>
      </w:r>
    </w:p>
    <w:p w14:paraId="0E77E3F9" w14:textId="77777777" w:rsidR="00321E9C" w:rsidRPr="00952773" w:rsidRDefault="00321E9C" w:rsidP="007F54B8"/>
    <w:p w14:paraId="6E7CDC93" w14:textId="28717AEF" w:rsidR="007F54B8" w:rsidRDefault="007F54B8" w:rsidP="007F54B8">
      <w:pPr>
        <w:rPr>
          <w:b/>
        </w:rPr>
      </w:pPr>
      <w:r w:rsidRPr="00952773">
        <w:rPr>
          <w:b/>
        </w:rPr>
        <w:t>Off Balance Sheet Arrangements</w:t>
      </w:r>
    </w:p>
    <w:p w14:paraId="2485F480" w14:textId="77777777" w:rsidR="00321E9C" w:rsidRPr="00952773" w:rsidRDefault="00321E9C" w:rsidP="007F54B8">
      <w:pPr>
        <w:rPr>
          <w:b/>
        </w:rPr>
      </w:pPr>
    </w:p>
    <w:p w14:paraId="4726E093" w14:textId="42018587" w:rsidR="007F54B8" w:rsidRDefault="007F54B8" w:rsidP="007F54B8">
      <w:r w:rsidRPr="00952773">
        <w:t>The Company has no off-balance sheet arrangements.</w:t>
      </w:r>
    </w:p>
    <w:p w14:paraId="4F6C5A44" w14:textId="77777777" w:rsidR="00321E9C" w:rsidRPr="00952773" w:rsidRDefault="00321E9C" w:rsidP="007F54B8"/>
    <w:p w14:paraId="398233E8" w14:textId="0ACFD4D3" w:rsidR="007F54B8" w:rsidRDefault="007F54B8" w:rsidP="007F54B8">
      <w:pPr>
        <w:rPr>
          <w:b/>
        </w:rPr>
      </w:pPr>
      <w:r w:rsidRPr="00952773">
        <w:rPr>
          <w:b/>
        </w:rPr>
        <w:t>Proposed Transactions</w:t>
      </w:r>
    </w:p>
    <w:p w14:paraId="62244844" w14:textId="77777777" w:rsidR="00321E9C" w:rsidRPr="00952773" w:rsidRDefault="00321E9C" w:rsidP="007F54B8">
      <w:pPr>
        <w:rPr>
          <w:b/>
        </w:rPr>
      </w:pPr>
    </w:p>
    <w:p w14:paraId="530E1037" w14:textId="77777777" w:rsidR="007F54B8" w:rsidRPr="00952773" w:rsidRDefault="007F54B8" w:rsidP="007F54B8">
      <w:pPr>
        <w:pStyle w:val="Default"/>
        <w:jc w:val="both"/>
        <w:rPr>
          <w:rFonts w:ascii="Times New Roman" w:hAnsi="Times New Roman" w:cs="Times New Roman"/>
          <w:bCs/>
          <w:color w:val="auto"/>
          <w:sz w:val="20"/>
          <w:szCs w:val="20"/>
        </w:rPr>
      </w:pPr>
      <w:r w:rsidRPr="00952773">
        <w:rPr>
          <w:rFonts w:ascii="Times New Roman" w:hAnsi="Times New Roman" w:cs="Times New Roman"/>
          <w:bCs/>
          <w:color w:val="auto"/>
          <w:sz w:val="20"/>
          <w:szCs w:val="20"/>
        </w:rPr>
        <w:t xml:space="preserve">At the Report Date, the Company continues </w:t>
      </w:r>
      <w:r>
        <w:rPr>
          <w:rFonts w:ascii="Times New Roman" w:hAnsi="Times New Roman" w:cs="Times New Roman"/>
          <w:bCs/>
          <w:color w:val="auto"/>
          <w:sz w:val="20"/>
          <w:szCs w:val="20"/>
        </w:rPr>
        <w:t>diligence activities regarding potential property acquisitions.</w:t>
      </w:r>
    </w:p>
    <w:p w14:paraId="5D90EC04" w14:textId="77777777" w:rsidR="007F54B8" w:rsidRPr="00952773" w:rsidRDefault="007F54B8" w:rsidP="007F54B8">
      <w:pPr>
        <w:pStyle w:val="Default"/>
        <w:jc w:val="both"/>
        <w:rPr>
          <w:rFonts w:ascii="Times New Roman" w:hAnsi="Times New Roman" w:cs="Times New Roman"/>
          <w:sz w:val="20"/>
          <w:szCs w:val="20"/>
        </w:rPr>
      </w:pPr>
    </w:p>
    <w:p w14:paraId="1BBB2DB9" w14:textId="24F53996" w:rsidR="007F54B8" w:rsidRDefault="007F54B8" w:rsidP="007F54B8">
      <w:pPr>
        <w:rPr>
          <w:b/>
        </w:rPr>
      </w:pPr>
      <w:bookmarkStart w:id="13" w:name="_Hlk74030870"/>
      <w:r w:rsidRPr="00952773">
        <w:rPr>
          <w:b/>
        </w:rPr>
        <w:t>Contractual Obligations</w:t>
      </w:r>
    </w:p>
    <w:p w14:paraId="6EAF0402" w14:textId="77777777" w:rsidR="00321E9C" w:rsidRPr="00952773" w:rsidRDefault="00321E9C" w:rsidP="007F54B8">
      <w:pPr>
        <w:rPr>
          <w:b/>
        </w:rPr>
      </w:pPr>
    </w:p>
    <w:p w14:paraId="76D5C4A1" w14:textId="4B39BCBC" w:rsidR="007F54B8" w:rsidRDefault="007F54B8" w:rsidP="007F54B8">
      <w:r w:rsidRPr="00952773">
        <w:t>The Company has no material and long-term contractual obligations other than employment contracts in place with Ron Shenton and Brian Roberts.</w:t>
      </w:r>
    </w:p>
    <w:p w14:paraId="010A4374" w14:textId="77777777" w:rsidR="00321E9C" w:rsidRPr="00952773" w:rsidRDefault="00321E9C" w:rsidP="007F54B8"/>
    <w:p w14:paraId="01E55E10" w14:textId="01CA73BD" w:rsidR="007F54B8" w:rsidRDefault="007F54B8" w:rsidP="007F54B8">
      <w:pPr>
        <w:rPr>
          <w:b/>
        </w:rPr>
      </w:pPr>
      <w:r w:rsidRPr="00952773">
        <w:rPr>
          <w:b/>
        </w:rPr>
        <w:t>Significant Accounting Policies and Estimates</w:t>
      </w:r>
    </w:p>
    <w:p w14:paraId="4EC6CEC9" w14:textId="77777777" w:rsidR="00321E9C" w:rsidRPr="00952773" w:rsidRDefault="00321E9C" w:rsidP="007F54B8">
      <w:pPr>
        <w:rPr>
          <w:b/>
        </w:rPr>
      </w:pPr>
    </w:p>
    <w:p w14:paraId="57562BCE" w14:textId="3BF7D20B" w:rsidR="007F54B8" w:rsidRDefault="007F54B8" w:rsidP="007F54B8">
      <w:r w:rsidRPr="00952773">
        <w:t>The preparation of financial statements requires management to establish accounting policies, estimates and assumptions that affect the timing and reported amounts of assets, liabilities revenues and expenses. These estimates are based on historical experience and on various other assumptions that management believes to be reasonable under the circumstances and require judgment on matters which are inherently uncertain. Details of the Company's significant accounting policies can be found in the notes of the financial statements.</w:t>
      </w:r>
    </w:p>
    <w:p w14:paraId="2D41B322" w14:textId="77777777" w:rsidR="00321E9C" w:rsidRPr="00952773" w:rsidRDefault="00321E9C" w:rsidP="007F54B8"/>
    <w:p w14:paraId="1FDB6D2F" w14:textId="4C81EF99" w:rsidR="007F54B8" w:rsidRDefault="007F54B8" w:rsidP="007F54B8">
      <w:pPr>
        <w:rPr>
          <w:b/>
        </w:rPr>
      </w:pPr>
      <w:r w:rsidRPr="00952773">
        <w:rPr>
          <w:b/>
        </w:rPr>
        <w:t>New Accounting Standards</w:t>
      </w:r>
    </w:p>
    <w:p w14:paraId="2FD1AF07" w14:textId="77777777" w:rsidR="00321E9C" w:rsidRPr="00952773" w:rsidRDefault="00321E9C" w:rsidP="007F54B8">
      <w:pPr>
        <w:rPr>
          <w:b/>
        </w:rPr>
      </w:pPr>
    </w:p>
    <w:p w14:paraId="3FF86B68" w14:textId="1A346F58" w:rsidR="007F54B8" w:rsidRDefault="007F54B8" w:rsidP="007F54B8">
      <w:pPr>
        <w:rPr>
          <w:color w:val="FF0000"/>
        </w:rPr>
      </w:pPr>
      <w:r w:rsidRPr="00952773">
        <w:t>The Company is aware of certain new accounting standards which are reasonably expected to have an impact on disclosures, financial position or performance when applied at a future date. Details of these changes can be found in the notes of the financial statements</w:t>
      </w:r>
      <w:r w:rsidRPr="00952773">
        <w:rPr>
          <w:color w:val="FF0000"/>
        </w:rPr>
        <w:t xml:space="preserve">. </w:t>
      </w:r>
    </w:p>
    <w:p w14:paraId="68A0479A" w14:textId="77777777" w:rsidR="00321E9C" w:rsidRPr="00952773" w:rsidRDefault="00321E9C" w:rsidP="007F54B8"/>
    <w:p w14:paraId="383D4BA0" w14:textId="67E7C778" w:rsidR="007F54B8" w:rsidRDefault="007F54B8" w:rsidP="007F54B8">
      <w:pPr>
        <w:rPr>
          <w:b/>
          <w:bCs/>
        </w:rPr>
      </w:pPr>
      <w:r w:rsidRPr="00952773">
        <w:rPr>
          <w:b/>
          <w:bCs/>
        </w:rPr>
        <w:t>Outstanding Share Data</w:t>
      </w:r>
    </w:p>
    <w:p w14:paraId="41DC2F58" w14:textId="77777777" w:rsidR="00321E9C" w:rsidRPr="00952773" w:rsidRDefault="00321E9C" w:rsidP="007F54B8">
      <w:pPr>
        <w:rPr>
          <w:b/>
          <w:bCs/>
        </w:rPr>
      </w:pPr>
    </w:p>
    <w:p w14:paraId="228B009C" w14:textId="37111A43" w:rsidR="007F54B8" w:rsidRDefault="007F54B8" w:rsidP="007F54B8">
      <w:r w:rsidRPr="00952773">
        <w:t xml:space="preserve">As of </w:t>
      </w:r>
      <w:r>
        <w:t>May 31</w:t>
      </w:r>
      <w:r w:rsidRPr="00952773">
        <w:t xml:space="preserve">, 2021 there were </w:t>
      </w:r>
      <w:r>
        <w:t>14,242,377</w:t>
      </w:r>
      <w:r w:rsidRPr="00952773">
        <w:t xml:space="preserve"> common shares issued and outstanding. </w:t>
      </w:r>
    </w:p>
    <w:p w14:paraId="26294745" w14:textId="77777777" w:rsidR="00321E9C" w:rsidRPr="00952773" w:rsidRDefault="00321E9C" w:rsidP="007F54B8"/>
    <w:p w14:paraId="49A31F16" w14:textId="189FEE1F" w:rsidR="007F54B8" w:rsidRDefault="007F54B8" w:rsidP="007F54B8">
      <w:r w:rsidRPr="00952773">
        <w:t xml:space="preserve">A total of 450,000 stock options that were granted to consultants during the previous three-month period were cancelled. </w:t>
      </w:r>
      <w:r>
        <w:t>A total of 114,350</w:t>
      </w:r>
      <w:r w:rsidRPr="00952773">
        <w:t xml:space="preserve"> share purchase warrants were exercised at a price of $0.10 per warrant during the period.</w:t>
      </w:r>
    </w:p>
    <w:p w14:paraId="4A7EDCC0" w14:textId="77777777" w:rsidR="00321E9C" w:rsidRPr="00952773" w:rsidRDefault="00321E9C" w:rsidP="007F54B8"/>
    <w:p w14:paraId="11EC7499" w14:textId="7FE78225" w:rsidR="007F54B8" w:rsidRDefault="007F54B8" w:rsidP="007F54B8">
      <w:r w:rsidRPr="00952773">
        <w:t>During the prior fiscal year, the Company issued a total of 3,578,056 common shares in conjunction with a private placement transaction and paid Haywood Securities 33,600 common shares in compensation for certain PP investor introductions. The PP</w:t>
      </w:r>
      <w:r>
        <w:t xml:space="preserve"> (private placement)</w:t>
      </w:r>
      <w:r w:rsidRPr="00952773">
        <w:t xml:space="preserve"> transaction also provided for a total of 3,611,656 warrants which allow PP participants to acquire one additional common share at a price of $0.30 for a period of one year after closing of the PP transaction. </w:t>
      </w:r>
      <w:r>
        <w:t>During the current nine</w:t>
      </w:r>
      <w:r w:rsidRPr="00952773">
        <w:t xml:space="preserve"> month period, one share purchase warrant holder exercised 200,000 warrants for net proceeds of $60,000. A total of 3,411,656 of these PP warrants remain outstanding.</w:t>
      </w:r>
    </w:p>
    <w:p w14:paraId="6F78C1D2" w14:textId="77777777" w:rsidR="00321E9C" w:rsidRPr="00952773" w:rsidRDefault="00321E9C" w:rsidP="007F54B8"/>
    <w:p w14:paraId="3741D0BF" w14:textId="06B08336" w:rsidR="007F54B8" w:rsidRDefault="007F54B8" w:rsidP="007F54B8">
      <w:r>
        <w:t>In addition, 48,650</w:t>
      </w:r>
      <w:r w:rsidRPr="00952773">
        <w:t xml:space="preserve"> compensation warrants issued to Haywood Securities remain outstanding and which expire on June 11, 2021 with an exercise price of $0.10 per share purchase warrant.</w:t>
      </w:r>
    </w:p>
    <w:p w14:paraId="3CA67414" w14:textId="77777777" w:rsidR="00321E9C" w:rsidRPr="00952773" w:rsidRDefault="00321E9C" w:rsidP="007F54B8"/>
    <w:p w14:paraId="72F20DF2" w14:textId="58BFE55A" w:rsidR="007F54B8" w:rsidRDefault="007F54B8" w:rsidP="007F54B8">
      <w:pPr>
        <w:rPr>
          <w:b/>
        </w:rPr>
      </w:pPr>
      <w:r w:rsidRPr="00952773">
        <w:rPr>
          <w:b/>
        </w:rPr>
        <w:t>Related Party Transactions</w:t>
      </w:r>
    </w:p>
    <w:p w14:paraId="54CE8F7A" w14:textId="77777777" w:rsidR="00321E9C" w:rsidRPr="00952773" w:rsidRDefault="00321E9C" w:rsidP="007F54B8">
      <w:pPr>
        <w:rPr>
          <w:b/>
        </w:rPr>
      </w:pPr>
    </w:p>
    <w:p w14:paraId="4B0DDF98" w14:textId="77777777" w:rsidR="007F54B8" w:rsidRPr="00952773" w:rsidRDefault="007F54B8" w:rsidP="007F54B8">
      <w:r w:rsidRPr="00952773">
        <w:t xml:space="preserve">Parties are related if one party has the ability, directly or indirectly, to control the other party or exercise significant influence over the other party in making financial and operating decisions. Related parties may be individuals or </w:t>
      </w:r>
      <w:r w:rsidRPr="00952773">
        <w:lastRenderedPageBreak/>
        <w:t>corporate entities. A transaction is a related party transaction when there is a transfer of resources or obligations between related parties.</w:t>
      </w:r>
    </w:p>
    <w:p w14:paraId="6E47AC99" w14:textId="77777777" w:rsidR="007F54B8" w:rsidRPr="00952773" w:rsidRDefault="007F54B8" w:rsidP="007F54B8">
      <w:r w:rsidRPr="00952773">
        <w:t xml:space="preserve">During the fiscal quarter period ended </w:t>
      </w:r>
      <w:r>
        <w:t>May 31</w:t>
      </w:r>
      <w:r w:rsidRPr="00952773">
        <w:t>, 2021, related party transactions comprised the following:</w:t>
      </w:r>
    </w:p>
    <w:p w14:paraId="4EB55661" w14:textId="77777777" w:rsidR="007F54B8" w:rsidRPr="00952773" w:rsidRDefault="007F54B8" w:rsidP="001B68AD">
      <w:pPr>
        <w:pStyle w:val="ListParagraph"/>
        <w:numPr>
          <w:ilvl w:val="0"/>
          <w:numId w:val="7"/>
        </w:numPr>
        <w:spacing w:after="160"/>
        <w:contextualSpacing/>
        <w:rPr>
          <w:rFonts w:ascii="Times New Roman" w:hAnsi="Times New Roman"/>
          <w:sz w:val="20"/>
          <w:szCs w:val="20"/>
        </w:rPr>
      </w:pPr>
      <w:r w:rsidRPr="00952773">
        <w:rPr>
          <w:rFonts w:ascii="Times New Roman" w:hAnsi="Times New Roman"/>
          <w:sz w:val="20"/>
          <w:szCs w:val="20"/>
        </w:rPr>
        <w:t xml:space="preserve">Consulting fees </w:t>
      </w:r>
      <w:r>
        <w:rPr>
          <w:rFonts w:ascii="Times New Roman" w:hAnsi="Times New Roman"/>
          <w:sz w:val="20"/>
          <w:szCs w:val="20"/>
        </w:rPr>
        <w:t xml:space="preserve">of $6,000 monthly </w:t>
      </w:r>
      <w:r w:rsidRPr="00952773">
        <w:rPr>
          <w:rFonts w:ascii="Times New Roman" w:hAnsi="Times New Roman"/>
          <w:sz w:val="20"/>
          <w:szCs w:val="20"/>
        </w:rPr>
        <w:t xml:space="preserve">paid to Ron Shenton </w:t>
      </w:r>
      <w:r>
        <w:rPr>
          <w:rFonts w:ascii="Times New Roman" w:hAnsi="Times New Roman"/>
          <w:sz w:val="20"/>
          <w:szCs w:val="20"/>
        </w:rPr>
        <w:t xml:space="preserve">for a total of </w:t>
      </w:r>
      <w:r w:rsidRPr="00952773">
        <w:rPr>
          <w:rFonts w:ascii="Times New Roman" w:hAnsi="Times New Roman"/>
          <w:sz w:val="20"/>
          <w:szCs w:val="20"/>
        </w:rPr>
        <w:t>$18,000 (through 475175 BC Ltd)</w:t>
      </w:r>
    </w:p>
    <w:p w14:paraId="1DBF9730" w14:textId="77777777" w:rsidR="007F54B8" w:rsidRPr="00952773" w:rsidRDefault="007F54B8" w:rsidP="001B68AD">
      <w:pPr>
        <w:pStyle w:val="ListParagraph"/>
        <w:numPr>
          <w:ilvl w:val="0"/>
          <w:numId w:val="7"/>
        </w:numPr>
        <w:spacing w:after="160"/>
        <w:contextualSpacing/>
        <w:rPr>
          <w:rFonts w:ascii="Times New Roman" w:hAnsi="Times New Roman"/>
          <w:sz w:val="20"/>
          <w:szCs w:val="20"/>
        </w:rPr>
      </w:pPr>
      <w:r w:rsidRPr="00952773">
        <w:rPr>
          <w:rFonts w:ascii="Times New Roman" w:hAnsi="Times New Roman"/>
          <w:sz w:val="20"/>
          <w:szCs w:val="20"/>
        </w:rPr>
        <w:t xml:space="preserve">Consulting fees </w:t>
      </w:r>
      <w:r>
        <w:rPr>
          <w:rFonts w:ascii="Times New Roman" w:hAnsi="Times New Roman"/>
          <w:sz w:val="20"/>
          <w:szCs w:val="20"/>
        </w:rPr>
        <w:t xml:space="preserve">of $6,000 monthly </w:t>
      </w:r>
      <w:r w:rsidRPr="00952773">
        <w:rPr>
          <w:rFonts w:ascii="Times New Roman" w:hAnsi="Times New Roman"/>
          <w:sz w:val="20"/>
          <w:szCs w:val="20"/>
        </w:rPr>
        <w:t xml:space="preserve">paid to Brian Roberts </w:t>
      </w:r>
      <w:r>
        <w:rPr>
          <w:rFonts w:ascii="Times New Roman" w:hAnsi="Times New Roman"/>
          <w:sz w:val="20"/>
          <w:szCs w:val="20"/>
        </w:rPr>
        <w:t xml:space="preserve">for a total </w:t>
      </w:r>
      <w:r w:rsidRPr="00952773">
        <w:rPr>
          <w:rFonts w:ascii="Times New Roman" w:hAnsi="Times New Roman"/>
          <w:sz w:val="20"/>
          <w:szCs w:val="20"/>
        </w:rPr>
        <w:t>of $18,000 (through 343984 BC Ltd)</w:t>
      </w:r>
    </w:p>
    <w:bookmarkEnd w:id="13"/>
    <w:p w14:paraId="5A17DF02" w14:textId="136316BC" w:rsidR="007F54B8" w:rsidRDefault="007F54B8" w:rsidP="007F54B8">
      <w:pPr>
        <w:rPr>
          <w:b/>
          <w:bCs/>
        </w:rPr>
      </w:pPr>
      <w:r w:rsidRPr="00952773">
        <w:rPr>
          <w:b/>
          <w:bCs/>
        </w:rPr>
        <w:t>Capital Management</w:t>
      </w:r>
    </w:p>
    <w:p w14:paraId="5B6BF4D9" w14:textId="77777777" w:rsidR="00321E9C" w:rsidRPr="00952773" w:rsidRDefault="00321E9C" w:rsidP="007F54B8">
      <w:pPr>
        <w:rPr>
          <w:b/>
          <w:bCs/>
        </w:rPr>
      </w:pPr>
    </w:p>
    <w:p w14:paraId="60D33002" w14:textId="579D1EC5" w:rsidR="007F54B8" w:rsidRDefault="007F54B8" w:rsidP="007F54B8">
      <w:r w:rsidRPr="00952773">
        <w:t xml:space="preserve">The Company manages its capital structure and makes adjustments to it, based on the funds available to the Company, to support its activities. The Board of Directors does not establish quantitative return on capital criteria for management, but rather relies on the expertise of the Company’s management to sustain future development of the business. The Company defines capital that it manages as share capital and cash. </w:t>
      </w:r>
    </w:p>
    <w:p w14:paraId="41B241A9" w14:textId="77777777" w:rsidR="00321E9C" w:rsidRPr="00952773" w:rsidRDefault="00321E9C" w:rsidP="007F54B8"/>
    <w:p w14:paraId="20E5A63A" w14:textId="6E8DBEEB" w:rsidR="007F54B8" w:rsidRDefault="007F54B8" w:rsidP="007F54B8">
      <w:r w:rsidRPr="00952773">
        <w:t xml:space="preserve">The Company will continue to assess new sources of financing available and to manage its expenditures to reflect current financial resources in the interest of sustaining long term viability. Management reviews its capital management approach on an ongoing basis and believes that this approach, given the relative size of the Company, is reasonable. The Company’s capital management objectives, policies and processes have not changed over the period presented. The Company is not subject to any externally imposed capital requirements. </w:t>
      </w:r>
    </w:p>
    <w:p w14:paraId="4EE224FF" w14:textId="77777777" w:rsidR="00321E9C" w:rsidRPr="00952773" w:rsidRDefault="00321E9C" w:rsidP="007F54B8"/>
    <w:p w14:paraId="2526CF52" w14:textId="54B22C91" w:rsidR="007F54B8" w:rsidRDefault="007F54B8" w:rsidP="007F54B8">
      <w:pPr>
        <w:rPr>
          <w:b/>
          <w:bCs/>
        </w:rPr>
      </w:pPr>
      <w:r w:rsidRPr="00952773">
        <w:rPr>
          <w:b/>
          <w:bCs/>
        </w:rPr>
        <w:t>Adoption of New and Amended IRFS Pronouncements</w:t>
      </w:r>
    </w:p>
    <w:p w14:paraId="5264A006" w14:textId="77777777" w:rsidR="00321E9C" w:rsidRPr="00952773" w:rsidRDefault="00321E9C" w:rsidP="007F54B8"/>
    <w:p w14:paraId="56E717E1" w14:textId="77777777" w:rsidR="00321E9C" w:rsidRDefault="007F54B8" w:rsidP="007F54B8">
      <w:r w:rsidRPr="00952773">
        <w:t>The Company has consistently applied the accounting policies and the significant judgments, estimates and assumptions set out in Notes 2 and 3 of the Company’s audited financial statements for the year ended August 31, 2020 to the periods presented in these annual financial statements.</w:t>
      </w:r>
    </w:p>
    <w:p w14:paraId="5CEC44DE" w14:textId="795BEEDA" w:rsidR="007F54B8" w:rsidRPr="00952773" w:rsidRDefault="007F54B8" w:rsidP="007F54B8">
      <w:r w:rsidRPr="00952773">
        <w:t xml:space="preserve"> </w:t>
      </w:r>
    </w:p>
    <w:p w14:paraId="6F1AEECF" w14:textId="7A8C0826" w:rsidR="007F54B8" w:rsidRDefault="007F54B8" w:rsidP="007F54B8">
      <w:pPr>
        <w:rPr>
          <w:b/>
        </w:rPr>
      </w:pPr>
      <w:r w:rsidRPr="00952773">
        <w:rPr>
          <w:b/>
        </w:rPr>
        <w:t>RISKS</w:t>
      </w:r>
    </w:p>
    <w:p w14:paraId="69218BD8" w14:textId="77777777" w:rsidR="00321E9C" w:rsidRPr="00952773" w:rsidRDefault="00321E9C" w:rsidP="007F54B8">
      <w:pPr>
        <w:rPr>
          <w:b/>
        </w:rPr>
      </w:pPr>
    </w:p>
    <w:p w14:paraId="77486632" w14:textId="46FEC8FE" w:rsidR="007F54B8" w:rsidRDefault="007F54B8" w:rsidP="007F54B8">
      <w:pPr>
        <w:rPr>
          <w:rStyle w:val="Hyperlink"/>
        </w:rPr>
      </w:pPr>
      <w:r w:rsidRPr="00952773">
        <w:t xml:space="preserve">The Company is subject to risks inherent in the mineral exploration business and all other potential business activities as well as general economic and business conditions. For more information on the Company, readers should review the Company's disclosure that is available on the Company’s website at www.P1R.ca as well as at </w:t>
      </w:r>
      <w:hyperlink r:id="rId21" w:history="1">
        <w:r w:rsidRPr="00952773">
          <w:rPr>
            <w:rStyle w:val="Hyperlink"/>
          </w:rPr>
          <w:t>www.sedar.com</w:t>
        </w:r>
      </w:hyperlink>
    </w:p>
    <w:p w14:paraId="377184DA" w14:textId="77777777" w:rsidR="00321E9C" w:rsidRPr="00952773" w:rsidRDefault="00321E9C" w:rsidP="007F54B8">
      <w:pPr>
        <w:rPr>
          <w:color w:val="0000FF" w:themeColor="hyperlink"/>
          <w:u w:val="single"/>
        </w:rPr>
      </w:pPr>
    </w:p>
    <w:p w14:paraId="2F8574B1" w14:textId="19026B1A" w:rsidR="007F54B8" w:rsidRDefault="007F54B8" w:rsidP="007F54B8">
      <w:pPr>
        <w:rPr>
          <w:b/>
        </w:rPr>
      </w:pPr>
      <w:r w:rsidRPr="00952773">
        <w:rPr>
          <w:b/>
        </w:rPr>
        <w:t>Currency Risk</w:t>
      </w:r>
    </w:p>
    <w:p w14:paraId="0CD37800" w14:textId="77777777" w:rsidR="00321E9C" w:rsidRPr="00952773" w:rsidRDefault="00321E9C" w:rsidP="007F54B8">
      <w:pPr>
        <w:rPr>
          <w:b/>
        </w:rPr>
      </w:pPr>
    </w:p>
    <w:p w14:paraId="2DDA6CC3" w14:textId="77777777" w:rsidR="007F54B8" w:rsidRPr="00952773" w:rsidRDefault="007F54B8" w:rsidP="007F54B8">
      <w:r w:rsidRPr="00952773">
        <w:t>The Company's expenses are denominated in Canadian dollars. The Company's corporate office is based in Canada and current exposure to exchange rate fluctuations is minimal.</w:t>
      </w:r>
    </w:p>
    <w:p w14:paraId="2F8B531A" w14:textId="27AF4A47" w:rsidR="007F54B8" w:rsidRDefault="007F54B8" w:rsidP="007F54B8">
      <w:r w:rsidRPr="00952773">
        <w:t>The Company does not have any significant foreign currency denominated monetary liabilities. The principal business of the Company is the identification and evaluation of assets or a business and once identified or evaluated, to negotiate an acquisition or participation in a business subject to receipt of shareholder approval and acceptance by regulatory authorities.</w:t>
      </w:r>
    </w:p>
    <w:p w14:paraId="0AC15B11" w14:textId="77777777" w:rsidR="00321E9C" w:rsidRPr="00952773" w:rsidRDefault="00321E9C" w:rsidP="007F54B8"/>
    <w:p w14:paraId="0EFFD342" w14:textId="36CF436A" w:rsidR="007F54B8" w:rsidRDefault="007F54B8" w:rsidP="007F54B8">
      <w:pPr>
        <w:rPr>
          <w:b/>
        </w:rPr>
      </w:pPr>
      <w:r w:rsidRPr="00952773">
        <w:rPr>
          <w:b/>
        </w:rPr>
        <w:t>Interest Rate Risk</w:t>
      </w:r>
    </w:p>
    <w:p w14:paraId="485A01BD" w14:textId="77777777" w:rsidR="00321E9C" w:rsidRPr="00952773" w:rsidRDefault="00321E9C" w:rsidP="007F54B8">
      <w:pPr>
        <w:rPr>
          <w:b/>
        </w:rPr>
      </w:pPr>
    </w:p>
    <w:p w14:paraId="0758310B" w14:textId="77777777" w:rsidR="007F54B8" w:rsidRPr="00952773" w:rsidRDefault="007F54B8" w:rsidP="007F54B8">
      <w:r w:rsidRPr="00952773">
        <w:t>The Company is exposed to interest rate risk on the variable rate of interest earned on bank deposits. The fair value interest rate risk on bank deposits is insignificant as the deposits are short-term.</w:t>
      </w:r>
    </w:p>
    <w:p w14:paraId="5D5E30F6" w14:textId="40018D65" w:rsidR="007F54B8" w:rsidRDefault="007F54B8" w:rsidP="007F54B8">
      <w:r w:rsidRPr="00952773">
        <w:t>The Company has not entered any derivative instruments to manage interest rate fluctuations.</w:t>
      </w:r>
    </w:p>
    <w:p w14:paraId="169A3E73" w14:textId="77777777" w:rsidR="00321E9C" w:rsidRPr="00952773" w:rsidRDefault="00321E9C" w:rsidP="007F54B8"/>
    <w:p w14:paraId="01892F87" w14:textId="365A84B0" w:rsidR="007F54B8" w:rsidRDefault="007F54B8" w:rsidP="007F54B8">
      <w:pPr>
        <w:rPr>
          <w:b/>
        </w:rPr>
      </w:pPr>
      <w:r w:rsidRPr="00952773">
        <w:rPr>
          <w:b/>
        </w:rPr>
        <w:t>Credit Risk</w:t>
      </w:r>
    </w:p>
    <w:p w14:paraId="49A135A5" w14:textId="77777777" w:rsidR="00321E9C" w:rsidRPr="00952773" w:rsidRDefault="00321E9C" w:rsidP="007F54B8">
      <w:pPr>
        <w:rPr>
          <w:b/>
        </w:rPr>
      </w:pPr>
    </w:p>
    <w:p w14:paraId="6987D7A3" w14:textId="3C51B759" w:rsidR="00321E9C" w:rsidRDefault="007F54B8" w:rsidP="007F54B8">
      <w:r w:rsidRPr="00952773">
        <w:t>Credit risk is the risk of loss associated with the counterparty's inability to fulfill its payment obligations. Financial instruments that potentially subject the Company to concentrations of credit risks consist principally of cash. To minimize the credit risk, the Company would intend to place these instruments with a high-quality financial institution</w:t>
      </w:r>
      <w:r w:rsidR="00321E9C">
        <w:t>.</w:t>
      </w:r>
    </w:p>
    <w:p w14:paraId="12AE14E9" w14:textId="77777777" w:rsidR="00321E9C" w:rsidRDefault="00321E9C" w:rsidP="007F54B8"/>
    <w:p w14:paraId="29A800E6" w14:textId="77777777" w:rsidR="00321E9C" w:rsidRDefault="00321E9C" w:rsidP="007F54B8"/>
    <w:p w14:paraId="06F0FF93" w14:textId="2D3744A8" w:rsidR="007F54B8" w:rsidRPr="00952773" w:rsidRDefault="007F54B8" w:rsidP="007F54B8"/>
    <w:p w14:paraId="6689605A" w14:textId="25F3B4C4" w:rsidR="007F54B8" w:rsidRDefault="007F54B8" w:rsidP="007F54B8">
      <w:pPr>
        <w:rPr>
          <w:b/>
        </w:rPr>
      </w:pPr>
      <w:r w:rsidRPr="00952773">
        <w:rPr>
          <w:b/>
        </w:rPr>
        <w:lastRenderedPageBreak/>
        <w:t>Liquidity Risk</w:t>
      </w:r>
    </w:p>
    <w:p w14:paraId="116A781B" w14:textId="77777777" w:rsidR="00321E9C" w:rsidRPr="00952773" w:rsidRDefault="00321E9C" w:rsidP="007F54B8">
      <w:pPr>
        <w:rPr>
          <w:b/>
        </w:rPr>
      </w:pPr>
    </w:p>
    <w:p w14:paraId="3F4239A5" w14:textId="3C8E606D" w:rsidR="007F54B8" w:rsidRDefault="007F54B8" w:rsidP="007F54B8">
      <w:r w:rsidRPr="00952773">
        <w:t>ln the management of liquidity risk of the Company, the Company maintains a balance between continuity of funding and the flexibility using borrowings. Management closely monitors the liquidity position and expects to have adequate sources of funding to finance the Company's operations.</w:t>
      </w:r>
    </w:p>
    <w:p w14:paraId="3D160D6A" w14:textId="77777777" w:rsidR="00321E9C" w:rsidRPr="00952773" w:rsidRDefault="00321E9C" w:rsidP="007F54B8"/>
    <w:p w14:paraId="6AAA421C" w14:textId="120D70DB" w:rsidR="007F54B8" w:rsidRDefault="007F54B8" w:rsidP="007F54B8">
      <w:pPr>
        <w:rPr>
          <w:b/>
          <w:bCs/>
        </w:rPr>
      </w:pPr>
      <w:r w:rsidRPr="00952773">
        <w:rPr>
          <w:b/>
          <w:bCs/>
        </w:rPr>
        <w:t>Exploration Stage Mineral Exploration Risks</w:t>
      </w:r>
    </w:p>
    <w:p w14:paraId="28AF30C4" w14:textId="77777777" w:rsidR="00321E9C" w:rsidRPr="00952773" w:rsidRDefault="00321E9C" w:rsidP="007F54B8">
      <w:pPr>
        <w:rPr>
          <w:b/>
          <w:bCs/>
        </w:rPr>
      </w:pPr>
    </w:p>
    <w:p w14:paraId="5296422C" w14:textId="77777777" w:rsidR="00321E9C" w:rsidRDefault="007F54B8" w:rsidP="007F54B8">
      <w:r w:rsidRPr="00952773">
        <w:t xml:space="preserve">Exploration stage mineral exploration companies face a variety of risks with very few exploration projects successfully achieving development stage due to factors that cannot be predicted or anticipated. Even one such factor may result in the economic viability of a project being detrimentally impacted such that it is neither feasible nor practical to proceed. </w:t>
      </w:r>
    </w:p>
    <w:p w14:paraId="20B71DD7" w14:textId="63EE9350" w:rsidR="007F54B8" w:rsidRPr="00952773" w:rsidRDefault="007F54B8" w:rsidP="007F54B8">
      <w:r w:rsidRPr="00952773">
        <w:t xml:space="preserve"> </w:t>
      </w:r>
    </w:p>
    <w:p w14:paraId="2C0089A3" w14:textId="69757137" w:rsidR="007F54B8" w:rsidRDefault="007F54B8" w:rsidP="007F54B8">
      <w:pPr>
        <w:rPr>
          <w:b/>
        </w:rPr>
      </w:pPr>
      <w:r w:rsidRPr="00952773">
        <w:rPr>
          <w:b/>
        </w:rPr>
        <w:t>Additional Disclosure for Junior Companies</w:t>
      </w:r>
    </w:p>
    <w:p w14:paraId="59854603" w14:textId="77777777" w:rsidR="00321E9C" w:rsidRPr="00952773" w:rsidRDefault="00321E9C" w:rsidP="007F54B8">
      <w:pPr>
        <w:rPr>
          <w:b/>
        </w:rPr>
      </w:pPr>
    </w:p>
    <w:p w14:paraId="2BAD0576" w14:textId="77777777" w:rsidR="007F54B8" w:rsidRPr="00952773" w:rsidRDefault="007F54B8" w:rsidP="007F54B8">
      <w:r w:rsidRPr="00952773">
        <w:t xml:space="preserve">The Company expects that the proceeds raised in July 2020 pursuant to the private placement offering will continue to fund operations through 2021.The estimated total general and administrative costs necessary for the Company to operate during the following 12 months is $330,000 and includes further estimated costs related to </w:t>
      </w:r>
      <w:r>
        <w:t xml:space="preserve">analysis of </w:t>
      </w:r>
      <w:r w:rsidRPr="00952773">
        <w:t>potential acquisition candidates.</w:t>
      </w:r>
    </w:p>
    <w:p w14:paraId="41776677" w14:textId="0F4F9930" w:rsidR="00A00374" w:rsidRDefault="00A00374">
      <w:pPr>
        <w:pStyle w:val="BodyText2"/>
        <w:keepNext/>
        <w:spacing w:line="280" w:lineRule="exact"/>
        <w:rPr>
          <w:rFonts w:ascii="Arial" w:hAnsi="Arial"/>
          <w:b/>
        </w:rPr>
      </w:pPr>
    </w:p>
    <w:p w14:paraId="41784201" w14:textId="77777777" w:rsidR="00A00374" w:rsidRPr="00A00374" w:rsidRDefault="00A00374" w:rsidP="00A00374"/>
    <w:p w14:paraId="731D1868" w14:textId="25DC2114" w:rsidR="001F6C4F" w:rsidRDefault="001F6C4F" w:rsidP="001F6C4F">
      <w:pPr>
        <w:spacing w:after="240"/>
        <w:jc w:val="both"/>
        <w:rPr>
          <w:rFonts w:ascii="Arial" w:hAnsi="Arial" w:cs="Arial"/>
          <w:b/>
          <w:bCs/>
        </w:rPr>
      </w:pPr>
      <w:r w:rsidRPr="00E27F98">
        <w:rPr>
          <w:rFonts w:ascii="Arial" w:hAnsi="Arial" w:cs="Arial"/>
          <w:b/>
          <w:bCs/>
        </w:rPr>
        <w:t>SUBSEQUENT EVENTS</w:t>
      </w:r>
    </w:p>
    <w:p w14:paraId="2458DCB8" w14:textId="1F4D09CF" w:rsidR="007F54B8" w:rsidRPr="00321E9C" w:rsidRDefault="00321E9C" w:rsidP="007F54B8">
      <w:pPr>
        <w:pStyle w:val="Nbodyindentinput"/>
        <w:widowControl/>
        <w:spacing w:before="0"/>
        <w:ind w:left="0"/>
        <w:rPr>
          <w:rFonts w:ascii="Times New Roman" w:hAnsi="Times New Roman"/>
        </w:rPr>
      </w:pPr>
      <w:r w:rsidRPr="00321E9C">
        <w:rPr>
          <w:rFonts w:ascii="Times New Roman" w:hAnsi="Times New Roman"/>
        </w:rPr>
        <w:t>On June 2, 2021,t</w:t>
      </w:r>
      <w:r w:rsidR="007F54B8" w:rsidRPr="00321E9C">
        <w:rPr>
          <w:rFonts w:ascii="Times New Roman" w:hAnsi="Times New Roman"/>
        </w:rPr>
        <w:t>he Company entered into a non-binding letter of intent with Goldeneye Capital Ltd. (“Goldeneye”) to acquire 100% of the right, title and interest to two gold properties in Guyana known as the Tassawini and Harpy properties (the “Transaction”). On completion of the Transaction, the Company will pay Goldeneye the following consideration:</w:t>
      </w:r>
    </w:p>
    <w:p w14:paraId="0018492D" w14:textId="77777777" w:rsidR="007F54B8" w:rsidRPr="00321E9C" w:rsidRDefault="007F54B8" w:rsidP="007F54B8">
      <w:pPr>
        <w:pStyle w:val="ListParagraph"/>
        <w:rPr>
          <w:rFonts w:ascii="Times New Roman" w:hAnsi="Times New Roman"/>
          <w:sz w:val="20"/>
          <w:szCs w:val="20"/>
        </w:rPr>
      </w:pPr>
    </w:p>
    <w:p w14:paraId="3EBBFE04" w14:textId="77777777" w:rsidR="007F54B8" w:rsidRPr="00321E9C" w:rsidRDefault="007F54B8" w:rsidP="001B68AD">
      <w:pPr>
        <w:pStyle w:val="Nbodyindentinput"/>
        <w:widowControl/>
        <w:numPr>
          <w:ilvl w:val="0"/>
          <w:numId w:val="22"/>
        </w:numPr>
        <w:spacing w:before="0"/>
        <w:rPr>
          <w:rFonts w:ascii="Times New Roman" w:hAnsi="Times New Roman"/>
        </w:rPr>
      </w:pPr>
      <w:r w:rsidRPr="00321E9C">
        <w:rPr>
          <w:rFonts w:ascii="Times New Roman" w:hAnsi="Times New Roman"/>
        </w:rPr>
        <w:t>USD$500,000 in cash;</w:t>
      </w:r>
    </w:p>
    <w:p w14:paraId="4D0CC1E9" w14:textId="77777777" w:rsidR="007F54B8" w:rsidRPr="00321E9C" w:rsidRDefault="007F54B8" w:rsidP="001B68AD">
      <w:pPr>
        <w:pStyle w:val="Nbodyindentinput"/>
        <w:widowControl/>
        <w:numPr>
          <w:ilvl w:val="0"/>
          <w:numId w:val="22"/>
        </w:numPr>
        <w:spacing w:before="0"/>
        <w:rPr>
          <w:rFonts w:ascii="Times New Roman" w:hAnsi="Times New Roman"/>
        </w:rPr>
      </w:pPr>
      <w:r w:rsidRPr="00321E9C">
        <w:rPr>
          <w:rFonts w:ascii="Times New Roman" w:hAnsi="Times New Roman"/>
        </w:rPr>
        <w:t>50,000,000 common shares of the Company at a deemed issue price of $0.25 per share; and</w:t>
      </w:r>
    </w:p>
    <w:p w14:paraId="7D77E2AE" w14:textId="77777777" w:rsidR="007F54B8" w:rsidRPr="00321E9C" w:rsidRDefault="007F54B8" w:rsidP="001B68AD">
      <w:pPr>
        <w:pStyle w:val="Nbodyindentinput"/>
        <w:widowControl/>
        <w:numPr>
          <w:ilvl w:val="0"/>
          <w:numId w:val="22"/>
        </w:numPr>
        <w:spacing w:before="0"/>
        <w:rPr>
          <w:rFonts w:ascii="Times New Roman" w:hAnsi="Times New Roman"/>
        </w:rPr>
      </w:pPr>
      <w:r w:rsidRPr="00321E9C">
        <w:rPr>
          <w:rFonts w:ascii="Times New Roman" w:hAnsi="Times New Roman"/>
        </w:rPr>
        <w:t>A net smelter return (“NSR”) of 3% with respect to the Tassawini property, with the option to repurchase 1.5% of the NSR for a one-time payment of USD$3,000,000.</w:t>
      </w:r>
    </w:p>
    <w:p w14:paraId="7B4021A5" w14:textId="77777777" w:rsidR="007F54B8" w:rsidRPr="00321E9C" w:rsidRDefault="007F54B8" w:rsidP="007F54B8">
      <w:pPr>
        <w:pStyle w:val="Nbodyindentinput"/>
        <w:widowControl/>
        <w:spacing w:before="0"/>
        <w:rPr>
          <w:rFonts w:ascii="Times New Roman" w:hAnsi="Times New Roman"/>
        </w:rPr>
      </w:pPr>
    </w:p>
    <w:p w14:paraId="6657C1A2" w14:textId="77777777" w:rsidR="007F54B8" w:rsidRPr="00321E9C" w:rsidRDefault="007F54B8" w:rsidP="007F54B8">
      <w:pPr>
        <w:pStyle w:val="Nbodyindentinput"/>
        <w:widowControl/>
        <w:spacing w:before="0"/>
        <w:ind w:left="0"/>
        <w:rPr>
          <w:rFonts w:ascii="Times New Roman" w:hAnsi="Times New Roman"/>
        </w:rPr>
      </w:pPr>
      <w:r w:rsidRPr="00321E9C">
        <w:rPr>
          <w:rFonts w:ascii="Times New Roman" w:hAnsi="Times New Roman"/>
        </w:rPr>
        <w:t>Concurrent with the closing of the Transaction, the Company intends to complete a private placement for up to 5,000,000 units at a price of $0.25 per unit for gross proceeds of up to $1,250,000. Each unit is comprised of one common share and one half warrant with each full warrant being exercisable into one common share at $0.40 for one year.</w:t>
      </w:r>
    </w:p>
    <w:p w14:paraId="08EDC2DA" w14:textId="77777777" w:rsidR="007F54B8" w:rsidRPr="00E27F98" w:rsidRDefault="007F54B8" w:rsidP="001F6C4F">
      <w:pPr>
        <w:spacing w:after="240"/>
        <w:jc w:val="both"/>
        <w:rPr>
          <w:rFonts w:ascii="Arial" w:hAnsi="Arial" w:cs="Arial"/>
          <w:b/>
          <w:bCs/>
        </w:rPr>
      </w:pPr>
    </w:p>
    <w:p w14:paraId="7F0BF92F" w14:textId="77777777" w:rsidR="00E27F98" w:rsidRPr="00E27F98" w:rsidRDefault="00E27F98" w:rsidP="001F6C4F">
      <w:pPr>
        <w:spacing w:after="240"/>
        <w:jc w:val="both"/>
        <w:rPr>
          <w:rFonts w:ascii="Arial" w:hAnsi="Arial" w:cs="Arial"/>
          <w:b/>
          <w:bCs/>
          <w:sz w:val="24"/>
          <w:szCs w:val="24"/>
        </w:rPr>
      </w:pPr>
    </w:p>
    <w:p w14:paraId="3E3E43B8" w14:textId="46AAB33B" w:rsidR="0048706B" w:rsidRDefault="0048706B">
      <w:pPr>
        <w:pStyle w:val="List"/>
        <w:keepLines/>
        <w:spacing w:before="120"/>
        <w:ind w:left="0" w:firstLine="0"/>
        <w:rPr>
          <w:rFonts w:ascii="Arial" w:hAnsi="Arial"/>
          <w:b/>
        </w:rPr>
      </w:pPr>
      <w:r>
        <w:rPr>
          <w:rFonts w:ascii="Arial" w:hAnsi="Arial"/>
          <w:b/>
        </w:rPr>
        <w:t xml:space="preserve">Certificate </w:t>
      </w:r>
      <w:r w:rsidR="00E27F98">
        <w:rPr>
          <w:rFonts w:ascii="Arial" w:hAnsi="Arial"/>
          <w:b/>
        </w:rPr>
        <w:t>o</w:t>
      </w:r>
      <w:r>
        <w:rPr>
          <w:rFonts w:ascii="Arial" w:hAnsi="Arial"/>
          <w:b/>
        </w:rPr>
        <w:t>f Compliance</w:t>
      </w:r>
    </w:p>
    <w:p w14:paraId="75B8C015" w14:textId="77777777" w:rsidR="0048706B" w:rsidRDefault="0048706B">
      <w:pPr>
        <w:pStyle w:val="BodyText"/>
        <w:keepLines/>
        <w:rPr>
          <w:rFonts w:ascii="Arial" w:hAnsi="Arial"/>
        </w:rPr>
      </w:pPr>
      <w:r>
        <w:rPr>
          <w:rFonts w:ascii="Arial" w:hAnsi="Arial"/>
        </w:rPr>
        <w:t>The undersigned hereby certifies that:</w:t>
      </w:r>
    </w:p>
    <w:p w14:paraId="4BADE874" w14:textId="77777777" w:rsidR="0048706B" w:rsidRDefault="0048706B" w:rsidP="00D85827">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69BB89AC" w14:textId="77777777" w:rsidR="0048706B" w:rsidRDefault="0048706B" w:rsidP="00D85827">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5A9D7C06" w14:textId="77777777" w:rsidR="0048706B" w:rsidRDefault="0048706B" w:rsidP="00D85827">
      <w:pPr>
        <w:pStyle w:val="List"/>
        <w:numPr>
          <w:ilvl w:val="0"/>
          <w:numId w:val="1"/>
        </w:numPr>
        <w:jc w:val="both"/>
        <w:rPr>
          <w:rFonts w:ascii="Arial" w:hAnsi="Arial"/>
        </w:rPr>
      </w:pPr>
      <w:r>
        <w:rPr>
          <w:rFonts w:ascii="Arial" w:hAnsi="Arial"/>
        </w:rPr>
        <w:lastRenderedPageBreak/>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66ABEBA3" w14:textId="77777777" w:rsidR="0048706B" w:rsidRDefault="0048706B" w:rsidP="00D85827">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6C7BB6E9" w14:textId="0D126180" w:rsidR="0048706B" w:rsidRDefault="0048706B">
      <w:pPr>
        <w:pStyle w:val="BodyText"/>
        <w:tabs>
          <w:tab w:val="left" w:pos="4680"/>
          <w:tab w:val="left" w:pos="7200"/>
        </w:tabs>
        <w:spacing w:before="480"/>
        <w:jc w:val="both"/>
        <w:rPr>
          <w:rFonts w:ascii="Arial" w:hAnsi="Arial"/>
        </w:rPr>
      </w:pPr>
      <w:r w:rsidRPr="007F54B8">
        <w:rPr>
          <w:rFonts w:ascii="Arial" w:hAnsi="Arial"/>
        </w:rPr>
        <w:t xml:space="preserve">Dated </w:t>
      </w:r>
      <w:r w:rsidR="000E77EC" w:rsidRPr="007F54B8">
        <w:rPr>
          <w:rFonts w:ascii="Arial" w:hAnsi="Arial"/>
        </w:rPr>
        <w:t>Ju</w:t>
      </w:r>
      <w:r w:rsidR="00AB5E12" w:rsidRPr="007F54B8">
        <w:rPr>
          <w:rFonts w:ascii="Arial" w:hAnsi="Arial"/>
        </w:rPr>
        <w:t>ly 26</w:t>
      </w:r>
      <w:r w:rsidR="008008B5" w:rsidRPr="007F54B8">
        <w:rPr>
          <w:rFonts w:ascii="Arial" w:hAnsi="Arial"/>
        </w:rPr>
        <w:t>,2021</w:t>
      </w:r>
      <w:r>
        <w:rPr>
          <w:rFonts w:ascii="Arial" w:hAnsi="Arial"/>
          <w:u w:val="single"/>
        </w:rPr>
        <w:tab/>
      </w:r>
      <w:r>
        <w:rPr>
          <w:rFonts w:ascii="Arial" w:hAnsi="Arial"/>
        </w:rPr>
        <w:t>.</w:t>
      </w:r>
    </w:p>
    <w:p w14:paraId="6124FBA8" w14:textId="6F80718D" w:rsidR="0048706B" w:rsidRDefault="0048706B">
      <w:pPr>
        <w:pStyle w:val="List"/>
        <w:tabs>
          <w:tab w:val="left" w:pos="9180"/>
        </w:tabs>
        <w:ind w:left="5220" w:hanging="5760"/>
        <w:rPr>
          <w:rFonts w:ascii="Arial" w:hAnsi="Arial"/>
        </w:rPr>
      </w:pPr>
      <w:r>
        <w:rPr>
          <w:rFonts w:ascii="Arial" w:hAnsi="Arial"/>
        </w:rPr>
        <w:tab/>
      </w:r>
      <w:r w:rsidR="00AB2AD8">
        <w:rPr>
          <w:rFonts w:ascii="Arial" w:hAnsi="Arial"/>
        </w:rPr>
        <w:t>Ron Shenton</w:t>
      </w:r>
      <w:r>
        <w:rPr>
          <w:rFonts w:ascii="Arial" w:hAnsi="Arial"/>
          <w:u w:val="single"/>
        </w:rPr>
        <w:tab/>
      </w:r>
      <w:r>
        <w:rPr>
          <w:rFonts w:ascii="Arial" w:hAnsi="Arial"/>
          <w:u w:val="single"/>
        </w:rPr>
        <w:br/>
      </w:r>
      <w:r>
        <w:rPr>
          <w:rFonts w:ascii="Arial" w:hAnsi="Arial"/>
        </w:rPr>
        <w:t>Name of Director or Senior Officer</w:t>
      </w:r>
    </w:p>
    <w:p w14:paraId="62D75557" w14:textId="7E687BCA" w:rsidR="0048706B" w:rsidRDefault="0048706B">
      <w:pPr>
        <w:pStyle w:val="List"/>
        <w:tabs>
          <w:tab w:val="left" w:pos="9180"/>
          <w:tab w:val="left" w:pos="9360"/>
        </w:tabs>
        <w:ind w:left="5220" w:hanging="5220"/>
        <w:rPr>
          <w:rFonts w:ascii="Arial" w:hAnsi="Arial"/>
        </w:rPr>
      </w:pPr>
      <w:r>
        <w:rPr>
          <w:rFonts w:ascii="Arial" w:hAnsi="Arial"/>
        </w:rPr>
        <w:tab/>
      </w:r>
      <w:r w:rsidR="001F6C4F">
        <w:rPr>
          <w:rFonts w:ascii="Arial" w:hAnsi="Arial"/>
        </w:rPr>
        <w:t>/</w:t>
      </w:r>
      <w:r w:rsidR="00AB2AD8">
        <w:rPr>
          <w:rFonts w:ascii="Arial" w:hAnsi="Arial"/>
        </w:rPr>
        <w:t>Ron Shenton</w:t>
      </w:r>
      <w:r w:rsidR="001F6C4F">
        <w:rPr>
          <w:rFonts w:ascii="Arial" w:hAnsi="Arial"/>
        </w:rPr>
        <w:t>/</w:t>
      </w:r>
      <w:r>
        <w:rPr>
          <w:rFonts w:ascii="Arial" w:hAnsi="Arial"/>
          <w:u w:val="single"/>
        </w:rPr>
        <w:tab/>
      </w:r>
      <w:r>
        <w:rPr>
          <w:rFonts w:ascii="Arial" w:hAnsi="Arial"/>
        </w:rPr>
        <w:br/>
        <w:t>Signature</w:t>
      </w:r>
    </w:p>
    <w:p w14:paraId="424EF6D3" w14:textId="125DC2CA" w:rsidR="00C7177E" w:rsidRPr="00C7177E" w:rsidRDefault="00C7177E" w:rsidP="00C7177E">
      <w:pPr>
        <w:rPr>
          <w:color w:val="1F497D"/>
          <w:sz w:val="18"/>
          <w:szCs w:val="18"/>
          <w:lang w:eastAsia="en-CA"/>
        </w:rPr>
      </w:pPr>
      <w:r w:rsidRPr="00C7177E">
        <w:rPr>
          <w:rFonts w:ascii="Arial" w:hAnsi="Arial"/>
        </w:rPr>
        <w:t xml:space="preserve">                                                                                                    Chief Executive Officer</w:t>
      </w:r>
      <w:r w:rsidRPr="00C7177E">
        <w:rPr>
          <w:rFonts w:ascii="Arial" w:hAnsi="Arial"/>
        </w:rPr>
        <w:tab/>
      </w:r>
      <w:r w:rsidRPr="00C7177E">
        <w:rPr>
          <w:rFonts w:ascii="Arial" w:hAnsi="Arial"/>
        </w:rPr>
        <w:br/>
      </w:r>
    </w:p>
    <w:p w14:paraId="0961E66D" w14:textId="77777777" w:rsidR="00C7177E" w:rsidRDefault="00C7177E">
      <w:pPr>
        <w:pStyle w:val="List"/>
        <w:tabs>
          <w:tab w:val="left" w:pos="9180"/>
          <w:tab w:val="left" w:pos="9360"/>
        </w:tabs>
        <w:ind w:left="5220" w:hanging="5220"/>
        <w:rPr>
          <w:rFonts w:ascii="Arial" w:hAnsi="Arial"/>
        </w:rPr>
      </w:pPr>
    </w:p>
    <w:bookmarkEnd w:id="4"/>
    <w:p w14:paraId="79F1C75D" w14:textId="2B6A7158" w:rsidR="0048706B" w:rsidRDefault="0048706B">
      <w:pPr>
        <w:pStyle w:val="BodyText"/>
        <w:tabs>
          <w:tab w:val="left" w:pos="9180"/>
        </w:tabs>
        <w:ind w:left="5220"/>
        <w:rPr>
          <w:rFonts w:ascii="Arial" w:hAnsi="Arial"/>
        </w:rPr>
      </w:pPr>
    </w:p>
    <w:p w14:paraId="4B7A360B" w14:textId="77777777"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5ED432FB" w14:textId="77777777">
        <w:tc>
          <w:tcPr>
            <w:tcW w:w="5148" w:type="dxa"/>
            <w:tcBorders>
              <w:top w:val="single" w:sz="18" w:space="0" w:color="auto"/>
              <w:bottom w:val="nil"/>
              <w:right w:val="single" w:sz="18" w:space="0" w:color="auto"/>
            </w:tcBorders>
          </w:tcPr>
          <w:p w14:paraId="2A781632" w14:textId="77777777" w:rsidR="0048706B" w:rsidRDefault="0048706B">
            <w:pPr>
              <w:pStyle w:val="BodyText"/>
              <w:keepNext/>
              <w:keepLines/>
              <w:spacing w:before="0"/>
              <w:rPr>
                <w:rFonts w:ascii="Arial" w:hAnsi="Arial"/>
                <w:b/>
                <w:i/>
                <w:sz w:val="18"/>
              </w:rPr>
            </w:pPr>
            <w:r>
              <w:rPr>
                <w:rFonts w:ascii="Arial" w:hAnsi="Arial"/>
                <w:b/>
                <w:i/>
                <w:sz w:val="18"/>
              </w:rPr>
              <w:t>Issuer Details</w:t>
            </w:r>
          </w:p>
          <w:p w14:paraId="5BF8399B" w14:textId="77777777" w:rsidR="0048706B" w:rsidRDefault="0048706B">
            <w:pPr>
              <w:pStyle w:val="BodyText"/>
              <w:keepNext/>
              <w:keepLines/>
              <w:spacing w:before="0"/>
              <w:rPr>
                <w:rFonts w:ascii="Arial" w:hAnsi="Arial"/>
                <w:sz w:val="18"/>
              </w:rPr>
            </w:pPr>
            <w:r>
              <w:rPr>
                <w:rFonts w:ascii="Arial" w:hAnsi="Arial"/>
                <w:sz w:val="18"/>
              </w:rPr>
              <w:t>Name of Issuer</w:t>
            </w:r>
          </w:p>
          <w:p w14:paraId="5CC6C70C" w14:textId="77777777" w:rsidR="0048706B" w:rsidRDefault="001F6C4F">
            <w:pPr>
              <w:pStyle w:val="BodyText"/>
              <w:keepNext/>
              <w:keepLines/>
              <w:rPr>
                <w:rFonts w:ascii="Arial" w:hAnsi="Arial"/>
                <w:sz w:val="18"/>
              </w:rPr>
            </w:pPr>
            <w:r>
              <w:rPr>
                <w:rFonts w:ascii="Arial" w:hAnsi="Arial"/>
                <w:sz w:val="18"/>
              </w:rPr>
              <w:t>Project One Resources Ltd</w:t>
            </w:r>
          </w:p>
        </w:tc>
        <w:tc>
          <w:tcPr>
            <w:tcW w:w="1530" w:type="dxa"/>
            <w:tcBorders>
              <w:top w:val="single" w:sz="18" w:space="0" w:color="auto"/>
              <w:left w:val="single" w:sz="18" w:space="0" w:color="auto"/>
              <w:bottom w:val="nil"/>
              <w:right w:val="single" w:sz="18" w:space="0" w:color="auto"/>
            </w:tcBorders>
          </w:tcPr>
          <w:p w14:paraId="50CF0C19" w14:textId="77777777" w:rsidR="0048706B" w:rsidRDefault="0048706B">
            <w:pPr>
              <w:pStyle w:val="BodyText"/>
              <w:keepNext/>
              <w:keepLines/>
              <w:spacing w:before="0"/>
              <w:rPr>
                <w:rFonts w:ascii="Arial" w:hAnsi="Arial"/>
                <w:sz w:val="18"/>
              </w:rPr>
            </w:pPr>
            <w:r>
              <w:rPr>
                <w:rFonts w:ascii="Arial" w:hAnsi="Arial"/>
                <w:sz w:val="18"/>
              </w:rPr>
              <w:t>For  Quarter Ended</w:t>
            </w:r>
          </w:p>
          <w:p w14:paraId="320FF4C6" w14:textId="77777777" w:rsidR="001F6C4F" w:rsidRDefault="001F6C4F">
            <w:pPr>
              <w:pStyle w:val="BodyText"/>
              <w:keepNext/>
              <w:keepLines/>
              <w:spacing w:before="0"/>
              <w:rPr>
                <w:rFonts w:ascii="Arial" w:hAnsi="Arial"/>
                <w:sz w:val="18"/>
              </w:rPr>
            </w:pPr>
          </w:p>
          <w:p w14:paraId="292E13AB" w14:textId="5D03E0CC" w:rsidR="001F6C4F" w:rsidRDefault="000E77EC">
            <w:pPr>
              <w:pStyle w:val="BodyText"/>
              <w:keepNext/>
              <w:keepLines/>
              <w:spacing w:before="0"/>
              <w:rPr>
                <w:rFonts w:ascii="Arial" w:hAnsi="Arial"/>
                <w:sz w:val="18"/>
              </w:rPr>
            </w:pPr>
            <w:r>
              <w:rPr>
                <w:rFonts w:ascii="Arial" w:hAnsi="Arial"/>
                <w:sz w:val="18"/>
              </w:rPr>
              <w:t>May 31</w:t>
            </w:r>
            <w:r w:rsidR="002622C2">
              <w:rPr>
                <w:rFonts w:ascii="Arial" w:hAnsi="Arial"/>
                <w:sz w:val="18"/>
              </w:rPr>
              <w:t>, 2021</w:t>
            </w:r>
          </w:p>
        </w:tc>
        <w:tc>
          <w:tcPr>
            <w:tcW w:w="2898" w:type="dxa"/>
            <w:tcBorders>
              <w:top w:val="single" w:sz="18" w:space="0" w:color="auto"/>
              <w:left w:val="single" w:sz="18" w:space="0" w:color="auto"/>
              <w:bottom w:val="nil"/>
            </w:tcBorders>
          </w:tcPr>
          <w:p w14:paraId="67B54263" w14:textId="77777777" w:rsidR="0048706B" w:rsidRDefault="0048706B">
            <w:pPr>
              <w:pStyle w:val="BodyText"/>
              <w:keepNext/>
              <w:keepLines/>
              <w:spacing w:before="0"/>
              <w:rPr>
                <w:rFonts w:ascii="Arial" w:hAnsi="Arial"/>
                <w:sz w:val="18"/>
              </w:rPr>
            </w:pPr>
            <w:r>
              <w:rPr>
                <w:rFonts w:ascii="Arial" w:hAnsi="Arial"/>
                <w:sz w:val="18"/>
              </w:rPr>
              <w:t>Date of Report</w:t>
            </w:r>
          </w:p>
          <w:p w14:paraId="2FC0C3CE" w14:textId="77777777" w:rsidR="0048706B" w:rsidRDefault="0048706B">
            <w:pPr>
              <w:pStyle w:val="BodyText"/>
              <w:keepNext/>
              <w:keepLines/>
              <w:spacing w:before="0"/>
              <w:rPr>
                <w:rFonts w:ascii="Arial" w:hAnsi="Arial"/>
                <w:sz w:val="18"/>
              </w:rPr>
            </w:pPr>
            <w:r>
              <w:rPr>
                <w:rFonts w:ascii="Arial" w:hAnsi="Arial"/>
                <w:sz w:val="18"/>
              </w:rPr>
              <w:t>YY/MM/D</w:t>
            </w:r>
          </w:p>
          <w:p w14:paraId="112488A3" w14:textId="77777777" w:rsidR="001F6C4F" w:rsidRDefault="001F6C4F">
            <w:pPr>
              <w:pStyle w:val="BodyText"/>
              <w:keepNext/>
              <w:keepLines/>
              <w:spacing w:before="0"/>
              <w:rPr>
                <w:rFonts w:ascii="Arial" w:hAnsi="Arial"/>
                <w:sz w:val="18"/>
              </w:rPr>
            </w:pPr>
          </w:p>
          <w:p w14:paraId="419A7DAD" w14:textId="2E62BE87" w:rsidR="001F6C4F" w:rsidRDefault="001F6C4F">
            <w:pPr>
              <w:pStyle w:val="BodyText"/>
              <w:keepNext/>
              <w:keepLines/>
              <w:spacing w:before="0"/>
              <w:rPr>
                <w:rFonts w:ascii="Arial" w:hAnsi="Arial"/>
                <w:sz w:val="18"/>
              </w:rPr>
            </w:pPr>
            <w:r>
              <w:rPr>
                <w:rFonts w:ascii="Arial" w:hAnsi="Arial"/>
                <w:sz w:val="18"/>
              </w:rPr>
              <w:t>20</w:t>
            </w:r>
            <w:r w:rsidR="008008B5">
              <w:rPr>
                <w:rFonts w:ascii="Arial" w:hAnsi="Arial"/>
                <w:sz w:val="18"/>
              </w:rPr>
              <w:t>21/</w:t>
            </w:r>
            <w:r w:rsidR="000E77EC">
              <w:rPr>
                <w:rFonts w:ascii="Arial" w:hAnsi="Arial"/>
                <w:sz w:val="18"/>
              </w:rPr>
              <w:t>0</w:t>
            </w:r>
            <w:r w:rsidR="00AB5E12">
              <w:rPr>
                <w:rFonts w:ascii="Arial" w:hAnsi="Arial"/>
                <w:sz w:val="18"/>
              </w:rPr>
              <w:t>7/26</w:t>
            </w:r>
          </w:p>
        </w:tc>
      </w:tr>
      <w:tr w:rsidR="0048706B" w14:paraId="5C64119F" w14:textId="77777777">
        <w:trPr>
          <w:cantSplit/>
          <w:trHeight w:val="585"/>
        </w:trPr>
        <w:tc>
          <w:tcPr>
            <w:tcW w:w="9576" w:type="dxa"/>
            <w:gridSpan w:val="3"/>
            <w:tcBorders>
              <w:top w:val="single" w:sz="18" w:space="0" w:color="auto"/>
              <w:bottom w:val="single" w:sz="18" w:space="0" w:color="auto"/>
            </w:tcBorders>
          </w:tcPr>
          <w:p w14:paraId="0DB4BEEC" w14:textId="77777777" w:rsidR="0048706B" w:rsidRDefault="0048706B">
            <w:pPr>
              <w:pStyle w:val="BodyText"/>
              <w:keepNext/>
              <w:keepLines/>
              <w:spacing w:before="0"/>
              <w:rPr>
                <w:rFonts w:ascii="Arial" w:hAnsi="Arial"/>
                <w:sz w:val="18"/>
              </w:rPr>
            </w:pPr>
            <w:r>
              <w:rPr>
                <w:rFonts w:ascii="Arial" w:hAnsi="Arial"/>
                <w:sz w:val="18"/>
              </w:rPr>
              <w:t>Issuer Address</w:t>
            </w:r>
          </w:p>
          <w:p w14:paraId="6A0D2140" w14:textId="77777777" w:rsidR="0048706B" w:rsidRDefault="0048706B">
            <w:pPr>
              <w:pStyle w:val="BodyText"/>
              <w:keepNext/>
              <w:keepLines/>
              <w:spacing w:before="0"/>
              <w:rPr>
                <w:rFonts w:ascii="Arial" w:hAnsi="Arial"/>
                <w:sz w:val="18"/>
              </w:rPr>
            </w:pPr>
          </w:p>
          <w:p w14:paraId="14C172F6" w14:textId="3BF5C405" w:rsidR="0048706B" w:rsidRDefault="00C7177E">
            <w:pPr>
              <w:pStyle w:val="BodyText"/>
              <w:keepNext/>
              <w:keepLines/>
              <w:spacing w:before="0"/>
              <w:rPr>
                <w:rFonts w:ascii="Arial" w:hAnsi="Arial"/>
                <w:sz w:val="18"/>
              </w:rPr>
            </w:pPr>
            <w:r>
              <w:rPr>
                <w:rFonts w:ascii="Arial" w:hAnsi="Arial"/>
                <w:sz w:val="18"/>
              </w:rPr>
              <w:t>#1710-1177 West Hastings Street</w:t>
            </w:r>
          </w:p>
        </w:tc>
      </w:tr>
      <w:tr w:rsidR="0048706B" w14:paraId="20A2960F" w14:textId="77777777">
        <w:tc>
          <w:tcPr>
            <w:tcW w:w="5148" w:type="dxa"/>
            <w:tcBorders>
              <w:top w:val="single" w:sz="18" w:space="0" w:color="auto"/>
              <w:bottom w:val="single" w:sz="18" w:space="0" w:color="auto"/>
              <w:right w:val="single" w:sz="18" w:space="0" w:color="auto"/>
            </w:tcBorders>
          </w:tcPr>
          <w:p w14:paraId="0604DAD4" w14:textId="77777777" w:rsidR="0048706B" w:rsidRDefault="0048706B">
            <w:pPr>
              <w:pStyle w:val="BodyText"/>
              <w:keepNext/>
              <w:keepLines/>
              <w:spacing w:before="0"/>
              <w:rPr>
                <w:rFonts w:ascii="Arial" w:hAnsi="Arial"/>
                <w:sz w:val="18"/>
              </w:rPr>
            </w:pPr>
            <w:r>
              <w:rPr>
                <w:rFonts w:ascii="Arial" w:hAnsi="Arial"/>
                <w:sz w:val="18"/>
              </w:rPr>
              <w:t>City/Province/Postal Code</w:t>
            </w:r>
          </w:p>
          <w:p w14:paraId="034BB73C" w14:textId="77777777" w:rsidR="0048706B" w:rsidRDefault="0048706B">
            <w:pPr>
              <w:pStyle w:val="BodyText"/>
              <w:keepNext/>
              <w:keepLines/>
              <w:spacing w:before="0"/>
              <w:rPr>
                <w:rFonts w:ascii="Arial" w:hAnsi="Arial"/>
                <w:sz w:val="18"/>
              </w:rPr>
            </w:pPr>
          </w:p>
          <w:p w14:paraId="0AC11F77" w14:textId="66DCDFCF" w:rsidR="0048706B" w:rsidRDefault="001F6C4F">
            <w:pPr>
              <w:pStyle w:val="BodyText"/>
              <w:keepNext/>
              <w:keepLines/>
              <w:spacing w:before="0"/>
              <w:rPr>
                <w:rFonts w:ascii="Arial" w:hAnsi="Arial"/>
                <w:sz w:val="18"/>
              </w:rPr>
            </w:pPr>
            <w:r>
              <w:rPr>
                <w:rFonts w:ascii="Arial" w:hAnsi="Arial"/>
                <w:sz w:val="18"/>
              </w:rPr>
              <w:t>Vancouver, BC, V6</w:t>
            </w:r>
            <w:r w:rsidR="00C7177E">
              <w:rPr>
                <w:rFonts w:ascii="Arial" w:hAnsi="Arial"/>
                <w:sz w:val="18"/>
              </w:rPr>
              <w:t>E 2L3</w:t>
            </w:r>
          </w:p>
          <w:p w14:paraId="2DE0C138"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22615987" w14:textId="77777777" w:rsidR="0048706B" w:rsidRDefault="0048706B">
            <w:pPr>
              <w:pStyle w:val="BodyText"/>
              <w:keepNext/>
              <w:keepLines/>
              <w:spacing w:before="0"/>
              <w:rPr>
                <w:rFonts w:ascii="Arial" w:hAnsi="Arial"/>
                <w:sz w:val="18"/>
              </w:rPr>
            </w:pPr>
            <w:r>
              <w:rPr>
                <w:rFonts w:ascii="Arial" w:hAnsi="Arial"/>
                <w:sz w:val="18"/>
              </w:rPr>
              <w:t>Issuer Fax No.</w:t>
            </w:r>
          </w:p>
          <w:p w14:paraId="0BB4529F" w14:textId="77777777"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14:paraId="1FD24CEE" w14:textId="77777777" w:rsidR="0048706B" w:rsidRDefault="0048706B">
            <w:pPr>
              <w:pStyle w:val="BodyText"/>
              <w:keepNext/>
              <w:keepLines/>
              <w:spacing w:before="0"/>
              <w:rPr>
                <w:rFonts w:ascii="Arial" w:hAnsi="Arial"/>
                <w:sz w:val="18"/>
              </w:rPr>
            </w:pPr>
            <w:r>
              <w:rPr>
                <w:rFonts w:ascii="Arial" w:hAnsi="Arial"/>
                <w:sz w:val="18"/>
              </w:rPr>
              <w:t>Issuer Telephone No.</w:t>
            </w:r>
          </w:p>
          <w:p w14:paraId="61DE1A44" w14:textId="77777777" w:rsidR="0048706B" w:rsidRDefault="0048706B">
            <w:pPr>
              <w:pStyle w:val="BodyText"/>
              <w:keepNext/>
              <w:keepLines/>
              <w:spacing w:before="0"/>
              <w:rPr>
                <w:rFonts w:ascii="Arial" w:hAnsi="Arial"/>
                <w:sz w:val="18"/>
              </w:rPr>
            </w:pPr>
            <w:r>
              <w:rPr>
                <w:rFonts w:ascii="Arial" w:hAnsi="Arial"/>
                <w:sz w:val="18"/>
              </w:rPr>
              <w:t xml:space="preserve">(  </w:t>
            </w:r>
            <w:r w:rsidR="001F6C4F">
              <w:rPr>
                <w:rFonts w:ascii="Arial" w:hAnsi="Arial"/>
                <w:sz w:val="18"/>
              </w:rPr>
              <w:t>604</w:t>
            </w:r>
            <w:r>
              <w:rPr>
                <w:rFonts w:ascii="Arial" w:hAnsi="Arial"/>
                <w:sz w:val="18"/>
              </w:rPr>
              <w:t xml:space="preserve">   )</w:t>
            </w:r>
            <w:r w:rsidR="001F6C4F">
              <w:rPr>
                <w:rFonts w:ascii="Arial" w:hAnsi="Arial"/>
                <w:sz w:val="18"/>
              </w:rPr>
              <w:t xml:space="preserve"> 825-2995</w:t>
            </w:r>
          </w:p>
        </w:tc>
      </w:tr>
      <w:tr w:rsidR="0048706B" w14:paraId="71D78680" w14:textId="77777777">
        <w:tc>
          <w:tcPr>
            <w:tcW w:w="5148" w:type="dxa"/>
            <w:tcBorders>
              <w:top w:val="single" w:sz="18" w:space="0" w:color="auto"/>
              <w:bottom w:val="single" w:sz="18" w:space="0" w:color="auto"/>
              <w:right w:val="single" w:sz="18" w:space="0" w:color="auto"/>
            </w:tcBorders>
          </w:tcPr>
          <w:p w14:paraId="18637619" w14:textId="77777777" w:rsidR="0048706B" w:rsidRDefault="0048706B">
            <w:pPr>
              <w:pStyle w:val="BodyText"/>
              <w:keepNext/>
              <w:keepLines/>
              <w:spacing w:before="0"/>
              <w:rPr>
                <w:rFonts w:ascii="Arial" w:hAnsi="Arial"/>
                <w:sz w:val="18"/>
              </w:rPr>
            </w:pPr>
            <w:r>
              <w:rPr>
                <w:rFonts w:ascii="Arial" w:hAnsi="Arial"/>
                <w:sz w:val="18"/>
              </w:rPr>
              <w:t>Contact Name</w:t>
            </w:r>
          </w:p>
          <w:p w14:paraId="3AB65CD9" w14:textId="77777777" w:rsidR="001F6C4F" w:rsidRDefault="001F6C4F">
            <w:pPr>
              <w:pStyle w:val="BodyText"/>
              <w:keepNext/>
              <w:keepLines/>
              <w:spacing w:before="0"/>
              <w:rPr>
                <w:rFonts w:ascii="Arial" w:hAnsi="Arial"/>
                <w:sz w:val="18"/>
              </w:rPr>
            </w:pPr>
          </w:p>
          <w:p w14:paraId="0114BA6A" w14:textId="77777777" w:rsidR="0048706B" w:rsidRDefault="001F6C4F">
            <w:pPr>
              <w:pStyle w:val="BodyText"/>
              <w:keepNext/>
              <w:keepLines/>
              <w:spacing w:before="0"/>
              <w:rPr>
                <w:rFonts w:ascii="Arial" w:hAnsi="Arial"/>
                <w:sz w:val="18"/>
              </w:rPr>
            </w:pPr>
            <w:r>
              <w:rPr>
                <w:rFonts w:ascii="Arial" w:hAnsi="Arial"/>
                <w:sz w:val="18"/>
              </w:rPr>
              <w:t>Ron Shenton</w:t>
            </w:r>
          </w:p>
          <w:p w14:paraId="13403639"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216CE7A6" w14:textId="77777777" w:rsidR="0048706B" w:rsidRDefault="0048706B">
            <w:pPr>
              <w:pStyle w:val="BodyText"/>
              <w:keepNext/>
              <w:keepLines/>
              <w:spacing w:before="0"/>
              <w:rPr>
                <w:rFonts w:ascii="Arial" w:hAnsi="Arial"/>
                <w:sz w:val="18"/>
              </w:rPr>
            </w:pPr>
            <w:r>
              <w:rPr>
                <w:rFonts w:ascii="Arial" w:hAnsi="Arial"/>
                <w:sz w:val="18"/>
              </w:rPr>
              <w:t>Contact Position</w:t>
            </w:r>
          </w:p>
          <w:p w14:paraId="69FFA075" w14:textId="77777777" w:rsidR="001F6C4F" w:rsidRDefault="001F6C4F">
            <w:pPr>
              <w:pStyle w:val="BodyText"/>
              <w:keepNext/>
              <w:keepLines/>
              <w:spacing w:before="0"/>
              <w:rPr>
                <w:rFonts w:ascii="Arial" w:hAnsi="Arial"/>
                <w:sz w:val="18"/>
              </w:rPr>
            </w:pPr>
          </w:p>
          <w:p w14:paraId="0EBBA633" w14:textId="77777777" w:rsidR="001F6C4F" w:rsidRDefault="001F6C4F">
            <w:pPr>
              <w:pStyle w:val="BodyText"/>
              <w:keepNext/>
              <w:keepLines/>
              <w:spacing w:before="0"/>
              <w:rPr>
                <w:rFonts w:ascii="Arial" w:hAnsi="Arial"/>
                <w:sz w:val="18"/>
              </w:rPr>
            </w:pPr>
            <w:r>
              <w:rPr>
                <w:rFonts w:ascii="Arial" w:hAnsi="Arial"/>
                <w:sz w:val="18"/>
              </w:rPr>
              <w:t>CEO</w:t>
            </w:r>
          </w:p>
        </w:tc>
        <w:tc>
          <w:tcPr>
            <w:tcW w:w="2898" w:type="dxa"/>
            <w:tcBorders>
              <w:top w:val="single" w:sz="18" w:space="0" w:color="auto"/>
              <w:left w:val="single" w:sz="18" w:space="0" w:color="auto"/>
              <w:bottom w:val="single" w:sz="18" w:space="0" w:color="auto"/>
            </w:tcBorders>
          </w:tcPr>
          <w:p w14:paraId="4FE3ADB8" w14:textId="77777777" w:rsidR="0048706B" w:rsidRDefault="0048706B">
            <w:pPr>
              <w:pStyle w:val="BodyText"/>
              <w:keepNext/>
              <w:keepLines/>
              <w:spacing w:before="0"/>
              <w:rPr>
                <w:rFonts w:ascii="Arial" w:hAnsi="Arial"/>
                <w:sz w:val="18"/>
              </w:rPr>
            </w:pPr>
            <w:r>
              <w:rPr>
                <w:rFonts w:ascii="Arial" w:hAnsi="Arial"/>
                <w:sz w:val="18"/>
              </w:rPr>
              <w:t>Contact Telephone No.</w:t>
            </w:r>
          </w:p>
          <w:p w14:paraId="6C8C58B6" w14:textId="77777777" w:rsidR="001F6C4F" w:rsidRDefault="001F6C4F">
            <w:pPr>
              <w:pStyle w:val="BodyText"/>
              <w:keepNext/>
              <w:keepLines/>
              <w:spacing w:before="0"/>
              <w:rPr>
                <w:rFonts w:ascii="Arial" w:hAnsi="Arial"/>
                <w:sz w:val="18"/>
              </w:rPr>
            </w:pPr>
          </w:p>
          <w:p w14:paraId="5F343B65" w14:textId="77777777" w:rsidR="001F6C4F" w:rsidRDefault="001F6C4F">
            <w:pPr>
              <w:pStyle w:val="BodyText"/>
              <w:keepNext/>
              <w:keepLines/>
              <w:spacing w:before="0"/>
              <w:rPr>
                <w:rFonts w:ascii="Arial" w:hAnsi="Arial"/>
                <w:sz w:val="18"/>
              </w:rPr>
            </w:pPr>
            <w:r>
              <w:rPr>
                <w:rFonts w:ascii="Arial" w:hAnsi="Arial"/>
                <w:sz w:val="18"/>
              </w:rPr>
              <w:t>604-825-2995</w:t>
            </w:r>
          </w:p>
        </w:tc>
      </w:tr>
      <w:tr w:rsidR="0048706B" w14:paraId="38D054D8" w14:textId="77777777">
        <w:trPr>
          <w:cantSplit/>
          <w:trHeight w:val="648"/>
        </w:trPr>
        <w:tc>
          <w:tcPr>
            <w:tcW w:w="5148" w:type="dxa"/>
            <w:tcBorders>
              <w:top w:val="single" w:sz="18" w:space="0" w:color="auto"/>
              <w:bottom w:val="single" w:sz="18" w:space="0" w:color="auto"/>
              <w:right w:val="single" w:sz="18" w:space="0" w:color="auto"/>
            </w:tcBorders>
          </w:tcPr>
          <w:p w14:paraId="744FE385" w14:textId="77777777" w:rsidR="0048706B" w:rsidRDefault="0048706B">
            <w:pPr>
              <w:pStyle w:val="BodyText"/>
              <w:keepNext/>
              <w:keepLines/>
              <w:spacing w:before="0"/>
              <w:rPr>
                <w:rFonts w:ascii="Arial" w:hAnsi="Arial"/>
                <w:sz w:val="18"/>
              </w:rPr>
            </w:pPr>
            <w:r>
              <w:rPr>
                <w:rFonts w:ascii="Arial" w:hAnsi="Arial"/>
                <w:sz w:val="18"/>
              </w:rPr>
              <w:t>Contact Email Address</w:t>
            </w:r>
          </w:p>
          <w:p w14:paraId="37D84B72" w14:textId="77777777" w:rsidR="0048706B" w:rsidRDefault="0048706B">
            <w:pPr>
              <w:pStyle w:val="BodyText"/>
              <w:keepNext/>
              <w:keepLines/>
              <w:spacing w:before="0"/>
              <w:rPr>
                <w:rFonts w:ascii="Arial" w:hAnsi="Arial"/>
                <w:sz w:val="18"/>
              </w:rPr>
            </w:pPr>
          </w:p>
          <w:p w14:paraId="7FD31E11" w14:textId="77777777" w:rsidR="0048706B" w:rsidRDefault="00824A97">
            <w:pPr>
              <w:pStyle w:val="BodyText"/>
              <w:keepNext/>
              <w:keepLines/>
              <w:spacing w:before="0"/>
              <w:rPr>
                <w:rFonts w:ascii="Arial" w:hAnsi="Arial"/>
                <w:sz w:val="18"/>
              </w:rPr>
            </w:pPr>
            <w:r>
              <w:rPr>
                <w:rFonts w:ascii="Arial" w:hAnsi="Arial"/>
                <w:sz w:val="18"/>
              </w:rPr>
              <w:t>projectone@telus.net</w:t>
            </w:r>
          </w:p>
        </w:tc>
        <w:tc>
          <w:tcPr>
            <w:tcW w:w="4428" w:type="dxa"/>
            <w:gridSpan w:val="2"/>
            <w:tcBorders>
              <w:top w:val="single" w:sz="18" w:space="0" w:color="auto"/>
              <w:left w:val="single" w:sz="18" w:space="0" w:color="auto"/>
              <w:bottom w:val="single" w:sz="18" w:space="0" w:color="auto"/>
            </w:tcBorders>
          </w:tcPr>
          <w:p w14:paraId="61356138" w14:textId="77777777" w:rsidR="0048706B" w:rsidRDefault="0048706B">
            <w:pPr>
              <w:pStyle w:val="BodyText"/>
              <w:keepNext/>
              <w:keepLines/>
              <w:spacing w:before="0"/>
              <w:rPr>
                <w:rFonts w:ascii="Arial" w:hAnsi="Arial"/>
                <w:sz w:val="18"/>
              </w:rPr>
            </w:pPr>
            <w:r>
              <w:rPr>
                <w:rFonts w:ascii="Arial" w:hAnsi="Arial"/>
                <w:sz w:val="18"/>
              </w:rPr>
              <w:t>Web Site Address</w:t>
            </w:r>
          </w:p>
          <w:p w14:paraId="57DF82AD" w14:textId="77777777" w:rsidR="001F6C4F" w:rsidRDefault="001F6C4F">
            <w:pPr>
              <w:pStyle w:val="BodyText"/>
              <w:keepNext/>
              <w:keepLines/>
              <w:spacing w:before="0"/>
              <w:rPr>
                <w:rFonts w:ascii="Arial" w:hAnsi="Arial"/>
                <w:sz w:val="18"/>
              </w:rPr>
            </w:pPr>
          </w:p>
          <w:p w14:paraId="34A4FED1" w14:textId="77777777" w:rsidR="0048706B" w:rsidRDefault="001F6C4F">
            <w:pPr>
              <w:pStyle w:val="BodyText"/>
              <w:keepNext/>
              <w:keepLines/>
              <w:spacing w:before="0"/>
              <w:rPr>
                <w:rFonts w:ascii="Arial" w:hAnsi="Arial"/>
                <w:sz w:val="18"/>
              </w:rPr>
            </w:pPr>
            <w:r w:rsidRPr="001F6C4F">
              <w:rPr>
                <w:rFonts w:ascii="Arial" w:hAnsi="Arial"/>
                <w:sz w:val="18"/>
              </w:rPr>
              <w:t>https://p1r.ca</w:t>
            </w:r>
          </w:p>
        </w:tc>
      </w:tr>
    </w:tbl>
    <w:p w14:paraId="2B53AFCC" w14:textId="77777777" w:rsidR="0048706B" w:rsidRDefault="0048706B">
      <w:pPr>
        <w:pStyle w:val="BodyText"/>
      </w:pPr>
    </w:p>
    <w:sectPr w:rsidR="0048706B">
      <w:headerReference w:type="even" r:id="rId22"/>
      <w:headerReference w:type="default" r:id="rId23"/>
      <w:footerReference w:type="default" r:id="rId24"/>
      <w:footerReference w:type="first" r:id="rId25"/>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A476" w14:textId="77777777" w:rsidR="005125F7" w:rsidRDefault="005125F7">
      <w:r>
        <w:separator/>
      </w:r>
    </w:p>
  </w:endnote>
  <w:endnote w:type="continuationSeparator" w:id="0">
    <w:p w14:paraId="27DE26F2" w14:textId="77777777" w:rsidR="005125F7" w:rsidRDefault="0051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CONA F+ Times New Roman PSM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96ED" w14:textId="77777777" w:rsidR="007F54B8" w:rsidRDefault="007F54B8" w:rsidP="00797DA9">
    <w:pPr>
      <w:pStyle w:val="Footer"/>
      <w:tabs>
        <w:tab w:val="clear" w:pos="4320"/>
        <w:tab w:val="clear" w:pos="8640"/>
      </w:tabs>
      <w:jc w:val="center"/>
      <w:rPr>
        <w:rStyle w:val="PageNumber"/>
        <w:sz w:val="16"/>
        <w:szCs w:val="16"/>
      </w:rPr>
    </w:pPr>
  </w:p>
  <w:p w14:paraId="3FD2CC5A" w14:textId="77777777" w:rsidR="007F54B8" w:rsidRDefault="007F54B8" w:rsidP="008730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70E3" w14:textId="77777777" w:rsidR="007F54B8" w:rsidRDefault="007F54B8" w:rsidP="008730DC">
    <w:pPr>
      <w:pStyle w:val="Footer"/>
      <w:tabs>
        <w:tab w:val="clear" w:pos="4320"/>
        <w:tab w:val="clear" w:pos="8640"/>
      </w:tabs>
      <w:ind w:right="180"/>
      <w:jc w:val="center"/>
      <w:rPr>
        <w:rFonts w:cs="Arial"/>
      </w:rPr>
    </w:pPr>
    <w:r w:rsidRPr="00655F3A">
      <w:rPr>
        <w:rFonts w:cs="Arial"/>
      </w:rPr>
      <w:t xml:space="preserve">The accompanying notes are an integral part of these </w:t>
    </w:r>
    <w:r>
      <w:rPr>
        <w:rFonts w:cs="Arial"/>
      </w:rPr>
      <w:t xml:space="preserve">condensed interim </w:t>
    </w:r>
    <w:r w:rsidRPr="00655F3A">
      <w:rPr>
        <w:rFonts w:cs="Arial"/>
      </w:rPr>
      <w:t>financial statements.</w:t>
    </w:r>
  </w:p>
  <w:p w14:paraId="671F75A7" w14:textId="77777777" w:rsidR="007F54B8" w:rsidRPr="008730DC" w:rsidRDefault="007F54B8" w:rsidP="008730DC">
    <w:pPr>
      <w:pStyle w:val="Footer"/>
      <w:tabs>
        <w:tab w:val="clear" w:pos="4320"/>
        <w:tab w:val="clear" w:pos="8640"/>
      </w:tabs>
      <w:ind w:right="180"/>
      <w:jc w:val="center"/>
      <w:rPr>
        <w:rFonts w:cs="Arial"/>
        <w:sz w:val="16"/>
        <w:szCs w:val="16"/>
      </w:rPr>
    </w:pPr>
  </w:p>
  <w:p w14:paraId="3CF1628E" w14:textId="77777777" w:rsidR="007F54B8" w:rsidRDefault="007F54B8" w:rsidP="008730DC">
    <w:pPr>
      <w:pStyle w:val="Footer"/>
      <w:tabs>
        <w:tab w:val="clear" w:pos="4320"/>
        <w:tab w:val="clear" w:pos="8640"/>
      </w:tabs>
      <w:jc w:val="center"/>
      <w:rPr>
        <w:rStyle w:val="PageNumber"/>
        <w:sz w:val="16"/>
        <w:szCs w:val="16"/>
      </w:rPr>
    </w:pPr>
    <w:r>
      <w:rPr>
        <w:rStyle w:val="PageNumber"/>
        <w:sz w:val="16"/>
        <w:szCs w:val="16"/>
      </w:rPr>
      <w:t>2</w:t>
    </w:r>
  </w:p>
  <w:p w14:paraId="135EC817" w14:textId="77777777" w:rsidR="007F54B8" w:rsidRDefault="007F54B8" w:rsidP="008730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BFFF" w14:textId="77777777" w:rsidR="007F54B8" w:rsidRDefault="007F54B8" w:rsidP="008730DC">
    <w:pPr>
      <w:pStyle w:val="Footer"/>
      <w:tabs>
        <w:tab w:val="clear" w:pos="4320"/>
        <w:tab w:val="clear" w:pos="8640"/>
      </w:tabs>
      <w:jc w:val="center"/>
      <w:rPr>
        <w:rFonts w:cs="Arial"/>
      </w:rPr>
    </w:pPr>
    <w:r w:rsidRPr="00655F3A">
      <w:rPr>
        <w:rFonts w:cs="Arial"/>
      </w:rPr>
      <w:t xml:space="preserve">The accompanying notes are an integral part of these </w:t>
    </w:r>
    <w:r>
      <w:rPr>
        <w:rFonts w:cs="Arial"/>
      </w:rPr>
      <w:t xml:space="preserve">condensed interim </w:t>
    </w:r>
    <w:r w:rsidRPr="00655F3A">
      <w:rPr>
        <w:rFonts w:cs="Arial"/>
      </w:rPr>
      <w:t>financial statements.</w:t>
    </w:r>
  </w:p>
  <w:p w14:paraId="6565585A" w14:textId="77777777" w:rsidR="007F54B8" w:rsidRPr="00655F3A" w:rsidRDefault="007F54B8" w:rsidP="00211401">
    <w:pPr>
      <w:pStyle w:val="Footer"/>
      <w:ind w:right="180"/>
      <w:jc w:val="center"/>
      <w:rPr>
        <w:rFonts w:cs="Arial"/>
      </w:rPr>
    </w:pPr>
  </w:p>
  <w:p w14:paraId="7BFB4FCE" w14:textId="77777777" w:rsidR="007F54B8" w:rsidRDefault="007F54B8" w:rsidP="003C0706">
    <w:pPr>
      <w:pStyle w:val="Footer"/>
      <w:jc w:val="center"/>
      <w:rPr>
        <w:rStyle w:val="PageNumber"/>
        <w:sz w:val="16"/>
        <w:szCs w:val="16"/>
      </w:rPr>
    </w:pPr>
    <w:r>
      <w:rPr>
        <w:rStyle w:val="PageNumber"/>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2294" w14:textId="77777777" w:rsidR="007F54B8" w:rsidRDefault="007F54B8" w:rsidP="008730DC">
    <w:pPr>
      <w:pStyle w:val="Footer"/>
      <w:tabs>
        <w:tab w:val="clear" w:pos="4320"/>
        <w:tab w:val="clear" w:pos="8640"/>
      </w:tabs>
      <w:jc w:val="center"/>
      <w:rPr>
        <w:rFonts w:cs="Arial"/>
      </w:rPr>
    </w:pPr>
    <w:r w:rsidRPr="00655F3A">
      <w:rPr>
        <w:rFonts w:cs="Arial"/>
      </w:rPr>
      <w:t>The accompanying notes are an integral part of these</w:t>
    </w:r>
    <w:r>
      <w:rPr>
        <w:rFonts w:cs="Arial"/>
      </w:rPr>
      <w:t xml:space="preserve"> condensed interim</w:t>
    </w:r>
    <w:r w:rsidRPr="00655F3A">
      <w:rPr>
        <w:rFonts w:cs="Arial"/>
      </w:rPr>
      <w:t xml:space="preserve"> financial statements.</w:t>
    </w:r>
  </w:p>
  <w:p w14:paraId="1D2B717E" w14:textId="77777777" w:rsidR="007F54B8" w:rsidRPr="00655F3A" w:rsidRDefault="007F54B8" w:rsidP="00211401">
    <w:pPr>
      <w:pStyle w:val="Footer"/>
      <w:ind w:right="180"/>
      <w:jc w:val="center"/>
      <w:rPr>
        <w:rFonts w:cs="Arial"/>
      </w:rPr>
    </w:pPr>
  </w:p>
  <w:p w14:paraId="26ADAD91" w14:textId="77777777" w:rsidR="007F54B8" w:rsidRDefault="007F54B8" w:rsidP="003C0706">
    <w:pPr>
      <w:pStyle w:val="Footer"/>
      <w:jc w:val="center"/>
      <w:rPr>
        <w:rStyle w:val="PageNumber"/>
        <w:sz w:val="16"/>
        <w:szCs w:val="16"/>
      </w:rPr>
    </w:pPr>
    <w:r>
      <w:rPr>
        <w:rStyle w:val="PageNumber"/>
        <w:sz w:val="16"/>
        <w:szCs w:val="16"/>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78F" w14:textId="77777777" w:rsidR="007F54B8" w:rsidRDefault="007F54B8" w:rsidP="008730DC">
    <w:pPr>
      <w:pStyle w:val="Footer"/>
      <w:tabs>
        <w:tab w:val="clear" w:pos="4320"/>
        <w:tab w:val="clear" w:pos="8640"/>
      </w:tabs>
      <w:jc w:val="center"/>
      <w:rPr>
        <w:sz w:val="16"/>
        <w:szCs w:val="16"/>
      </w:rPr>
    </w:pPr>
  </w:p>
  <w:p w14:paraId="1E0C0FFA" w14:textId="77777777" w:rsidR="007F54B8" w:rsidRDefault="007F54B8" w:rsidP="00BD77B5">
    <w:pPr>
      <w:pStyle w:val="Footer"/>
      <w:tabs>
        <w:tab w:val="clear" w:pos="4320"/>
        <w:tab w:val="clear" w:pos="8640"/>
      </w:tabs>
      <w:jc w:val="center"/>
      <w:rPr>
        <w:rFonts w:cs="Arial"/>
      </w:rPr>
    </w:pPr>
    <w:r w:rsidRPr="00655F3A">
      <w:rPr>
        <w:rFonts w:cs="Arial"/>
      </w:rPr>
      <w:t>The accompanying notes are an integral part of these</w:t>
    </w:r>
    <w:r>
      <w:rPr>
        <w:rFonts w:cs="Arial"/>
      </w:rPr>
      <w:t xml:space="preserve"> condensed interim</w:t>
    </w:r>
    <w:r w:rsidRPr="00655F3A">
      <w:rPr>
        <w:rFonts w:cs="Arial"/>
      </w:rPr>
      <w:t xml:space="preserve"> financial statements.</w:t>
    </w:r>
  </w:p>
  <w:p w14:paraId="4FCDBA5E" w14:textId="77777777" w:rsidR="007F54B8" w:rsidRPr="00655F3A" w:rsidRDefault="007F54B8" w:rsidP="00BD77B5">
    <w:pPr>
      <w:pStyle w:val="Footer"/>
      <w:ind w:right="180"/>
      <w:jc w:val="center"/>
      <w:rPr>
        <w:rFonts w:cs="Arial"/>
      </w:rPr>
    </w:pPr>
  </w:p>
  <w:p w14:paraId="22738C1B" w14:textId="77777777" w:rsidR="007F54B8" w:rsidRDefault="007F54B8" w:rsidP="00BD77B5">
    <w:pPr>
      <w:pStyle w:val="Footer"/>
      <w:jc w:val="center"/>
      <w:rPr>
        <w:rStyle w:val="PageNumber"/>
        <w:sz w:val="16"/>
        <w:szCs w:val="16"/>
      </w:rPr>
    </w:pPr>
    <w:r>
      <w:rPr>
        <w:rStyle w:val="PageNumber"/>
        <w:sz w:val="16"/>
        <w:szCs w:val="16"/>
      </w:rPr>
      <w:t>5</w:t>
    </w:r>
  </w:p>
  <w:p w14:paraId="45D2A71F" w14:textId="77777777" w:rsidR="007F54B8" w:rsidRPr="008730DC" w:rsidRDefault="007F54B8" w:rsidP="00F27536">
    <w:pPr>
      <w:pStyle w:val="Footer"/>
      <w:tabs>
        <w:tab w:val="clear" w:pos="4320"/>
        <w:tab w:val="clear" w:pos="8640"/>
      </w:tabs>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A92A" w14:textId="77777777" w:rsidR="001B5FEC" w:rsidRDefault="001B5FEC" w:rsidP="00CF12A2">
    <w:pPr>
      <w:pStyle w:val="Footer"/>
      <w:tabs>
        <w:tab w:val="clear" w:pos="8640"/>
        <w:tab w:val="left" w:pos="6930"/>
        <w:tab w:val="right" w:pos="9360"/>
      </w:tabs>
      <w:rPr>
        <w:sz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4F27" w14:textId="77777777" w:rsidR="001B5FEC" w:rsidRDefault="001B5FEC">
    <w:pPr>
      <w:pStyle w:val="Footer"/>
      <w:tabs>
        <w:tab w:val="clear" w:pos="4320"/>
        <w:tab w:val="clear" w:pos="8640"/>
        <w:tab w:val="center" w:pos="4680"/>
        <w:tab w:val="right" w:pos="9360"/>
      </w:tabs>
      <w:rPr>
        <w:b/>
      </w:rPr>
    </w:pPr>
    <w:r>
      <w:rPr>
        <w:noProof/>
        <w:lang w:val="en-CA" w:eastAsia="en-CA"/>
      </w:rPr>
      <w:drawing>
        <wp:anchor distT="0" distB="0" distL="114300" distR="114300" simplePos="0" relativeHeight="251656704" behindDoc="0" locked="0" layoutInCell="1" allowOverlap="1" wp14:anchorId="05F46515" wp14:editId="0BD6957F">
          <wp:simplePos x="0" y="0"/>
          <wp:positionH relativeFrom="column">
            <wp:posOffset>36195</wp:posOffset>
          </wp:positionH>
          <wp:positionV relativeFrom="paragraph">
            <wp:posOffset>152400</wp:posOffset>
          </wp:positionV>
          <wp:extent cx="1085850" cy="4197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3E2C4490" w14:textId="77777777" w:rsidR="001B5FEC" w:rsidRDefault="001B5FEC">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231EBD3" wp14:editId="1030CA7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FB163"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tab/>
    </w:r>
    <w:r>
      <w:rPr>
        <w:rFonts w:ascii="Arial" w:hAnsi="Arial" w:cs="Arial"/>
        <w:b/>
      </w:rPr>
      <w:t>FORM 5 – QUARTERLY QUOTATION STATEMENT</w:t>
    </w:r>
    <w:r>
      <w:rPr>
        <w:rFonts w:ascii="Arial" w:hAnsi="Arial" w:cs="Arial"/>
        <w:b/>
      </w:rPr>
      <w:tab/>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Pr>
        <w:rStyle w:val="PageNumber"/>
        <w:rFonts w:ascii="Arial" w:hAnsi="Arial" w:cs="Arial"/>
        <w:b/>
        <w:noProof/>
      </w:rPr>
      <w:t>1</w:t>
    </w:r>
    <w:r>
      <w:rPr>
        <w:rStyle w:val="PageNumber"/>
        <w:rFonts w:ascii="Arial" w:hAnsi="Arial" w:cs="Arial"/>
        <w:b/>
      </w:rPr>
      <w:fldChar w:fldCharType="end"/>
    </w:r>
  </w:p>
  <w:p w14:paraId="434F2766" w14:textId="77777777" w:rsidR="001B5FEC" w:rsidRDefault="001B5FEC">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4EA73AC9" w14:textId="77777777" w:rsidR="001B5FEC" w:rsidRDefault="001B5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30A5" w14:textId="77777777" w:rsidR="005125F7" w:rsidRDefault="005125F7">
      <w:r>
        <w:separator/>
      </w:r>
    </w:p>
  </w:footnote>
  <w:footnote w:type="continuationSeparator" w:id="0">
    <w:p w14:paraId="6E44E671" w14:textId="77777777" w:rsidR="005125F7" w:rsidRDefault="0051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B494" w14:textId="77777777" w:rsidR="007F54B8" w:rsidRDefault="007F54B8">
    <w:pPr>
      <w:pStyle w:val="Header"/>
    </w:pPr>
    <w:r>
      <w:rPr>
        <w:noProof/>
        <w:lang w:val="en-CA" w:eastAsia="zh-CN"/>
      </w:rPr>
      <mc:AlternateContent>
        <mc:Choice Requires="wps">
          <w:drawing>
            <wp:anchor distT="0" distB="0" distL="114300" distR="114300" simplePos="0" relativeHeight="251666944" behindDoc="1" locked="0" layoutInCell="0" allowOverlap="1" wp14:anchorId="5AA460BF" wp14:editId="6F205E8B">
              <wp:simplePos x="0" y="0"/>
              <wp:positionH relativeFrom="margin">
                <wp:align>center</wp:align>
              </wp:positionH>
              <wp:positionV relativeFrom="margin">
                <wp:align>center</wp:align>
              </wp:positionV>
              <wp:extent cx="5985510" cy="2393950"/>
              <wp:effectExtent l="0" t="1619250" r="0" b="1311275"/>
              <wp:wrapNone/>
              <wp:docPr id="16"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408744" w14:textId="77777777" w:rsidR="007F54B8" w:rsidRDefault="007F54B8"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A460BF" id="_x0000_t202" coordsize="21600,21600" o:spt="202" path="m,l,21600r21600,l21600,xe">
              <v:stroke joinstyle="miter"/>
              <v:path gradientshapeok="t" o:connecttype="rect"/>
            </v:shapetype>
            <v:shape id="WordArt 25" o:spid="_x0000_s1026" type="#_x0000_t202" style="position:absolute;margin-left:0;margin-top:0;width:471.3pt;height:188.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cjgRUAQCAADr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5E408744" w14:textId="77777777" w:rsidR="007F54B8" w:rsidRDefault="007F54B8"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60800" behindDoc="1" locked="0" layoutInCell="0" allowOverlap="1" wp14:anchorId="47D7EE8F" wp14:editId="41E7CBBA">
              <wp:simplePos x="0" y="0"/>
              <wp:positionH relativeFrom="margin">
                <wp:align>center</wp:align>
              </wp:positionH>
              <wp:positionV relativeFrom="margin">
                <wp:align>center</wp:align>
              </wp:positionV>
              <wp:extent cx="5985510" cy="2393950"/>
              <wp:effectExtent l="0" t="1619250" r="0" b="1311275"/>
              <wp:wrapNone/>
              <wp:docPr id="1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315192" w14:textId="77777777" w:rsidR="007F54B8" w:rsidRDefault="007F54B8"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D7EE8F" id="WordArt 8" o:spid="_x0000_s1027" type="#_x0000_t202" style="position:absolute;margin-left:0;margin-top:0;width:471.3pt;height:188.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Hq+SMMFAgAA8Q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3D315192" w14:textId="77777777" w:rsidR="007F54B8" w:rsidRDefault="007F54B8"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E249" w14:textId="77777777" w:rsidR="001B5FEC" w:rsidRDefault="001B5F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44EB8E" w14:textId="77777777" w:rsidR="001B5FEC" w:rsidRDefault="001B5FE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7A9D" w14:textId="77777777" w:rsidR="001B5FEC" w:rsidRDefault="001B5FEC">
    <w:pPr>
      <w:pStyle w:val="Header"/>
      <w:framePr w:wrap="around" w:vAnchor="text" w:hAnchor="margin" w:xAlign="center" w:y="1"/>
      <w:rPr>
        <w:rStyle w:val="PageNumber"/>
        <w:sz w:val="24"/>
      </w:rPr>
    </w:pPr>
  </w:p>
  <w:p w14:paraId="095FA4DE" w14:textId="77777777" w:rsidR="001B5FEC" w:rsidRDefault="001B5FEC">
    <w:pPr>
      <w:pStyle w:val="Header"/>
      <w:tabs>
        <w:tab w:val="clear" w:pos="8640"/>
        <w:tab w:val="right" w:pos="7830"/>
      </w:tabs>
      <w:jc w:val="right"/>
      <w:rPr>
        <w:sz w:val="24"/>
      </w:rPr>
    </w:pPr>
  </w:p>
  <w:p w14:paraId="3544853B" w14:textId="77777777" w:rsidR="001B5FEC" w:rsidRDefault="001B5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1BC6" w14:textId="77777777" w:rsidR="007F54B8" w:rsidRPr="00520C45" w:rsidRDefault="007F54B8" w:rsidP="00A600FE">
    <w:pPr>
      <w:pStyle w:val="Header"/>
      <w:tabs>
        <w:tab w:val="clear" w:pos="4320"/>
        <w:tab w:val="clear" w:pos="8640"/>
      </w:tabs>
    </w:pPr>
  </w:p>
  <w:p w14:paraId="11D272AB" w14:textId="77777777" w:rsidR="007F54B8" w:rsidRPr="00DC0EC9" w:rsidRDefault="007F54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630E" w14:textId="77777777" w:rsidR="007F54B8" w:rsidRDefault="007F54B8">
    <w:pPr>
      <w:pStyle w:val="Header"/>
    </w:pPr>
    <w:r>
      <w:rPr>
        <w:noProof/>
        <w:lang w:val="en-CA" w:eastAsia="zh-CN"/>
      </w:rPr>
      <mc:AlternateContent>
        <mc:Choice Requires="wps">
          <w:drawing>
            <wp:anchor distT="0" distB="0" distL="114300" distR="114300" simplePos="0" relativeHeight="251665920" behindDoc="1" locked="0" layoutInCell="0" allowOverlap="1" wp14:anchorId="747F67FF" wp14:editId="56C5A223">
              <wp:simplePos x="0" y="0"/>
              <wp:positionH relativeFrom="margin">
                <wp:align>center</wp:align>
              </wp:positionH>
              <wp:positionV relativeFrom="margin">
                <wp:align>center</wp:align>
              </wp:positionV>
              <wp:extent cx="5985510" cy="2393950"/>
              <wp:effectExtent l="0" t="1619250" r="0" b="1311275"/>
              <wp:wrapNone/>
              <wp:docPr id="14"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38710D" w14:textId="77777777" w:rsidR="007F54B8" w:rsidRDefault="007F54B8"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7F67FF" id="_x0000_t202" coordsize="21600,21600" o:spt="202" path="m,l,21600r21600,l21600,xe">
              <v:stroke joinstyle="miter"/>
              <v:path gradientshapeok="t" o:connecttype="rect"/>
            </v:shapetype>
            <v:shape id="WordArt 24" o:spid="_x0000_s1028" type="#_x0000_t202" style="position:absolute;margin-left:0;margin-top:0;width:471.3pt;height:188.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B5QSb0IAgAA8g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0238710D" w14:textId="77777777" w:rsidR="007F54B8" w:rsidRDefault="007F54B8"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59776" behindDoc="1" locked="0" layoutInCell="0" allowOverlap="1" wp14:anchorId="76EA0655" wp14:editId="0B01E11F">
              <wp:simplePos x="0" y="0"/>
              <wp:positionH relativeFrom="margin">
                <wp:align>center</wp:align>
              </wp:positionH>
              <wp:positionV relativeFrom="margin">
                <wp:align>center</wp:align>
              </wp:positionV>
              <wp:extent cx="5985510" cy="2393950"/>
              <wp:effectExtent l="0" t="1619250" r="0" b="1311275"/>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E7F045" w14:textId="77777777" w:rsidR="007F54B8" w:rsidRDefault="007F54B8"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EA0655" id="WordArt 7" o:spid="_x0000_s1029" type="#_x0000_t202" style="position:absolute;margin-left:0;margin-top:0;width:471.3pt;height:188.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AnM3at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5E7F045" w14:textId="77777777" w:rsidR="007F54B8" w:rsidRDefault="007F54B8"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15FA" w14:textId="77777777" w:rsidR="007F54B8" w:rsidRDefault="007F54B8">
    <w:pPr>
      <w:pStyle w:val="Header"/>
    </w:pPr>
    <w:r>
      <w:rPr>
        <w:noProof/>
        <w:lang w:val="en-CA" w:eastAsia="zh-CN"/>
      </w:rPr>
      <mc:AlternateContent>
        <mc:Choice Requires="wps">
          <w:drawing>
            <wp:anchor distT="0" distB="0" distL="114300" distR="114300" simplePos="0" relativeHeight="251668992" behindDoc="1" locked="0" layoutInCell="0" allowOverlap="1" wp14:anchorId="622607A6" wp14:editId="68005DA5">
              <wp:simplePos x="0" y="0"/>
              <wp:positionH relativeFrom="margin">
                <wp:align>center</wp:align>
              </wp:positionH>
              <wp:positionV relativeFrom="margin">
                <wp:align>center</wp:align>
              </wp:positionV>
              <wp:extent cx="5985510" cy="2393950"/>
              <wp:effectExtent l="0" t="1619250" r="0" b="1311275"/>
              <wp:wrapNone/>
              <wp:docPr id="12"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24602C" w14:textId="77777777" w:rsidR="007F54B8" w:rsidRDefault="007F54B8"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2607A6" id="_x0000_t202" coordsize="21600,21600" o:spt="202" path="m,l,21600r21600,l21600,xe">
              <v:stroke joinstyle="miter"/>
              <v:path gradientshapeok="t" o:connecttype="rect"/>
            </v:shapetype>
            <v:shape id="WordArt 28" o:spid="_x0000_s1030" type="#_x0000_t202" style="position:absolute;margin-left:0;margin-top:0;width:471.3pt;height:188.5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ywsAcCAADy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2224602C" w14:textId="77777777" w:rsidR="007F54B8" w:rsidRDefault="007F54B8"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62848" behindDoc="1" locked="0" layoutInCell="0" allowOverlap="1" wp14:anchorId="711563D2" wp14:editId="5CA36A2C">
              <wp:simplePos x="0" y="0"/>
              <wp:positionH relativeFrom="margin">
                <wp:align>center</wp:align>
              </wp:positionH>
              <wp:positionV relativeFrom="margin">
                <wp:align>center</wp:align>
              </wp:positionV>
              <wp:extent cx="5985510" cy="2393950"/>
              <wp:effectExtent l="0" t="1619250" r="0" b="1311275"/>
              <wp:wrapNone/>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6CA01E" w14:textId="77777777" w:rsidR="007F54B8" w:rsidRDefault="007F54B8"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1563D2" id="WordArt 11" o:spid="_x0000_s1031" type="#_x0000_t202" style="position:absolute;margin-left:0;margin-top:0;width:471.3pt;height:188.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w/DlFwcCAADy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1A6CA01E" w14:textId="77777777" w:rsidR="007F54B8" w:rsidRDefault="007F54B8"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5B0C" w14:textId="77777777" w:rsidR="007F54B8" w:rsidRPr="00BC5D26" w:rsidRDefault="007F54B8" w:rsidP="00DC0EC9">
    <w:pPr>
      <w:pStyle w:val="Header"/>
      <w:tabs>
        <w:tab w:val="clear" w:pos="4320"/>
        <w:tab w:val="clear"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63A8" w14:textId="77777777" w:rsidR="007F54B8" w:rsidRDefault="007F54B8">
    <w:pPr>
      <w:pStyle w:val="Header"/>
    </w:pPr>
    <w:r>
      <w:rPr>
        <w:noProof/>
        <w:lang w:val="en-CA" w:eastAsia="zh-CN"/>
      </w:rPr>
      <mc:AlternateContent>
        <mc:Choice Requires="wps">
          <w:drawing>
            <wp:anchor distT="0" distB="0" distL="114300" distR="114300" simplePos="0" relativeHeight="251667968" behindDoc="1" locked="0" layoutInCell="0" allowOverlap="1" wp14:anchorId="042CEFA2" wp14:editId="4AF1BE91">
              <wp:simplePos x="0" y="0"/>
              <wp:positionH relativeFrom="margin">
                <wp:align>center</wp:align>
              </wp:positionH>
              <wp:positionV relativeFrom="margin">
                <wp:align>center</wp:align>
              </wp:positionV>
              <wp:extent cx="5985510" cy="2393950"/>
              <wp:effectExtent l="0" t="1619250" r="0" b="1311275"/>
              <wp:wrapNone/>
              <wp:docPr id="10"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86662D" w14:textId="77777777" w:rsidR="007F54B8" w:rsidRDefault="007F54B8"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2CEFA2" id="_x0000_t202" coordsize="21600,21600" o:spt="202" path="m,l,21600r21600,l21600,xe">
              <v:stroke joinstyle="miter"/>
              <v:path gradientshapeok="t" o:connecttype="rect"/>
            </v:shapetype>
            <v:shape id="WordArt 27" o:spid="_x0000_s1032" type="#_x0000_t202" style="position:absolute;margin-left:0;margin-top:0;width:471.3pt;height:188.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CloiAcBgIAAPI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4E86662D" w14:textId="77777777" w:rsidR="007F54B8" w:rsidRDefault="007F54B8"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61824" behindDoc="1" locked="0" layoutInCell="0" allowOverlap="1" wp14:anchorId="37289AAA" wp14:editId="2BC24B5E">
              <wp:simplePos x="0" y="0"/>
              <wp:positionH relativeFrom="margin">
                <wp:align>center</wp:align>
              </wp:positionH>
              <wp:positionV relativeFrom="margin">
                <wp:align>center</wp:align>
              </wp:positionV>
              <wp:extent cx="5985510" cy="2393950"/>
              <wp:effectExtent l="0" t="1619250" r="0" b="1311275"/>
              <wp:wrapNone/>
              <wp:docPr id="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765B83" w14:textId="77777777" w:rsidR="007F54B8" w:rsidRDefault="007F54B8"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289AAA" id="WordArt 10" o:spid="_x0000_s1033"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zvoTSAcCAADx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56765B83" w14:textId="77777777" w:rsidR="007F54B8" w:rsidRDefault="007F54B8"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A69D" w14:textId="77777777" w:rsidR="007F54B8" w:rsidRDefault="007F54B8">
    <w:pPr>
      <w:pStyle w:val="Header"/>
    </w:pPr>
    <w:r>
      <w:rPr>
        <w:noProof/>
        <w:lang w:val="en-CA" w:eastAsia="zh-CN"/>
      </w:rPr>
      <mc:AlternateContent>
        <mc:Choice Requires="wps">
          <w:drawing>
            <wp:anchor distT="0" distB="0" distL="114300" distR="114300" simplePos="0" relativeHeight="251671040" behindDoc="1" locked="0" layoutInCell="0" allowOverlap="1" wp14:anchorId="57D2264B" wp14:editId="34140096">
              <wp:simplePos x="0" y="0"/>
              <wp:positionH relativeFrom="margin">
                <wp:align>center</wp:align>
              </wp:positionH>
              <wp:positionV relativeFrom="margin">
                <wp:align>center</wp:align>
              </wp:positionV>
              <wp:extent cx="5985510" cy="2393950"/>
              <wp:effectExtent l="0" t="1619250" r="0" b="1311275"/>
              <wp:wrapNone/>
              <wp:docPr id="2"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904C66" w14:textId="77777777" w:rsidR="007F54B8" w:rsidRDefault="007F54B8"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D2264B" id="_x0000_t202" coordsize="21600,21600" o:spt="202" path="m,l,21600r21600,l21600,xe">
              <v:stroke joinstyle="miter"/>
              <v:path gradientshapeok="t" o:connecttype="rect"/>
            </v:shapetype>
            <v:shape id="WordArt 34" o:spid="_x0000_s1034" type="#_x0000_t202" style="position:absolute;margin-left:0;margin-top:0;width:471.3pt;height:188.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0OekbwcCAADx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71904C66" w14:textId="77777777" w:rsidR="007F54B8" w:rsidRDefault="007F54B8"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64896" behindDoc="1" locked="0" layoutInCell="0" allowOverlap="1" wp14:anchorId="7E673F33" wp14:editId="59F07705">
              <wp:simplePos x="0" y="0"/>
              <wp:positionH relativeFrom="margin">
                <wp:align>center</wp:align>
              </wp:positionH>
              <wp:positionV relativeFrom="margin">
                <wp:align>center</wp:align>
              </wp:positionV>
              <wp:extent cx="5985510" cy="2393950"/>
              <wp:effectExtent l="0" t="1619250" r="0" b="1311275"/>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98B4F9" w14:textId="77777777" w:rsidR="007F54B8" w:rsidRDefault="007F54B8"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673F33" id="WordArt 17" o:spid="_x0000_s1035" type="#_x0000_t202" style="position:absolute;margin-left:0;margin-top:0;width:471.3pt;height:188.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na5CPAcCAADx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0998B4F9" w14:textId="77777777" w:rsidR="007F54B8" w:rsidRDefault="007F54B8"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8DAA" w14:textId="77777777" w:rsidR="007F54B8" w:rsidRDefault="007F54B8">
    <w:pPr>
      <w:ind w:left="712" w:hanging="712"/>
      <w:rPr>
        <w:rFonts w:cs="Arial"/>
        <w:lang w:val="en-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B8E9" w14:textId="77777777" w:rsidR="007F54B8" w:rsidRDefault="007F54B8">
    <w:pPr>
      <w:pStyle w:val="Header"/>
    </w:pPr>
    <w:r>
      <w:rPr>
        <w:noProof/>
        <w:lang w:val="en-CA" w:eastAsia="zh-CN"/>
      </w:rPr>
      <mc:AlternateContent>
        <mc:Choice Requires="wps">
          <w:drawing>
            <wp:anchor distT="0" distB="0" distL="114300" distR="114300" simplePos="0" relativeHeight="251670016" behindDoc="1" locked="0" layoutInCell="0" allowOverlap="1" wp14:anchorId="7912DF71" wp14:editId="6412F014">
              <wp:simplePos x="0" y="0"/>
              <wp:positionH relativeFrom="margin">
                <wp:align>center</wp:align>
              </wp:positionH>
              <wp:positionV relativeFrom="margin">
                <wp:align>center</wp:align>
              </wp:positionV>
              <wp:extent cx="5985510" cy="2393950"/>
              <wp:effectExtent l="0" t="1619250" r="0" b="1311275"/>
              <wp:wrapNone/>
              <wp:docPr id="5"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DF4148" w14:textId="77777777" w:rsidR="007F54B8" w:rsidRDefault="007F54B8"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12DF71" id="_x0000_t202" coordsize="21600,21600" o:spt="202" path="m,l,21600r21600,l21600,xe">
              <v:stroke joinstyle="miter"/>
              <v:path gradientshapeok="t" o:connecttype="rect"/>
            </v:shapetype>
            <v:shape id="WordArt 33" o:spid="_x0000_s1036" type="#_x0000_t202" style="position:absolute;margin-left:0;margin-top:0;width:471.3pt;height:188.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JiOVicIAgAA8g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78DF4148" w14:textId="77777777" w:rsidR="007F54B8" w:rsidRDefault="007F54B8"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63872" behindDoc="1" locked="0" layoutInCell="0" allowOverlap="1" wp14:anchorId="45911D2F" wp14:editId="6B197FD2">
              <wp:simplePos x="0" y="0"/>
              <wp:positionH relativeFrom="margin">
                <wp:align>center</wp:align>
              </wp:positionH>
              <wp:positionV relativeFrom="margin">
                <wp:align>center</wp:align>
              </wp:positionV>
              <wp:extent cx="5985510" cy="2393950"/>
              <wp:effectExtent l="0" t="1619250" r="0" b="1311275"/>
              <wp:wrapNone/>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B20C3F" w14:textId="77777777" w:rsidR="007F54B8" w:rsidRDefault="007F54B8"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911D2F" id="WordArt 16" o:spid="_x0000_s1037" type="#_x0000_t202" style="position:absolute;margin-left:0;margin-top:0;width:471.3pt;height:188.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OKIixwcCAADy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30B20C3F" w14:textId="77777777" w:rsidR="007F54B8" w:rsidRDefault="007F54B8" w:rsidP="003A4A87">
                    <w:pPr>
                      <w:jc w:val="center"/>
                      <w:rPr>
                        <w:sz w:val="24"/>
                      </w:rPr>
                    </w:pPr>
                    <w:r>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44"/>
    <w:multiLevelType w:val="multilevel"/>
    <w:tmpl w:val="2934191E"/>
    <w:lvl w:ilvl="0">
      <w:start w:val="7"/>
      <w:numFmt w:val="decimal"/>
      <w:lvlText w:val="%1."/>
      <w:lvlJc w:val="left"/>
      <w:pPr>
        <w:tabs>
          <w:tab w:val="num" w:pos="720"/>
        </w:tabs>
        <w:ind w:left="720" w:hanging="720"/>
      </w:pPr>
      <w:rPr>
        <w:rFonts w:ascii="Times New Roman" w:hAnsi="Times New Roman" w:cs="Times New Roman" w:hint="default"/>
        <w:b/>
        <w:i w:val="0"/>
        <w:color w:val="auto"/>
        <w:sz w:val="22"/>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1570A43"/>
    <w:multiLevelType w:val="multilevel"/>
    <w:tmpl w:val="364C7F08"/>
    <w:lvl w:ilvl="0">
      <w:start w:val="4"/>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287"/>
        </w:tabs>
        <w:ind w:left="1287"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CB4638"/>
    <w:multiLevelType w:val="multilevel"/>
    <w:tmpl w:val="364C7F08"/>
    <w:lvl w:ilvl="0">
      <w:start w:val="4"/>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0D4535C"/>
    <w:multiLevelType w:val="multilevel"/>
    <w:tmpl w:val="66EA996A"/>
    <w:lvl w:ilvl="0">
      <w:start w:val="2"/>
      <w:numFmt w:val="decimal"/>
      <w:lvlText w:val="%1."/>
      <w:lvlJc w:val="left"/>
      <w:pPr>
        <w:tabs>
          <w:tab w:val="num" w:pos="720"/>
        </w:tabs>
        <w:ind w:left="720" w:hanging="720"/>
      </w:pPr>
      <w:rPr>
        <w:rFonts w:ascii="Times New Roman" w:hAnsi="Times New Roman" w:cs="Times New Roman" w:hint="default"/>
        <w:b/>
        <w:i w:val="0"/>
        <w:color w:val="auto"/>
        <w:sz w:val="22"/>
        <w:szCs w:val="22"/>
      </w:rPr>
    </w:lvl>
    <w:lvl w:ilvl="1">
      <w:start w:val="1"/>
      <w:numFmt w:val="lowerLetter"/>
      <w:lvlText w:val="(%2)"/>
      <w:lvlJc w:val="left"/>
      <w:pPr>
        <w:tabs>
          <w:tab w:val="num" w:pos="1440"/>
        </w:tabs>
        <w:ind w:left="1440" w:hanging="720"/>
      </w:pPr>
      <w:rPr>
        <w:rFonts w:ascii="Times New Roman" w:hAnsi="Times New Roman" w:cs="Times New Roman" w:hint="default"/>
        <w:b w:val="0"/>
        <w:i w:val="0"/>
        <w:sz w:val="22"/>
        <w:szCs w:val="22"/>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5" w15:restartNumberingAfterBreak="0">
    <w:nsid w:val="194D4957"/>
    <w:multiLevelType w:val="multilevel"/>
    <w:tmpl w:val="94B68C0C"/>
    <w:lvl w:ilvl="0">
      <w:start w:val="2"/>
      <w:numFmt w:val="decimal"/>
      <w:lvlText w:val="%1."/>
      <w:lvlJc w:val="left"/>
      <w:pPr>
        <w:tabs>
          <w:tab w:val="num" w:pos="720"/>
        </w:tabs>
        <w:ind w:left="720" w:hanging="720"/>
      </w:pPr>
      <w:rPr>
        <w:rFonts w:ascii="Times New Roman" w:hAnsi="Times New Roman" w:cs="Times New Roman" w:hint="default"/>
        <w:b/>
        <w:i w:val="0"/>
        <w:color w:val="auto"/>
        <w:sz w:val="22"/>
        <w:szCs w:val="22"/>
      </w:rPr>
    </w:lvl>
    <w:lvl w:ilvl="1">
      <w:start w:val="1"/>
      <w:numFmt w:val="lowerLetter"/>
      <w:lvlText w:val="(%2)"/>
      <w:lvlJc w:val="left"/>
      <w:pPr>
        <w:tabs>
          <w:tab w:val="num" w:pos="1440"/>
        </w:tabs>
        <w:ind w:left="1440" w:hanging="720"/>
      </w:pPr>
      <w:rPr>
        <w:rFonts w:ascii="Times New Roman" w:hAnsi="Times New Roman" w:cs="Times New Roman" w:hint="default"/>
        <w:b w:val="0"/>
        <w:i w:val="0"/>
        <w:sz w:val="22"/>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3B0DBD"/>
    <w:multiLevelType w:val="multilevel"/>
    <w:tmpl w:val="09A8E282"/>
    <w:lvl w:ilvl="0">
      <w:start w:val="2"/>
      <w:numFmt w:val="decimal"/>
      <w:lvlText w:val="%1."/>
      <w:lvlJc w:val="left"/>
      <w:pPr>
        <w:tabs>
          <w:tab w:val="num" w:pos="720"/>
        </w:tabs>
        <w:ind w:left="720" w:hanging="720"/>
      </w:pPr>
      <w:rPr>
        <w:rFonts w:ascii="Times New Roman" w:hAnsi="Times New Roman" w:cs="Times New Roman" w:hint="default"/>
        <w:b/>
        <w:i w:val="0"/>
        <w:color w:val="auto"/>
        <w:sz w:val="22"/>
        <w:szCs w:val="22"/>
      </w:rPr>
    </w:lvl>
    <w:lvl w:ilvl="1">
      <w:start w:val="2"/>
      <w:numFmt w:val="lowerLetter"/>
      <w:lvlText w:val="(%2)"/>
      <w:lvlJc w:val="left"/>
      <w:pPr>
        <w:tabs>
          <w:tab w:val="num" w:pos="1440"/>
        </w:tabs>
        <w:ind w:left="1440" w:hanging="720"/>
      </w:pPr>
      <w:rPr>
        <w:rFonts w:ascii="Times New Roman" w:hAnsi="Times New Roman" w:cs="Times New Roman" w:hint="default"/>
        <w:b w:val="0"/>
        <w:i w:val="0"/>
        <w:sz w:val="22"/>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0DB202E"/>
    <w:multiLevelType w:val="multilevel"/>
    <w:tmpl w:val="4BBE1AFC"/>
    <w:lvl w:ilvl="0">
      <w:start w:val="4"/>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Times New Roman" w:hAnsi="Times New Roman" w:cs="Times New Roman" w:hint="default"/>
        <w:b w:val="0"/>
        <w:i w:val="0"/>
        <w:sz w:val="22"/>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2D748B9"/>
    <w:multiLevelType w:val="hybridMultilevel"/>
    <w:tmpl w:val="6112586A"/>
    <w:lvl w:ilvl="0" w:tplc="9D94B21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10" w15:restartNumberingAfterBreak="0">
    <w:nsid w:val="2C7129AF"/>
    <w:multiLevelType w:val="multilevel"/>
    <w:tmpl w:val="46522C72"/>
    <w:lvl w:ilvl="0">
      <w:start w:val="2"/>
      <w:numFmt w:val="decimal"/>
      <w:lvlText w:val="%1."/>
      <w:lvlJc w:val="left"/>
      <w:pPr>
        <w:tabs>
          <w:tab w:val="num" w:pos="720"/>
        </w:tabs>
        <w:ind w:left="720" w:hanging="720"/>
      </w:pPr>
      <w:rPr>
        <w:rFonts w:ascii="Arial" w:hAnsi="Arial" w:cs="Times New Roman"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1E0262B"/>
    <w:multiLevelType w:val="hybridMultilevel"/>
    <w:tmpl w:val="6F581F66"/>
    <w:lvl w:ilvl="0" w:tplc="656A034A">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DF725A"/>
    <w:multiLevelType w:val="multilevel"/>
    <w:tmpl w:val="1AB6352E"/>
    <w:lvl w:ilvl="0">
      <w:start w:val="3"/>
      <w:numFmt w:val="decimal"/>
      <w:lvlText w:val="%1."/>
      <w:lvlJc w:val="left"/>
      <w:pPr>
        <w:tabs>
          <w:tab w:val="num" w:pos="720"/>
        </w:tabs>
        <w:ind w:left="720" w:hanging="720"/>
      </w:pPr>
      <w:rPr>
        <w:rFonts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0A65A53"/>
    <w:multiLevelType w:val="multilevel"/>
    <w:tmpl w:val="2702F27A"/>
    <w:lvl w:ilvl="0">
      <w:start w:val="4"/>
      <w:numFmt w:val="decimal"/>
      <w:lvlText w:val="%1."/>
      <w:lvlJc w:val="left"/>
      <w:pPr>
        <w:tabs>
          <w:tab w:val="num" w:pos="720"/>
        </w:tabs>
        <w:ind w:left="720" w:hanging="720"/>
      </w:pPr>
      <w:rPr>
        <w:rFonts w:ascii="Arial" w:hAnsi="Arial" w:cs="Times New Roman" w:hint="default"/>
        <w:b/>
        <w:i w:val="0"/>
        <w:sz w:val="20"/>
      </w:rPr>
    </w:lvl>
    <w:lvl w:ilvl="1">
      <w:start w:val="5"/>
      <w:numFmt w:val="lowerLetter"/>
      <w:lvlText w:val="(%2)"/>
      <w:lvlJc w:val="left"/>
      <w:pPr>
        <w:tabs>
          <w:tab w:val="num" w:pos="1440"/>
        </w:tabs>
        <w:ind w:left="1440" w:hanging="720"/>
      </w:pPr>
      <w:rPr>
        <w:rFonts w:ascii="Times New Roman" w:hAnsi="Times New Roman" w:cs="Times New Roman" w:hint="default"/>
        <w:b w:val="0"/>
        <w:i w:val="0"/>
        <w:sz w:val="22"/>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3"/>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1F77166"/>
    <w:multiLevelType w:val="hybridMultilevel"/>
    <w:tmpl w:val="FE267FAE"/>
    <w:lvl w:ilvl="0" w:tplc="203C06D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A5516B"/>
    <w:multiLevelType w:val="multilevel"/>
    <w:tmpl w:val="288CE4EC"/>
    <w:lvl w:ilvl="0">
      <w:start w:val="1"/>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6F0232A"/>
    <w:multiLevelType w:val="multilevel"/>
    <w:tmpl w:val="2D80D7FE"/>
    <w:lvl w:ilvl="0">
      <w:start w:val="5"/>
      <w:numFmt w:val="decimal"/>
      <w:lvlText w:val="%1."/>
      <w:lvlJc w:val="left"/>
      <w:pPr>
        <w:tabs>
          <w:tab w:val="num" w:pos="720"/>
        </w:tabs>
        <w:ind w:left="720" w:hanging="720"/>
      </w:pPr>
      <w:rPr>
        <w:rFonts w:hint="default"/>
        <w:b/>
        <w:i w:val="0"/>
        <w:sz w:val="22"/>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1654DC2"/>
    <w:multiLevelType w:val="multilevel"/>
    <w:tmpl w:val="BDB67FD8"/>
    <w:lvl w:ilvl="0">
      <w:start w:val="5"/>
      <w:numFmt w:val="decimal"/>
      <w:lvlText w:val="%1."/>
      <w:lvlJc w:val="left"/>
      <w:pPr>
        <w:tabs>
          <w:tab w:val="num" w:pos="720"/>
        </w:tabs>
        <w:ind w:left="720" w:hanging="720"/>
      </w:pPr>
      <w:rPr>
        <w:rFonts w:hint="default"/>
        <w:b/>
        <w:i w:val="0"/>
        <w:sz w:val="22"/>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8725A39"/>
    <w:multiLevelType w:val="multilevel"/>
    <w:tmpl w:val="04581284"/>
    <w:lvl w:ilvl="0">
      <w:start w:val="6"/>
      <w:numFmt w:val="decimal"/>
      <w:lvlText w:val="%1."/>
      <w:lvlJc w:val="left"/>
      <w:pPr>
        <w:tabs>
          <w:tab w:val="num" w:pos="720"/>
        </w:tabs>
        <w:ind w:left="720" w:hanging="720"/>
      </w:pPr>
      <w:rPr>
        <w:rFonts w:ascii="Times New Roman" w:hAnsi="Times New Roman" w:cs="Times New Roman" w:hint="default"/>
        <w:b/>
        <w:i w:val="0"/>
        <w:color w:val="auto"/>
        <w:sz w:val="22"/>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20" w15:restartNumberingAfterBreak="0">
    <w:nsid w:val="5FCF6472"/>
    <w:multiLevelType w:val="multilevel"/>
    <w:tmpl w:val="0E5431E6"/>
    <w:lvl w:ilvl="0">
      <w:start w:val="7"/>
      <w:numFmt w:val="decimal"/>
      <w:lvlText w:val="%1."/>
      <w:lvlJc w:val="left"/>
      <w:pPr>
        <w:tabs>
          <w:tab w:val="num" w:pos="720"/>
        </w:tabs>
        <w:ind w:left="720" w:hanging="720"/>
      </w:pPr>
      <w:rPr>
        <w:rFonts w:ascii="Times New Roman" w:hAnsi="Times New Roman" w:cs="Times New Roman" w:hint="default"/>
        <w:b/>
        <w:i w:val="0"/>
        <w:color w:val="auto"/>
        <w:sz w:val="22"/>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62E4026A"/>
    <w:multiLevelType w:val="hybridMultilevel"/>
    <w:tmpl w:val="86107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F2282D"/>
    <w:multiLevelType w:val="multilevel"/>
    <w:tmpl w:val="3598773E"/>
    <w:lvl w:ilvl="0">
      <w:start w:val="4"/>
      <w:numFmt w:val="decimal"/>
      <w:lvlText w:val="%1."/>
      <w:lvlJc w:val="left"/>
      <w:pPr>
        <w:tabs>
          <w:tab w:val="num" w:pos="720"/>
        </w:tabs>
        <w:ind w:left="720" w:hanging="720"/>
      </w:pPr>
      <w:rPr>
        <w:rFonts w:ascii="Arial" w:hAnsi="Arial" w:cs="Times New Roman" w:hint="default"/>
        <w:b/>
        <w:i w:val="0"/>
        <w:sz w:val="20"/>
      </w:rPr>
    </w:lvl>
    <w:lvl w:ilvl="1">
      <w:start w:val="2"/>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3"/>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9"/>
  </w:num>
  <w:num w:numId="2">
    <w:abstractNumId w:val="9"/>
  </w:num>
  <w:num w:numId="3">
    <w:abstractNumId w:val="4"/>
  </w:num>
  <w:num w:numId="4">
    <w:abstractNumId w:val="15"/>
  </w:num>
  <w:num w:numId="5">
    <w:abstractNumId w:val="2"/>
  </w:num>
  <w:num w:numId="6">
    <w:abstractNumId w:val="1"/>
  </w:num>
  <w:num w:numId="7">
    <w:abstractNumId w:val="14"/>
  </w:num>
  <w:num w:numId="8">
    <w:abstractNumId w:val="10"/>
  </w:num>
  <w:num w:numId="9">
    <w:abstractNumId w:val="12"/>
  </w:num>
  <w:num w:numId="10">
    <w:abstractNumId w:val="22"/>
  </w:num>
  <w:num w:numId="11">
    <w:abstractNumId w:val="8"/>
  </w:num>
  <w:num w:numId="12">
    <w:abstractNumId w:val="18"/>
  </w:num>
  <w:num w:numId="13">
    <w:abstractNumId w:val="5"/>
  </w:num>
  <w:num w:numId="14">
    <w:abstractNumId w:val="6"/>
  </w:num>
  <w:num w:numId="15">
    <w:abstractNumId w:val="11"/>
  </w:num>
  <w:num w:numId="16">
    <w:abstractNumId w:val="16"/>
  </w:num>
  <w:num w:numId="17">
    <w:abstractNumId w:val="17"/>
  </w:num>
  <w:num w:numId="18">
    <w:abstractNumId w:val="20"/>
  </w:num>
  <w:num w:numId="19">
    <w:abstractNumId w:val="3"/>
  </w:num>
  <w:num w:numId="20">
    <w:abstractNumId w:val="13"/>
  </w:num>
  <w:num w:numId="21">
    <w:abstractNumId w:val="7"/>
  </w:num>
  <w:num w:numId="22">
    <w:abstractNumId w:val="2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76"/>
    <w:rsid w:val="00082187"/>
    <w:rsid w:val="000A7F06"/>
    <w:rsid w:val="000E77EC"/>
    <w:rsid w:val="00121A06"/>
    <w:rsid w:val="001831F4"/>
    <w:rsid w:val="001B1F2A"/>
    <w:rsid w:val="001B5FEC"/>
    <w:rsid w:val="001B68AD"/>
    <w:rsid w:val="001C18B7"/>
    <w:rsid w:val="001D62E8"/>
    <w:rsid w:val="001F6C4F"/>
    <w:rsid w:val="002622C2"/>
    <w:rsid w:val="00321E9C"/>
    <w:rsid w:val="00327DFD"/>
    <w:rsid w:val="00382012"/>
    <w:rsid w:val="003850A5"/>
    <w:rsid w:val="003E1237"/>
    <w:rsid w:val="00437156"/>
    <w:rsid w:val="00441B4E"/>
    <w:rsid w:val="00471305"/>
    <w:rsid w:val="0048706B"/>
    <w:rsid w:val="005051BD"/>
    <w:rsid w:val="005121C8"/>
    <w:rsid w:val="005125F7"/>
    <w:rsid w:val="00526387"/>
    <w:rsid w:val="005645F7"/>
    <w:rsid w:val="005976DB"/>
    <w:rsid w:val="005B31F1"/>
    <w:rsid w:val="005D0320"/>
    <w:rsid w:val="005D1671"/>
    <w:rsid w:val="00675689"/>
    <w:rsid w:val="00786BC5"/>
    <w:rsid w:val="007C5E76"/>
    <w:rsid w:val="007F54B8"/>
    <w:rsid w:val="008008B5"/>
    <w:rsid w:val="00824A97"/>
    <w:rsid w:val="008501B2"/>
    <w:rsid w:val="00853D7E"/>
    <w:rsid w:val="00855BD8"/>
    <w:rsid w:val="0085665B"/>
    <w:rsid w:val="008A7FDD"/>
    <w:rsid w:val="008D3E00"/>
    <w:rsid w:val="009842EA"/>
    <w:rsid w:val="009D769D"/>
    <w:rsid w:val="00A00374"/>
    <w:rsid w:val="00A84DED"/>
    <w:rsid w:val="00AA2917"/>
    <w:rsid w:val="00AB2AD8"/>
    <w:rsid w:val="00AB5E12"/>
    <w:rsid w:val="00AD20F6"/>
    <w:rsid w:val="00B80B55"/>
    <w:rsid w:val="00BB6557"/>
    <w:rsid w:val="00BB7270"/>
    <w:rsid w:val="00C44B7C"/>
    <w:rsid w:val="00C531AE"/>
    <w:rsid w:val="00C7177E"/>
    <w:rsid w:val="00C764A4"/>
    <w:rsid w:val="00CA3C94"/>
    <w:rsid w:val="00CF12A2"/>
    <w:rsid w:val="00D6364F"/>
    <w:rsid w:val="00D85827"/>
    <w:rsid w:val="00D86A9E"/>
    <w:rsid w:val="00DB66EA"/>
    <w:rsid w:val="00DD7323"/>
    <w:rsid w:val="00E27F98"/>
    <w:rsid w:val="00E37F63"/>
    <w:rsid w:val="00E8396B"/>
    <w:rsid w:val="00EF3CE4"/>
    <w:rsid w:val="00EF7D1D"/>
    <w:rsid w:val="00F26A88"/>
    <w:rsid w:val="00F379F4"/>
    <w:rsid w:val="00F6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646BCBD4"/>
  <w15:docId w15:val="{4341F88D-1070-4C21-AB68-7889DAAF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b/>
      <w:sz w:val="24"/>
    </w:rPr>
  </w:style>
  <w:style w:type="paragraph" w:styleId="Heading2">
    <w:name w:val="heading 2"/>
    <w:basedOn w:val="BodyText"/>
    <w:next w:val="BodyText"/>
    <w:link w:val="Heading2Char"/>
    <w:uiPriority w:val="99"/>
    <w:qFormat/>
    <w:pPr>
      <w:keepNext/>
      <w:ind w:left="1080" w:hanging="1080"/>
      <w:outlineLvl w:val="1"/>
    </w:pPr>
    <w:rPr>
      <w:rFonts w:ascii="Arial" w:hAnsi="Arial"/>
      <w:b/>
      <w:sz w:val="28"/>
    </w:rPr>
  </w:style>
  <w:style w:type="paragraph" w:styleId="Heading3">
    <w:name w:val="heading 3"/>
    <w:basedOn w:val="Normal"/>
    <w:next w:val="Normal"/>
    <w:link w:val="Heading3Char"/>
    <w:uiPriority w:val="99"/>
    <w:qFormat/>
    <w:pPr>
      <w:keepNext/>
      <w:spacing w:line="280" w:lineRule="exact"/>
      <w:outlineLvl w:val="2"/>
    </w:pPr>
    <w:rPr>
      <w:rFonts w:ascii="Arial" w:hAnsi="Arial"/>
      <w:b/>
      <w:sz w:val="22"/>
    </w:rPr>
  </w:style>
  <w:style w:type="paragraph" w:styleId="Heading4">
    <w:name w:val="heading 4"/>
    <w:basedOn w:val="Normal"/>
    <w:next w:val="Normal"/>
    <w:link w:val="Heading4Char"/>
    <w:uiPriority w:val="99"/>
    <w:qFormat/>
    <w:pPr>
      <w:keepNext/>
      <w:spacing w:line="280" w:lineRule="exact"/>
      <w:outlineLvl w:val="3"/>
    </w:pPr>
    <w:rPr>
      <w:rFonts w:ascii="Arial" w:hAnsi="Arial"/>
      <w:b/>
    </w:rPr>
  </w:style>
  <w:style w:type="paragraph" w:styleId="Heading5">
    <w:name w:val="heading 5"/>
    <w:basedOn w:val="BodyText"/>
    <w:link w:val="Heading5Char"/>
    <w:uiPriority w:val="99"/>
    <w:qFormat/>
    <w:rsid w:val="00327DFD"/>
    <w:pPr>
      <w:tabs>
        <w:tab w:val="num" w:pos="3600"/>
      </w:tabs>
      <w:ind w:left="3600" w:hanging="720"/>
      <w:jc w:val="both"/>
      <w:outlineLvl w:val="4"/>
    </w:pPr>
    <w:rPr>
      <w:bCs/>
      <w:iCs/>
      <w:sz w:val="20"/>
      <w:szCs w:val="24"/>
      <w:lang w:val="en-CA"/>
    </w:rPr>
  </w:style>
  <w:style w:type="paragraph" w:styleId="Heading6">
    <w:name w:val="heading 6"/>
    <w:basedOn w:val="BodyText"/>
    <w:link w:val="Heading6Char"/>
    <w:uiPriority w:val="99"/>
    <w:qFormat/>
    <w:rsid w:val="00327DFD"/>
    <w:pPr>
      <w:tabs>
        <w:tab w:val="num" w:pos="4320"/>
      </w:tabs>
      <w:ind w:left="4320" w:hanging="720"/>
      <w:jc w:val="both"/>
      <w:outlineLvl w:val="5"/>
    </w:pPr>
    <w:rPr>
      <w:bCs/>
      <w:sz w:val="20"/>
      <w:szCs w:val="24"/>
      <w:lang w:val="en-CA"/>
    </w:rPr>
  </w:style>
  <w:style w:type="paragraph" w:styleId="Heading7">
    <w:name w:val="heading 7"/>
    <w:basedOn w:val="Normal"/>
    <w:next w:val="Normal"/>
    <w:link w:val="Heading7Char"/>
    <w:uiPriority w:val="99"/>
    <w:qFormat/>
    <w:rsid w:val="00327DFD"/>
    <w:pPr>
      <w:spacing w:before="240" w:after="60"/>
      <w:outlineLvl w:val="6"/>
    </w:pPr>
    <w:rPr>
      <w:rFonts w:ascii="Calibri" w:hAnsi="Calibri"/>
      <w:sz w:val="24"/>
      <w:szCs w:val="24"/>
    </w:rPr>
  </w:style>
  <w:style w:type="paragraph" w:styleId="Heading8">
    <w:name w:val="heading 8"/>
    <w:basedOn w:val="BodyText"/>
    <w:link w:val="Heading8Char"/>
    <w:uiPriority w:val="99"/>
    <w:qFormat/>
    <w:rsid w:val="00327DFD"/>
    <w:pPr>
      <w:tabs>
        <w:tab w:val="num" w:pos="5760"/>
      </w:tabs>
      <w:ind w:left="5760" w:hanging="720"/>
      <w:jc w:val="both"/>
      <w:outlineLvl w:val="7"/>
    </w:pPr>
    <w:rPr>
      <w:iCs/>
      <w:sz w:val="20"/>
      <w:szCs w:val="24"/>
      <w:lang w:val="en-CA"/>
    </w:rPr>
  </w:style>
  <w:style w:type="paragraph" w:styleId="Heading9">
    <w:name w:val="heading 9"/>
    <w:basedOn w:val="Normal"/>
    <w:next w:val="BodyText"/>
    <w:link w:val="Heading9Char"/>
    <w:uiPriority w:val="99"/>
    <w:qFormat/>
    <w:rsid w:val="00327DFD"/>
    <w:pPr>
      <w:keepNext/>
      <w:keepLines/>
      <w:spacing w:before="240"/>
      <w:jc w:val="center"/>
      <w:outlineLvl w:val="8"/>
    </w:pPr>
    <w:rPr>
      <w:rFonts w:cs="Arial"/>
      <w:b/>
      <w:cap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2">
    <w:name w:val="Body Text 2"/>
    <w:basedOn w:val="Normal"/>
    <w:link w:val="BodyText2Char"/>
    <w:pPr>
      <w:jc w:val="both"/>
    </w:pPr>
    <w:rPr>
      <w:sz w:val="24"/>
    </w:rPr>
  </w:style>
  <w:style w:type="paragraph" w:styleId="BodyTextIndent">
    <w:name w:val="Body Text Indent"/>
    <w:basedOn w:val="Normal"/>
    <w:link w:val="BodyTextIndentChar"/>
    <w:uiPriority w:val="99"/>
    <w:pPr>
      <w:ind w:left="720"/>
      <w:jc w:val="both"/>
    </w:pPr>
    <w:rPr>
      <w:sz w:val="24"/>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rsid w:val="001F6C4F"/>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F6C4F"/>
    <w:rPr>
      <w:rFonts w:ascii="Tahoma" w:hAnsi="Tahoma" w:cs="Tahoma"/>
      <w:sz w:val="16"/>
      <w:szCs w:val="16"/>
    </w:rPr>
  </w:style>
  <w:style w:type="paragraph" w:styleId="BodyTextIndent2">
    <w:name w:val="Body Text Indent 2"/>
    <w:basedOn w:val="Normal"/>
    <w:link w:val="BodyTextIndent2Char"/>
    <w:uiPriority w:val="99"/>
    <w:unhideWhenUsed/>
    <w:rsid w:val="00C44B7C"/>
    <w:pPr>
      <w:spacing w:after="120" w:line="480" w:lineRule="auto"/>
      <w:ind w:left="283"/>
    </w:pPr>
  </w:style>
  <w:style w:type="character" w:customStyle="1" w:styleId="BodyTextIndent2Char">
    <w:name w:val="Body Text Indent 2 Char"/>
    <w:basedOn w:val="DefaultParagraphFont"/>
    <w:link w:val="BodyTextIndent2"/>
    <w:uiPriority w:val="99"/>
    <w:rsid w:val="00C44B7C"/>
  </w:style>
  <w:style w:type="paragraph" w:customStyle="1" w:styleId="BodyArial">
    <w:name w:val="Body Arial"/>
    <w:basedOn w:val="Normal"/>
    <w:uiPriority w:val="99"/>
    <w:rsid w:val="00C44B7C"/>
    <w:pPr>
      <w:spacing w:after="120"/>
      <w:jc w:val="both"/>
    </w:pPr>
    <w:rPr>
      <w:rFonts w:ascii="Calibri" w:eastAsia="MS Mincho" w:hAnsi="Calibri"/>
      <w:szCs w:val="22"/>
      <w:lang w:val="en-CA"/>
    </w:rPr>
  </w:style>
  <w:style w:type="paragraph" w:customStyle="1" w:styleId="FSBodyIndent">
    <w:name w:val="FS Body Indent"/>
    <w:basedOn w:val="NoSpacing"/>
    <w:qFormat/>
    <w:rsid w:val="00C44B7C"/>
    <w:pPr>
      <w:spacing w:before="120" w:after="120"/>
      <w:ind w:left="360"/>
      <w:jc w:val="both"/>
    </w:pPr>
    <w:rPr>
      <w:rFonts w:ascii="Calibri" w:eastAsia="MS Mincho" w:hAnsi="Calibri"/>
      <w:sz w:val="22"/>
      <w:szCs w:val="24"/>
      <w:lang w:eastAsia="pt-BR"/>
    </w:rPr>
  </w:style>
  <w:style w:type="paragraph" w:customStyle="1" w:styleId="NTitleB">
    <w:name w:val="N Title B"/>
    <w:uiPriority w:val="99"/>
    <w:rsid w:val="00C44B7C"/>
    <w:pPr>
      <w:keepNext/>
      <w:keepLines/>
      <w:widowControl w:val="0"/>
      <w:tabs>
        <w:tab w:val="left" w:pos="576"/>
      </w:tabs>
      <w:autoSpaceDE w:val="0"/>
      <w:autoSpaceDN w:val="0"/>
      <w:adjustRightInd w:val="0"/>
      <w:spacing w:before="216"/>
      <w:ind w:left="576" w:hanging="504"/>
    </w:pPr>
    <w:rPr>
      <w:rFonts w:ascii="Arial" w:hAnsi="Arial" w:cs="Arial"/>
      <w:b/>
      <w:bCs/>
      <w:color w:val="000000"/>
    </w:rPr>
  </w:style>
  <w:style w:type="paragraph" w:customStyle="1" w:styleId="Nbody">
    <w:name w:val="N body"/>
    <w:uiPriority w:val="99"/>
    <w:rsid w:val="00C44B7C"/>
    <w:pPr>
      <w:widowControl w:val="0"/>
      <w:autoSpaceDE w:val="0"/>
      <w:autoSpaceDN w:val="0"/>
      <w:adjustRightInd w:val="0"/>
      <w:spacing w:before="216"/>
      <w:ind w:left="576"/>
      <w:jc w:val="both"/>
    </w:pPr>
    <w:rPr>
      <w:rFonts w:ascii="Arial" w:hAnsi="Arial" w:cs="Arial"/>
      <w:color w:val="000000"/>
    </w:rPr>
  </w:style>
  <w:style w:type="paragraph" w:customStyle="1" w:styleId="Nbodyindentinput">
    <w:name w:val="N body indent input"/>
    <w:uiPriority w:val="99"/>
    <w:rsid w:val="00C44B7C"/>
    <w:pPr>
      <w:widowControl w:val="0"/>
      <w:autoSpaceDE w:val="0"/>
      <w:autoSpaceDN w:val="0"/>
      <w:adjustRightInd w:val="0"/>
      <w:spacing w:before="216"/>
      <w:ind w:left="1440"/>
      <w:jc w:val="both"/>
    </w:pPr>
    <w:rPr>
      <w:rFonts w:ascii="Arial" w:hAnsi="Arial" w:cs="Arial"/>
      <w:color w:val="000000"/>
    </w:rPr>
  </w:style>
  <w:style w:type="paragraph" w:customStyle="1" w:styleId="Default">
    <w:name w:val="Default"/>
    <w:uiPriority w:val="99"/>
    <w:rsid w:val="00C44B7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C44B7C"/>
    <w:pPr>
      <w:ind w:left="720"/>
    </w:pPr>
    <w:rPr>
      <w:rFonts w:ascii="Arial" w:hAnsi="Arial"/>
      <w:sz w:val="22"/>
      <w:szCs w:val="24"/>
    </w:rPr>
  </w:style>
  <w:style w:type="character" w:customStyle="1" w:styleId="ListParagraphChar">
    <w:name w:val="List Paragraph Char"/>
    <w:link w:val="ListParagraph"/>
    <w:rsid w:val="00C44B7C"/>
    <w:rPr>
      <w:rFonts w:ascii="Arial" w:hAnsi="Arial"/>
      <w:sz w:val="22"/>
      <w:szCs w:val="24"/>
    </w:rPr>
  </w:style>
  <w:style w:type="paragraph" w:customStyle="1" w:styleId="Ne2">
    <w:name w:val="Ne2"/>
    <w:basedOn w:val="Normal"/>
    <w:uiPriority w:val="99"/>
    <w:rsid w:val="00C44B7C"/>
    <w:pPr>
      <w:overflowPunct w:val="0"/>
      <w:autoSpaceDE w:val="0"/>
      <w:autoSpaceDN w:val="0"/>
      <w:adjustRightInd w:val="0"/>
      <w:spacing w:before="120" w:line="280" w:lineRule="atLeast"/>
      <w:ind w:left="360"/>
      <w:jc w:val="both"/>
      <w:textAlignment w:val="baseline"/>
    </w:pPr>
    <w:rPr>
      <w:rFonts w:ascii="Arial" w:hAnsi="Arial"/>
    </w:rPr>
  </w:style>
  <w:style w:type="paragraph" w:styleId="NoSpacing">
    <w:name w:val="No Spacing"/>
    <w:uiPriority w:val="1"/>
    <w:qFormat/>
    <w:rsid w:val="00C44B7C"/>
  </w:style>
  <w:style w:type="character" w:customStyle="1" w:styleId="Heading5Char">
    <w:name w:val="Heading 5 Char"/>
    <w:basedOn w:val="DefaultParagraphFont"/>
    <w:link w:val="Heading5"/>
    <w:uiPriority w:val="99"/>
    <w:rsid w:val="00327DFD"/>
    <w:rPr>
      <w:bCs/>
      <w:iCs/>
      <w:szCs w:val="24"/>
      <w:lang w:val="en-CA"/>
    </w:rPr>
  </w:style>
  <w:style w:type="character" w:customStyle="1" w:styleId="Heading6Char">
    <w:name w:val="Heading 6 Char"/>
    <w:basedOn w:val="DefaultParagraphFont"/>
    <w:link w:val="Heading6"/>
    <w:uiPriority w:val="99"/>
    <w:rsid w:val="00327DFD"/>
    <w:rPr>
      <w:bCs/>
      <w:szCs w:val="24"/>
      <w:lang w:val="en-CA"/>
    </w:rPr>
  </w:style>
  <w:style w:type="character" w:customStyle="1" w:styleId="Heading7Char">
    <w:name w:val="Heading 7 Char"/>
    <w:basedOn w:val="DefaultParagraphFont"/>
    <w:link w:val="Heading7"/>
    <w:uiPriority w:val="99"/>
    <w:rsid w:val="00327DFD"/>
    <w:rPr>
      <w:rFonts w:ascii="Calibri" w:hAnsi="Calibri"/>
      <w:sz w:val="24"/>
      <w:szCs w:val="24"/>
    </w:rPr>
  </w:style>
  <w:style w:type="character" w:customStyle="1" w:styleId="Heading8Char">
    <w:name w:val="Heading 8 Char"/>
    <w:basedOn w:val="DefaultParagraphFont"/>
    <w:link w:val="Heading8"/>
    <w:uiPriority w:val="99"/>
    <w:rsid w:val="00327DFD"/>
    <w:rPr>
      <w:iCs/>
      <w:szCs w:val="24"/>
      <w:lang w:val="en-CA"/>
    </w:rPr>
  </w:style>
  <w:style w:type="character" w:customStyle="1" w:styleId="Heading9Char">
    <w:name w:val="Heading 9 Char"/>
    <w:basedOn w:val="DefaultParagraphFont"/>
    <w:link w:val="Heading9"/>
    <w:uiPriority w:val="99"/>
    <w:rsid w:val="00327DFD"/>
    <w:rPr>
      <w:rFonts w:cs="Arial"/>
      <w:b/>
      <w:caps/>
      <w:sz w:val="24"/>
      <w:szCs w:val="24"/>
      <w:lang w:val="en-CA"/>
    </w:rPr>
  </w:style>
  <w:style w:type="character" w:customStyle="1" w:styleId="Heading1Char">
    <w:name w:val="Heading 1 Char"/>
    <w:basedOn w:val="DefaultParagraphFont"/>
    <w:link w:val="Heading1"/>
    <w:uiPriority w:val="99"/>
    <w:locked/>
    <w:rsid w:val="00327DFD"/>
    <w:rPr>
      <w:b/>
      <w:sz w:val="24"/>
    </w:rPr>
  </w:style>
  <w:style w:type="character" w:customStyle="1" w:styleId="Heading2Char">
    <w:name w:val="Heading 2 Char"/>
    <w:basedOn w:val="DefaultParagraphFont"/>
    <w:link w:val="Heading2"/>
    <w:uiPriority w:val="99"/>
    <w:locked/>
    <w:rsid w:val="00327DFD"/>
    <w:rPr>
      <w:rFonts w:ascii="Arial" w:hAnsi="Arial"/>
      <w:b/>
      <w:sz w:val="28"/>
      <w:lang w:val="en-GB"/>
    </w:rPr>
  </w:style>
  <w:style w:type="character" w:customStyle="1" w:styleId="Heading3Char">
    <w:name w:val="Heading 3 Char"/>
    <w:basedOn w:val="DefaultParagraphFont"/>
    <w:link w:val="Heading3"/>
    <w:uiPriority w:val="99"/>
    <w:locked/>
    <w:rsid w:val="00327DFD"/>
    <w:rPr>
      <w:rFonts w:ascii="Arial" w:hAnsi="Arial"/>
      <w:b/>
      <w:sz w:val="22"/>
    </w:rPr>
  </w:style>
  <w:style w:type="character" w:customStyle="1" w:styleId="Heading4Char">
    <w:name w:val="Heading 4 Char"/>
    <w:basedOn w:val="DefaultParagraphFont"/>
    <w:link w:val="Heading4"/>
    <w:uiPriority w:val="99"/>
    <w:locked/>
    <w:rsid w:val="00327DFD"/>
    <w:rPr>
      <w:rFonts w:ascii="Arial" w:hAnsi="Arial"/>
      <w:b/>
    </w:rPr>
  </w:style>
  <w:style w:type="character" w:customStyle="1" w:styleId="BodyText2Char">
    <w:name w:val="Body Text 2 Char"/>
    <w:basedOn w:val="DefaultParagraphFont"/>
    <w:link w:val="BodyText2"/>
    <w:locked/>
    <w:rsid w:val="00327DFD"/>
    <w:rPr>
      <w:sz w:val="24"/>
    </w:rPr>
  </w:style>
  <w:style w:type="character" w:customStyle="1" w:styleId="FooterChar">
    <w:name w:val="Footer Char"/>
    <w:basedOn w:val="DefaultParagraphFont"/>
    <w:link w:val="Footer"/>
    <w:uiPriority w:val="99"/>
    <w:locked/>
    <w:rsid w:val="00327DFD"/>
  </w:style>
  <w:style w:type="character" w:customStyle="1" w:styleId="HeaderChar">
    <w:name w:val="Header Char"/>
    <w:basedOn w:val="DefaultParagraphFont"/>
    <w:link w:val="Header"/>
    <w:uiPriority w:val="99"/>
    <w:locked/>
    <w:rsid w:val="00327DFD"/>
  </w:style>
  <w:style w:type="character" w:styleId="CommentReference">
    <w:name w:val="annotation reference"/>
    <w:basedOn w:val="DefaultParagraphFont"/>
    <w:uiPriority w:val="99"/>
    <w:rsid w:val="00327DFD"/>
    <w:rPr>
      <w:rFonts w:cs="Times New Roman"/>
      <w:sz w:val="16"/>
      <w:szCs w:val="16"/>
    </w:rPr>
  </w:style>
  <w:style w:type="paragraph" w:styleId="CommentText">
    <w:name w:val="annotation text"/>
    <w:basedOn w:val="Normal"/>
    <w:link w:val="CommentTextChar"/>
    <w:uiPriority w:val="99"/>
    <w:rsid w:val="00327DFD"/>
    <w:rPr>
      <w:rFonts w:ascii="Arial" w:hAnsi="Arial"/>
    </w:rPr>
  </w:style>
  <w:style w:type="character" w:customStyle="1" w:styleId="CommentTextChar">
    <w:name w:val="Comment Text Char"/>
    <w:basedOn w:val="DefaultParagraphFont"/>
    <w:link w:val="CommentText"/>
    <w:uiPriority w:val="99"/>
    <w:rsid w:val="00327DFD"/>
    <w:rPr>
      <w:rFonts w:ascii="Arial" w:hAnsi="Arial"/>
    </w:rPr>
  </w:style>
  <w:style w:type="character" w:customStyle="1" w:styleId="BodyTextIndentChar">
    <w:name w:val="Body Text Indent Char"/>
    <w:basedOn w:val="DefaultParagraphFont"/>
    <w:link w:val="BodyTextIndent"/>
    <w:uiPriority w:val="99"/>
    <w:locked/>
    <w:rsid w:val="00327DFD"/>
    <w:rPr>
      <w:sz w:val="24"/>
    </w:rPr>
  </w:style>
  <w:style w:type="character" w:customStyle="1" w:styleId="BodyTextChar">
    <w:name w:val="Body Text Char"/>
    <w:basedOn w:val="DefaultParagraphFont"/>
    <w:link w:val="BodyText"/>
    <w:uiPriority w:val="99"/>
    <w:locked/>
    <w:rsid w:val="00327DFD"/>
    <w:rPr>
      <w:sz w:val="24"/>
      <w:lang w:val="en-GB"/>
    </w:rPr>
  </w:style>
  <w:style w:type="paragraph" w:customStyle="1" w:styleId="Cover2ndindbdsb">
    <w:name w:val="Cover 2nd ind bd sb"/>
    <w:uiPriority w:val="99"/>
    <w:rsid w:val="00327DFD"/>
    <w:pPr>
      <w:widowControl w:val="0"/>
      <w:autoSpaceDE w:val="0"/>
      <w:autoSpaceDN w:val="0"/>
      <w:adjustRightInd w:val="0"/>
      <w:spacing w:before="432"/>
      <w:ind w:left="72"/>
    </w:pPr>
    <w:rPr>
      <w:rFonts w:ascii="Arial" w:hAnsi="Arial" w:cs="Arial"/>
      <w:b/>
      <w:bCs/>
      <w:color w:val="000000"/>
    </w:rPr>
  </w:style>
  <w:style w:type="paragraph" w:customStyle="1" w:styleId="FSheading1b">
    <w:name w:val="FS heading 1b"/>
    <w:uiPriority w:val="99"/>
    <w:rsid w:val="00327DFD"/>
    <w:pPr>
      <w:widowControl w:val="0"/>
      <w:autoSpaceDE w:val="0"/>
      <w:autoSpaceDN w:val="0"/>
      <w:adjustRightInd w:val="0"/>
      <w:spacing w:before="288"/>
      <w:ind w:left="72"/>
    </w:pPr>
    <w:rPr>
      <w:rFonts w:ascii="Arial" w:hAnsi="Arial" w:cs="Arial"/>
      <w:b/>
      <w:bCs/>
      <w:color w:val="000000"/>
      <w:sz w:val="24"/>
      <w:szCs w:val="24"/>
    </w:rPr>
  </w:style>
  <w:style w:type="paragraph" w:customStyle="1" w:styleId="FSheading2bold">
    <w:name w:val="FS heading 2bold"/>
    <w:uiPriority w:val="99"/>
    <w:rsid w:val="00327DFD"/>
    <w:pPr>
      <w:widowControl w:val="0"/>
      <w:autoSpaceDE w:val="0"/>
      <w:autoSpaceDN w:val="0"/>
      <w:adjustRightInd w:val="0"/>
      <w:ind w:left="72"/>
    </w:pPr>
    <w:rPr>
      <w:rFonts w:ascii="Arial" w:hAnsi="Arial" w:cs="Arial"/>
      <w:b/>
      <w:bCs/>
      <w:color w:val="000000"/>
    </w:rPr>
  </w:style>
  <w:style w:type="paragraph" w:customStyle="1" w:styleId="FSheadingsmallrt">
    <w:name w:val="FS heading small rt"/>
    <w:uiPriority w:val="99"/>
    <w:rsid w:val="00327DFD"/>
    <w:pPr>
      <w:widowControl w:val="0"/>
      <w:autoSpaceDE w:val="0"/>
      <w:autoSpaceDN w:val="0"/>
      <w:adjustRightInd w:val="0"/>
      <w:ind w:left="72"/>
      <w:jc w:val="right"/>
    </w:pPr>
    <w:rPr>
      <w:rFonts w:ascii="Arial" w:hAnsi="Arial" w:cs="Arial"/>
      <w:color w:val="000000"/>
    </w:rPr>
  </w:style>
  <w:style w:type="paragraph" w:customStyle="1" w:styleId="FStopline">
    <w:name w:val="FS top line"/>
    <w:uiPriority w:val="99"/>
    <w:rsid w:val="00327DFD"/>
    <w:pPr>
      <w:widowControl w:val="0"/>
      <w:autoSpaceDE w:val="0"/>
      <w:autoSpaceDN w:val="0"/>
      <w:adjustRightInd w:val="0"/>
      <w:spacing w:line="288" w:lineRule="exact"/>
      <w:ind w:left="72"/>
    </w:pPr>
    <w:rPr>
      <w:rFonts w:ascii="Arial" w:hAnsi="Arial" w:cs="Arial"/>
      <w:color w:val="000000"/>
    </w:rPr>
  </w:style>
  <w:style w:type="paragraph" w:customStyle="1" w:styleId="Linethick">
    <w:name w:val="Line thick"/>
    <w:next w:val="Normal"/>
    <w:uiPriority w:val="99"/>
    <w:rsid w:val="00327DFD"/>
    <w:pPr>
      <w:widowControl w:val="0"/>
      <w:pBdr>
        <w:top w:val="single" w:sz="14" w:space="0" w:color="auto"/>
        <w:between w:val="single" w:sz="14" w:space="0" w:color="auto"/>
      </w:pBdr>
      <w:autoSpaceDE w:val="0"/>
      <w:autoSpaceDN w:val="0"/>
      <w:adjustRightInd w:val="0"/>
      <w:spacing w:line="57" w:lineRule="exact"/>
      <w:ind w:left="72"/>
    </w:pPr>
    <w:rPr>
      <w:rFonts w:ascii="Arial" w:hAnsi="Arial" w:cs="Arial"/>
      <w:b/>
      <w:bCs/>
      <w:color w:val="000000"/>
      <w:sz w:val="22"/>
      <w:szCs w:val="22"/>
    </w:rPr>
  </w:style>
  <w:style w:type="paragraph" w:customStyle="1" w:styleId="NLinethick">
    <w:name w:val="N Line thick"/>
    <w:uiPriority w:val="99"/>
    <w:rsid w:val="00327DFD"/>
    <w:pPr>
      <w:widowControl w:val="0"/>
      <w:pBdr>
        <w:top w:val="single" w:sz="14" w:space="0" w:color="auto"/>
        <w:between w:val="single" w:sz="14" w:space="0" w:color="auto"/>
      </w:pBdr>
      <w:autoSpaceDE w:val="0"/>
      <w:autoSpaceDN w:val="0"/>
      <w:adjustRightInd w:val="0"/>
      <w:spacing w:line="57" w:lineRule="exact"/>
      <w:ind w:left="576"/>
    </w:pPr>
    <w:rPr>
      <w:rFonts w:ascii="Arial" w:hAnsi="Arial" w:cs="Arial"/>
      <w:b/>
      <w:bCs/>
      <w:color w:val="000000"/>
      <w:sz w:val="22"/>
      <w:szCs w:val="22"/>
    </w:rPr>
  </w:style>
  <w:style w:type="paragraph" w:customStyle="1" w:styleId="NTDesc">
    <w:name w:val="N T Desc"/>
    <w:uiPriority w:val="99"/>
    <w:rsid w:val="00327DFD"/>
    <w:pPr>
      <w:widowControl w:val="0"/>
      <w:tabs>
        <w:tab w:val="left" w:pos="792"/>
      </w:tabs>
      <w:autoSpaceDE w:val="0"/>
      <w:autoSpaceDN w:val="0"/>
      <w:adjustRightInd w:val="0"/>
      <w:ind w:left="576" w:right="720"/>
      <w:jc w:val="both"/>
    </w:pPr>
    <w:rPr>
      <w:rFonts w:ascii="Arial" w:hAnsi="Arial" w:cs="Arial"/>
      <w:color w:val="000000"/>
    </w:rPr>
  </w:style>
  <w:style w:type="paragraph" w:customStyle="1" w:styleId="NTDescindent">
    <w:name w:val="N T Desc indent"/>
    <w:uiPriority w:val="99"/>
    <w:rsid w:val="00327DFD"/>
    <w:pPr>
      <w:widowControl w:val="0"/>
      <w:tabs>
        <w:tab w:val="left" w:pos="792"/>
      </w:tabs>
      <w:autoSpaceDE w:val="0"/>
      <w:autoSpaceDN w:val="0"/>
      <w:adjustRightInd w:val="0"/>
      <w:ind w:left="864" w:right="1152" w:hanging="144"/>
    </w:pPr>
    <w:rPr>
      <w:rFonts w:ascii="Arial" w:hAnsi="Arial" w:cs="Arial"/>
      <w:color w:val="000000"/>
    </w:rPr>
  </w:style>
  <w:style w:type="paragraph" w:customStyle="1" w:styleId="NTDescinputpgph2">
    <w:name w:val="N T Desc input pgph2"/>
    <w:uiPriority w:val="99"/>
    <w:rsid w:val="00327DFD"/>
    <w:pPr>
      <w:widowControl w:val="0"/>
      <w:tabs>
        <w:tab w:val="left" w:pos="792"/>
      </w:tabs>
      <w:autoSpaceDE w:val="0"/>
      <w:autoSpaceDN w:val="0"/>
      <w:adjustRightInd w:val="0"/>
      <w:spacing w:before="216"/>
      <w:ind w:left="576"/>
      <w:jc w:val="both"/>
    </w:pPr>
    <w:rPr>
      <w:rFonts w:ascii="Arial" w:hAnsi="Arial" w:cs="Arial"/>
      <w:color w:val="000000"/>
    </w:rPr>
  </w:style>
  <w:style w:type="paragraph" w:customStyle="1" w:styleId="NTTitleB">
    <w:name w:val="N T Title B"/>
    <w:uiPriority w:val="99"/>
    <w:rsid w:val="00327DFD"/>
    <w:pPr>
      <w:keepNext/>
      <w:keepLines/>
      <w:widowControl w:val="0"/>
      <w:tabs>
        <w:tab w:val="left" w:pos="504"/>
      </w:tabs>
      <w:autoSpaceDE w:val="0"/>
      <w:autoSpaceDN w:val="0"/>
      <w:adjustRightInd w:val="0"/>
      <w:spacing w:before="216"/>
    </w:pPr>
    <w:rPr>
      <w:rFonts w:ascii="Arial" w:hAnsi="Arial" w:cs="Arial"/>
      <w:b/>
      <w:bCs/>
      <w:color w:val="000000"/>
    </w:rPr>
  </w:style>
  <w:style w:type="paragraph" w:customStyle="1" w:styleId="NTitlesubI">
    <w:name w:val="N Title sub I"/>
    <w:uiPriority w:val="99"/>
    <w:rsid w:val="00327DFD"/>
    <w:pPr>
      <w:widowControl w:val="0"/>
      <w:autoSpaceDE w:val="0"/>
      <w:autoSpaceDN w:val="0"/>
      <w:adjustRightInd w:val="0"/>
      <w:spacing w:before="288" w:after="72"/>
      <w:ind w:left="576"/>
    </w:pPr>
    <w:rPr>
      <w:rFonts w:ascii="Arial" w:hAnsi="Arial" w:cs="Arial"/>
      <w:color w:val="000000"/>
    </w:rPr>
  </w:style>
  <w:style w:type="paragraph" w:customStyle="1" w:styleId="Nbodyindent">
    <w:name w:val="N body indent"/>
    <w:uiPriority w:val="99"/>
    <w:rsid w:val="00327DFD"/>
    <w:pPr>
      <w:widowControl w:val="0"/>
      <w:autoSpaceDE w:val="0"/>
      <w:autoSpaceDN w:val="0"/>
      <w:adjustRightInd w:val="0"/>
      <w:spacing w:before="216"/>
      <w:ind w:left="1440"/>
      <w:jc w:val="both"/>
    </w:pPr>
    <w:rPr>
      <w:rFonts w:ascii="Arial" w:hAnsi="Arial" w:cs="Arial"/>
      <w:color w:val="000000"/>
    </w:rPr>
  </w:style>
  <w:style w:type="paragraph" w:customStyle="1" w:styleId="Nbodyinput">
    <w:name w:val="N body input"/>
    <w:uiPriority w:val="99"/>
    <w:rsid w:val="00327DFD"/>
    <w:pPr>
      <w:widowControl w:val="0"/>
      <w:autoSpaceDE w:val="0"/>
      <w:autoSpaceDN w:val="0"/>
      <w:adjustRightInd w:val="0"/>
      <w:spacing w:before="216"/>
      <w:ind w:left="576"/>
      <w:jc w:val="both"/>
    </w:pPr>
    <w:rPr>
      <w:rFonts w:ascii="Arial" w:hAnsi="Arial" w:cs="Arial"/>
      <w:color w:val="000000"/>
    </w:rPr>
  </w:style>
  <w:style w:type="paragraph" w:customStyle="1" w:styleId="Nbodyss">
    <w:name w:val="N body ss"/>
    <w:uiPriority w:val="99"/>
    <w:rsid w:val="00327DFD"/>
    <w:pPr>
      <w:widowControl w:val="0"/>
      <w:autoSpaceDE w:val="0"/>
      <w:autoSpaceDN w:val="0"/>
      <w:adjustRightInd w:val="0"/>
      <w:ind w:left="576"/>
      <w:jc w:val="both"/>
    </w:pPr>
    <w:rPr>
      <w:rFonts w:ascii="Arial" w:hAnsi="Arial" w:cs="Arial"/>
      <w:color w:val="000000"/>
    </w:rPr>
  </w:style>
  <w:style w:type="paragraph" w:customStyle="1" w:styleId="NFSlinespaceafter">
    <w:name w:val="NFS line space after"/>
    <w:uiPriority w:val="99"/>
    <w:rsid w:val="00327DFD"/>
    <w:pPr>
      <w:widowControl w:val="0"/>
      <w:autoSpaceDE w:val="0"/>
      <w:autoSpaceDN w:val="0"/>
      <w:adjustRightInd w:val="0"/>
      <w:spacing w:line="288" w:lineRule="exact"/>
      <w:ind w:left="576"/>
    </w:pPr>
    <w:rPr>
      <w:rFonts w:ascii="Arial" w:hAnsi="Arial" w:cs="Arial"/>
      <w:color w:val="000000"/>
    </w:rPr>
  </w:style>
  <w:style w:type="paragraph" w:customStyle="1" w:styleId="Skip">
    <w:name w:val="Skip"/>
    <w:uiPriority w:val="99"/>
    <w:rsid w:val="00327DFD"/>
    <w:pPr>
      <w:widowControl w:val="0"/>
      <w:autoSpaceDE w:val="0"/>
      <w:autoSpaceDN w:val="0"/>
      <w:adjustRightInd w:val="0"/>
      <w:ind w:left="72"/>
    </w:pPr>
    <w:rPr>
      <w:rFonts w:ascii="Arial" w:hAnsi="Arial" w:cs="Arial"/>
      <w:i/>
      <w:iCs/>
      <w:color w:val="000000"/>
      <w:sz w:val="18"/>
      <w:szCs w:val="18"/>
    </w:rPr>
  </w:style>
  <w:style w:type="paragraph" w:customStyle="1" w:styleId="Spacer1line">
    <w:name w:val="Spacer 1 line"/>
    <w:uiPriority w:val="99"/>
    <w:rsid w:val="00327DFD"/>
    <w:pPr>
      <w:widowControl w:val="0"/>
      <w:autoSpaceDE w:val="0"/>
      <w:autoSpaceDN w:val="0"/>
      <w:adjustRightInd w:val="0"/>
      <w:spacing w:line="216" w:lineRule="exact"/>
      <w:ind w:left="72"/>
    </w:pPr>
    <w:rPr>
      <w:rFonts w:ascii="Arial" w:hAnsi="Arial" w:cs="Arial"/>
      <w:color w:val="000000"/>
    </w:rPr>
  </w:style>
  <w:style w:type="paragraph" w:customStyle="1" w:styleId="TAY">
    <w:name w:val="T AY $"/>
    <w:uiPriority w:val="99"/>
    <w:rsid w:val="00327DFD"/>
    <w:pPr>
      <w:widowControl w:val="0"/>
      <w:autoSpaceDE w:val="0"/>
      <w:autoSpaceDN w:val="0"/>
      <w:adjustRightInd w:val="0"/>
      <w:jc w:val="center"/>
    </w:pPr>
    <w:rPr>
      <w:rFonts w:ascii="Arial" w:hAnsi="Arial" w:cs="Arial"/>
      <w:color w:val="000000"/>
    </w:rPr>
  </w:style>
  <w:style w:type="paragraph" w:customStyle="1" w:styleId="TCapstock">
    <w:name w:val="T Cap stock"/>
    <w:uiPriority w:val="99"/>
    <w:rsid w:val="00327DFD"/>
    <w:pPr>
      <w:widowControl w:val="0"/>
      <w:tabs>
        <w:tab w:val="left" w:pos="792"/>
      </w:tabs>
      <w:autoSpaceDE w:val="0"/>
      <w:autoSpaceDN w:val="0"/>
      <w:adjustRightInd w:val="0"/>
      <w:ind w:right="288"/>
      <w:jc w:val="both"/>
    </w:pPr>
    <w:rPr>
      <w:rFonts w:ascii="Arial" w:hAnsi="Arial" w:cs="Arial"/>
      <w:color w:val="000000"/>
    </w:rPr>
  </w:style>
  <w:style w:type="paragraph" w:customStyle="1" w:styleId="TCapstockamt">
    <w:name w:val="T Cap stock amt"/>
    <w:uiPriority w:val="99"/>
    <w:rsid w:val="00327DFD"/>
    <w:pPr>
      <w:widowControl w:val="0"/>
      <w:tabs>
        <w:tab w:val="left" w:pos="792"/>
      </w:tabs>
      <w:autoSpaceDE w:val="0"/>
      <w:autoSpaceDN w:val="0"/>
      <w:adjustRightInd w:val="0"/>
      <w:ind w:left="216"/>
      <w:jc w:val="right"/>
    </w:pPr>
    <w:rPr>
      <w:rFonts w:ascii="Arial" w:hAnsi="Arial" w:cs="Arial"/>
      <w:color w:val="000000"/>
    </w:rPr>
  </w:style>
  <w:style w:type="paragraph" w:customStyle="1" w:styleId="TDescyr">
    <w:name w:val="T Desc yr"/>
    <w:uiPriority w:val="99"/>
    <w:rsid w:val="00327DFD"/>
    <w:pPr>
      <w:widowControl w:val="0"/>
      <w:autoSpaceDE w:val="0"/>
      <w:autoSpaceDN w:val="0"/>
      <w:adjustRightInd w:val="0"/>
      <w:ind w:left="504" w:right="720" w:hanging="288"/>
    </w:pPr>
    <w:rPr>
      <w:rFonts w:ascii="Arial" w:hAnsi="Arial" w:cs="Arial"/>
      <w:color w:val="000000"/>
    </w:rPr>
  </w:style>
  <w:style w:type="paragraph" w:customStyle="1" w:styleId="TYrAY">
    <w:name w:val="T Yr AY"/>
    <w:uiPriority w:val="99"/>
    <w:rsid w:val="00327DFD"/>
    <w:pPr>
      <w:widowControl w:val="0"/>
      <w:autoSpaceDE w:val="0"/>
      <w:autoSpaceDN w:val="0"/>
      <w:adjustRightInd w:val="0"/>
      <w:jc w:val="center"/>
    </w:pPr>
    <w:rPr>
      <w:rFonts w:ascii="Arial" w:hAnsi="Arial" w:cs="Arial"/>
      <w:b/>
      <w:bCs/>
      <w:color w:val="000000"/>
    </w:rPr>
  </w:style>
  <w:style w:type="paragraph" w:customStyle="1" w:styleId="n2">
    <w:name w:val="n2"/>
    <w:basedOn w:val="Normal"/>
    <w:uiPriority w:val="99"/>
    <w:rsid w:val="00327DFD"/>
    <w:pPr>
      <w:ind w:left="540"/>
      <w:jc w:val="both"/>
    </w:pPr>
    <w:rPr>
      <w:sz w:val="18"/>
    </w:rPr>
  </w:style>
  <w:style w:type="paragraph" w:styleId="BodyTextIndent3">
    <w:name w:val="Body Text Indent 3"/>
    <w:basedOn w:val="Normal"/>
    <w:link w:val="BodyTextIndent3Char"/>
    <w:uiPriority w:val="99"/>
    <w:rsid w:val="00327DFD"/>
    <w:pPr>
      <w:widowControl w:val="0"/>
      <w:autoSpaceDE w:val="0"/>
      <w:autoSpaceDN w:val="0"/>
      <w:adjustRightInd w:val="0"/>
      <w:spacing w:after="120"/>
      <w:ind w:left="360"/>
    </w:pPr>
    <w:rPr>
      <w:rFonts w:ascii="Arial" w:hAnsi="Arial" w:cs="Arial"/>
      <w:color w:val="000000"/>
      <w:sz w:val="16"/>
      <w:szCs w:val="16"/>
    </w:rPr>
  </w:style>
  <w:style w:type="character" w:customStyle="1" w:styleId="BodyTextIndent3Char">
    <w:name w:val="Body Text Indent 3 Char"/>
    <w:basedOn w:val="DefaultParagraphFont"/>
    <w:link w:val="BodyTextIndent3"/>
    <w:uiPriority w:val="99"/>
    <w:rsid w:val="00327DFD"/>
    <w:rPr>
      <w:rFonts w:ascii="Arial" w:hAnsi="Arial" w:cs="Arial"/>
      <w:color w:val="000000"/>
      <w:sz w:val="16"/>
      <w:szCs w:val="16"/>
    </w:rPr>
  </w:style>
  <w:style w:type="character" w:customStyle="1" w:styleId="DeltaViewDeletion">
    <w:name w:val="DeltaView Deletion"/>
    <w:uiPriority w:val="99"/>
    <w:rsid w:val="00327DFD"/>
    <w:rPr>
      <w:strike/>
      <w:color w:val="FF0000"/>
    </w:rPr>
  </w:style>
  <w:style w:type="paragraph" w:styleId="DocumentMap">
    <w:name w:val="Document Map"/>
    <w:basedOn w:val="Normal"/>
    <w:link w:val="DocumentMapChar"/>
    <w:uiPriority w:val="99"/>
    <w:semiHidden/>
    <w:rsid w:val="00327DFD"/>
    <w:rPr>
      <w:rFonts w:ascii="Tahoma" w:hAnsi="Tahoma" w:cs="Tahoma"/>
      <w:sz w:val="16"/>
      <w:szCs w:val="16"/>
    </w:rPr>
  </w:style>
  <w:style w:type="character" w:customStyle="1" w:styleId="DocumentMapChar">
    <w:name w:val="Document Map Char"/>
    <w:basedOn w:val="DefaultParagraphFont"/>
    <w:link w:val="DocumentMap"/>
    <w:uiPriority w:val="99"/>
    <w:semiHidden/>
    <w:rsid w:val="00327DF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27DFD"/>
    <w:rPr>
      <w:b/>
      <w:bCs/>
    </w:rPr>
  </w:style>
  <w:style w:type="character" w:customStyle="1" w:styleId="CommentSubjectChar">
    <w:name w:val="Comment Subject Char"/>
    <w:basedOn w:val="CommentTextChar"/>
    <w:link w:val="CommentSubject"/>
    <w:uiPriority w:val="99"/>
    <w:semiHidden/>
    <w:rsid w:val="00327DFD"/>
    <w:rPr>
      <w:rFonts w:ascii="Arial" w:hAnsi="Arial"/>
      <w:b/>
      <w:bCs/>
    </w:rPr>
  </w:style>
  <w:style w:type="paragraph" w:styleId="Revision">
    <w:name w:val="Revision"/>
    <w:hidden/>
    <w:uiPriority w:val="99"/>
    <w:semiHidden/>
    <w:rsid w:val="00327DFD"/>
    <w:rPr>
      <w:rFonts w:ascii="Arial" w:hAnsi="Arial"/>
      <w:sz w:val="22"/>
      <w:szCs w:val="24"/>
    </w:rPr>
  </w:style>
  <w:style w:type="table" w:customStyle="1" w:styleId="LightShading1">
    <w:name w:val="Light Shading1"/>
    <w:uiPriority w:val="99"/>
    <w:rsid w:val="00327DFD"/>
    <w:rPr>
      <w:color w:val="000000"/>
      <w:lang w:val="en-CA" w:eastAsia="en-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
    <w:name w:val="Table Grid1"/>
    <w:basedOn w:val="TableNormal"/>
    <w:next w:val="TableGrid"/>
    <w:rsid w:val="0032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Default"/>
    <w:next w:val="Default"/>
    <w:uiPriority w:val="99"/>
    <w:rsid w:val="00327DFD"/>
    <w:pPr>
      <w:widowControl w:val="0"/>
    </w:pPr>
    <w:rPr>
      <w:rFonts w:ascii="PCONA F+ Times New Roman PSMT" w:eastAsiaTheme="minorEastAsia" w:hAnsi="PCONA F+ Times New Roman PSMT" w:cstheme="minorBidi"/>
      <w:color w:val="auto"/>
    </w:rPr>
  </w:style>
  <w:style w:type="paragraph" w:customStyle="1" w:styleId="Pagenoreport">
    <w:name w:val="Page no report"/>
    <w:uiPriority w:val="99"/>
    <w:rsid w:val="00327DFD"/>
    <w:pPr>
      <w:widowControl w:val="0"/>
      <w:autoSpaceDE w:val="0"/>
      <w:autoSpaceDN w:val="0"/>
      <w:adjustRightInd w:val="0"/>
      <w:spacing w:after="144"/>
      <w:jc w:val="right"/>
    </w:pPr>
    <w:rPr>
      <w:rFonts w:ascii="Arial" w:hAnsi="Arial" w:cs="Arial"/>
      <w:b/>
      <w:bCs/>
      <w:color w:val="000000"/>
    </w:rPr>
  </w:style>
  <w:style w:type="paragraph" w:customStyle="1" w:styleId="R-Title">
    <w:name w:val="R-Title"/>
    <w:uiPriority w:val="99"/>
    <w:rsid w:val="00327DFD"/>
    <w:pPr>
      <w:widowControl w:val="0"/>
      <w:autoSpaceDE w:val="0"/>
      <w:autoSpaceDN w:val="0"/>
      <w:adjustRightInd w:val="0"/>
      <w:jc w:val="center"/>
    </w:pPr>
    <w:rPr>
      <w:rFonts w:ascii="Arial" w:hAnsi="Arial" w:cs="Arial"/>
      <w:b/>
      <w:bCs/>
      <w:color w:val="000000"/>
      <w:sz w:val="24"/>
      <w:szCs w:val="24"/>
    </w:rPr>
  </w:style>
  <w:style w:type="paragraph" w:customStyle="1" w:styleId="R-WhitespaceAN">
    <w:name w:val="R-WhitespaceAN"/>
    <w:uiPriority w:val="99"/>
    <w:rsid w:val="00327DFD"/>
    <w:pPr>
      <w:widowControl w:val="0"/>
      <w:autoSpaceDE w:val="0"/>
      <w:autoSpaceDN w:val="0"/>
      <w:adjustRightInd w:val="0"/>
    </w:pPr>
    <w:rPr>
      <w:rFonts w:ascii="Arial" w:hAnsi="Arial" w:cs="Arial"/>
      <w:color w:val="000000"/>
      <w:sz w:val="22"/>
      <w:szCs w:val="22"/>
    </w:rPr>
  </w:style>
  <w:style w:type="character" w:styleId="Hyperlink">
    <w:name w:val="Hyperlink"/>
    <w:basedOn w:val="DefaultParagraphFont"/>
    <w:uiPriority w:val="99"/>
    <w:unhideWhenUsed/>
    <w:rsid w:val="008008B5"/>
    <w:rPr>
      <w:color w:val="0000FF" w:themeColor="hyperlink"/>
      <w:u w:val="single"/>
    </w:rPr>
  </w:style>
  <w:style w:type="paragraph" w:customStyle="1" w:styleId="canvas-atom">
    <w:name w:val="canvas-atom"/>
    <w:basedOn w:val="Normal"/>
    <w:rsid w:val="008008B5"/>
    <w:pPr>
      <w:spacing w:before="100" w:beforeAutospacing="1" w:after="100" w:afterAutospacing="1"/>
    </w:pPr>
    <w:rPr>
      <w:sz w:val="24"/>
      <w:szCs w:val="24"/>
      <w:lang w:val="en-GB" w:eastAsia="en-GB"/>
    </w:rPr>
  </w:style>
  <w:style w:type="paragraph" w:customStyle="1" w:styleId="BodyCopy">
    <w:name w:val="Body Copy"/>
    <w:basedOn w:val="Normal"/>
    <w:rsid w:val="001B5FEC"/>
    <w:pPr>
      <w:spacing w:after="240"/>
    </w:pPr>
    <w:rPr>
      <w:rFonts w:ascii="Verdana" w:hAnsi="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edar.com"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theme" Target="theme/theme1.xml"/></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7759</Words>
  <Characters>44228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brian Roberts</cp:lastModifiedBy>
  <cp:revision>8</cp:revision>
  <cp:lastPrinted>2004-05-10T18:26:00Z</cp:lastPrinted>
  <dcterms:created xsi:type="dcterms:W3CDTF">2021-05-25T17:46:00Z</dcterms:created>
  <dcterms:modified xsi:type="dcterms:W3CDTF">2021-07-25T15:23:00Z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