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w:t>
      </w:r>
      <w:r w:rsidR="00E12ECB">
        <w:rPr>
          <w:rFonts w:ascii="Arial" w:hAnsi="Arial"/>
          <w:color w:val="000000"/>
          <w:u w:val="single"/>
        </w:rPr>
        <w:t>Taiga Gold Corp</w:t>
      </w:r>
      <w:r>
        <w:rPr>
          <w:rFonts w:ascii="Arial" w:hAnsi="Arial"/>
          <w:color w:val="000000"/>
          <w:u w:val="single"/>
        </w:rPr>
        <w:t>_______________________</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E12ECB">
        <w:rPr>
          <w:rFonts w:ascii="Arial" w:hAnsi="Arial"/>
          <w:color w:val="000000"/>
        </w:rPr>
        <w:t>TGC</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rsidP="00444A4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rsidP="00444A4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rsidP="00444A4B">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rsidP="00444A4B">
      <w:pPr>
        <w:numPr>
          <w:ilvl w:val="0"/>
          <w:numId w:val="3"/>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rsidP="00444A4B">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rsidP="00444A4B">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rsidR="0048706B" w:rsidRDefault="0048706B" w:rsidP="00444A4B">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rsidR="0048706B" w:rsidRDefault="0048706B" w:rsidP="00444A4B">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rsidP="00444A4B">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rsidP="00444A4B">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rsidP="00444A4B">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rsidP="00444A4B">
      <w:pPr>
        <w:numPr>
          <w:ilvl w:val="0"/>
          <w:numId w:val="4"/>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E12ECB">
            <w:pPr>
              <w:keepNext/>
              <w:keepLines/>
              <w:spacing w:line="280" w:lineRule="exact"/>
              <w:jc w:val="both"/>
              <w:rPr>
                <w:rFonts w:ascii="Arial" w:hAnsi="Arial"/>
              </w:rPr>
            </w:pPr>
            <w:r>
              <w:rPr>
                <w:rFonts w:ascii="Arial" w:hAnsi="Arial"/>
              </w:rPr>
              <w:t>Apr11-2018</w:t>
            </w:r>
          </w:p>
        </w:tc>
        <w:tc>
          <w:tcPr>
            <w:tcW w:w="1440" w:type="dxa"/>
          </w:tcPr>
          <w:p w:rsidR="0048706B" w:rsidRDefault="00E12ECB">
            <w:pPr>
              <w:keepNext/>
              <w:keepLines/>
              <w:spacing w:line="280" w:lineRule="exact"/>
              <w:jc w:val="both"/>
              <w:rPr>
                <w:rFonts w:ascii="Arial" w:hAnsi="Arial"/>
              </w:rPr>
            </w:pPr>
            <w:r>
              <w:rPr>
                <w:rFonts w:ascii="Arial" w:hAnsi="Arial"/>
              </w:rPr>
              <w:t>Common shares</w:t>
            </w:r>
          </w:p>
        </w:tc>
        <w:tc>
          <w:tcPr>
            <w:tcW w:w="1350" w:type="dxa"/>
          </w:tcPr>
          <w:p w:rsidR="0048706B" w:rsidRDefault="00E12ECB">
            <w:pPr>
              <w:keepNext/>
              <w:keepLines/>
              <w:spacing w:line="280" w:lineRule="exact"/>
              <w:jc w:val="both"/>
              <w:rPr>
                <w:rFonts w:ascii="Arial" w:hAnsi="Arial"/>
              </w:rPr>
            </w:pPr>
            <w:r>
              <w:rPr>
                <w:rFonts w:ascii="Arial" w:hAnsi="Arial"/>
              </w:rPr>
              <w:t>Plan of Arrangement</w:t>
            </w:r>
          </w:p>
        </w:tc>
        <w:tc>
          <w:tcPr>
            <w:tcW w:w="990" w:type="dxa"/>
          </w:tcPr>
          <w:p w:rsidR="0048706B" w:rsidRDefault="00E12ECB">
            <w:pPr>
              <w:keepNext/>
              <w:keepLines/>
              <w:spacing w:line="280" w:lineRule="exact"/>
              <w:jc w:val="both"/>
              <w:rPr>
                <w:rFonts w:ascii="Arial" w:hAnsi="Arial"/>
              </w:rPr>
            </w:pPr>
            <w:r>
              <w:rPr>
                <w:rFonts w:ascii="Arial" w:hAnsi="Arial"/>
              </w:rPr>
              <w:t>44,981,334</w:t>
            </w:r>
          </w:p>
        </w:tc>
        <w:tc>
          <w:tcPr>
            <w:tcW w:w="810" w:type="dxa"/>
          </w:tcPr>
          <w:p w:rsidR="0048706B" w:rsidRDefault="00E12ECB">
            <w:pPr>
              <w:keepNext/>
              <w:keepLines/>
              <w:spacing w:line="280" w:lineRule="exact"/>
              <w:jc w:val="both"/>
              <w:rPr>
                <w:rFonts w:ascii="Arial" w:hAnsi="Arial"/>
              </w:rPr>
            </w:pPr>
            <w:proofErr w:type="spellStart"/>
            <w:r>
              <w:rPr>
                <w:rFonts w:ascii="Arial" w:hAnsi="Arial"/>
              </w:rPr>
              <w:t>na</w:t>
            </w:r>
            <w:proofErr w:type="spellEnd"/>
          </w:p>
        </w:tc>
        <w:tc>
          <w:tcPr>
            <w:tcW w:w="1260" w:type="dxa"/>
          </w:tcPr>
          <w:p w:rsidR="0048706B" w:rsidRDefault="00E12ECB">
            <w:pPr>
              <w:keepNext/>
              <w:keepLines/>
              <w:spacing w:line="280" w:lineRule="exact"/>
              <w:jc w:val="both"/>
              <w:rPr>
                <w:rFonts w:ascii="Arial" w:hAnsi="Arial"/>
              </w:rPr>
            </w:pPr>
            <w:proofErr w:type="spellStart"/>
            <w:r>
              <w:rPr>
                <w:rFonts w:ascii="Arial" w:hAnsi="Arial"/>
              </w:rPr>
              <w:t>na</w:t>
            </w:r>
            <w:proofErr w:type="spellEnd"/>
          </w:p>
        </w:tc>
        <w:tc>
          <w:tcPr>
            <w:tcW w:w="1620" w:type="dxa"/>
          </w:tcPr>
          <w:p w:rsidR="0048706B" w:rsidRDefault="00E12ECB">
            <w:pPr>
              <w:keepNext/>
              <w:keepLines/>
              <w:spacing w:line="280" w:lineRule="exact"/>
              <w:jc w:val="both"/>
              <w:rPr>
                <w:rFonts w:ascii="Arial" w:hAnsi="Arial"/>
              </w:rPr>
            </w:pPr>
            <w:r>
              <w:rPr>
                <w:rFonts w:ascii="Arial" w:hAnsi="Arial"/>
              </w:rPr>
              <w:t>Property</w:t>
            </w:r>
          </w:p>
        </w:tc>
        <w:tc>
          <w:tcPr>
            <w:tcW w:w="1350" w:type="dxa"/>
          </w:tcPr>
          <w:p w:rsidR="0048706B" w:rsidRDefault="00E12ECB">
            <w:pPr>
              <w:keepNext/>
              <w:keepLines/>
              <w:spacing w:line="280" w:lineRule="exact"/>
              <w:jc w:val="both"/>
              <w:rPr>
                <w:rFonts w:ascii="Arial" w:hAnsi="Arial"/>
              </w:rPr>
            </w:pPr>
            <w:r>
              <w:rPr>
                <w:rFonts w:ascii="Arial" w:hAnsi="Arial"/>
              </w:rPr>
              <w:t>Related</w:t>
            </w:r>
          </w:p>
        </w:tc>
        <w:tc>
          <w:tcPr>
            <w:tcW w:w="1440" w:type="dxa"/>
          </w:tcPr>
          <w:p w:rsidR="0048706B" w:rsidRDefault="00E12ECB">
            <w:pPr>
              <w:keepNext/>
              <w:keepLines/>
              <w:spacing w:line="280" w:lineRule="exact"/>
              <w:jc w:val="both"/>
              <w:rPr>
                <w:rFonts w:ascii="Arial" w:hAnsi="Arial"/>
              </w:rPr>
            </w:pPr>
            <w:r>
              <w:rPr>
                <w:rFonts w:ascii="Arial" w:hAnsi="Arial"/>
              </w:rPr>
              <w:t>nil</w:t>
            </w:r>
          </w:p>
        </w:tc>
      </w:tr>
      <w:tr w:rsidR="0048706B">
        <w:tc>
          <w:tcPr>
            <w:tcW w:w="990" w:type="dxa"/>
          </w:tcPr>
          <w:p w:rsidR="0048706B" w:rsidRDefault="00E12ECB">
            <w:pPr>
              <w:keepNext/>
              <w:keepLines/>
              <w:spacing w:line="280" w:lineRule="exact"/>
              <w:jc w:val="both"/>
              <w:rPr>
                <w:rFonts w:ascii="Arial" w:hAnsi="Arial"/>
              </w:rPr>
            </w:pPr>
            <w:r>
              <w:rPr>
                <w:rFonts w:ascii="Arial" w:hAnsi="Arial"/>
              </w:rPr>
              <w:t>Apr11-2018</w:t>
            </w:r>
          </w:p>
        </w:tc>
        <w:tc>
          <w:tcPr>
            <w:tcW w:w="1440" w:type="dxa"/>
          </w:tcPr>
          <w:p w:rsidR="0048706B" w:rsidRDefault="00E12ECB">
            <w:pPr>
              <w:keepNext/>
              <w:keepLines/>
              <w:spacing w:line="280" w:lineRule="exact"/>
              <w:jc w:val="both"/>
              <w:rPr>
                <w:rFonts w:ascii="Arial" w:hAnsi="Arial"/>
              </w:rPr>
            </w:pPr>
            <w:r>
              <w:rPr>
                <w:rFonts w:ascii="Arial" w:hAnsi="Arial"/>
              </w:rPr>
              <w:t>Common shares</w:t>
            </w:r>
          </w:p>
        </w:tc>
        <w:tc>
          <w:tcPr>
            <w:tcW w:w="1350" w:type="dxa"/>
          </w:tcPr>
          <w:p w:rsidR="0048706B" w:rsidRDefault="00E12ECB">
            <w:pPr>
              <w:keepNext/>
              <w:keepLines/>
              <w:spacing w:line="280" w:lineRule="exact"/>
              <w:jc w:val="both"/>
              <w:rPr>
                <w:rFonts w:ascii="Arial" w:hAnsi="Arial"/>
              </w:rPr>
            </w:pPr>
            <w:r>
              <w:rPr>
                <w:rFonts w:ascii="Arial" w:hAnsi="Arial"/>
              </w:rPr>
              <w:t xml:space="preserve">Plan of </w:t>
            </w:r>
            <w:proofErr w:type="spellStart"/>
            <w:r>
              <w:rPr>
                <w:rFonts w:ascii="Arial" w:hAnsi="Arial"/>
              </w:rPr>
              <w:t>Arrangment</w:t>
            </w:r>
            <w:proofErr w:type="spellEnd"/>
          </w:p>
        </w:tc>
        <w:tc>
          <w:tcPr>
            <w:tcW w:w="990" w:type="dxa"/>
          </w:tcPr>
          <w:p w:rsidR="0048706B" w:rsidRDefault="00E12ECB">
            <w:pPr>
              <w:keepNext/>
              <w:keepLines/>
              <w:spacing w:line="280" w:lineRule="exact"/>
              <w:jc w:val="both"/>
              <w:rPr>
                <w:rFonts w:ascii="Arial" w:hAnsi="Arial"/>
              </w:rPr>
            </w:pPr>
            <w:r>
              <w:rPr>
                <w:rFonts w:ascii="Arial" w:hAnsi="Arial"/>
              </w:rPr>
              <w:t>11,162,716</w:t>
            </w:r>
          </w:p>
        </w:tc>
        <w:tc>
          <w:tcPr>
            <w:tcW w:w="810" w:type="dxa"/>
          </w:tcPr>
          <w:p w:rsidR="0048706B" w:rsidRDefault="00E12ECB">
            <w:pPr>
              <w:keepNext/>
              <w:keepLines/>
              <w:spacing w:line="280" w:lineRule="exact"/>
              <w:jc w:val="both"/>
              <w:rPr>
                <w:rFonts w:ascii="Arial" w:hAnsi="Arial"/>
              </w:rPr>
            </w:pPr>
            <w:r>
              <w:rPr>
                <w:rFonts w:ascii="Arial" w:hAnsi="Arial"/>
              </w:rPr>
              <w:t>0.027</w:t>
            </w:r>
          </w:p>
        </w:tc>
        <w:tc>
          <w:tcPr>
            <w:tcW w:w="1260" w:type="dxa"/>
          </w:tcPr>
          <w:p w:rsidR="0048706B" w:rsidRDefault="00E12ECB">
            <w:pPr>
              <w:keepNext/>
              <w:keepLines/>
              <w:spacing w:line="280" w:lineRule="exact"/>
              <w:jc w:val="both"/>
              <w:rPr>
                <w:rFonts w:ascii="Arial" w:hAnsi="Arial"/>
              </w:rPr>
            </w:pPr>
            <w:r>
              <w:rPr>
                <w:rFonts w:ascii="Arial" w:hAnsi="Arial"/>
              </w:rPr>
              <w:t>300,000</w:t>
            </w:r>
          </w:p>
        </w:tc>
        <w:tc>
          <w:tcPr>
            <w:tcW w:w="1620" w:type="dxa"/>
          </w:tcPr>
          <w:p w:rsidR="0048706B" w:rsidRDefault="00E12ECB">
            <w:pPr>
              <w:keepNext/>
              <w:keepLines/>
              <w:spacing w:line="280" w:lineRule="exact"/>
              <w:jc w:val="both"/>
              <w:rPr>
                <w:rFonts w:ascii="Arial" w:hAnsi="Arial"/>
              </w:rPr>
            </w:pPr>
            <w:r>
              <w:rPr>
                <w:rFonts w:ascii="Arial" w:hAnsi="Arial"/>
              </w:rPr>
              <w:t>Cash</w:t>
            </w:r>
          </w:p>
        </w:tc>
        <w:tc>
          <w:tcPr>
            <w:tcW w:w="1350" w:type="dxa"/>
          </w:tcPr>
          <w:p w:rsidR="0048706B" w:rsidRDefault="00E12ECB">
            <w:pPr>
              <w:keepNext/>
              <w:keepLines/>
              <w:spacing w:line="280" w:lineRule="exact"/>
              <w:jc w:val="both"/>
              <w:rPr>
                <w:rFonts w:ascii="Arial" w:hAnsi="Arial"/>
              </w:rPr>
            </w:pPr>
            <w:r>
              <w:rPr>
                <w:rFonts w:ascii="Arial" w:hAnsi="Arial"/>
              </w:rPr>
              <w:t>Related</w:t>
            </w:r>
          </w:p>
        </w:tc>
        <w:tc>
          <w:tcPr>
            <w:tcW w:w="1440" w:type="dxa"/>
          </w:tcPr>
          <w:p w:rsidR="0048706B" w:rsidRDefault="00E12ECB">
            <w:pPr>
              <w:keepNext/>
              <w:keepLines/>
              <w:spacing w:line="280" w:lineRule="exact"/>
              <w:jc w:val="both"/>
              <w:rPr>
                <w:rFonts w:ascii="Arial" w:hAnsi="Arial"/>
              </w:rPr>
            </w:pPr>
            <w:r>
              <w:rPr>
                <w:rFonts w:ascii="Arial" w:hAnsi="Arial"/>
              </w:rPr>
              <w:t>nil</w:t>
            </w:r>
          </w:p>
        </w:tc>
      </w:tr>
      <w:tr w:rsidR="0048706B">
        <w:tc>
          <w:tcPr>
            <w:tcW w:w="990" w:type="dxa"/>
          </w:tcPr>
          <w:p w:rsidR="0048706B" w:rsidRDefault="00E12ECB">
            <w:pPr>
              <w:keepNext/>
              <w:keepLines/>
              <w:spacing w:line="280" w:lineRule="exact"/>
              <w:jc w:val="both"/>
              <w:rPr>
                <w:rFonts w:ascii="Arial" w:hAnsi="Arial"/>
              </w:rPr>
            </w:pPr>
            <w:r>
              <w:rPr>
                <w:rFonts w:ascii="Arial" w:hAnsi="Arial"/>
              </w:rPr>
              <w:t>Apr16-2018</w:t>
            </w:r>
          </w:p>
        </w:tc>
        <w:tc>
          <w:tcPr>
            <w:tcW w:w="1440" w:type="dxa"/>
          </w:tcPr>
          <w:p w:rsidR="00E12ECB" w:rsidRDefault="00E12ECB">
            <w:pPr>
              <w:keepNext/>
              <w:keepLines/>
              <w:spacing w:line="280" w:lineRule="exact"/>
              <w:jc w:val="both"/>
              <w:rPr>
                <w:rFonts w:ascii="Arial" w:hAnsi="Arial"/>
              </w:rPr>
            </w:pPr>
            <w:r>
              <w:rPr>
                <w:rFonts w:ascii="Arial" w:hAnsi="Arial"/>
              </w:rPr>
              <w:t>Common shares</w:t>
            </w:r>
          </w:p>
        </w:tc>
        <w:tc>
          <w:tcPr>
            <w:tcW w:w="1350" w:type="dxa"/>
          </w:tcPr>
          <w:p w:rsidR="0048706B" w:rsidRDefault="00E12ECB">
            <w:pPr>
              <w:keepNext/>
              <w:keepLines/>
              <w:spacing w:line="280" w:lineRule="exact"/>
              <w:jc w:val="both"/>
              <w:rPr>
                <w:rFonts w:ascii="Arial" w:hAnsi="Arial"/>
              </w:rPr>
            </w:pPr>
            <w:r>
              <w:rPr>
                <w:rFonts w:ascii="Arial" w:hAnsi="Arial"/>
              </w:rPr>
              <w:t>Exercise of EPL options</w:t>
            </w:r>
          </w:p>
        </w:tc>
        <w:tc>
          <w:tcPr>
            <w:tcW w:w="990" w:type="dxa"/>
          </w:tcPr>
          <w:p w:rsidR="0048706B" w:rsidRDefault="00E12ECB">
            <w:pPr>
              <w:keepNext/>
              <w:keepLines/>
              <w:spacing w:line="280" w:lineRule="exact"/>
              <w:jc w:val="both"/>
              <w:rPr>
                <w:rFonts w:ascii="Arial" w:hAnsi="Arial"/>
              </w:rPr>
            </w:pPr>
            <w:r>
              <w:rPr>
                <w:rFonts w:ascii="Arial" w:hAnsi="Arial"/>
              </w:rPr>
              <w:t>45,000</w:t>
            </w:r>
          </w:p>
        </w:tc>
        <w:tc>
          <w:tcPr>
            <w:tcW w:w="810" w:type="dxa"/>
          </w:tcPr>
          <w:p w:rsidR="0048706B" w:rsidRDefault="00E12ECB">
            <w:pPr>
              <w:keepNext/>
              <w:keepLines/>
              <w:spacing w:line="280" w:lineRule="exact"/>
              <w:jc w:val="both"/>
              <w:rPr>
                <w:rFonts w:ascii="Arial" w:hAnsi="Arial"/>
              </w:rPr>
            </w:pPr>
            <w:proofErr w:type="spellStart"/>
            <w:r>
              <w:rPr>
                <w:rFonts w:ascii="Arial" w:hAnsi="Arial"/>
              </w:rPr>
              <w:t>na</w:t>
            </w:r>
            <w:proofErr w:type="spellEnd"/>
          </w:p>
        </w:tc>
        <w:tc>
          <w:tcPr>
            <w:tcW w:w="1260" w:type="dxa"/>
          </w:tcPr>
          <w:p w:rsidR="0048706B" w:rsidRDefault="00E12ECB">
            <w:pPr>
              <w:keepNext/>
              <w:keepLines/>
              <w:spacing w:line="280" w:lineRule="exact"/>
              <w:jc w:val="both"/>
              <w:rPr>
                <w:rFonts w:ascii="Arial" w:hAnsi="Arial"/>
              </w:rPr>
            </w:pPr>
            <w:r>
              <w:rPr>
                <w:rFonts w:ascii="Arial" w:hAnsi="Arial"/>
              </w:rPr>
              <w:t>2731</w:t>
            </w:r>
          </w:p>
        </w:tc>
        <w:tc>
          <w:tcPr>
            <w:tcW w:w="1620" w:type="dxa"/>
          </w:tcPr>
          <w:p w:rsidR="0048706B" w:rsidRDefault="00E12ECB">
            <w:pPr>
              <w:keepNext/>
              <w:keepLines/>
              <w:spacing w:line="280" w:lineRule="exact"/>
              <w:jc w:val="both"/>
              <w:rPr>
                <w:rFonts w:ascii="Arial" w:hAnsi="Arial"/>
              </w:rPr>
            </w:pPr>
            <w:r>
              <w:rPr>
                <w:rFonts w:ascii="Arial" w:hAnsi="Arial"/>
              </w:rPr>
              <w:t>Cash</w:t>
            </w:r>
          </w:p>
        </w:tc>
        <w:tc>
          <w:tcPr>
            <w:tcW w:w="1350" w:type="dxa"/>
          </w:tcPr>
          <w:p w:rsidR="0048706B" w:rsidRDefault="00E12ECB">
            <w:pPr>
              <w:keepNext/>
              <w:keepLines/>
              <w:spacing w:line="280" w:lineRule="exact"/>
              <w:jc w:val="both"/>
              <w:rPr>
                <w:rFonts w:ascii="Arial" w:hAnsi="Arial"/>
              </w:rPr>
            </w:pPr>
            <w:r>
              <w:rPr>
                <w:rFonts w:ascii="Arial" w:hAnsi="Arial"/>
              </w:rPr>
              <w:t>NR</w:t>
            </w:r>
          </w:p>
        </w:tc>
        <w:tc>
          <w:tcPr>
            <w:tcW w:w="1440" w:type="dxa"/>
          </w:tcPr>
          <w:p w:rsidR="0048706B" w:rsidRDefault="00E12ECB">
            <w:pPr>
              <w:keepNext/>
              <w:keepLines/>
              <w:spacing w:line="280" w:lineRule="exact"/>
              <w:jc w:val="both"/>
              <w:rPr>
                <w:rFonts w:ascii="Arial" w:hAnsi="Arial"/>
              </w:rPr>
            </w:pPr>
            <w:r>
              <w:rPr>
                <w:rFonts w:ascii="Arial" w:hAnsi="Arial"/>
              </w:rPr>
              <w:t>nil</w:t>
            </w:r>
          </w:p>
          <w:p w:rsidR="00E12ECB" w:rsidRDefault="00E12ECB">
            <w:pPr>
              <w:keepNext/>
              <w:keepLines/>
              <w:spacing w:line="280" w:lineRule="exact"/>
              <w:jc w:val="both"/>
              <w:rPr>
                <w:rFonts w:ascii="Arial" w:hAnsi="Arial"/>
              </w:rPr>
            </w:pPr>
          </w:p>
        </w:tc>
      </w:tr>
      <w:tr w:rsidR="00E12ECB">
        <w:tc>
          <w:tcPr>
            <w:tcW w:w="990" w:type="dxa"/>
          </w:tcPr>
          <w:p w:rsidR="00E12ECB" w:rsidRDefault="00E12ECB">
            <w:pPr>
              <w:keepNext/>
              <w:keepLines/>
              <w:spacing w:line="280" w:lineRule="exact"/>
              <w:jc w:val="both"/>
              <w:rPr>
                <w:rFonts w:ascii="Arial" w:hAnsi="Arial"/>
              </w:rPr>
            </w:pPr>
            <w:r>
              <w:rPr>
                <w:rFonts w:ascii="Arial" w:hAnsi="Arial"/>
              </w:rPr>
              <w:t>May24-2018</w:t>
            </w:r>
          </w:p>
        </w:tc>
        <w:tc>
          <w:tcPr>
            <w:tcW w:w="1440" w:type="dxa"/>
          </w:tcPr>
          <w:p w:rsidR="00E12ECB" w:rsidRDefault="00E12ECB">
            <w:pPr>
              <w:keepNext/>
              <w:keepLines/>
              <w:spacing w:line="280" w:lineRule="exact"/>
              <w:jc w:val="both"/>
              <w:rPr>
                <w:rFonts w:ascii="Arial" w:hAnsi="Arial"/>
              </w:rPr>
            </w:pPr>
            <w:r>
              <w:rPr>
                <w:rFonts w:ascii="Arial" w:hAnsi="Arial"/>
              </w:rPr>
              <w:t>Common shares</w:t>
            </w:r>
          </w:p>
        </w:tc>
        <w:tc>
          <w:tcPr>
            <w:tcW w:w="1350" w:type="dxa"/>
          </w:tcPr>
          <w:p w:rsidR="00E12ECB" w:rsidRDefault="00E12ECB" w:rsidP="00186ED6">
            <w:pPr>
              <w:keepNext/>
              <w:keepLines/>
              <w:spacing w:line="280" w:lineRule="exact"/>
              <w:jc w:val="both"/>
              <w:rPr>
                <w:rFonts w:ascii="Arial" w:hAnsi="Arial"/>
              </w:rPr>
            </w:pPr>
            <w:r>
              <w:rPr>
                <w:rFonts w:ascii="Arial" w:hAnsi="Arial"/>
              </w:rPr>
              <w:t>Exercise of EPL options</w:t>
            </w:r>
          </w:p>
        </w:tc>
        <w:tc>
          <w:tcPr>
            <w:tcW w:w="990" w:type="dxa"/>
          </w:tcPr>
          <w:p w:rsidR="00E12ECB" w:rsidRDefault="00E12ECB">
            <w:pPr>
              <w:keepNext/>
              <w:keepLines/>
              <w:spacing w:line="280" w:lineRule="exact"/>
              <w:jc w:val="both"/>
              <w:rPr>
                <w:rFonts w:ascii="Arial" w:hAnsi="Arial"/>
              </w:rPr>
            </w:pPr>
            <w:r>
              <w:rPr>
                <w:rFonts w:ascii="Arial" w:hAnsi="Arial"/>
              </w:rPr>
              <w:t>75,000</w:t>
            </w:r>
          </w:p>
        </w:tc>
        <w:tc>
          <w:tcPr>
            <w:tcW w:w="810" w:type="dxa"/>
          </w:tcPr>
          <w:p w:rsidR="00E12ECB" w:rsidRDefault="00E12ECB">
            <w:pPr>
              <w:keepNext/>
              <w:keepLines/>
              <w:spacing w:line="280" w:lineRule="exact"/>
              <w:jc w:val="both"/>
              <w:rPr>
                <w:rFonts w:ascii="Arial" w:hAnsi="Arial"/>
              </w:rPr>
            </w:pPr>
            <w:r>
              <w:rPr>
                <w:rFonts w:ascii="Arial" w:hAnsi="Arial"/>
              </w:rPr>
              <w:t>Na</w:t>
            </w:r>
          </w:p>
        </w:tc>
        <w:tc>
          <w:tcPr>
            <w:tcW w:w="1260" w:type="dxa"/>
          </w:tcPr>
          <w:p w:rsidR="00E12ECB" w:rsidRDefault="00E12ECB">
            <w:pPr>
              <w:keepNext/>
              <w:keepLines/>
              <w:spacing w:line="280" w:lineRule="exact"/>
              <w:jc w:val="both"/>
              <w:rPr>
                <w:rFonts w:ascii="Arial" w:hAnsi="Arial"/>
              </w:rPr>
            </w:pPr>
            <w:r>
              <w:rPr>
                <w:rFonts w:ascii="Arial" w:hAnsi="Arial"/>
              </w:rPr>
              <w:t>4551</w:t>
            </w:r>
          </w:p>
        </w:tc>
        <w:tc>
          <w:tcPr>
            <w:tcW w:w="1620" w:type="dxa"/>
          </w:tcPr>
          <w:p w:rsidR="00E12ECB" w:rsidRDefault="00E12ECB">
            <w:pPr>
              <w:keepNext/>
              <w:keepLines/>
              <w:spacing w:line="280" w:lineRule="exact"/>
              <w:jc w:val="both"/>
              <w:rPr>
                <w:rFonts w:ascii="Arial" w:hAnsi="Arial"/>
              </w:rPr>
            </w:pPr>
            <w:r>
              <w:rPr>
                <w:rFonts w:ascii="Arial" w:hAnsi="Arial"/>
              </w:rPr>
              <w:t>Cash</w:t>
            </w:r>
          </w:p>
        </w:tc>
        <w:tc>
          <w:tcPr>
            <w:tcW w:w="1350" w:type="dxa"/>
          </w:tcPr>
          <w:p w:rsidR="00E12ECB" w:rsidRDefault="00E12ECB">
            <w:pPr>
              <w:keepNext/>
              <w:keepLines/>
              <w:spacing w:line="280" w:lineRule="exact"/>
              <w:jc w:val="both"/>
              <w:rPr>
                <w:rFonts w:ascii="Arial" w:hAnsi="Arial"/>
              </w:rPr>
            </w:pPr>
            <w:r>
              <w:rPr>
                <w:rFonts w:ascii="Arial" w:hAnsi="Arial"/>
              </w:rPr>
              <w:t>NR</w:t>
            </w:r>
          </w:p>
        </w:tc>
        <w:tc>
          <w:tcPr>
            <w:tcW w:w="1440" w:type="dxa"/>
          </w:tcPr>
          <w:p w:rsidR="00E12ECB" w:rsidRDefault="00E12ECB">
            <w:pPr>
              <w:keepNext/>
              <w:keepLines/>
              <w:spacing w:line="280" w:lineRule="exact"/>
              <w:jc w:val="both"/>
              <w:rPr>
                <w:rFonts w:ascii="Arial" w:hAnsi="Arial"/>
              </w:rPr>
            </w:pPr>
            <w:r>
              <w:rPr>
                <w:rFonts w:ascii="Arial" w:hAnsi="Arial"/>
              </w:rPr>
              <w:t>nil</w:t>
            </w:r>
          </w:p>
        </w:tc>
      </w:tr>
      <w:tr w:rsidR="00E12ECB">
        <w:tc>
          <w:tcPr>
            <w:tcW w:w="990" w:type="dxa"/>
          </w:tcPr>
          <w:p w:rsidR="00E12ECB" w:rsidRDefault="00E12ECB">
            <w:pPr>
              <w:keepNext/>
              <w:keepLines/>
              <w:spacing w:line="280" w:lineRule="exact"/>
              <w:jc w:val="both"/>
              <w:rPr>
                <w:rFonts w:ascii="Arial" w:hAnsi="Arial"/>
              </w:rPr>
            </w:pPr>
            <w:r>
              <w:rPr>
                <w:rFonts w:ascii="Arial" w:hAnsi="Arial"/>
              </w:rPr>
              <w:t>Jun8-2018</w:t>
            </w:r>
          </w:p>
        </w:tc>
        <w:tc>
          <w:tcPr>
            <w:tcW w:w="1440" w:type="dxa"/>
          </w:tcPr>
          <w:p w:rsidR="00E12ECB" w:rsidRDefault="00E12ECB">
            <w:pPr>
              <w:keepNext/>
              <w:keepLines/>
              <w:spacing w:line="280" w:lineRule="exact"/>
              <w:jc w:val="both"/>
              <w:rPr>
                <w:rFonts w:ascii="Arial" w:hAnsi="Arial"/>
              </w:rPr>
            </w:pPr>
            <w:r>
              <w:rPr>
                <w:rFonts w:ascii="Arial" w:hAnsi="Arial"/>
              </w:rPr>
              <w:t>Common shares</w:t>
            </w:r>
          </w:p>
        </w:tc>
        <w:tc>
          <w:tcPr>
            <w:tcW w:w="1350" w:type="dxa"/>
          </w:tcPr>
          <w:p w:rsidR="00E12ECB" w:rsidRDefault="00E12ECB">
            <w:pPr>
              <w:keepNext/>
              <w:keepLines/>
              <w:spacing w:line="280" w:lineRule="exact"/>
              <w:jc w:val="both"/>
              <w:rPr>
                <w:rFonts w:ascii="Arial" w:hAnsi="Arial"/>
              </w:rPr>
            </w:pPr>
            <w:r>
              <w:rPr>
                <w:rFonts w:ascii="Arial" w:hAnsi="Arial"/>
              </w:rPr>
              <w:t>Private placement</w:t>
            </w:r>
          </w:p>
        </w:tc>
        <w:tc>
          <w:tcPr>
            <w:tcW w:w="990" w:type="dxa"/>
          </w:tcPr>
          <w:p w:rsidR="00E12ECB" w:rsidRDefault="00E12ECB" w:rsidP="00E12ECB">
            <w:pPr>
              <w:keepNext/>
              <w:keepLines/>
              <w:spacing w:line="280" w:lineRule="exact"/>
              <w:jc w:val="both"/>
              <w:rPr>
                <w:rFonts w:ascii="Arial" w:hAnsi="Arial"/>
              </w:rPr>
            </w:pPr>
            <w:r>
              <w:rPr>
                <w:rFonts w:ascii="Arial" w:hAnsi="Arial"/>
              </w:rPr>
              <w:t>2,507,500</w:t>
            </w:r>
          </w:p>
        </w:tc>
        <w:tc>
          <w:tcPr>
            <w:tcW w:w="810" w:type="dxa"/>
          </w:tcPr>
          <w:p w:rsidR="00E12ECB" w:rsidRDefault="00E12ECB">
            <w:pPr>
              <w:keepNext/>
              <w:keepLines/>
              <w:spacing w:line="280" w:lineRule="exact"/>
              <w:jc w:val="both"/>
              <w:rPr>
                <w:rFonts w:ascii="Arial" w:hAnsi="Arial"/>
              </w:rPr>
            </w:pPr>
            <w:r>
              <w:rPr>
                <w:rFonts w:ascii="Arial" w:hAnsi="Arial"/>
              </w:rPr>
              <w:t>0.20</w:t>
            </w:r>
          </w:p>
        </w:tc>
        <w:tc>
          <w:tcPr>
            <w:tcW w:w="1260" w:type="dxa"/>
          </w:tcPr>
          <w:p w:rsidR="00E12ECB" w:rsidRDefault="00E12ECB">
            <w:pPr>
              <w:keepNext/>
              <w:keepLines/>
              <w:spacing w:line="280" w:lineRule="exact"/>
              <w:jc w:val="both"/>
              <w:rPr>
                <w:rFonts w:ascii="Arial" w:hAnsi="Arial"/>
              </w:rPr>
            </w:pPr>
            <w:r>
              <w:rPr>
                <w:rFonts w:ascii="Arial" w:hAnsi="Arial"/>
              </w:rPr>
              <w:t>501,500</w:t>
            </w:r>
          </w:p>
        </w:tc>
        <w:tc>
          <w:tcPr>
            <w:tcW w:w="1620" w:type="dxa"/>
          </w:tcPr>
          <w:p w:rsidR="00E12ECB" w:rsidRDefault="00E12ECB">
            <w:pPr>
              <w:keepNext/>
              <w:keepLines/>
              <w:spacing w:line="280" w:lineRule="exact"/>
              <w:jc w:val="both"/>
              <w:rPr>
                <w:rFonts w:ascii="Arial" w:hAnsi="Arial"/>
              </w:rPr>
            </w:pPr>
            <w:r>
              <w:rPr>
                <w:rFonts w:ascii="Arial" w:hAnsi="Arial"/>
              </w:rPr>
              <w:t>Cash</w:t>
            </w:r>
          </w:p>
        </w:tc>
        <w:tc>
          <w:tcPr>
            <w:tcW w:w="1350" w:type="dxa"/>
          </w:tcPr>
          <w:p w:rsidR="00E12ECB" w:rsidRDefault="00E12ECB">
            <w:pPr>
              <w:keepNext/>
              <w:keepLines/>
              <w:spacing w:line="280" w:lineRule="exact"/>
              <w:jc w:val="both"/>
              <w:rPr>
                <w:rFonts w:ascii="Arial" w:hAnsi="Arial"/>
              </w:rPr>
            </w:pPr>
            <w:r>
              <w:rPr>
                <w:rFonts w:ascii="Arial" w:hAnsi="Arial"/>
              </w:rPr>
              <w:t>NR</w:t>
            </w:r>
          </w:p>
        </w:tc>
        <w:tc>
          <w:tcPr>
            <w:tcW w:w="1440" w:type="dxa"/>
          </w:tcPr>
          <w:p w:rsidR="00E12ECB" w:rsidRDefault="00E12ECB">
            <w:pPr>
              <w:keepNext/>
              <w:keepLines/>
              <w:spacing w:line="280" w:lineRule="exact"/>
              <w:jc w:val="both"/>
              <w:rPr>
                <w:rFonts w:ascii="Arial" w:hAnsi="Arial"/>
              </w:rPr>
            </w:pPr>
            <w:r>
              <w:rPr>
                <w:rFonts w:ascii="Arial" w:hAnsi="Arial"/>
              </w:rPr>
              <w:t>22,050</w:t>
            </w:r>
          </w:p>
        </w:tc>
      </w:tr>
      <w:tr w:rsidR="00E12ECB">
        <w:tc>
          <w:tcPr>
            <w:tcW w:w="990" w:type="dxa"/>
          </w:tcPr>
          <w:p w:rsidR="00E12ECB" w:rsidRDefault="00E12ECB">
            <w:pPr>
              <w:keepNext/>
              <w:keepLines/>
              <w:spacing w:line="280" w:lineRule="exact"/>
              <w:jc w:val="both"/>
              <w:rPr>
                <w:rFonts w:ascii="Arial" w:hAnsi="Arial"/>
              </w:rPr>
            </w:pPr>
            <w:r>
              <w:rPr>
                <w:rFonts w:ascii="Arial" w:hAnsi="Arial"/>
              </w:rPr>
              <w:t>Jun8-2018</w:t>
            </w:r>
          </w:p>
        </w:tc>
        <w:tc>
          <w:tcPr>
            <w:tcW w:w="1440" w:type="dxa"/>
          </w:tcPr>
          <w:p w:rsidR="00E12ECB" w:rsidRDefault="00E12ECB" w:rsidP="00186ED6">
            <w:pPr>
              <w:keepNext/>
              <w:keepLines/>
              <w:spacing w:line="280" w:lineRule="exact"/>
              <w:jc w:val="both"/>
              <w:rPr>
                <w:rFonts w:ascii="Arial" w:hAnsi="Arial"/>
              </w:rPr>
            </w:pPr>
            <w:r>
              <w:rPr>
                <w:rFonts w:ascii="Arial" w:hAnsi="Arial"/>
              </w:rPr>
              <w:t>Common shares</w:t>
            </w:r>
          </w:p>
        </w:tc>
        <w:tc>
          <w:tcPr>
            <w:tcW w:w="1350" w:type="dxa"/>
          </w:tcPr>
          <w:p w:rsidR="00E12ECB" w:rsidRDefault="00E12ECB" w:rsidP="00186ED6">
            <w:pPr>
              <w:keepNext/>
              <w:keepLines/>
              <w:spacing w:line="280" w:lineRule="exact"/>
              <w:jc w:val="both"/>
              <w:rPr>
                <w:rFonts w:ascii="Arial" w:hAnsi="Arial"/>
              </w:rPr>
            </w:pPr>
            <w:r>
              <w:rPr>
                <w:rFonts w:ascii="Arial" w:hAnsi="Arial"/>
              </w:rPr>
              <w:t>Private placement</w:t>
            </w:r>
          </w:p>
        </w:tc>
        <w:tc>
          <w:tcPr>
            <w:tcW w:w="990" w:type="dxa"/>
          </w:tcPr>
          <w:p w:rsidR="00E12ECB" w:rsidRDefault="00E12ECB">
            <w:pPr>
              <w:keepNext/>
              <w:keepLines/>
              <w:spacing w:line="280" w:lineRule="exact"/>
              <w:jc w:val="both"/>
              <w:rPr>
                <w:rFonts w:ascii="Arial" w:hAnsi="Arial"/>
              </w:rPr>
            </w:pPr>
            <w:r>
              <w:rPr>
                <w:rFonts w:ascii="Arial" w:hAnsi="Arial"/>
              </w:rPr>
              <w:t>1,430,.00</w:t>
            </w:r>
          </w:p>
        </w:tc>
        <w:tc>
          <w:tcPr>
            <w:tcW w:w="810" w:type="dxa"/>
          </w:tcPr>
          <w:p w:rsidR="00E12ECB" w:rsidRDefault="00E12ECB">
            <w:pPr>
              <w:keepNext/>
              <w:keepLines/>
              <w:spacing w:line="280" w:lineRule="exact"/>
              <w:jc w:val="both"/>
              <w:rPr>
                <w:rFonts w:ascii="Arial" w:hAnsi="Arial"/>
              </w:rPr>
            </w:pPr>
            <w:r>
              <w:rPr>
                <w:rFonts w:ascii="Arial" w:hAnsi="Arial"/>
              </w:rPr>
              <w:t>0.18</w:t>
            </w:r>
          </w:p>
        </w:tc>
        <w:tc>
          <w:tcPr>
            <w:tcW w:w="1260" w:type="dxa"/>
          </w:tcPr>
          <w:p w:rsidR="00E12ECB" w:rsidRDefault="00E12ECB">
            <w:pPr>
              <w:keepNext/>
              <w:keepLines/>
              <w:spacing w:line="280" w:lineRule="exact"/>
              <w:jc w:val="both"/>
              <w:rPr>
                <w:rFonts w:ascii="Arial" w:hAnsi="Arial"/>
              </w:rPr>
            </w:pPr>
            <w:r>
              <w:rPr>
                <w:rFonts w:ascii="Arial" w:hAnsi="Arial"/>
              </w:rPr>
              <w:t>257,400</w:t>
            </w:r>
          </w:p>
        </w:tc>
        <w:tc>
          <w:tcPr>
            <w:tcW w:w="1620" w:type="dxa"/>
          </w:tcPr>
          <w:p w:rsidR="00E12ECB" w:rsidRDefault="00E12ECB">
            <w:pPr>
              <w:keepNext/>
              <w:keepLines/>
              <w:spacing w:line="280" w:lineRule="exact"/>
              <w:jc w:val="both"/>
              <w:rPr>
                <w:rFonts w:ascii="Arial" w:hAnsi="Arial"/>
              </w:rPr>
            </w:pPr>
            <w:r>
              <w:rPr>
                <w:rFonts w:ascii="Arial" w:hAnsi="Arial"/>
              </w:rPr>
              <w:t>Cash</w:t>
            </w:r>
          </w:p>
        </w:tc>
        <w:tc>
          <w:tcPr>
            <w:tcW w:w="1350" w:type="dxa"/>
          </w:tcPr>
          <w:p w:rsidR="00E12ECB" w:rsidRDefault="00E12ECB">
            <w:pPr>
              <w:keepNext/>
              <w:keepLines/>
              <w:spacing w:line="280" w:lineRule="exact"/>
              <w:jc w:val="both"/>
              <w:rPr>
                <w:rFonts w:ascii="Arial" w:hAnsi="Arial"/>
              </w:rPr>
            </w:pPr>
            <w:r>
              <w:rPr>
                <w:rFonts w:ascii="Arial" w:hAnsi="Arial"/>
              </w:rPr>
              <w:t>NR</w:t>
            </w:r>
          </w:p>
        </w:tc>
        <w:tc>
          <w:tcPr>
            <w:tcW w:w="1440" w:type="dxa"/>
          </w:tcPr>
          <w:p w:rsidR="00E12ECB" w:rsidRDefault="00E12ECB">
            <w:pPr>
              <w:keepNext/>
              <w:keepLines/>
              <w:spacing w:line="280" w:lineRule="exact"/>
              <w:jc w:val="both"/>
              <w:rPr>
                <w:rFonts w:ascii="Arial" w:hAnsi="Arial"/>
              </w:rPr>
            </w:pPr>
            <w:r>
              <w:rPr>
                <w:rFonts w:ascii="Arial" w:hAnsi="Arial"/>
              </w:rPr>
              <w:t>7,560</w:t>
            </w:r>
          </w:p>
        </w:tc>
      </w:tr>
      <w:tr w:rsidR="00E12ECB">
        <w:tc>
          <w:tcPr>
            <w:tcW w:w="990" w:type="dxa"/>
          </w:tcPr>
          <w:p w:rsidR="00E12ECB" w:rsidRDefault="00E12ECB">
            <w:pPr>
              <w:keepNext/>
              <w:keepLines/>
              <w:spacing w:line="280" w:lineRule="exact"/>
              <w:jc w:val="both"/>
              <w:rPr>
                <w:rFonts w:ascii="Arial" w:hAnsi="Arial"/>
              </w:rPr>
            </w:pPr>
          </w:p>
        </w:tc>
        <w:tc>
          <w:tcPr>
            <w:tcW w:w="1440" w:type="dxa"/>
          </w:tcPr>
          <w:p w:rsidR="00E12ECB" w:rsidRDefault="00E12ECB">
            <w:pPr>
              <w:keepNext/>
              <w:keepLines/>
              <w:spacing w:line="280" w:lineRule="exact"/>
              <w:jc w:val="both"/>
              <w:rPr>
                <w:rFonts w:ascii="Arial" w:hAnsi="Arial"/>
              </w:rPr>
            </w:pPr>
          </w:p>
        </w:tc>
        <w:tc>
          <w:tcPr>
            <w:tcW w:w="1350" w:type="dxa"/>
          </w:tcPr>
          <w:p w:rsidR="00E12ECB" w:rsidRDefault="00E12ECB">
            <w:pPr>
              <w:keepNext/>
              <w:keepLines/>
              <w:spacing w:line="280" w:lineRule="exact"/>
              <w:jc w:val="both"/>
              <w:rPr>
                <w:rFonts w:ascii="Arial" w:hAnsi="Arial"/>
              </w:rPr>
            </w:pPr>
          </w:p>
        </w:tc>
        <w:tc>
          <w:tcPr>
            <w:tcW w:w="990" w:type="dxa"/>
          </w:tcPr>
          <w:p w:rsidR="00E12ECB" w:rsidRDefault="00E12ECB">
            <w:pPr>
              <w:keepNext/>
              <w:keepLines/>
              <w:spacing w:line="280" w:lineRule="exact"/>
              <w:jc w:val="both"/>
              <w:rPr>
                <w:rFonts w:ascii="Arial" w:hAnsi="Arial"/>
              </w:rPr>
            </w:pPr>
          </w:p>
        </w:tc>
        <w:tc>
          <w:tcPr>
            <w:tcW w:w="810" w:type="dxa"/>
          </w:tcPr>
          <w:p w:rsidR="00E12ECB" w:rsidRDefault="00E12ECB">
            <w:pPr>
              <w:keepNext/>
              <w:keepLines/>
              <w:spacing w:line="280" w:lineRule="exact"/>
              <w:jc w:val="both"/>
              <w:rPr>
                <w:rFonts w:ascii="Arial" w:hAnsi="Arial"/>
              </w:rPr>
            </w:pPr>
          </w:p>
        </w:tc>
        <w:tc>
          <w:tcPr>
            <w:tcW w:w="1260" w:type="dxa"/>
          </w:tcPr>
          <w:p w:rsidR="00E12ECB" w:rsidRDefault="00E12ECB">
            <w:pPr>
              <w:keepNext/>
              <w:keepLines/>
              <w:spacing w:line="280" w:lineRule="exact"/>
              <w:jc w:val="both"/>
              <w:rPr>
                <w:rFonts w:ascii="Arial" w:hAnsi="Arial"/>
              </w:rPr>
            </w:pPr>
          </w:p>
        </w:tc>
        <w:tc>
          <w:tcPr>
            <w:tcW w:w="1620" w:type="dxa"/>
          </w:tcPr>
          <w:p w:rsidR="00E12ECB" w:rsidRDefault="00E12ECB">
            <w:pPr>
              <w:keepNext/>
              <w:keepLines/>
              <w:spacing w:line="280" w:lineRule="exact"/>
              <w:jc w:val="both"/>
              <w:rPr>
                <w:rFonts w:ascii="Arial" w:hAnsi="Arial"/>
              </w:rPr>
            </w:pPr>
          </w:p>
        </w:tc>
        <w:tc>
          <w:tcPr>
            <w:tcW w:w="1350" w:type="dxa"/>
          </w:tcPr>
          <w:p w:rsidR="00E12ECB" w:rsidRDefault="00E12ECB">
            <w:pPr>
              <w:keepNext/>
              <w:keepLines/>
              <w:spacing w:line="280" w:lineRule="exact"/>
              <w:jc w:val="both"/>
              <w:rPr>
                <w:rFonts w:ascii="Arial" w:hAnsi="Arial"/>
              </w:rPr>
            </w:pPr>
          </w:p>
        </w:tc>
        <w:tc>
          <w:tcPr>
            <w:tcW w:w="1440" w:type="dxa"/>
          </w:tcPr>
          <w:p w:rsidR="00E12ECB" w:rsidRDefault="00E12EC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444A4B">
      <w:pPr>
        <w:numPr>
          <w:ilvl w:val="0"/>
          <w:numId w:val="4"/>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rsidP="00444A4B">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rsidP="00444A4B">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rsidP="00444A4B">
      <w:pPr>
        <w:numPr>
          <w:ilvl w:val="0"/>
          <w:numId w:val="5"/>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rsidP="00444A4B">
      <w:pPr>
        <w:numPr>
          <w:ilvl w:val="0"/>
          <w:numId w:val="5"/>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rsidP="00444A4B">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rsidP="00444A4B">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rsidP="00444A4B">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rsidP="00444A4B">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rsidR="0048706B" w:rsidRDefault="0048706B" w:rsidP="00444A4B">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rsidP="00444A4B">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Pr>
          <w:rFonts w:ascii="Arial" w:hAnsi="Arial"/>
          <w:u w:val="single"/>
        </w:rPr>
        <w:tab/>
      </w:r>
      <w:r>
        <w:rPr>
          <w:rFonts w:ascii="Arial" w:hAnsi="Arial"/>
        </w:rPr>
        <w:br/>
        <w:t>Signature</w:t>
      </w:r>
    </w:p>
    <w:p w:rsidR="0048706B" w:rsidRDefault="0048706B">
      <w:pPr>
        <w:pStyle w:val="BodyText"/>
        <w:tabs>
          <w:tab w:val="left" w:pos="9180"/>
        </w:tabs>
        <w:ind w:left="5220"/>
        <w:rPr>
          <w:rFonts w:ascii="Arial" w:hAnsi="Arial"/>
        </w:rPr>
      </w:pPr>
      <w:r>
        <w:rPr>
          <w:rFonts w:ascii="Arial" w:hAnsi="Arial"/>
          <w:u w:val="single"/>
        </w:rPr>
        <w:tab/>
      </w:r>
      <w:r>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48706B">
            <w:pPr>
              <w:pStyle w:val="BodyText"/>
              <w:keepNext/>
              <w:keepLines/>
              <w:rPr>
                <w:rFonts w:ascii="Arial" w:hAnsi="Arial"/>
                <w:sz w:val="18"/>
              </w:rPr>
            </w:pP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48706B">
            <w:pPr>
              <w:pStyle w:val="BodyText"/>
              <w:keepNext/>
              <w:keepLines/>
              <w:spacing w:before="0"/>
              <w:rPr>
                <w:rFonts w:ascii="Arial" w:hAnsi="Arial"/>
                <w:sz w:val="18"/>
              </w:rPr>
            </w:pPr>
          </w:p>
        </w:tc>
      </w:tr>
    </w:tbl>
    <w:p w:rsidR="0048706B" w:rsidRDefault="0048706B">
      <w:pPr>
        <w:pStyle w:val="BodyText"/>
      </w:pPr>
    </w:p>
    <w:p w:rsidR="006A257E" w:rsidRDefault="006A257E">
      <w:pPr>
        <w:pStyle w:val="BodyText"/>
      </w:pPr>
    </w:p>
    <w:p w:rsidR="006A257E" w:rsidRDefault="006A257E">
      <w:pPr>
        <w:pStyle w:val="BodyText"/>
      </w:pPr>
    </w:p>
    <w:p w:rsidR="006A257E" w:rsidRDefault="006A257E">
      <w:pPr>
        <w:pStyle w:val="BodyText"/>
      </w:pPr>
    </w:p>
    <w:p w:rsidR="006A257E" w:rsidRDefault="006A257E">
      <w:pPr>
        <w:pStyle w:val="BodyText"/>
      </w:pPr>
    </w:p>
    <w:p w:rsidR="006A257E" w:rsidRDefault="006A257E">
      <w:pPr>
        <w:pStyle w:val="BodyText"/>
      </w:pPr>
    </w:p>
    <w:p w:rsidR="006A257E" w:rsidRDefault="006A257E">
      <w:pPr>
        <w:pStyle w:val="BodyText"/>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r>
        <w:rPr>
          <w:rFonts w:ascii="Arial" w:hAnsi="Arial" w:cs="Arial"/>
          <w:b/>
          <w:sz w:val="18"/>
          <w:szCs w:val="18"/>
        </w:rPr>
        <w:t>SCHEDULE A</w:t>
      </w: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r>
        <w:rPr>
          <w:rFonts w:ascii="Arial" w:hAnsi="Arial" w:cs="Arial"/>
          <w:b/>
          <w:sz w:val="18"/>
          <w:szCs w:val="18"/>
        </w:rPr>
        <w:t>TAIGA GOLD CORP.</w:t>
      </w:r>
    </w:p>
    <w:p w:rsidR="006A257E" w:rsidRDefault="006A257E" w:rsidP="006A257E">
      <w:pPr>
        <w:ind w:right="132"/>
        <w:jc w:val="center"/>
        <w:rPr>
          <w:rFonts w:ascii="Arial" w:hAnsi="Arial" w:cs="Arial"/>
          <w:b/>
          <w:sz w:val="18"/>
          <w:szCs w:val="18"/>
        </w:rPr>
      </w:pPr>
      <w:r w:rsidRPr="00531337">
        <w:rPr>
          <w:rFonts w:ascii="Arial" w:hAnsi="Arial" w:cs="Arial"/>
          <w:b/>
          <w:sz w:val="18"/>
          <w:szCs w:val="18"/>
        </w:rPr>
        <w:t>(An Exploration Stage Corporation)</w:t>
      </w:r>
    </w:p>
    <w:p w:rsidR="006A257E" w:rsidRDefault="006A257E" w:rsidP="006A257E">
      <w:pPr>
        <w:ind w:right="132"/>
        <w:jc w:val="center"/>
        <w:rPr>
          <w:rFonts w:ascii="Arial" w:hAnsi="Arial" w:cs="Arial"/>
          <w:b/>
          <w:sz w:val="18"/>
          <w:szCs w:val="18"/>
        </w:rPr>
      </w:pPr>
      <w:r>
        <w:rPr>
          <w:rFonts w:ascii="Arial" w:hAnsi="Arial" w:cs="Arial"/>
          <w:b/>
          <w:sz w:val="18"/>
          <w:szCs w:val="18"/>
        </w:rPr>
        <w:t xml:space="preserve">CONDENSED INTERIM </w:t>
      </w:r>
      <w:r w:rsidRPr="00531337">
        <w:rPr>
          <w:rFonts w:ascii="Arial" w:hAnsi="Arial" w:cs="Arial"/>
          <w:b/>
          <w:sz w:val="18"/>
          <w:szCs w:val="18"/>
        </w:rPr>
        <w:t>FINANCIAL STATEMENTS</w:t>
      </w:r>
    </w:p>
    <w:p w:rsidR="006A257E" w:rsidRPr="00C83BA8" w:rsidRDefault="006A257E" w:rsidP="006A257E">
      <w:pPr>
        <w:ind w:right="132"/>
        <w:jc w:val="center"/>
        <w:rPr>
          <w:rFonts w:ascii="Arial" w:hAnsi="Arial" w:cs="Arial"/>
          <w:sz w:val="18"/>
          <w:szCs w:val="18"/>
        </w:rPr>
      </w:pPr>
      <w:r w:rsidRPr="00C83BA8">
        <w:rPr>
          <w:rFonts w:ascii="Arial" w:hAnsi="Arial" w:cs="Arial"/>
          <w:sz w:val="18"/>
          <w:szCs w:val="18"/>
        </w:rPr>
        <w:t>(Unaudited – prepared by management)</w:t>
      </w:r>
    </w:p>
    <w:p w:rsidR="006A257E" w:rsidRPr="00C83BA8" w:rsidRDefault="006A257E" w:rsidP="006A257E">
      <w:pPr>
        <w:ind w:right="132"/>
        <w:jc w:val="center"/>
        <w:rPr>
          <w:rFonts w:ascii="Arial" w:hAnsi="Arial" w:cs="Arial"/>
          <w:sz w:val="18"/>
          <w:szCs w:val="18"/>
        </w:rPr>
      </w:pPr>
      <w:r w:rsidRPr="00C83BA8">
        <w:rPr>
          <w:rFonts w:ascii="Arial" w:hAnsi="Arial" w:cs="Arial"/>
          <w:sz w:val="18"/>
          <w:szCs w:val="18"/>
        </w:rPr>
        <w:t>(Expressed in Canadian dollars)</w:t>
      </w:r>
    </w:p>
    <w:p w:rsidR="006A257E" w:rsidRPr="00531337"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sz w:val="18"/>
          <w:szCs w:val="18"/>
        </w:rPr>
      </w:pPr>
      <w:r w:rsidRPr="00531337">
        <w:rPr>
          <w:rFonts w:ascii="Arial" w:hAnsi="Arial" w:cs="Arial"/>
          <w:sz w:val="18"/>
          <w:szCs w:val="18"/>
        </w:rPr>
        <w:t xml:space="preserve">For the </w:t>
      </w:r>
      <w:r>
        <w:rPr>
          <w:rFonts w:ascii="Arial" w:hAnsi="Arial" w:cs="Arial"/>
          <w:sz w:val="18"/>
          <w:szCs w:val="18"/>
        </w:rPr>
        <w:t xml:space="preserve">periods </w:t>
      </w:r>
      <w:r w:rsidRPr="00531337">
        <w:rPr>
          <w:rFonts w:ascii="Arial" w:hAnsi="Arial" w:cs="Arial"/>
          <w:sz w:val="18"/>
          <w:szCs w:val="18"/>
        </w:rPr>
        <w:t>ended</w:t>
      </w:r>
    </w:p>
    <w:p w:rsidR="006A257E" w:rsidRPr="00531337" w:rsidRDefault="006A257E" w:rsidP="006A257E">
      <w:pPr>
        <w:ind w:right="132"/>
        <w:jc w:val="center"/>
        <w:rPr>
          <w:rFonts w:ascii="Arial" w:hAnsi="Arial" w:cs="Arial"/>
          <w:sz w:val="18"/>
          <w:szCs w:val="18"/>
        </w:rPr>
      </w:pPr>
      <w:r>
        <w:rPr>
          <w:rFonts w:ascii="Arial" w:hAnsi="Arial" w:cs="Arial"/>
          <w:sz w:val="18"/>
          <w:szCs w:val="18"/>
        </w:rPr>
        <w:t>June 30</w:t>
      </w:r>
      <w:r w:rsidRPr="00531337">
        <w:rPr>
          <w:rFonts w:ascii="Arial" w:hAnsi="Arial" w:cs="Arial"/>
          <w:sz w:val="18"/>
          <w:szCs w:val="18"/>
        </w:rPr>
        <w:t>, 201</w:t>
      </w:r>
      <w:r>
        <w:rPr>
          <w:rFonts w:ascii="Arial" w:hAnsi="Arial" w:cs="Arial"/>
          <w:sz w:val="18"/>
          <w:szCs w:val="18"/>
        </w:rPr>
        <w:t>8 and 2017</w:t>
      </w:r>
    </w:p>
    <w:p w:rsidR="006A257E"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sz w:val="18"/>
          <w:szCs w:val="18"/>
        </w:rPr>
      </w:pPr>
    </w:p>
    <w:p w:rsidR="006A257E" w:rsidRDefault="006A257E" w:rsidP="006A257E">
      <w:pPr>
        <w:tabs>
          <w:tab w:val="right" w:pos="6237"/>
          <w:tab w:val="right" w:pos="7371"/>
          <w:tab w:val="right" w:pos="8505"/>
        </w:tabs>
        <w:ind w:right="180"/>
        <w:jc w:val="right"/>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Pr="00531337" w:rsidRDefault="006A257E" w:rsidP="006A257E">
      <w:pPr>
        <w:ind w:right="132"/>
        <w:jc w:val="center"/>
        <w:rPr>
          <w:rFonts w:ascii="Arial" w:hAnsi="Arial" w:cs="Arial"/>
          <w:sz w:val="18"/>
          <w:szCs w:val="18"/>
        </w:rPr>
      </w:pPr>
    </w:p>
    <w:p w:rsidR="006A257E" w:rsidRPr="00531337" w:rsidRDefault="006A257E" w:rsidP="006A257E">
      <w:pPr>
        <w:ind w:right="132"/>
        <w:jc w:val="center"/>
        <w:rPr>
          <w:rFonts w:ascii="Arial" w:hAnsi="Arial" w:cs="Arial"/>
          <w:sz w:val="18"/>
          <w:szCs w:val="18"/>
        </w:rPr>
      </w:pPr>
    </w:p>
    <w:p w:rsidR="006A257E" w:rsidRPr="00531337"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Default="006A257E" w:rsidP="006A257E">
      <w:pPr>
        <w:ind w:right="132"/>
        <w:jc w:val="center"/>
        <w:rPr>
          <w:rFonts w:ascii="Arial" w:hAnsi="Arial" w:cs="Arial"/>
          <w:b/>
          <w:sz w:val="18"/>
          <w:szCs w:val="18"/>
        </w:rPr>
      </w:pPr>
    </w:p>
    <w:p w:rsidR="006A257E" w:rsidRPr="00531337" w:rsidRDefault="006A257E" w:rsidP="006A257E">
      <w:pPr>
        <w:ind w:right="132"/>
        <w:jc w:val="center"/>
        <w:rPr>
          <w:rFonts w:ascii="Arial" w:hAnsi="Arial" w:cs="Arial"/>
          <w:b/>
          <w:sz w:val="18"/>
          <w:szCs w:val="18"/>
        </w:rPr>
      </w:pPr>
      <w:r w:rsidRPr="00531337">
        <w:rPr>
          <w:rFonts w:ascii="Arial" w:hAnsi="Arial" w:cs="Arial"/>
          <w:b/>
          <w:sz w:val="18"/>
          <w:szCs w:val="18"/>
        </w:rPr>
        <w:t xml:space="preserve">NOTICE TO READER OF THE </w:t>
      </w:r>
    </w:p>
    <w:p w:rsidR="006A257E" w:rsidRDefault="006A257E" w:rsidP="006A257E">
      <w:pPr>
        <w:ind w:right="130"/>
        <w:jc w:val="center"/>
        <w:rPr>
          <w:rFonts w:ascii="Arial" w:hAnsi="Arial" w:cs="Arial"/>
          <w:b/>
          <w:sz w:val="18"/>
          <w:szCs w:val="18"/>
        </w:rPr>
      </w:pPr>
      <w:r>
        <w:rPr>
          <w:rFonts w:ascii="Arial" w:hAnsi="Arial" w:cs="Arial"/>
          <w:b/>
          <w:sz w:val="18"/>
          <w:szCs w:val="18"/>
        </w:rPr>
        <w:t xml:space="preserve">CONDENSED INTERIM </w:t>
      </w:r>
      <w:r w:rsidRPr="00531337">
        <w:rPr>
          <w:rFonts w:ascii="Arial" w:hAnsi="Arial" w:cs="Arial"/>
          <w:b/>
          <w:sz w:val="18"/>
          <w:szCs w:val="18"/>
        </w:rPr>
        <w:t>FINANCIAL STATEMENTS</w:t>
      </w:r>
    </w:p>
    <w:p w:rsidR="006A257E" w:rsidRDefault="006A257E" w:rsidP="006A257E">
      <w:pPr>
        <w:ind w:right="130"/>
        <w:jc w:val="center"/>
        <w:rPr>
          <w:rFonts w:ascii="Arial" w:hAnsi="Arial" w:cs="Arial"/>
          <w:sz w:val="18"/>
          <w:szCs w:val="18"/>
        </w:rPr>
      </w:pPr>
    </w:p>
    <w:p w:rsidR="006A257E" w:rsidRPr="00531337" w:rsidRDefault="006A257E" w:rsidP="006A257E">
      <w:pPr>
        <w:tabs>
          <w:tab w:val="right" w:pos="9180"/>
        </w:tabs>
        <w:ind w:right="130"/>
        <w:jc w:val="both"/>
        <w:rPr>
          <w:rFonts w:ascii="Arial" w:hAnsi="Arial" w:cs="Arial"/>
          <w:sz w:val="18"/>
          <w:szCs w:val="18"/>
        </w:rPr>
      </w:pPr>
      <w:r w:rsidRPr="00531337">
        <w:rPr>
          <w:rFonts w:ascii="Arial" w:hAnsi="Arial" w:cs="Arial"/>
          <w:sz w:val="18"/>
          <w:szCs w:val="18"/>
        </w:rPr>
        <w:t>In accordance with National Instrument 51-102 released by the Canadian Securities Administrators, the Company disclose</w:t>
      </w:r>
      <w:r>
        <w:rPr>
          <w:rFonts w:ascii="Arial" w:hAnsi="Arial" w:cs="Arial"/>
          <w:sz w:val="18"/>
          <w:szCs w:val="18"/>
        </w:rPr>
        <w:t>s</w:t>
      </w:r>
      <w:r w:rsidRPr="00531337">
        <w:rPr>
          <w:rFonts w:ascii="Arial" w:hAnsi="Arial" w:cs="Arial"/>
          <w:sz w:val="18"/>
          <w:szCs w:val="18"/>
        </w:rPr>
        <w:t xml:space="preserve"> that its</w:t>
      </w:r>
      <w:r>
        <w:rPr>
          <w:rFonts w:ascii="Arial" w:hAnsi="Arial" w:cs="Arial"/>
          <w:sz w:val="18"/>
          <w:szCs w:val="18"/>
        </w:rPr>
        <w:t xml:space="preserve"> auditors have not reviewed the condensed interim </w:t>
      </w:r>
      <w:r w:rsidRPr="00531337">
        <w:rPr>
          <w:rFonts w:ascii="Arial" w:hAnsi="Arial" w:cs="Arial"/>
          <w:sz w:val="18"/>
          <w:szCs w:val="18"/>
        </w:rPr>
        <w:t xml:space="preserve">financial statements for the period ended </w:t>
      </w:r>
      <w:r>
        <w:rPr>
          <w:rFonts w:ascii="Arial" w:hAnsi="Arial" w:cs="Arial"/>
          <w:sz w:val="18"/>
          <w:szCs w:val="18"/>
        </w:rPr>
        <w:t>June 30,</w:t>
      </w:r>
      <w:r w:rsidRPr="00531337">
        <w:rPr>
          <w:rFonts w:ascii="Arial" w:hAnsi="Arial" w:cs="Arial"/>
          <w:sz w:val="18"/>
          <w:szCs w:val="18"/>
        </w:rPr>
        <w:t xml:space="preserve"> 201</w:t>
      </w:r>
      <w:r>
        <w:rPr>
          <w:rFonts w:ascii="Arial" w:hAnsi="Arial" w:cs="Arial"/>
          <w:sz w:val="18"/>
          <w:szCs w:val="18"/>
        </w:rPr>
        <w:t>8</w:t>
      </w:r>
      <w:r w:rsidRPr="00531337">
        <w:rPr>
          <w:rFonts w:ascii="Arial" w:hAnsi="Arial" w:cs="Arial"/>
          <w:sz w:val="18"/>
          <w:szCs w:val="18"/>
        </w:rPr>
        <w:t>.</w:t>
      </w:r>
    </w:p>
    <w:p w:rsidR="006A257E" w:rsidRDefault="006A257E" w:rsidP="006A257E">
      <w:pPr>
        <w:ind w:right="130"/>
        <w:jc w:val="center"/>
        <w:rPr>
          <w:rFonts w:ascii="Arial" w:hAnsi="Arial" w:cs="Arial"/>
          <w:sz w:val="18"/>
          <w:szCs w:val="18"/>
        </w:rPr>
      </w:pPr>
    </w:p>
    <w:p w:rsidR="006A257E" w:rsidRPr="00BD08C3" w:rsidRDefault="006A257E" w:rsidP="006A257E">
      <w:pPr>
        <w:ind w:right="130"/>
        <w:jc w:val="both"/>
        <w:rPr>
          <w:rFonts w:ascii="Arial" w:hAnsi="Arial" w:cs="Arial"/>
          <w:sz w:val="18"/>
          <w:szCs w:val="18"/>
        </w:rPr>
      </w:pPr>
      <w:r w:rsidRPr="00BD08C3">
        <w:rPr>
          <w:rFonts w:ascii="Arial" w:hAnsi="Arial" w:cs="Arial"/>
          <w:sz w:val="18"/>
          <w:szCs w:val="18"/>
        </w:rPr>
        <w:t xml:space="preserve">The Management of </w:t>
      </w:r>
      <w:r>
        <w:rPr>
          <w:rFonts w:ascii="Arial" w:hAnsi="Arial" w:cs="Arial"/>
          <w:sz w:val="18"/>
          <w:szCs w:val="18"/>
        </w:rPr>
        <w:t>Taiga Gold Corp.</w:t>
      </w:r>
      <w:r w:rsidRPr="00BD08C3">
        <w:rPr>
          <w:rFonts w:ascii="Arial" w:hAnsi="Arial" w:cs="Arial"/>
          <w:sz w:val="18"/>
          <w:szCs w:val="18"/>
        </w:rPr>
        <w:t xml:space="preserve"> is responsible for the preparation of the accompanying</w:t>
      </w:r>
      <w:r>
        <w:rPr>
          <w:rFonts w:ascii="Arial" w:hAnsi="Arial" w:cs="Arial"/>
          <w:sz w:val="18"/>
          <w:szCs w:val="18"/>
        </w:rPr>
        <w:t xml:space="preserve"> condensed interim </w:t>
      </w:r>
      <w:r w:rsidRPr="00BD08C3">
        <w:rPr>
          <w:rFonts w:ascii="Arial" w:hAnsi="Arial" w:cs="Arial"/>
          <w:sz w:val="18"/>
          <w:szCs w:val="18"/>
        </w:rPr>
        <w:t xml:space="preserve">financial statements as at </w:t>
      </w:r>
      <w:r>
        <w:rPr>
          <w:rFonts w:ascii="Arial" w:hAnsi="Arial" w:cs="Arial"/>
          <w:sz w:val="18"/>
          <w:szCs w:val="18"/>
        </w:rPr>
        <w:t>June 30, 2018</w:t>
      </w:r>
      <w:r w:rsidRPr="00BD08C3">
        <w:rPr>
          <w:rFonts w:ascii="Arial" w:hAnsi="Arial" w:cs="Arial"/>
          <w:sz w:val="18"/>
          <w:szCs w:val="18"/>
        </w:rPr>
        <w:t>.</w:t>
      </w:r>
    </w:p>
    <w:p w:rsidR="006A257E" w:rsidRPr="00BD08C3" w:rsidRDefault="006A257E" w:rsidP="006A257E">
      <w:pPr>
        <w:ind w:right="130"/>
        <w:jc w:val="both"/>
        <w:rPr>
          <w:rFonts w:ascii="Arial" w:hAnsi="Arial" w:cs="Arial"/>
          <w:sz w:val="18"/>
          <w:szCs w:val="18"/>
        </w:rPr>
      </w:pPr>
    </w:p>
    <w:p w:rsidR="006A257E" w:rsidRPr="00BD08C3" w:rsidRDefault="006A257E" w:rsidP="006A257E">
      <w:pPr>
        <w:ind w:right="130"/>
        <w:jc w:val="both"/>
        <w:rPr>
          <w:rFonts w:ascii="Arial" w:hAnsi="Arial" w:cs="Arial"/>
          <w:sz w:val="18"/>
          <w:szCs w:val="18"/>
        </w:rPr>
      </w:pPr>
      <w:r w:rsidRPr="00BD08C3">
        <w:rPr>
          <w:rFonts w:ascii="Arial" w:hAnsi="Arial" w:cs="Arial"/>
          <w:sz w:val="18"/>
          <w:szCs w:val="18"/>
        </w:rPr>
        <w:t xml:space="preserve">The </w:t>
      </w:r>
      <w:r>
        <w:rPr>
          <w:rFonts w:ascii="Arial" w:hAnsi="Arial" w:cs="Arial"/>
          <w:sz w:val="18"/>
          <w:szCs w:val="18"/>
        </w:rPr>
        <w:t xml:space="preserve">condensed interim </w:t>
      </w:r>
      <w:r w:rsidRPr="00BD08C3">
        <w:rPr>
          <w:rFonts w:ascii="Arial" w:hAnsi="Arial" w:cs="Arial"/>
          <w:sz w:val="18"/>
          <w:szCs w:val="18"/>
        </w:rPr>
        <w:t xml:space="preserve">financial statements have been prepared by management and include the selection of appropriate accounting principles, judgments and estimates necessary to prepare these financial statements in accordance with </w:t>
      </w:r>
      <w:r>
        <w:rPr>
          <w:rFonts w:ascii="Arial" w:hAnsi="Arial" w:cs="Arial"/>
          <w:sz w:val="18"/>
          <w:szCs w:val="18"/>
        </w:rPr>
        <w:t>International Financial Reporting Standards.</w:t>
      </w:r>
    </w:p>
    <w:p w:rsidR="006A257E" w:rsidRDefault="006A257E" w:rsidP="006A257E">
      <w:pPr>
        <w:ind w:right="130"/>
        <w:jc w:val="both"/>
        <w:rPr>
          <w:rFonts w:ascii="Arial" w:hAnsi="Arial" w:cs="Arial"/>
        </w:rPr>
      </w:pPr>
    </w:p>
    <w:p w:rsidR="006A257E" w:rsidRPr="00531337" w:rsidRDefault="006A257E" w:rsidP="006A257E">
      <w:pPr>
        <w:ind w:right="130"/>
        <w:jc w:val="both"/>
        <w:rPr>
          <w:rFonts w:ascii="Arial" w:hAnsi="Arial" w:cs="Arial"/>
          <w:sz w:val="18"/>
          <w:szCs w:val="18"/>
        </w:rPr>
      </w:pPr>
    </w:p>
    <w:p w:rsidR="006A257E" w:rsidRPr="00531337" w:rsidRDefault="006A257E" w:rsidP="006A257E">
      <w:pPr>
        <w:ind w:right="130"/>
        <w:jc w:val="both"/>
        <w:rPr>
          <w:rFonts w:ascii="Arial" w:hAnsi="Arial" w:cs="Arial"/>
          <w:i/>
          <w:sz w:val="18"/>
          <w:szCs w:val="18"/>
        </w:rPr>
      </w:pPr>
      <w:r w:rsidRPr="00531337">
        <w:rPr>
          <w:rFonts w:ascii="Arial" w:hAnsi="Arial" w:cs="Arial"/>
          <w:i/>
          <w:sz w:val="18"/>
          <w:szCs w:val="18"/>
        </w:rPr>
        <w:t xml:space="preserve">“Timothy J Termuende”             </w:t>
      </w:r>
      <w:r w:rsidRPr="00531337">
        <w:rPr>
          <w:rFonts w:ascii="Arial" w:hAnsi="Arial" w:cs="Arial"/>
          <w:i/>
          <w:sz w:val="18"/>
          <w:szCs w:val="18"/>
        </w:rPr>
        <w:tab/>
      </w:r>
      <w:r w:rsidRPr="00531337">
        <w:rPr>
          <w:rFonts w:ascii="Arial" w:hAnsi="Arial" w:cs="Arial"/>
          <w:i/>
          <w:sz w:val="18"/>
          <w:szCs w:val="18"/>
        </w:rPr>
        <w:tab/>
      </w:r>
      <w:r w:rsidRPr="00531337">
        <w:rPr>
          <w:rFonts w:ascii="Arial" w:hAnsi="Arial" w:cs="Arial"/>
          <w:i/>
          <w:sz w:val="18"/>
          <w:szCs w:val="18"/>
        </w:rPr>
        <w:tab/>
        <w:t xml:space="preserve">  “Glen J Diduck”</w:t>
      </w:r>
    </w:p>
    <w:p w:rsidR="006A257E" w:rsidRPr="00531337" w:rsidRDefault="006A257E" w:rsidP="006A257E">
      <w:pPr>
        <w:ind w:right="130"/>
        <w:jc w:val="both"/>
        <w:rPr>
          <w:rFonts w:ascii="Arial" w:hAnsi="Arial" w:cs="Arial"/>
          <w:i/>
          <w:sz w:val="18"/>
          <w:szCs w:val="18"/>
        </w:rPr>
      </w:pPr>
      <w:r w:rsidRPr="00531337">
        <w:rPr>
          <w:rFonts w:ascii="Arial" w:hAnsi="Arial" w:cs="Arial"/>
          <w:i/>
          <w:sz w:val="18"/>
          <w:szCs w:val="18"/>
        </w:rPr>
        <w:t xml:space="preserve">____________________________     </w:t>
      </w:r>
      <w:r w:rsidRPr="00531337">
        <w:rPr>
          <w:rFonts w:ascii="Arial" w:hAnsi="Arial" w:cs="Arial"/>
          <w:i/>
          <w:sz w:val="18"/>
          <w:szCs w:val="18"/>
        </w:rPr>
        <w:tab/>
      </w:r>
      <w:r w:rsidRPr="00531337">
        <w:rPr>
          <w:rFonts w:ascii="Arial" w:hAnsi="Arial" w:cs="Arial"/>
          <w:i/>
          <w:sz w:val="18"/>
          <w:szCs w:val="18"/>
        </w:rPr>
        <w:tab/>
        <w:t>___________________________</w:t>
      </w:r>
    </w:p>
    <w:p w:rsidR="006A257E" w:rsidRPr="00531337" w:rsidRDefault="006A257E" w:rsidP="006A257E">
      <w:pPr>
        <w:ind w:right="130"/>
        <w:jc w:val="both"/>
        <w:rPr>
          <w:rFonts w:ascii="Arial" w:hAnsi="Arial" w:cs="Arial"/>
          <w:sz w:val="18"/>
          <w:szCs w:val="18"/>
        </w:rPr>
      </w:pPr>
      <w:r w:rsidRPr="00531337">
        <w:rPr>
          <w:rFonts w:ascii="Arial" w:hAnsi="Arial" w:cs="Arial"/>
          <w:sz w:val="18"/>
          <w:szCs w:val="18"/>
        </w:rPr>
        <w:t xml:space="preserve">Timothy J. Termuende, P. Geo </w:t>
      </w:r>
      <w:r w:rsidRPr="00531337">
        <w:rPr>
          <w:rFonts w:ascii="Arial" w:hAnsi="Arial" w:cs="Arial"/>
          <w:sz w:val="18"/>
          <w:szCs w:val="18"/>
        </w:rPr>
        <w:tab/>
      </w:r>
      <w:r w:rsidRPr="00531337">
        <w:rPr>
          <w:rFonts w:ascii="Arial" w:hAnsi="Arial" w:cs="Arial"/>
          <w:sz w:val="18"/>
          <w:szCs w:val="18"/>
        </w:rPr>
        <w:tab/>
      </w:r>
      <w:r w:rsidRPr="00531337">
        <w:rPr>
          <w:rFonts w:ascii="Arial" w:hAnsi="Arial" w:cs="Arial"/>
          <w:sz w:val="18"/>
          <w:szCs w:val="18"/>
        </w:rPr>
        <w:tab/>
        <w:t xml:space="preserve">Glen J. Diduck </w:t>
      </w:r>
    </w:p>
    <w:p w:rsidR="006A257E" w:rsidRDefault="006A257E" w:rsidP="006A257E">
      <w:pPr>
        <w:ind w:right="130"/>
        <w:jc w:val="both"/>
        <w:rPr>
          <w:rFonts w:ascii="Arial" w:hAnsi="Arial" w:cs="Arial"/>
          <w:sz w:val="18"/>
          <w:szCs w:val="18"/>
        </w:rPr>
      </w:pPr>
      <w:r w:rsidRPr="00531337">
        <w:rPr>
          <w:rFonts w:ascii="Arial" w:hAnsi="Arial" w:cs="Arial"/>
          <w:sz w:val="18"/>
          <w:szCs w:val="18"/>
        </w:rPr>
        <w:t>President and Chief Executive Officer</w:t>
      </w:r>
      <w:r w:rsidRPr="00531337">
        <w:rPr>
          <w:rFonts w:ascii="Arial" w:hAnsi="Arial" w:cs="Arial"/>
          <w:sz w:val="18"/>
          <w:szCs w:val="18"/>
        </w:rPr>
        <w:tab/>
      </w:r>
      <w:r w:rsidRPr="00531337">
        <w:rPr>
          <w:rFonts w:ascii="Arial" w:hAnsi="Arial" w:cs="Arial"/>
          <w:sz w:val="18"/>
          <w:szCs w:val="18"/>
        </w:rPr>
        <w:tab/>
        <w:t>Chief Financial Officer</w:t>
      </w:r>
    </w:p>
    <w:p w:rsidR="006A257E" w:rsidRDefault="006A257E" w:rsidP="006A257E">
      <w:pPr>
        <w:tabs>
          <w:tab w:val="right" w:pos="6237"/>
          <w:tab w:val="right" w:pos="7371"/>
          <w:tab w:val="right" w:pos="8505"/>
        </w:tabs>
        <w:ind w:right="180"/>
        <w:rPr>
          <w:rFonts w:ascii="Arial" w:hAnsi="Arial" w:cs="Arial"/>
          <w:sz w:val="18"/>
          <w:szCs w:val="18"/>
        </w:rPr>
      </w:pPr>
    </w:p>
    <w:p w:rsidR="006A257E" w:rsidRDefault="006A257E" w:rsidP="006A257E">
      <w:pPr>
        <w:tabs>
          <w:tab w:val="right" w:pos="6237"/>
          <w:tab w:val="right" w:pos="7371"/>
          <w:tab w:val="right" w:pos="8505"/>
        </w:tabs>
        <w:ind w:right="180"/>
        <w:jc w:val="right"/>
        <w:rPr>
          <w:rFonts w:ascii="Arial" w:hAnsi="Arial" w:cs="Arial"/>
          <w:sz w:val="18"/>
          <w:szCs w:val="18"/>
        </w:rPr>
      </w:pPr>
    </w:p>
    <w:p w:rsidR="006A257E" w:rsidRDefault="006A257E" w:rsidP="006A257E">
      <w:pPr>
        <w:tabs>
          <w:tab w:val="right" w:pos="6237"/>
          <w:tab w:val="right" w:pos="7371"/>
          <w:tab w:val="right" w:pos="8505"/>
        </w:tabs>
        <w:ind w:right="180"/>
        <w:jc w:val="right"/>
        <w:rPr>
          <w:rFonts w:ascii="Arial" w:hAnsi="Arial" w:cs="Arial"/>
          <w:sz w:val="18"/>
          <w:szCs w:val="18"/>
        </w:rPr>
      </w:pPr>
    </w:p>
    <w:p w:rsidR="006A257E" w:rsidRPr="00531337"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p w:rsidR="006A257E" w:rsidRDefault="006A257E" w:rsidP="006A257E">
      <w:pPr>
        <w:ind w:right="132"/>
        <w:jc w:val="center"/>
        <w:rPr>
          <w:rFonts w:ascii="Arial" w:hAnsi="Arial" w:cs="Arial"/>
          <w:sz w:val="18"/>
          <w:szCs w:val="18"/>
        </w:rPr>
      </w:pPr>
    </w:p>
    <w:tbl>
      <w:tblPr>
        <w:tblW w:w="9500" w:type="dxa"/>
        <w:tblInd w:w="93" w:type="dxa"/>
        <w:tblLook w:val="04A0" w:firstRow="1" w:lastRow="0" w:firstColumn="1" w:lastColumn="0" w:noHBand="0" w:noVBand="1"/>
      </w:tblPr>
      <w:tblGrid>
        <w:gridCol w:w="6340"/>
        <w:gridCol w:w="1580"/>
        <w:gridCol w:w="1580"/>
      </w:tblGrid>
      <w:tr w:rsidR="006A257E" w:rsidTr="00186ED6">
        <w:trPr>
          <w:trHeight w:val="240"/>
        </w:trPr>
        <w:tc>
          <w:tcPr>
            <w:tcW w:w="6340" w:type="dxa"/>
            <w:tcBorders>
              <w:top w:val="nil"/>
              <w:left w:val="nil"/>
              <w:right w:val="nil"/>
            </w:tcBorders>
            <w:shd w:val="clear" w:color="auto" w:fill="auto"/>
            <w:noWrap/>
            <w:vAlign w:val="bottom"/>
          </w:tcPr>
          <w:p w:rsidR="006A257E" w:rsidRDefault="006A257E" w:rsidP="00186ED6">
            <w:pPr>
              <w:rPr>
                <w:rFonts w:ascii="Calibri" w:hAnsi="Calibri"/>
                <w:color w:val="000000"/>
                <w:sz w:val="22"/>
                <w:szCs w:val="22"/>
              </w:rPr>
            </w:pPr>
          </w:p>
        </w:tc>
        <w:tc>
          <w:tcPr>
            <w:tcW w:w="1580" w:type="dxa"/>
            <w:tcBorders>
              <w:top w:val="nil"/>
              <w:left w:val="nil"/>
              <w:right w:val="nil"/>
            </w:tcBorders>
            <w:shd w:val="clear" w:color="auto" w:fill="auto"/>
            <w:noWrap/>
            <w:vAlign w:val="bottom"/>
          </w:tcPr>
          <w:p w:rsidR="006A257E" w:rsidRDefault="006A257E" w:rsidP="00186ED6">
            <w:pPr>
              <w:jc w:val="right"/>
              <w:rPr>
                <w:rFonts w:ascii="Calibri" w:hAnsi="Calibri"/>
                <w:color w:val="000000"/>
                <w:sz w:val="22"/>
                <w:szCs w:val="22"/>
              </w:rPr>
            </w:pPr>
          </w:p>
        </w:tc>
        <w:tc>
          <w:tcPr>
            <w:tcW w:w="1580" w:type="dxa"/>
            <w:tcBorders>
              <w:top w:val="nil"/>
              <w:left w:val="nil"/>
              <w:right w:val="nil"/>
            </w:tcBorders>
            <w:shd w:val="clear" w:color="auto" w:fill="auto"/>
            <w:noWrap/>
            <w:vAlign w:val="bottom"/>
          </w:tcPr>
          <w:p w:rsidR="006A257E" w:rsidRDefault="006A257E" w:rsidP="00186ED6">
            <w:pPr>
              <w:jc w:val="right"/>
              <w:rPr>
                <w:rFonts w:ascii="Calibri" w:hAnsi="Calibri"/>
                <w:color w:val="000000"/>
                <w:sz w:val="22"/>
                <w:szCs w:val="22"/>
              </w:rPr>
            </w:pPr>
          </w:p>
        </w:tc>
      </w:tr>
    </w:tbl>
    <w:p w:rsidR="006A257E" w:rsidRDefault="006A257E" w:rsidP="006A257E">
      <w:pPr>
        <w:jc w:val="right"/>
        <w:rPr>
          <w:rFonts w:ascii="Arial" w:hAnsi="Arial" w:cs="Arial"/>
          <w:b/>
          <w:bCs/>
          <w:color w:val="000000"/>
          <w:sz w:val="18"/>
          <w:szCs w:val="18"/>
        </w:rPr>
        <w:sectPr w:rsidR="006A257E" w:rsidSect="00170E07">
          <w:pgSz w:w="12240" w:h="15840"/>
          <w:pgMar w:top="1440" w:right="1800" w:bottom="864" w:left="1800" w:header="706" w:footer="706" w:gutter="0"/>
          <w:cols w:space="708"/>
          <w:titlePg/>
          <w:docGrid w:linePitch="360"/>
        </w:sectPr>
      </w:pPr>
    </w:p>
    <w:tbl>
      <w:tblPr>
        <w:tblW w:w="9500" w:type="dxa"/>
        <w:tblLayout w:type="fixed"/>
        <w:tblLook w:val="04A0" w:firstRow="1" w:lastRow="0" w:firstColumn="1" w:lastColumn="0" w:noHBand="0" w:noVBand="1"/>
      </w:tblPr>
      <w:tblGrid>
        <w:gridCol w:w="6662"/>
        <w:gridCol w:w="1419"/>
        <w:gridCol w:w="1419"/>
        <w:tblGridChange w:id="6">
          <w:tblGrid>
            <w:gridCol w:w="6662"/>
            <w:gridCol w:w="1419"/>
            <w:gridCol w:w="1419"/>
          </w:tblGrid>
        </w:tblGridChange>
      </w:tblGrid>
      <w:tr w:rsidR="006A257E" w:rsidRPr="00E6400D" w:rsidTr="00186ED6">
        <w:trPr>
          <w:trHeight w:val="173"/>
        </w:trPr>
        <w:tc>
          <w:tcPr>
            <w:tcW w:w="9500" w:type="dxa"/>
            <w:gridSpan w:val="3"/>
            <w:tcBorders>
              <w:top w:val="single" w:sz="12" w:space="0" w:color="auto"/>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lastRenderedPageBreak/>
              <w:t>TAIGA GOLD CORP.</w:t>
            </w:r>
          </w:p>
        </w:tc>
      </w:tr>
      <w:tr w:rsidR="006A257E" w:rsidRPr="00E6400D" w:rsidTr="00186ED6">
        <w:trPr>
          <w:trHeight w:val="173"/>
        </w:trPr>
        <w:tc>
          <w:tcPr>
            <w:tcW w:w="9500" w:type="dxa"/>
            <w:gridSpan w:val="3"/>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6A257E" w:rsidRPr="00E6400D" w:rsidTr="00186ED6">
        <w:trPr>
          <w:trHeight w:val="173"/>
        </w:trPr>
        <w:tc>
          <w:tcPr>
            <w:tcW w:w="9500" w:type="dxa"/>
            <w:gridSpan w:val="3"/>
            <w:tcBorders>
              <w:top w:val="nil"/>
              <w:left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FINANCIAL POSITION</w:t>
            </w:r>
          </w:p>
        </w:tc>
      </w:tr>
      <w:tr w:rsidR="006A257E" w:rsidRPr="00E6400D" w:rsidTr="00186ED6">
        <w:trPr>
          <w:trHeight w:val="173"/>
        </w:trPr>
        <w:tc>
          <w:tcPr>
            <w:tcW w:w="9500" w:type="dxa"/>
            <w:gridSpan w:val="3"/>
            <w:tcBorders>
              <w:top w:val="nil"/>
              <w:left w:val="nil"/>
              <w:right w:val="nil"/>
            </w:tcBorders>
            <w:shd w:val="clear" w:color="auto" w:fill="auto"/>
            <w:noWrap/>
            <w:vAlign w:val="bottom"/>
          </w:tcPr>
          <w:p w:rsidR="006A257E" w:rsidRPr="00F149E4" w:rsidRDefault="006A257E" w:rsidP="00186ED6">
            <w:pPr>
              <w:jc w:val="right"/>
              <w:rPr>
                <w:rFonts w:ascii="Arial" w:hAnsi="Arial" w:cs="Arial"/>
                <w:bCs/>
                <w:color w:val="000000"/>
                <w:sz w:val="18"/>
                <w:szCs w:val="18"/>
              </w:rPr>
            </w:pPr>
            <w:r w:rsidRPr="00F149E4">
              <w:rPr>
                <w:rFonts w:ascii="Arial" w:hAnsi="Arial" w:cs="Arial"/>
                <w:bCs/>
                <w:color w:val="000000"/>
                <w:sz w:val="18"/>
                <w:szCs w:val="18"/>
              </w:rPr>
              <w:t>(Unaudited – prepared by management)</w:t>
            </w:r>
          </w:p>
        </w:tc>
      </w:tr>
      <w:tr w:rsidR="006A257E" w:rsidRPr="00E6400D" w:rsidTr="00186ED6">
        <w:trPr>
          <w:trHeight w:val="173"/>
        </w:trPr>
        <w:tc>
          <w:tcPr>
            <w:tcW w:w="9500" w:type="dxa"/>
            <w:gridSpan w:val="3"/>
            <w:tcBorders>
              <w:top w:val="nil"/>
              <w:left w:val="nil"/>
              <w:bottom w:val="single" w:sz="12" w:space="0" w:color="auto"/>
              <w:right w:val="nil"/>
            </w:tcBorders>
            <w:shd w:val="clear" w:color="auto" w:fill="auto"/>
            <w:noWrap/>
            <w:vAlign w:val="bottom"/>
          </w:tcPr>
          <w:p w:rsidR="006A257E" w:rsidRPr="00F149E4" w:rsidRDefault="006A257E" w:rsidP="00186ED6">
            <w:pPr>
              <w:jc w:val="right"/>
              <w:rPr>
                <w:rFonts w:ascii="Arial" w:hAnsi="Arial" w:cs="Arial"/>
                <w:bCs/>
                <w:color w:val="000000"/>
                <w:sz w:val="18"/>
                <w:szCs w:val="18"/>
              </w:rPr>
            </w:pPr>
            <w:r w:rsidRPr="00F149E4">
              <w:rPr>
                <w:rFonts w:ascii="Arial" w:hAnsi="Arial" w:cs="Arial"/>
                <w:bCs/>
                <w:color w:val="000000"/>
                <w:sz w:val="18"/>
                <w:szCs w:val="18"/>
              </w:rPr>
              <w:t>(Expressed in Canadian dollars)</w:t>
            </w:r>
          </w:p>
        </w:tc>
      </w:tr>
      <w:tr w:rsidR="006A257E" w:rsidRPr="00E6400D" w:rsidTr="00186ED6">
        <w:trPr>
          <w:trHeight w:val="173"/>
        </w:trPr>
        <w:tc>
          <w:tcPr>
            <w:tcW w:w="6662" w:type="dxa"/>
            <w:tcBorders>
              <w:top w:val="single" w:sz="12" w:space="0" w:color="auto"/>
              <w:left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p>
        </w:tc>
        <w:tc>
          <w:tcPr>
            <w:tcW w:w="1419" w:type="dxa"/>
            <w:tcBorders>
              <w:top w:val="single" w:sz="12" w:space="0" w:color="auto"/>
              <w:left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p>
        </w:tc>
        <w:tc>
          <w:tcPr>
            <w:tcW w:w="1419" w:type="dxa"/>
            <w:tcBorders>
              <w:top w:val="single" w:sz="12" w:space="0" w:color="auto"/>
              <w:left w:val="nil"/>
              <w:right w:val="nil"/>
            </w:tcBorders>
            <w:shd w:val="clear" w:color="auto" w:fill="auto"/>
            <w:noWrap/>
            <w:vAlign w:val="bottom"/>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right w:val="nil"/>
            </w:tcBorders>
            <w:shd w:val="clear" w:color="auto" w:fill="auto"/>
            <w:noWrap/>
            <w:vAlign w:val="center"/>
            <w:hideMark/>
          </w:tcPr>
          <w:p w:rsidR="006A257E" w:rsidRPr="00CF26A7" w:rsidRDefault="006A257E" w:rsidP="00186ED6">
            <w:pPr>
              <w:rPr>
                <w:rFonts w:ascii="Arial" w:hAnsi="Arial" w:cs="Arial"/>
                <w:color w:val="000000"/>
                <w:sz w:val="18"/>
                <w:szCs w:val="18"/>
              </w:rPr>
            </w:pPr>
          </w:p>
        </w:tc>
        <w:tc>
          <w:tcPr>
            <w:tcW w:w="1419" w:type="dxa"/>
            <w:tcBorders>
              <w:top w:val="nil"/>
              <w:left w:val="nil"/>
              <w:right w:val="nil"/>
            </w:tcBorders>
            <w:shd w:val="clear" w:color="auto" w:fill="auto"/>
            <w:noWrap/>
            <w:vAlign w:val="center"/>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June 30 </w:t>
            </w:r>
          </w:p>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t>201</w:t>
            </w:r>
            <w:r>
              <w:rPr>
                <w:rFonts w:ascii="Arial" w:hAnsi="Arial" w:cs="Arial"/>
                <w:b/>
                <w:bCs/>
                <w:color w:val="000000"/>
                <w:sz w:val="18"/>
                <w:szCs w:val="18"/>
              </w:rPr>
              <w:t>8</w:t>
            </w:r>
          </w:p>
        </w:tc>
        <w:tc>
          <w:tcPr>
            <w:tcW w:w="1419" w:type="dxa"/>
            <w:tcBorders>
              <w:top w:val="nil"/>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r>
              <w:rPr>
                <w:rFonts w:ascii="Arial" w:hAnsi="Arial" w:cs="Arial"/>
                <w:bCs/>
                <w:color w:val="000000"/>
                <w:sz w:val="18"/>
                <w:szCs w:val="18"/>
              </w:rPr>
              <w:t xml:space="preserve">December 31 </w:t>
            </w:r>
            <w:r w:rsidRPr="00735BB8">
              <w:rPr>
                <w:rFonts w:ascii="Arial" w:hAnsi="Arial" w:cs="Arial"/>
                <w:bCs/>
                <w:color w:val="000000"/>
                <w:sz w:val="18"/>
                <w:szCs w:val="18"/>
              </w:rPr>
              <w:t>201</w:t>
            </w:r>
            <w:r>
              <w:rPr>
                <w:rFonts w:ascii="Arial" w:hAnsi="Arial" w:cs="Arial"/>
                <w:bCs/>
                <w:color w:val="000000"/>
                <w:sz w:val="18"/>
                <w:szCs w:val="18"/>
              </w:rPr>
              <w:t>7</w:t>
            </w:r>
          </w:p>
        </w:tc>
      </w:tr>
      <w:tr w:rsidR="006A257E" w:rsidRPr="00E6400D" w:rsidTr="00186ED6">
        <w:trPr>
          <w:trHeight w:val="173"/>
        </w:trPr>
        <w:tc>
          <w:tcPr>
            <w:tcW w:w="6662" w:type="dxa"/>
            <w:tcBorders>
              <w:left w:val="nil"/>
              <w:bottom w:val="single" w:sz="12" w:space="0" w:color="auto"/>
              <w:right w:val="nil"/>
            </w:tcBorders>
            <w:shd w:val="clear" w:color="auto" w:fill="auto"/>
            <w:noWrap/>
            <w:vAlign w:val="center"/>
          </w:tcPr>
          <w:p w:rsidR="006A257E" w:rsidRPr="00CF26A7" w:rsidDel="00C43B6F" w:rsidRDefault="006A257E" w:rsidP="00186ED6">
            <w:pPr>
              <w:rPr>
                <w:rFonts w:ascii="Arial" w:hAnsi="Arial" w:cs="Arial"/>
                <w:color w:val="000000"/>
                <w:sz w:val="18"/>
                <w:szCs w:val="18"/>
              </w:rPr>
            </w:pPr>
          </w:p>
        </w:tc>
        <w:tc>
          <w:tcPr>
            <w:tcW w:w="1419" w:type="dxa"/>
            <w:tcBorders>
              <w:left w:val="nil"/>
              <w:bottom w:val="single" w:sz="12" w:space="0" w:color="auto"/>
              <w:right w:val="nil"/>
            </w:tcBorders>
            <w:shd w:val="clear" w:color="auto" w:fill="auto"/>
            <w:noWrap/>
            <w:vAlign w:val="center"/>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(unaudited)</w:t>
            </w:r>
          </w:p>
        </w:tc>
        <w:tc>
          <w:tcPr>
            <w:tcW w:w="1419" w:type="dxa"/>
            <w:tcBorders>
              <w:left w:val="nil"/>
              <w:bottom w:val="single" w:sz="12" w:space="0" w:color="auto"/>
              <w:right w:val="nil"/>
            </w:tcBorders>
            <w:shd w:val="clear" w:color="auto" w:fill="auto"/>
            <w:noWrap/>
            <w:vAlign w:val="center"/>
          </w:tcPr>
          <w:p w:rsidR="006A257E" w:rsidRDefault="006A257E" w:rsidP="00186ED6">
            <w:pPr>
              <w:jc w:val="right"/>
              <w:rPr>
                <w:rFonts w:ascii="Arial" w:hAnsi="Arial" w:cs="Arial"/>
                <w:bCs/>
                <w:color w:val="000000"/>
                <w:sz w:val="18"/>
                <w:szCs w:val="18"/>
              </w:rPr>
            </w:pPr>
            <w:r>
              <w:rPr>
                <w:rFonts w:ascii="Arial" w:hAnsi="Arial" w:cs="Arial"/>
                <w:bCs/>
                <w:color w:val="000000"/>
                <w:sz w:val="18"/>
                <w:szCs w:val="18"/>
              </w:rPr>
              <w:t>(audited)</w:t>
            </w:r>
          </w:p>
        </w:tc>
      </w:tr>
      <w:tr w:rsidR="006A257E" w:rsidRPr="00E6400D" w:rsidTr="00186ED6">
        <w:trPr>
          <w:trHeight w:val="173"/>
        </w:trPr>
        <w:tc>
          <w:tcPr>
            <w:tcW w:w="6662" w:type="dxa"/>
            <w:tcBorders>
              <w:left w:val="nil"/>
              <w:bottom w:val="nil"/>
              <w:right w:val="nil"/>
            </w:tcBorders>
            <w:shd w:val="clear" w:color="auto" w:fill="auto"/>
            <w:noWrap/>
            <w:vAlign w:val="center"/>
            <w:hideMark/>
          </w:tcPr>
          <w:p w:rsidR="006A257E" w:rsidRDefault="006A257E" w:rsidP="00186ED6">
            <w:pPr>
              <w:rPr>
                <w:rFonts w:ascii="Arial" w:hAnsi="Arial" w:cs="Arial"/>
                <w:b/>
                <w:bCs/>
                <w:color w:val="000000"/>
                <w:sz w:val="18"/>
                <w:szCs w:val="18"/>
              </w:rPr>
            </w:pPr>
          </w:p>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Assets</w:t>
            </w:r>
          </w:p>
        </w:tc>
        <w:tc>
          <w:tcPr>
            <w:tcW w:w="1419" w:type="dxa"/>
            <w:tcBorders>
              <w:left w:val="nil"/>
              <w:bottom w:val="nil"/>
              <w:right w:val="nil"/>
            </w:tcBorders>
            <w:shd w:val="clear" w:color="auto" w:fill="auto"/>
            <w:noWrap/>
            <w:vAlign w:val="bottom"/>
            <w:hideMark/>
          </w:tcPr>
          <w:p w:rsidR="006A257E" w:rsidRPr="00E6400D" w:rsidRDefault="006A257E" w:rsidP="00186ED6">
            <w:pPr>
              <w:jc w:val="right"/>
              <w:rPr>
                <w:rFonts w:ascii="Arial" w:hAnsi="Arial" w:cs="Arial"/>
                <w:color w:val="000000"/>
                <w:sz w:val="18"/>
                <w:szCs w:val="18"/>
              </w:rPr>
            </w:pPr>
          </w:p>
        </w:tc>
        <w:tc>
          <w:tcPr>
            <w:tcW w:w="1419" w:type="dxa"/>
            <w:tcBorders>
              <w:left w:val="nil"/>
              <w:bottom w:val="nil"/>
              <w:right w:val="nil"/>
            </w:tcBorders>
            <w:shd w:val="clear" w:color="auto" w:fill="auto"/>
            <w:noWrap/>
            <w:vAlign w:val="bottom"/>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Pr>
                <w:rFonts w:ascii="Arial" w:hAnsi="Arial" w:cs="Arial"/>
                <w:b/>
                <w:bCs/>
                <w:color w:val="000000"/>
                <w:sz w:val="18"/>
                <w:szCs w:val="18"/>
              </w:rPr>
              <w:t xml:space="preserve">  </w:t>
            </w:r>
          </w:p>
        </w:tc>
        <w:tc>
          <w:tcPr>
            <w:tcW w:w="1419" w:type="dxa"/>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bottom"/>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Current</w:t>
            </w:r>
          </w:p>
        </w:tc>
        <w:tc>
          <w:tcPr>
            <w:tcW w:w="1419" w:type="dxa"/>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bottom"/>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bottom"/>
          </w:tcPr>
          <w:p w:rsidR="006A257E" w:rsidRPr="007A68AC" w:rsidRDefault="006A257E" w:rsidP="00186ED6">
            <w:pPr>
              <w:jc w:val="both"/>
              <w:rPr>
                <w:rFonts w:ascii="Arial" w:hAnsi="Arial" w:cs="Arial"/>
                <w:color w:val="000000"/>
                <w:sz w:val="18"/>
                <w:szCs w:val="18"/>
              </w:rPr>
            </w:pPr>
            <w:r>
              <w:rPr>
                <w:rFonts w:ascii="Arial" w:hAnsi="Arial" w:cs="Arial"/>
                <w:b/>
                <w:color w:val="000000"/>
                <w:sz w:val="18"/>
                <w:szCs w:val="18"/>
              </w:rPr>
              <w:t xml:space="preserve">   </w:t>
            </w:r>
            <w:r w:rsidRPr="007A68AC">
              <w:rPr>
                <w:rFonts w:ascii="Arial" w:hAnsi="Arial" w:cs="Arial"/>
                <w:color w:val="000000"/>
                <w:sz w:val="18"/>
                <w:szCs w:val="18"/>
              </w:rPr>
              <w:t>Cash</w:t>
            </w:r>
          </w:p>
        </w:tc>
        <w:tc>
          <w:tcPr>
            <w:tcW w:w="1419"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999,591</w:t>
            </w:r>
          </w:p>
        </w:tc>
        <w:tc>
          <w:tcPr>
            <w:tcW w:w="1419"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              1</w:t>
            </w:r>
          </w:p>
        </w:tc>
      </w:tr>
      <w:tr w:rsidR="006A257E" w:rsidRPr="00E6400D" w:rsidTr="00186ED6">
        <w:trPr>
          <w:trHeight w:val="173"/>
        </w:trPr>
        <w:tc>
          <w:tcPr>
            <w:tcW w:w="6662" w:type="dxa"/>
            <w:tcBorders>
              <w:top w:val="nil"/>
              <w:left w:val="nil"/>
              <w:bottom w:val="nil"/>
              <w:right w:val="nil"/>
            </w:tcBorders>
            <w:shd w:val="clear" w:color="auto" w:fill="auto"/>
            <w:noWrap/>
            <w:vAlign w:val="bottom"/>
          </w:tcPr>
          <w:p w:rsidR="006A257E" w:rsidRPr="007A68AC" w:rsidRDefault="006A257E" w:rsidP="00186ED6">
            <w:pPr>
              <w:jc w:val="both"/>
              <w:rPr>
                <w:rFonts w:ascii="Arial" w:hAnsi="Arial" w:cs="Arial"/>
                <w:color w:val="000000"/>
                <w:sz w:val="18"/>
                <w:szCs w:val="18"/>
              </w:rPr>
            </w:pPr>
            <w:r w:rsidRPr="007A68AC">
              <w:rPr>
                <w:rFonts w:ascii="Arial" w:hAnsi="Arial" w:cs="Arial"/>
                <w:color w:val="000000"/>
                <w:sz w:val="18"/>
                <w:szCs w:val="18"/>
              </w:rPr>
              <w:t xml:space="preserve">   Accounts receivable</w:t>
            </w:r>
          </w:p>
        </w:tc>
        <w:tc>
          <w:tcPr>
            <w:tcW w:w="1419" w:type="dxa"/>
            <w:tcBorders>
              <w:top w:val="nil"/>
              <w:left w:val="nil"/>
              <w:bottom w:val="single" w:sz="4" w:space="0" w:color="auto"/>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7,962</w:t>
            </w:r>
          </w:p>
        </w:tc>
        <w:tc>
          <w:tcPr>
            <w:tcW w:w="1419" w:type="dxa"/>
            <w:tcBorders>
              <w:top w:val="nil"/>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RPr="00E6400D" w:rsidTr="00186ED6">
        <w:trPr>
          <w:trHeight w:val="289"/>
        </w:trPr>
        <w:tc>
          <w:tcPr>
            <w:tcW w:w="6662" w:type="dxa"/>
            <w:tcBorders>
              <w:top w:val="nil"/>
              <w:left w:val="nil"/>
              <w:bottom w:val="nil"/>
              <w:right w:val="nil"/>
            </w:tcBorders>
            <w:shd w:val="clear" w:color="auto" w:fill="auto"/>
            <w:noWrap/>
            <w:vAlign w:val="bottom"/>
          </w:tcPr>
          <w:p w:rsidR="006A257E" w:rsidRDefault="006A257E" w:rsidP="00186ED6">
            <w:pPr>
              <w:jc w:val="both"/>
              <w:rPr>
                <w:rFonts w:ascii="Arial" w:hAnsi="Arial" w:cs="Arial"/>
                <w:b/>
                <w:color w:val="000000"/>
                <w:sz w:val="18"/>
                <w:szCs w:val="18"/>
              </w:rPr>
            </w:pPr>
          </w:p>
        </w:tc>
        <w:tc>
          <w:tcPr>
            <w:tcW w:w="1419" w:type="dxa"/>
            <w:tcBorders>
              <w:top w:val="single" w:sz="4" w:space="0" w:color="auto"/>
              <w:left w:val="nil"/>
              <w:bottom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1,007,553</w:t>
            </w:r>
          </w:p>
        </w:tc>
        <w:tc>
          <w:tcPr>
            <w:tcW w:w="1419" w:type="dxa"/>
            <w:tcBorders>
              <w:top w:val="single" w:sz="4" w:space="0" w:color="auto"/>
              <w:left w:val="nil"/>
              <w:bottom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1</w:t>
            </w: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Default="006A257E" w:rsidP="00186ED6">
            <w:pPr>
              <w:jc w:val="both"/>
              <w:rPr>
                <w:rFonts w:ascii="Arial" w:hAnsi="Arial" w:cs="Arial"/>
                <w:b/>
                <w:bCs/>
                <w:color w:val="000000"/>
                <w:sz w:val="18"/>
                <w:szCs w:val="18"/>
              </w:rPr>
            </w:pPr>
          </w:p>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Exploration and evaluation assets</w:t>
            </w:r>
            <w:r w:rsidRPr="00E6400D">
              <w:rPr>
                <w:rFonts w:ascii="Arial" w:hAnsi="Arial" w:cs="Arial"/>
                <w:color w:val="000000"/>
                <w:sz w:val="18"/>
                <w:szCs w:val="18"/>
              </w:rPr>
              <w:t xml:space="preserve"> (Note </w:t>
            </w:r>
            <w:r>
              <w:rPr>
                <w:rFonts w:ascii="Arial" w:hAnsi="Arial" w:cs="Arial"/>
                <w:color w:val="000000"/>
                <w:sz w:val="18"/>
                <w:szCs w:val="18"/>
              </w:rPr>
              <w:t>5</w:t>
            </w:r>
            <w:r w:rsidRPr="00E6400D">
              <w:rPr>
                <w:rFonts w:ascii="Arial" w:hAnsi="Arial" w:cs="Arial"/>
                <w:color w:val="000000"/>
                <w:sz w:val="18"/>
                <w:szCs w:val="18"/>
              </w:rPr>
              <w:t xml:space="preserve">)                                            </w:t>
            </w:r>
            <w:r w:rsidRPr="00E6400D">
              <w:rPr>
                <w:rFonts w:ascii="Arial" w:hAnsi="Arial" w:cs="Arial"/>
                <w:color w:val="000000"/>
                <w:sz w:val="18"/>
                <w:szCs w:val="18"/>
                <w:u w:val="single"/>
              </w:rPr>
              <w:t xml:space="preserve">      </w:t>
            </w:r>
          </w:p>
        </w:tc>
        <w:tc>
          <w:tcPr>
            <w:tcW w:w="1419" w:type="dxa"/>
            <w:tcBorders>
              <w:top w:val="nil"/>
              <w:left w:val="nil"/>
              <w:bottom w:val="single" w:sz="4" w:space="0" w:color="auto"/>
              <w:right w:val="nil"/>
            </w:tcBorders>
            <w:shd w:val="clear" w:color="auto" w:fill="auto"/>
            <w:noWrap/>
            <w:vAlign w:val="bottom"/>
            <w:hideMark/>
          </w:tcPr>
          <w:p w:rsidR="006A257E" w:rsidRPr="00E6400D" w:rsidRDefault="006A257E" w:rsidP="00186ED6">
            <w:pPr>
              <w:tabs>
                <w:tab w:val="left" w:pos="426"/>
              </w:tabs>
              <w:jc w:val="right"/>
              <w:rPr>
                <w:rFonts w:ascii="Arial" w:hAnsi="Arial" w:cs="Arial"/>
                <w:b/>
                <w:bCs/>
                <w:color w:val="000000"/>
                <w:sz w:val="18"/>
                <w:szCs w:val="18"/>
              </w:rPr>
            </w:pPr>
            <w:r>
              <w:rPr>
                <w:rFonts w:ascii="Arial" w:hAnsi="Arial" w:cs="Arial"/>
                <w:b/>
                <w:bCs/>
                <w:color w:val="000000"/>
                <w:sz w:val="18"/>
                <w:szCs w:val="18"/>
              </w:rPr>
              <w:t xml:space="preserve">411,947 </w:t>
            </w:r>
          </w:p>
        </w:tc>
        <w:tc>
          <w:tcPr>
            <w:tcW w:w="1419" w:type="dxa"/>
            <w:tcBorders>
              <w:top w:val="nil"/>
              <w:left w:val="nil"/>
              <w:bottom w:val="single" w:sz="4" w:space="0" w:color="auto"/>
              <w:right w:val="nil"/>
            </w:tcBorders>
            <w:shd w:val="clear" w:color="auto" w:fill="auto"/>
            <w:noWrap/>
            <w:vAlign w:val="bottom"/>
            <w:hideMark/>
          </w:tcPr>
          <w:p w:rsidR="006A257E" w:rsidRPr="00DD025A" w:rsidRDefault="006A257E" w:rsidP="00186ED6">
            <w:pPr>
              <w:tabs>
                <w:tab w:val="left" w:pos="511"/>
              </w:tabs>
              <w:jc w:val="right"/>
              <w:rPr>
                <w:rFonts w:ascii="Arial" w:hAnsi="Arial" w:cs="Arial"/>
                <w:color w:val="000000"/>
                <w:sz w:val="18"/>
                <w:szCs w:val="18"/>
              </w:rPr>
            </w:pPr>
            <w:r>
              <w:rPr>
                <w:rFonts w:ascii="Arial" w:hAnsi="Arial" w:cs="Arial"/>
                <w:bCs/>
                <w:color w:val="000000"/>
                <w:sz w:val="18"/>
                <w:szCs w:val="18"/>
              </w:rPr>
              <w:t>237,556</w:t>
            </w:r>
            <w:r w:rsidRPr="00735BB8">
              <w:rPr>
                <w:rFonts w:ascii="Arial" w:hAnsi="Arial" w:cs="Arial"/>
                <w:bCs/>
                <w:color w:val="000000"/>
                <w:sz w:val="18"/>
                <w:szCs w:val="18"/>
              </w:rPr>
              <w:t xml:space="preserve"> </w:t>
            </w:r>
          </w:p>
        </w:tc>
      </w:tr>
      <w:tr w:rsidR="006A257E" w:rsidRPr="00E6400D" w:rsidTr="00186ED6">
        <w:trPr>
          <w:trHeight w:val="288"/>
        </w:trPr>
        <w:tc>
          <w:tcPr>
            <w:tcW w:w="6662" w:type="dxa"/>
            <w:tcBorders>
              <w:top w:val="nil"/>
              <w:left w:val="nil"/>
              <w:bottom w:val="single" w:sz="12" w:space="0" w:color="auto"/>
              <w:right w:val="nil"/>
            </w:tcBorders>
            <w:shd w:val="clear" w:color="auto" w:fill="auto"/>
            <w:noWrap/>
            <w:vAlign w:val="center"/>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w:t>
            </w:r>
          </w:p>
        </w:tc>
        <w:tc>
          <w:tcPr>
            <w:tcW w:w="1419" w:type="dxa"/>
            <w:tcBorders>
              <w:top w:val="nil"/>
              <w:left w:val="nil"/>
              <w:bottom w:val="single" w:sz="12" w:space="0" w:color="auto"/>
              <w:right w:val="nil"/>
            </w:tcBorders>
            <w:shd w:val="clear" w:color="auto" w:fill="auto"/>
            <w:noWrap/>
            <w:vAlign w:val="bottom"/>
            <w:hideMark/>
          </w:tcPr>
          <w:p w:rsidR="006A257E" w:rsidRPr="00E6400D" w:rsidRDefault="006A257E" w:rsidP="00186ED6">
            <w:pPr>
              <w:tabs>
                <w:tab w:val="left" w:pos="264"/>
              </w:tabs>
              <w:jc w:val="right"/>
              <w:rPr>
                <w:rFonts w:ascii="Arial" w:hAnsi="Arial" w:cs="Arial"/>
                <w:b/>
                <w:bCs/>
                <w:color w:val="000000"/>
                <w:sz w:val="18"/>
                <w:szCs w:val="18"/>
              </w:rPr>
            </w:pPr>
            <w:r>
              <w:rPr>
                <w:rFonts w:ascii="Arial" w:hAnsi="Arial" w:cs="Arial"/>
                <w:b/>
                <w:bCs/>
                <w:color w:val="000000"/>
                <w:sz w:val="18"/>
                <w:szCs w:val="18"/>
              </w:rPr>
              <w:t xml:space="preserve">$   1,419,500 </w:t>
            </w:r>
          </w:p>
        </w:tc>
        <w:tc>
          <w:tcPr>
            <w:tcW w:w="1419" w:type="dxa"/>
            <w:tcBorders>
              <w:top w:val="nil"/>
              <w:left w:val="nil"/>
              <w:bottom w:val="single" w:sz="12" w:space="0" w:color="auto"/>
              <w:right w:val="nil"/>
            </w:tcBorders>
            <w:shd w:val="clear" w:color="auto" w:fill="auto"/>
            <w:noWrap/>
            <w:vAlign w:val="bottom"/>
            <w:hideMark/>
          </w:tcPr>
          <w:p w:rsidR="006A257E" w:rsidRPr="00DD025A" w:rsidRDefault="006A257E" w:rsidP="00186ED6">
            <w:pPr>
              <w:tabs>
                <w:tab w:val="left" w:pos="328"/>
              </w:tabs>
              <w:jc w:val="right"/>
              <w:rPr>
                <w:rFonts w:ascii="Arial" w:hAnsi="Arial" w:cs="Arial"/>
                <w:color w:val="000000"/>
                <w:sz w:val="18"/>
                <w:szCs w:val="18"/>
              </w:rPr>
            </w:pPr>
            <w:r w:rsidRPr="00735BB8">
              <w:rPr>
                <w:rFonts w:ascii="Arial" w:hAnsi="Arial" w:cs="Arial"/>
                <w:bCs/>
                <w:color w:val="000000"/>
                <w:sz w:val="18"/>
                <w:szCs w:val="18"/>
              </w:rPr>
              <w:t>$</w:t>
            </w:r>
            <w:r>
              <w:rPr>
                <w:rFonts w:ascii="Arial" w:hAnsi="Arial" w:cs="Arial"/>
                <w:bCs/>
                <w:color w:val="000000"/>
                <w:sz w:val="18"/>
                <w:szCs w:val="18"/>
              </w:rPr>
              <w:t xml:space="preserve">   237,557</w:t>
            </w:r>
            <w:r w:rsidRPr="00735BB8">
              <w:rPr>
                <w:rFonts w:ascii="Arial" w:hAnsi="Arial" w:cs="Arial"/>
                <w:bCs/>
                <w:color w:val="000000"/>
                <w:sz w:val="18"/>
                <w:szCs w:val="18"/>
              </w:rPr>
              <w:t xml:space="preserve"> </w:t>
            </w:r>
          </w:p>
        </w:tc>
      </w:tr>
      <w:tr w:rsidR="006A257E" w:rsidRPr="00E6400D" w:rsidTr="00186ED6">
        <w:trPr>
          <w:trHeight w:val="173"/>
        </w:trPr>
        <w:tc>
          <w:tcPr>
            <w:tcW w:w="6662" w:type="dxa"/>
            <w:tcBorders>
              <w:top w:val="single" w:sz="12" w:space="0" w:color="auto"/>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 xml:space="preserve">Liabilities </w:t>
            </w:r>
            <w:r>
              <w:rPr>
                <w:rFonts w:ascii="Arial" w:hAnsi="Arial" w:cs="Arial"/>
                <w:b/>
                <w:bCs/>
                <w:color w:val="000000"/>
                <w:sz w:val="18"/>
                <w:szCs w:val="18"/>
              </w:rPr>
              <w:t>and Shareholders’ Equity</w:t>
            </w:r>
          </w:p>
        </w:tc>
        <w:tc>
          <w:tcPr>
            <w:tcW w:w="1419" w:type="dxa"/>
            <w:tcBorders>
              <w:top w:val="nil"/>
              <w:left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E6400D" w:rsidRDefault="006A257E" w:rsidP="00186ED6">
            <w:pPr>
              <w:jc w:val="both"/>
              <w:rPr>
                <w:rFonts w:ascii="Arial" w:hAnsi="Arial" w:cs="Arial"/>
                <w:b/>
                <w:bCs/>
                <w:color w:val="000000"/>
                <w:sz w:val="18"/>
                <w:szCs w:val="18"/>
              </w:rPr>
            </w:pPr>
            <w:r>
              <w:rPr>
                <w:rFonts w:ascii="Arial" w:hAnsi="Arial" w:cs="Arial"/>
                <w:b/>
                <w:bCs/>
                <w:color w:val="000000"/>
                <w:sz w:val="18"/>
                <w:szCs w:val="18"/>
              </w:rPr>
              <w:t>Current</w:t>
            </w:r>
          </w:p>
        </w:tc>
        <w:tc>
          <w:tcPr>
            <w:tcW w:w="1419" w:type="dxa"/>
            <w:tcBorders>
              <w:top w:val="nil"/>
              <w:left w:val="nil"/>
              <w:right w:val="nil"/>
            </w:tcBorders>
            <w:shd w:val="clear" w:color="auto" w:fill="auto"/>
            <w:noWrap/>
            <w:vAlign w:val="center"/>
          </w:tcPr>
          <w:p w:rsidR="006A257E" w:rsidRPr="00E6400D" w:rsidRDefault="006A257E" w:rsidP="00186ED6">
            <w:pPr>
              <w:jc w:val="right"/>
              <w:rPr>
                <w:rFonts w:ascii="Arial" w:hAnsi="Arial" w:cs="Arial"/>
                <w:b/>
                <w:bCs/>
                <w:color w:val="000000"/>
                <w:sz w:val="18"/>
                <w:szCs w:val="18"/>
              </w:rPr>
            </w:pPr>
          </w:p>
        </w:tc>
        <w:tc>
          <w:tcPr>
            <w:tcW w:w="1419" w:type="dxa"/>
            <w:tcBorders>
              <w:top w:val="nil"/>
              <w:left w:val="nil"/>
              <w:right w:val="nil"/>
            </w:tcBorders>
            <w:shd w:val="clear" w:color="auto" w:fill="auto"/>
            <w:noWrap/>
            <w:vAlign w:val="center"/>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7A68AC" w:rsidRDefault="006A257E" w:rsidP="00186ED6">
            <w:pPr>
              <w:jc w:val="both"/>
              <w:rPr>
                <w:rFonts w:ascii="Arial" w:hAnsi="Arial" w:cs="Arial"/>
                <w:bCs/>
                <w:color w:val="000000"/>
                <w:sz w:val="18"/>
                <w:szCs w:val="18"/>
              </w:rPr>
            </w:pPr>
            <w:r w:rsidRPr="007A68AC">
              <w:rPr>
                <w:rFonts w:ascii="Arial" w:hAnsi="Arial" w:cs="Arial"/>
                <w:bCs/>
                <w:color w:val="000000"/>
                <w:sz w:val="18"/>
                <w:szCs w:val="18"/>
              </w:rPr>
              <w:t xml:space="preserve">  Accounts payable and accrued liabilities</w:t>
            </w:r>
          </w:p>
        </w:tc>
        <w:tc>
          <w:tcPr>
            <w:tcW w:w="1419" w:type="dxa"/>
            <w:tcBorders>
              <w:top w:val="nil"/>
              <w:left w:val="nil"/>
              <w:right w:val="nil"/>
            </w:tcBorders>
            <w:shd w:val="clear" w:color="auto" w:fill="auto"/>
            <w:noWrap/>
            <w:vAlign w:val="center"/>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166,750</w:t>
            </w:r>
          </w:p>
        </w:tc>
        <w:tc>
          <w:tcPr>
            <w:tcW w:w="1419" w:type="dxa"/>
            <w:tcBorders>
              <w:top w:val="nil"/>
              <w:left w:val="nil"/>
              <w:right w:val="nil"/>
            </w:tcBorders>
            <w:shd w:val="clear" w:color="auto" w:fill="auto"/>
            <w:noWrap/>
            <w:vAlign w:val="center"/>
          </w:tcPr>
          <w:p w:rsidR="006A257E" w:rsidRPr="00DD025A" w:rsidRDefault="006A257E" w:rsidP="00186ED6">
            <w:pPr>
              <w:jc w:val="right"/>
              <w:rPr>
                <w:rFonts w:ascii="Arial" w:hAnsi="Arial" w:cs="Arial"/>
                <w:color w:val="000000"/>
                <w:sz w:val="18"/>
                <w:szCs w:val="18"/>
              </w:rPr>
            </w:pPr>
            <w:r>
              <w:rPr>
                <w:rFonts w:ascii="Arial" w:hAnsi="Arial" w:cs="Arial"/>
                <w:color w:val="000000"/>
                <w:sz w:val="18"/>
                <w:szCs w:val="18"/>
              </w:rPr>
              <w:t>$              -</w:t>
            </w: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7A68AC" w:rsidRDefault="006A257E" w:rsidP="00186ED6">
            <w:pPr>
              <w:jc w:val="both"/>
              <w:rPr>
                <w:rFonts w:ascii="Arial" w:hAnsi="Arial" w:cs="Arial"/>
                <w:bCs/>
                <w:color w:val="000000"/>
                <w:sz w:val="18"/>
                <w:szCs w:val="18"/>
              </w:rPr>
            </w:pPr>
            <w:r w:rsidRPr="007A68AC">
              <w:rPr>
                <w:rFonts w:ascii="Arial" w:hAnsi="Arial" w:cs="Arial"/>
                <w:bCs/>
                <w:color w:val="000000"/>
                <w:sz w:val="18"/>
                <w:szCs w:val="18"/>
              </w:rPr>
              <w:t xml:space="preserve">  Premium on flow-through shares</w:t>
            </w:r>
          </w:p>
        </w:tc>
        <w:tc>
          <w:tcPr>
            <w:tcW w:w="1419" w:type="dxa"/>
            <w:tcBorders>
              <w:top w:val="nil"/>
              <w:left w:val="nil"/>
              <w:bottom w:val="single" w:sz="4" w:space="0" w:color="auto"/>
              <w:right w:val="nil"/>
            </w:tcBorders>
            <w:shd w:val="clear" w:color="auto" w:fill="auto"/>
            <w:noWrap/>
            <w:vAlign w:val="center"/>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73,521</w:t>
            </w:r>
          </w:p>
        </w:tc>
        <w:tc>
          <w:tcPr>
            <w:tcW w:w="1419" w:type="dxa"/>
            <w:tcBorders>
              <w:top w:val="nil"/>
              <w:left w:val="nil"/>
              <w:bottom w:val="single" w:sz="4" w:space="0" w:color="auto"/>
              <w:right w:val="nil"/>
            </w:tcBorders>
            <w:shd w:val="clear" w:color="auto" w:fill="auto"/>
            <w:noWrap/>
            <w:vAlign w:val="center"/>
          </w:tcPr>
          <w:p w:rsidR="006A257E" w:rsidRPr="00DD025A"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E6400D" w:rsidRDefault="006A257E" w:rsidP="00186ED6">
            <w:pPr>
              <w:jc w:val="both"/>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240,271</w:t>
            </w:r>
          </w:p>
        </w:tc>
        <w:tc>
          <w:tcPr>
            <w:tcW w:w="1419" w:type="dxa"/>
            <w:tcBorders>
              <w:top w:val="single" w:sz="4" w:space="0" w:color="auto"/>
              <w:left w:val="nil"/>
              <w:right w:val="nil"/>
            </w:tcBorders>
            <w:shd w:val="clear" w:color="auto" w:fill="auto"/>
            <w:noWrap/>
            <w:vAlign w:val="center"/>
          </w:tcPr>
          <w:p w:rsidR="006A257E" w:rsidRPr="00DD025A"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E6400D" w:rsidRDefault="006A257E" w:rsidP="00186ED6">
            <w:pPr>
              <w:jc w:val="both"/>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6A257E" w:rsidRPr="00E6400D" w:rsidRDefault="006A257E" w:rsidP="00186ED6">
            <w:pPr>
              <w:jc w:val="right"/>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center"/>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Pr>
                <w:rFonts w:ascii="Arial" w:hAnsi="Arial" w:cs="Arial"/>
                <w:b/>
                <w:bCs/>
                <w:color w:val="000000"/>
                <w:sz w:val="18"/>
                <w:szCs w:val="18"/>
              </w:rPr>
              <w:t>Shareholders’ equity</w:t>
            </w:r>
          </w:p>
        </w:tc>
        <w:tc>
          <w:tcPr>
            <w:tcW w:w="1419" w:type="dxa"/>
            <w:tcBorders>
              <w:left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p>
        </w:tc>
        <w:tc>
          <w:tcPr>
            <w:tcW w:w="1419" w:type="dxa"/>
            <w:tcBorders>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 xml:space="preserve">  </w:t>
            </w:r>
            <w:r>
              <w:rPr>
                <w:rFonts w:ascii="Arial" w:hAnsi="Arial" w:cs="Arial"/>
                <w:color w:val="000000"/>
                <w:sz w:val="18"/>
                <w:szCs w:val="18"/>
              </w:rPr>
              <w:t>Share capital (Note 10)</w:t>
            </w:r>
          </w:p>
        </w:tc>
        <w:tc>
          <w:tcPr>
            <w:tcW w:w="1419" w:type="dxa"/>
            <w:tcBorders>
              <w:top w:val="nil"/>
              <w:left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2,235,636 </w:t>
            </w:r>
          </w:p>
        </w:tc>
        <w:tc>
          <w:tcPr>
            <w:tcW w:w="1419" w:type="dxa"/>
            <w:tcBorders>
              <w:top w:val="nil"/>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r>
              <w:rPr>
                <w:rFonts w:ascii="Arial" w:hAnsi="Arial" w:cs="Arial"/>
                <w:bCs/>
                <w:color w:val="000000"/>
                <w:sz w:val="18"/>
                <w:szCs w:val="18"/>
              </w:rPr>
              <w:t xml:space="preserve">  1</w:t>
            </w:r>
            <w:r w:rsidRPr="00735BB8">
              <w:rPr>
                <w:rFonts w:ascii="Arial" w:hAnsi="Arial" w:cs="Arial"/>
                <w:bCs/>
                <w:color w:val="000000"/>
                <w:sz w:val="18"/>
                <w:szCs w:val="18"/>
              </w:rPr>
              <w:t xml:space="preserve"> </w:t>
            </w: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 xml:space="preserve">  </w:t>
            </w:r>
            <w:r>
              <w:rPr>
                <w:rFonts w:ascii="Arial" w:hAnsi="Arial" w:cs="Arial"/>
                <w:color w:val="000000"/>
                <w:sz w:val="18"/>
                <w:szCs w:val="18"/>
              </w:rPr>
              <w:t xml:space="preserve">Contributed surplus </w:t>
            </w:r>
          </w:p>
        </w:tc>
        <w:tc>
          <w:tcPr>
            <w:tcW w:w="1419" w:type="dxa"/>
            <w:tcBorders>
              <w:top w:val="nil"/>
              <w:left w:val="nil"/>
              <w:right w:val="nil"/>
            </w:tcBorders>
            <w:shd w:val="clear" w:color="auto" w:fill="auto"/>
            <w:noWrap/>
            <w:vAlign w:val="center"/>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  14,300 </w:t>
            </w:r>
          </w:p>
        </w:tc>
        <w:tc>
          <w:tcPr>
            <w:tcW w:w="1419" w:type="dxa"/>
            <w:tcBorders>
              <w:top w:val="nil"/>
              <w:left w:val="nil"/>
              <w:right w:val="nil"/>
            </w:tcBorders>
            <w:shd w:val="clear" w:color="auto" w:fill="auto"/>
            <w:noWrap/>
            <w:vAlign w:val="center"/>
            <w:hideMark/>
          </w:tcPr>
          <w:p w:rsidR="006A257E" w:rsidRPr="00DD025A" w:rsidRDefault="006A257E" w:rsidP="00186ED6">
            <w:pPr>
              <w:jc w:val="right"/>
              <w:rPr>
                <w:rFonts w:ascii="Arial" w:hAnsi="Arial" w:cs="Arial"/>
                <w:color w:val="000000"/>
                <w:sz w:val="18"/>
                <w:szCs w:val="18"/>
              </w:rPr>
            </w:pPr>
            <w:r>
              <w:rPr>
                <w:rFonts w:ascii="Arial" w:hAnsi="Arial" w:cs="Arial"/>
                <w:bCs/>
                <w:color w:val="000000"/>
                <w:sz w:val="18"/>
                <w:szCs w:val="18"/>
              </w:rPr>
              <w:t xml:space="preserve">  1,071,371</w:t>
            </w:r>
            <w:r w:rsidRPr="00735BB8">
              <w:rPr>
                <w:rFonts w:ascii="Arial" w:hAnsi="Arial" w:cs="Arial"/>
                <w:bCs/>
                <w:color w:val="000000"/>
                <w:sz w:val="18"/>
                <w:szCs w:val="18"/>
              </w:rPr>
              <w:t xml:space="preserve"> </w:t>
            </w: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EF5389" w:rsidRDefault="006A257E" w:rsidP="00186ED6">
            <w:pPr>
              <w:jc w:val="both"/>
              <w:rPr>
                <w:rFonts w:ascii="Arial" w:hAnsi="Arial" w:cs="Arial"/>
                <w:bCs/>
                <w:color w:val="000000"/>
                <w:sz w:val="18"/>
                <w:szCs w:val="18"/>
              </w:rPr>
            </w:pPr>
            <w:r>
              <w:rPr>
                <w:rFonts w:ascii="Arial" w:hAnsi="Arial" w:cs="Arial"/>
                <w:b/>
                <w:bCs/>
                <w:color w:val="000000"/>
                <w:sz w:val="18"/>
                <w:szCs w:val="18"/>
              </w:rPr>
              <w:t xml:space="preserve">  </w:t>
            </w:r>
            <w:r w:rsidRPr="009B010A">
              <w:rPr>
                <w:rFonts w:ascii="Arial" w:hAnsi="Arial" w:cs="Arial"/>
                <w:bCs/>
                <w:color w:val="000000"/>
                <w:sz w:val="18"/>
                <w:szCs w:val="18"/>
              </w:rPr>
              <w:t>Deficit</w:t>
            </w:r>
          </w:p>
        </w:tc>
        <w:tc>
          <w:tcPr>
            <w:tcW w:w="1419" w:type="dxa"/>
            <w:tcBorders>
              <w:left w:val="nil"/>
              <w:bottom w:val="single" w:sz="4" w:space="0" w:color="auto"/>
              <w:right w:val="nil"/>
            </w:tcBorders>
            <w:shd w:val="clear" w:color="auto" w:fill="auto"/>
            <w:noWrap/>
            <w:vAlign w:val="center"/>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(1,070,707)</w:t>
            </w:r>
          </w:p>
        </w:tc>
        <w:tc>
          <w:tcPr>
            <w:tcW w:w="1419" w:type="dxa"/>
            <w:tcBorders>
              <w:left w:val="nil"/>
              <w:bottom w:val="single" w:sz="4" w:space="0" w:color="auto"/>
              <w:right w:val="nil"/>
            </w:tcBorders>
            <w:shd w:val="clear" w:color="auto" w:fill="auto"/>
            <w:noWrap/>
            <w:vAlign w:val="center"/>
          </w:tcPr>
          <w:p w:rsidR="006A257E" w:rsidRPr="00735BB8" w:rsidRDefault="006A257E" w:rsidP="00186ED6">
            <w:pPr>
              <w:jc w:val="right"/>
              <w:rPr>
                <w:rFonts w:ascii="Arial" w:hAnsi="Arial" w:cs="Arial"/>
                <w:bCs/>
                <w:color w:val="000000"/>
                <w:sz w:val="18"/>
                <w:szCs w:val="18"/>
              </w:rPr>
            </w:pPr>
            <w:r>
              <w:rPr>
                <w:rFonts w:ascii="Arial" w:hAnsi="Arial" w:cs="Arial"/>
                <w:bCs/>
                <w:color w:val="000000"/>
                <w:sz w:val="18"/>
                <w:szCs w:val="18"/>
              </w:rPr>
              <w:t>(833,815)</w:t>
            </w:r>
          </w:p>
        </w:tc>
      </w:tr>
      <w:tr w:rsidR="006A257E" w:rsidRPr="00E6400D" w:rsidTr="00186ED6">
        <w:trPr>
          <w:trHeight w:val="288"/>
        </w:trPr>
        <w:tc>
          <w:tcPr>
            <w:tcW w:w="6662" w:type="dxa"/>
            <w:tcBorders>
              <w:top w:val="nil"/>
              <w:left w:val="nil"/>
              <w:right w:val="nil"/>
            </w:tcBorders>
            <w:shd w:val="clear" w:color="auto" w:fill="auto"/>
            <w:noWrap/>
            <w:vAlign w:val="center"/>
          </w:tcPr>
          <w:p w:rsidR="006A257E" w:rsidRPr="00E6400D" w:rsidRDefault="006A257E" w:rsidP="00186ED6">
            <w:pPr>
              <w:rPr>
                <w:rFonts w:ascii="Arial" w:hAnsi="Arial" w:cs="Arial"/>
                <w:color w:val="000000"/>
                <w:sz w:val="18"/>
                <w:szCs w:val="18"/>
              </w:rPr>
            </w:pPr>
          </w:p>
        </w:tc>
        <w:tc>
          <w:tcPr>
            <w:tcW w:w="1419" w:type="dxa"/>
            <w:tcBorders>
              <w:top w:val="single" w:sz="4" w:space="0" w:color="auto"/>
              <w:left w:val="nil"/>
              <w:bottom w:val="single" w:sz="4" w:space="0" w:color="auto"/>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1,179,229</w:t>
            </w:r>
          </w:p>
        </w:tc>
        <w:tc>
          <w:tcPr>
            <w:tcW w:w="1419" w:type="dxa"/>
            <w:tcBorders>
              <w:top w:val="single" w:sz="4" w:space="0" w:color="auto"/>
              <w:left w:val="nil"/>
              <w:bottom w:val="single" w:sz="4" w:space="0" w:color="auto"/>
              <w:right w:val="nil"/>
            </w:tcBorders>
            <w:shd w:val="clear" w:color="auto" w:fill="auto"/>
            <w:noWrap/>
            <w:vAlign w:val="bottom"/>
          </w:tcPr>
          <w:p w:rsidR="006A257E" w:rsidRPr="00735BB8" w:rsidRDefault="006A257E" w:rsidP="00186ED6">
            <w:pPr>
              <w:jc w:val="right"/>
              <w:rPr>
                <w:rFonts w:ascii="Arial" w:hAnsi="Arial" w:cs="Arial"/>
                <w:bCs/>
                <w:color w:val="000000"/>
                <w:sz w:val="18"/>
                <w:szCs w:val="18"/>
              </w:rPr>
            </w:pPr>
            <w:r>
              <w:rPr>
                <w:rFonts w:ascii="Arial" w:hAnsi="Arial" w:cs="Arial"/>
                <w:bCs/>
                <w:color w:val="000000"/>
                <w:sz w:val="18"/>
                <w:szCs w:val="18"/>
              </w:rPr>
              <w:t>237,557</w:t>
            </w:r>
          </w:p>
        </w:tc>
      </w:tr>
      <w:tr w:rsidR="006A257E" w:rsidRPr="00E6400D" w:rsidTr="00186ED6">
        <w:trPr>
          <w:trHeight w:val="288"/>
        </w:trPr>
        <w:tc>
          <w:tcPr>
            <w:tcW w:w="6662" w:type="dxa"/>
            <w:tcBorders>
              <w:top w:val="nil"/>
              <w:left w:val="nil"/>
              <w:right w:val="nil"/>
            </w:tcBorders>
            <w:shd w:val="clear" w:color="auto" w:fill="auto"/>
            <w:noWrap/>
            <w:vAlign w:val="center"/>
          </w:tcPr>
          <w:p w:rsidR="006A257E" w:rsidRPr="00E6400D" w:rsidRDefault="006A257E" w:rsidP="00186ED6">
            <w:pPr>
              <w:rPr>
                <w:rFonts w:ascii="Arial" w:hAnsi="Arial" w:cs="Arial"/>
                <w:color w:val="000000"/>
                <w:sz w:val="18"/>
                <w:szCs w:val="18"/>
              </w:rPr>
            </w:pPr>
          </w:p>
        </w:tc>
        <w:tc>
          <w:tcPr>
            <w:tcW w:w="1419" w:type="dxa"/>
            <w:tcBorders>
              <w:top w:val="single" w:sz="4" w:space="0" w:color="auto"/>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419" w:type="dxa"/>
            <w:tcBorders>
              <w:top w:val="single" w:sz="4" w:space="0" w:color="auto"/>
              <w:left w:val="nil"/>
              <w:right w:val="nil"/>
            </w:tcBorders>
            <w:shd w:val="clear" w:color="auto" w:fill="auto"/>
            <w:noWrap/>
            <w:vAlign w:val="bottom"/>
          </w:tcPr>
          <w:p w:rsidR="006A257E" w:rsidRPr="00735BB8" w:rsidRDefault="006A257E" w:rsidP="00186ED6">
            <w:pPr>
              <w:jc w:val="right"/>
              <w:rPr>
                <w:rFonts w:ascii="Arial" w:hAnsi="Arial" w:cs="Arial"/>
                <w:bCs/>
                <w:color w:val="000000"/>
                <w:sz w:val="18"/>
                <w:szCs w:val="18"/>
              </w:rPr>
            </w:pPr>
          </w:p>
        </w:tc>
      </w:tr>
      <w:tr w:rsidR="006A257E" w:rsidRPr="00E6400D" w:rsidTr="00186ED6">
        <w:trPr>
          <w:trHeight w:val="288"/>
        </w:trPr>
        <w:tc>
          <w:tcPr>
            <w:tcW w:w="6662" w:type="dxa"/>
            <w:tcBorders>
              <w:left w:val="nil"/>
              <w:bottom w:val="single" w:sz="12" w:space="0" w:color="auto"/>
              <w:right w:val="nil"/>
            </w:tcBorders>
            <w:shd w:val="clear" w:color="auto" w:fill="auto"/>
            <w:noWrap/>
            <w:vAlign w:val="center"/>
          </w:tcPr>
          <w:p w:rsidR="006A257E" w:rsidRPr="00E6400D" w:rsidRDefault="006A257E" w:rsidP="00186ED6">
            <w:pPr>
              <w:rPr>
                <w:rFonts w:ascii="Arial" w:hAnsi="Arial" w:cs="Arial"/>
                <w:color w:val="000000"/>
                <w:sz w:val="18"/>
                <w:szCs w:val="18"/>
              </w:rPr>
            </w:pPr>
          </w:p>
        </w:tc>
        <w:tc>
          <w:tcPr>
            <w:tcW w:w="1419" w:type="dxa"/>
            <w:tcBorders>
              <w:left w:val="nil"/>
              <w:bottom w:val="single" w:sz="12" w:space="0" w:color="auto"/>
              <w:right w:val="nil"/>
            </w:tcBorders>
            <w:shd w:val="clear" w:color="auto" w:fill="auto"/>
            <w:noWrap/>
            <w:vAlign w:val="bottom"/>
          </w:tcPr>
          <w:p w:rsidR="006A257E" w:rsidRDefault="006A257E" w:rsidP="00186ED6">
            <w:pPr>
              <w:tabs>
                <w:tab w:val="left" w:pos="430"/>
              </w:tabs>
              <w:jc w:val="right"/>
              <w:rPr>
                <w:rFonts w:ascii="Arial" w:hAnsi="Arial" w:cs="Arial"/>
                <w:b/>
                <w:bCs/>
                <w:color w:val="000000"/>
                <w:sz w:val="18"/>
                <w:szCs w:val="18"/>
              </w:rPr>
            </w:pPr>
            <w:r>
              <w:rPr>
                <w:rFonts w:ascii="Arial" w:hAnsi="Arial" w:cs="Arial"/>
                <w:b/>
                <w:bCs/>
                <w:color w:val="000000"/>
                <w:sz w:val="18"/>
                <w:szCs w:val="18"/>
              </w:rPr>
              <w:t>$  1,419,500</w:t>
            </w:r>
          </w:p>
        </w:tc>
        <w:tc>
          <w:tcPr>
            <w:tcW w:w="1419" w:type="dxa"/>
            <w:tcBorders>
              <w:left w:val="nil"/>
              <w:bottom w:val="single" w:sz="12" w:space="0" w:color="auto"/>
              <w:right w:val="nil"/>
            </w:tcBorders>
            <w:shd w:val="clear" w:color="auto" w:fill="auto"/>
            <w:noWrap/>
            <w:vAlign w:val="bottom"/>
          </w:tcPr>
          <w:p w:rsidR="006A257E" w:rsidRPr="00735BB8" w:rsidRDefault="006A257E" w:rsidP="00186ED6">
            <w:pPr>
              <w:jc w:val="right"/>
              <w:rPr>
                <w:rFonts w:ascii="Arial" w:hAnsi="Arial" w:cs="Arial"/>
                <w:bCs/>
                <w:color w:val="000000"/>
                <w:sz w:val="18"/>
                <w:szCs w:val="18"/>
              </w:rPr>
            </w:pPr>
            <w:r>
              <w:rPr>
                <w:rFonts w:ascii="Arial" w:hAnsi="Arial" w:cs="Arial"/>
                <w:bCs/>
                <w:color w:val="000000"/>
                <w:sz w:val="18"/>
                <w:szCs w:val="18"/>
              </w:rPr>
              <w:t>$  237,557</w:t>
            </w:r>
          </w:p>
        </w:tc>
      </w:tr>
      <w:tr w:rsidR="006A257E" w:rsidRPr="00E6400D" w:rsidTr="00186ED6">
        <w:trPr>
          <w:trHeight w:val="173"/>
        </w:trPr>
        <w:tc>
          <w:tcPr>
            <w:tcW w:w="6662" w:type="dxa"/>
            <w:tcBorders>
              <w:top w:val="single" w:sz="12" w:space="0" w:color="auto"/>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single" w:sz="12" w:space="0" w:color="auto"/>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 xml:space="preserve">Nature and continuance of operations </w:t>
            </w:r>
            <w:r w:rsidRPr="00E6400D">
              <w:rPr>
                <w:rFonts w:ascii="Arial" w:hAnsi="Arial" w:cs="Arial"/>
                <w:color w:val="000000"/>
                <w:sz w:val="18"/>
                <w:szCs w:val="18"/>
              </w:rPr>
              <w:t>(Note 1)</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 xml:space="preserve">Commitments and contingencies </w:t>
            </w:r>
            <w:r w:rsidRPr="00E6400D">
              <w:rPr>
                <w:rFonts w:ascii="Arial" w:hAnsi="Arial" w:cs="Arial"/>
                <w:color w:val="000000"/>
                <w:sz w:val="18"/>
                <w:szCs w:val="18"/>
              </w:rPr>
              <w:t xml:space="preserve">(Note </w:t>
            </w:r>
            <w:r>
              <w:rPr>
                <w:rFonts w:ascii="Arial" w:hAnsi="Arial" w:cs="Arial"/>
                <w:color w:val="000000"/>
                <w:sz w:val="18"/>
                <w:szCs w:val="18"/>
              </w:rPr>
              <w:t>8</w:t>
            </w:r>
            <w:r w:rsidRPr="00E6400D">
              <w:rPr>
                <w:rFonts w:ascii="Arial" w:hAnsi="Arial" w:cs="Arial"/>
                <w:color w:val="000000"/>
                <w:sz w:val="18"/>
                <w:szCs w:val="18"/>
              </w:rPr>
              <w:t>)</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tcPr>
          <w:p w:rsidR="006A257E" w:rsidRPr="00E6400D" w:rsidRDefault="006A257E" w:rsidP="00186ED6">
            <w:pPr>
              <w:jc w:val="both"/>
              <w:rPr>
                <w:rFonts w:ascii="Arial" w:hAnsi="Arial" w:cs="Arial"/>
                <w:b/>
                <w:bCs/>
                <w:color w:val="000000"/>
                <w:sz w:val="18"/>
                <w:szCs w:val="18"/>
              </w:rPr>
            </w:pPr>
            <w:r>
              <w:rPr>
                <w:rFonts w:ascii="Arial" w:hAnsi="Arial" w:cs="Arial"/>
                <w:b/>
                <w:bCs/>
                <w:color w:val="000000"/>
                <w:sz w:val="18"/>
                <w:szCs w:val="18"/>
              </w:rPr>
              <w:t xml:space="preserve">Subsequent event </w:t>
            </w:r>
            <w:r w:rsidRPr="00371766">
              <w:rPr>
                <w:rFonts w:ascii="Arial" w:hAnsi="Arial" w:cs="Arial"/>
                <w:bCs/>
                <w:color w:val="000000"/>
                <w:sz w:val="18"/>
                <w:szCs w:val="18"/>
              </w:rPr>
              <w:t>(Note 1</w:t>
            </w:r>
            <w:r>
              <w:rPr>
                <w:rFonts w:ascii="Arial" w:hAnsi="Arial" w:cs="Arial"/>
                <w:bCs/>
                <w:color w:val="000000"/>
                <w:sz w:val="18"/>
                <w:szCs w:val="18"/>
              </w:rPr>
              <w:t>2</w:t>
            </w:r>
            <w:r w:rsidRPr="00371766">
              <w:rPr>
                <w:rFonts w:ascii="Arial" w:hAnsi="Arial" w:cs="Arial"/>
                <w:bCs/>
                <w:color w:val="000000"/>
                <w:sz w:val="18"/>
                <w:szCs w:val="18"/>
              </w:rPr>
              <w:t>)</w:t>
            </w:r>
          </w:p>
        </w:tc>
        <w:tc>
          <w:tcPr>
            <w:tcW w:w="1419" w:type="dxa"/>
            <w:tcBorders>
              <w:top w:val="nil"/>
              <w:left w:val="nil"/>
              <w:bottom w:val="nil"/>
              <w:right w:val="nil"/>
            </w:tcBorders>
            <w:shd w:val="clear" w:color="auto" w:fill="auto"/>
            <w:noWrap/>
            <w:vAlign w:val="center"/>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r w:rsidRPr="00E6400D">
              <w:rPr>
                <w:rFonts w:ascii="Arial" w:hAnsi="Arial" w:cs="Arial"/>
                <w:b/>
                <w:bCs/>
                <w:color w:val="000000"/>
                <w:sz w:val="18"/>
                <w:szCs w:val="18"/>
              </w:rPr>
              <w:t>On behalf of the Board:</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b/>
                <w:bCs/>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i/>
                <w:iCs/>
                <w:color w:val="000000"/>
                <w:sz w:val="18"/>
                <w:szCs w:val="18"/>
                <w:u w:val="single"/>
              </w:rPr>
            </w:pPr>
            <w:r w:rsidRPr="00E6400D">
              <w:rPr>
                <w:rFonts w:ascii="Arial" w:hAnsi="Arial" w:cs="Arial"/>
                <w:i/>
                <w:iCs/>
                <w:color w:val="000000"/>
                <w:sz w:val="18"/>
                <w:szCs w:val="18"/>
                <w:u w:val="single"/>
              </w:rPr>
              <w:t xml:space="preserve">“Timothy J Termuende”         </w:t>
            </w:r>
            <w:r w:rsidRPr="00E6400D">
              <w:rPr>
                <w:rFonts w:ascii="Arial" w:hAnsi="Arial" w:cs="Arial"/>
                <w:i/>
                <w:iCs/>
                <w:color w:val="000000"/>
                <w:sz w:val="18"/>
                <w:szCs w:val="18"/>
              </w:rPr>
              <w:t xml:space="preserve"> </w:t>
            </w:r>
            <w:r w:rsidRPr="00E6400D">
              <w:rPr>
                <w:rFonts w:ascii="Arial" w:hAnsi="Arial" w:cs="Arial"/>
                <w:color w:val="000000"/>
                <w:sz w:val="18"/>
                <w:szCs w:val="18"/>
              </w:rPr>
              <w:t>Director</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color w:val="000000"/>
                <w:sz w:val="18"/>
                <w:szCs w:val="18"/>
              </w:rPr>
            </w:pPr>
            <w:r w:rsidRPr="00E6400D">
              <w:rPr>
                <w:rFonts w:ascii="Arial" w:hAnsi="Arial" w:cs="Arial"/>
                <w:color w:val="000000"/>
                <w:sz w:val="18"/>
                <w:szCs w:val="18"/>
              </w:rPr>
              <w:t>Mr. Timothy J. Termuende (Signed)</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i/>
                <w:iCs/>
                <w:color w:val="000000"/>
                <w:sz w:val="18"/>
                <w:szCs w:val="18"/>
                <w:u w:val="single"/>
              </w:rPr>
            </w:pPr>
            <w:r w:rsidRPr="00E6400D">
              <w:rPr>
                <w:rFonts w:ascii="Arial" w:hAnsi="Arial" w:cs="Arial"/>
                <w:i/>
                <w:iCs/>
                <w:color w:val="000000"/>
                <w:sz w:val="18"/>
                <w:szCs w:val="18"/>
                <w:u w:val="single"/>
              </w:rPr>
              <w:t xml:space="preserve">“Glen J Diduck”         </w:t>
            </w:r>
            <w:r w:rsidRPr="00E6400D">
              <w:rPr>
                <w:rFonts w:ascii="Arial" w:hAnsi="Arial" w:cs="Arial"/>
                <w:i/>
                <w:iCs/>
                <w:color w:val="000000"/>
                <w:sz w:val="18"/>
                <w:szCs w:val="18"/>
              </w:rPr>
              <w:t xml:space="preserve"> </w:t>
            </w:r>
            <w:r w:rsidRPr="00E6400D">
              <w:rPr>
                <w:rFonts w:ascii="Arial" w:hAnsi="Arial" w:cs="Arial"/>
                <w:color w:val="000000"/>
                <w:sz w:val="18"/>
                <w:szCs w:val="18"/>
              </w:rPr>
              <w:t>Director</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r w:rsidR="006A257E" w:rsidRPr="00E6400D" w:rsidTr="00186ED6">
        <w:trPr>
          <w:trHeight w:val="173"/>
        </w:trPr>
        <w:tc>
          <w:tcPr>
            <w:tcW w:w="6662" w:type="dxa"/>
            <w:tcBorders>
              <w:top w:val="nil"/>
              <w:left w:val="nil"/>
              <w:bottom w:val="nil"/>
              <w:right w:val="nil"/>
            </w:tcBorders>
            <w:shd w:val="clear" w:color="auto" w:fill="auto"/>
            <w:noWrap/>
            <w:vAlign w:val="center"/>
            <w:hideMark/>
          </w:tcPr>
          <w:p w:rsidR="006A257E" w:rsidRPr="00E6400D" w:rsidRDefault="006A257E" w:rsidP="00186ED6">
            <w:pPr>
              <w:jc w:val="both"/>
              <w:rPr>
                <w:rFonts w:ascii="Arial" w:hAnsi="Arial" w:cs="Arial"/>
                <w:color w:val="000000"/>
                <w:sz w:val="18"/>
                <w:szCs w:val="18"/>
              </w:rPr>
            </w:pPr>
            <w:r w:rsidRPr="00E6400D">
              <w:rPr>
                <w:rFonts w:ascii="Arial" w:hAnsi="Arial" w:cs="Arial"/>
                <w:color w:val="000000"/>
                <w:sz w:val="18"/>
                <w:szCs w:val="18"/>
              </w:rPr>
              <w:t>Mr. Glen J. Diduck (Signed)</w:t>
            </w: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c>
          <w:tcPr>
            <w:tcW w:w="1419" w:type="dxa"/>
            <w:tcBorders>
              <w:top w:val="nil"/>
              <w:left w:val="nil"/>
              <w:bottom w:val="nil"/>
              <w:right w:val="nil"/>
            </w:tcBorders>
            <w:shd w:val="clear" w:color="auto" w:fill="auto"/>
            <w:noWrap/>
            <w:vAlign w:val="center"/>
            <w:hideMark/>
          </w:tcPr>
          <w:p w:rsidR="006A257E" w:rsidRPr="00E6400D" w:rsidRDefault="006A257E" w:rsidP="00186ED6">
            <w:pPr>
              <w:jc w:val="right"/>
              <w:rPr>
                <w:rFonts w:ascii="Arial" w:hAnsi="Arial" w:cs="Arial"/>
                <w:color w:val="000000"/>
                <w:sz w:val="18"/>
                <w:szCs w:val="18"/>
              </w:rPr>
            </w:pPr>
          </w:p>
        </w:tc>
      </w:tr>
    </w:tbl>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tbl>
      <w:tblPr>
        <w:tblW w:w="10024" w:type="dxa"/>
        <w:tblInd w:w="93" w:type="dxa"/>
        <w:tblLayout w:type="fixed"/>
        <w:tblLook w:val="04A0" w:firstRow="1" w:lastRow="0" w:firstColumn="1" w:lastColumn="0" w:noHBand="0" w:noVBand="1"/>
      </w:tblPr>
      <w:tblGrid>
        <w:gridCol w:w="4268"/>
        <w:gridCol w:w="1380"/>
        <w:gridCol w:w="1336"/>
        <w:gridCol w:w="44"/>
        <w:gridCol w:w="1380"/>
        <w:gridCol w:w="57"/>
        <w:gridCol w:w="1323"/>
        <w:gridCol w:w="236"/>
      </w:tblGrid>
      <w:tr w:rsidR="006A257E" w:rsidTr="00186ED6">
        <w:trPr>
          <w:trHeight w:val="173"/>
        </w:trPr>
        <w:tc>
          <w:tcPr>
            <w:tcW w:w="10024" w:type="dxa"/>
            <w:gridSpan w:val="8"/>
            <w:tcBorders>
              <w:top w:val="single" w:sz="12" w:space="0" w:color="auto"/>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lastRenderedPageBreak/>
              <w:t xml:space="preserve">        </w:t>
            </w:r>
            <w:r>
              <w:rPr>
                <w:rFonts w:ascii="Arial" w:hAnsi="Arial" w:cs="Arial"/>
                <w:b/>
                <w:bCs/>
                <w:color w:val="000000"/>
                <w:sz w:val="18"/>
                <w:szCs w:val="18"/>
              </w:rPr>
              <w:t>TAIGA GOLD CORP</w:t>
            </w:r>
            <w:r w:rsidRPr="00E6400D">
              <w:rPr>
                <w:rFonts w:ascii="Arial" w:hAnsi="Arial" w:cs="Arial"/>
                <w:b/>
                <w:bCs/>
                <w:color w:val="000000"/>
                <w:sz w:val="18"/>
                <w:szCs w:val="18"/>
              </w:rPr>
              <w:t>.</w:t>
            </w:r>
          </w:p>
        </w:tc>
      </w:tr>
      <w:tr w:rsidR="006A257E" w:rsidTr="00186ED6">
        <w:trPr>
          <w:trHeight w:val="173"/>
        </w:trPr>
        <w:tc>
          <w:tcPr>
            <w:tcW w:w="10024" w:type="dxa"/>
            <w:gridSpan w:val="8"/>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6A257E" w:rsidTr="00186ED6">
        <w:trPr>
          <w:trHeight w:val="173"/>
        </w:trPr>
        <w:tc>
          <w:tcPr>
            <w:tcW w:w="10024" w:type="dxa"/>
            <w:gridSpan w:val="8"/>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COMPREHENSIVE LOSS</w:t>
            </w:r>
          </w:p>
        </w:tc>
      </w:tr>
      <w:tr w:rsidR="006A257E" w:rsidTr="00186ED6">
        <w:trPr>
          <w:trHeight w:val="173"/>
        </w:trPr>
        <w:tc>
          <w:tcPr>
            <w:tcW w:w="10024" w:type="dxa"/>
            <w:gridSpan w:val="8"/>
            <w:tcBorders>
              <w:top w:val="nil"/>
              <w:left w:val="nil"/>
              <w:right w:val="nil"/>
            </w:tcBorders>
            <w:shd w:val="clear" w:color="auto" w:fill="auto"/>
            <w:noWrap/>
            <w:vAlign w:val="bottom"/>
          </w:tcPr>
          <w:p w:rsidR="006A257E" w:rsidRPr="00C83BA8" w:rsidRDefault="006A257E" w:rsidP="00186ED6">
            <w:pPr>
              <w:jc w:val="right"/>
              <w:rPr>
                <w:rFonts w:ascii="Arial" w:hAnsi="Arial" w:cs="Arial"/>
                <w:bCs/>
                <w:color w:val="000000"/>
                <w:sz w:val="18"/>
                <w:szCs w:val="18"/>
              </w:rPr>
            </w:pPr>
            <w:r w:rsidRPr="00C83BA8">
              <w:rPr>
                <w:rFonts w:ascii="Arial" w:hAnsi="Arial" w:cs="Arial"/>
                <w:bCs/>
                <w:color w:val="000000"/>
                <w:sz w:val="18"/>
                <w:szCs w:val="18"/>
              </w:rPr>
              <w:t>(Unaudited – prepared by management)</w:t>
            </w:r>
          </w:p>
        </w:tc>
      </w:tr>
      <w:tr w:rsidR="006A257E" w:rsidTr="00186ED6">
        <w:trPr>
          <w:trHeight w:val="173"/>
        </w:trPr>
        <w:tc>
          <w:tcPr>
            <w:tcW w:w="10024" w:type="dxa"/>
            <w:gridSpan w:val="8"/>
            <w:tcBorders>
              <w:top w:val="nil"/>
              <w:left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sidRPr="00C83BA8">
              <w:rPr>
                <w:rFonts w:ascii="Arial" w:hAnsi="Arial" w:cs="Arial"/>
                <w:bCs/>
                <w:color w:val="000000"/>
                <w:sz w:val="18"/>
                <w:szCs w:val="18"/>
              </w:rPr>
              <w:t>(Expressed in Canadian dollars)</w:t>
            </w:r>
          </w:p>
        </w:tc>
      </w:tr>
      <w:tr w:rsidR="006A257E" w:rsidTr="00186ED6">
        <w:trPr>
          <w:trHeight w:val="173"/>
        </w:trPr>
        <w:tc>
          <w:tcPr>
            <w:tcW w:w="6984" w:type="dxa"/>
            <w:gridSpan w:val="3"/>
            <w:tcBorders>
              <w:top w:val="single" w:sz="12" w:space="0" w:color="auto"/>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xml:space="preserve">  </w:t>
            </w:r>
          </w:p>
        </w:tc>
        <w:tc>
          <w:tcPr>
            <w:tcW w:w="1481" w:type="dxa"/>
            <w:gridSpan w:val="3"/>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559" w:type="dxa"/>
            <w:gridSpan w:val="2"/>
            <w:tcBorders>
              <w:top w:val="single" w:sz="12" w:space="0" w:color="auto"/>
              <w:left w:val="nil"/>
              <w:bottom w:val="nil"/>
              <w:right w:val="nil"/>
            </w:tcBorders>
            <w:shd w:val="clear" w:color="auto" w:fill="auto"/>
            <w:noWrap/>
            <w:vAlign w:val="bottom"/>
            <w:hideMark/>
          </w:tcPr>
          <w:p w:rsidR="006A257E" w:rsidRPr="00DD025A" w:rsidRDefault="006A257E" w:rsidP="00186ED6">
            <w:pPr>
              <w:rPr>
                <w:rFonts w:ascii="Calibri" w:hAnsi="Calibri"/>
                <w:color w:val="000000"/>
                <w:sz w:val="22"/>
                <w:szCs w:val="22"/>
              </w:rPr>
            </w:pPr>
          </w:p>
        </w:tc>
      </w:tr>
      <w:tr w:rsidR="006A257E" w:rsidTr="00186ED6">
        <w:trPr>
          <w:gridAfter w:val="1"/>
          <w:wAfter w:w="236" w:type="dxa"/>
          <w:trHeight w:val="240"/>
        </w:trPr>
        <w:tc>
          <w:tcPr>
            <w:tcW w:w="4268" w:type="dxa"/>
            <w:tcBorders>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2760" w:type="dxa"/>
            <w:gridSpan w:val="3"/>
            <w:tcBorders>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Three Months</w:t>
            </w:r>
          </w:p>
        </w:tc>
        <w:tc>
          <w:tcPr>
            <w:tcW w:w="2760" w:type="dxa"/>
            <w:gridSpan w:val="3"/>
            <w:tcBorders>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Six Months</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2760" w:type="dxa"/>
            <w:gridSpan w:val="3"/>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Ended Jun 30</w:t>
            </w:r>
          </w:p>
        </w:tc>
        <w:tc>
          <w:tcPr>
            <w:tcW w:w="2760" w:type="dxa"/>
            <w:gridSpan w:val="3"/>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Ended Jun 30</w:t>
            </w:r>
          </w:p>
        </w:tc>
      </w:tr>
      <w:tr w:rsidR="006A257E" w:rsidTr="00186ED6">
        <w:trPr>
          <w:gridAfter w:val="1"/>
          <w:wAfter w:w="236" w:type="dxa"/>
          <w:trHeight w:val="240"/>
        </w:trPr>
        <w:tc>
          <w:tcPr>
            <w:tcW w:w="4268" w:type="dxa"/>
            <w:tcBorders>
              <w:top w:val="nil"/>
              <w:left w:val="nil"/>
              <w:bottom w:val="single" w:sz="8" w:space="0" w:color="auto"/>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w:t>
            </w:r>
          </w:p>
        </w:tc>
        <w:tc>
          <w:tcPr>
            <w:tcW w:w="1380" w:type="dxa"/>
            <w:tcBorders>
              <w:top w:val="nil"/>
              <w:left w:val="nil"/>
              <w:bottom w:val="single" w:sz="8"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2018</w:t>
            </w:r>
          </w:p>
        </w:tc>
        <w:tc>
          <w:tcPr>
            <w:tcW w:w="1380" w:type="dxa"/>
            <w:gridSpan w:val="2"/>
            <w:tcBorders>
              <w:top w:val="nil"/>
              <w:left w:val="nil"/>
              <w:bottom w:val="single" w:sz="8"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2017</w:t>
            </w:r>
          </w:p>
        </w:tc>
        <w:tc>
          <w:tcPr>
            <w:tcW w:w="1380" w:type="dxa"/>
            <w:tcBorders>
              <w:top w:val="nil"/>
              <w:left w:val="nil"/>
              <w:bottom w:val="single" w:sz="8"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2018</w:t>
            </w:r>
          </w:p>
        </w:tc>
        <w:tc>
          <w:tcPr>
            <w:tcW w:w="1380" w:type="dxa"/>
            <w:gridSpan w:val="2"/>
            <w:tcBorders>
              <w:top w:val="nil"/>
              <w:left w:val="nil"/>
              <w:bottom w:val="single" w:sz="8"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2017</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Operating expenses</w:t>
            </w: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Administration costs (Note 10)</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$ 34,062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$26,438 </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$ 49,308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$ 54,900 </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Professional fees (Note 10)</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18,059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4,451 </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23,673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6,568 </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Public company costs</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26,002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906 </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29,859 </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3,253 </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Share-based payments (Notes 6 and 10)</w:t>
            </w:r>
          </w:p>
        </w:tc>
        <w:tc>
          <w:tcPr>
            <w:tcW w:w="1380"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w:t>
            </w:r>
          </w:p>
        </w:tc>
        <w:tc>
          <w:tcPr>
            <w:tcW w:w="1380" w:type="dxa"/>
            <w:gridSpan w:val="2"/>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14,374</w:t>
            </w:r>
          </w:p>
        </w:tc>
        <w:tc>
          <w:tcPr>
            <w:tcW w:w="1380"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16,353 </w:t>
            </w:r>
          </w:p>
        </w:tc>
        <w:tc>
          <w:tcPr>
            <w:tcW w:w="1380" w:type="dxa"/>
            <w:gridSpan w:val="2"/>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52,450</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Trade shows, travel and promotion                         </w:t>
            </w:r>
          </w:p>
        </w:tc>
        <w:tc>
          <w:tcPr>
            <w:tcW w:w="1380"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106,184 </w:t>
            </w:r>
          </w:p>
        </w:tc>
        <w:tc>
          <w:tcPr>
            <w:tcW w:w="1380" w:type="dxa"/>
            <w:gridSpan w:val="2"/>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6,595 </w:t>
            </w:r>
          </w:p>
        </w:tc>
        <w:tc>
          <w:tcPr>
            <w:tcW w:w="1380"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119,403 </w:t>
            </w:r>
          </w:p>
        </w:tc>
        <w:tc>
          <w:tcPr>
            <w:tcW w:w="1380" w:type="dxa"/>
            <w:gridSpan w:val="2"/>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12,661 </w:t>
            </w:r>
          </w:p>
        </w:tc>
      </w:tr>
      <w:tr w:rsidR="006A257E" w:rsidTr="00186ED6">
        <w:trPr>
          <w:gridAfter w:val="1"/>
          <w:wAfter w:w="236" w:type="dxa"/>
          <w:trHeight w:val="240"/>
        </w:trPr>
        <w:tc>
          <w:tcPr>
            <w:tcW w:w="4268" w:type="dxa"/>
            <w:tcBorders>
              <w:top w:val="nil"/>
              <w:left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tcBorders>
              <w:top w:val="single" w:sz="4" w:space="0" w:color="auto"/>
              <w:left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single" w:sz="4" w:space="0" w:color="auto"/>
              <w:left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single" w:sz="4" w:space="0" w:color="auto"/>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right w:val="nil"/>
            </w:tcBorders>
            <w:shd w:val="clear" w:color="auto" w:fill="auto"/>
            <w:noWrap/>
            <w:vAlign w:val="center"/>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Loss before other items</w:t>
            </w:r>
          </w:p>
        </w:tc>
        <w:tc>
          <w:tcPr>
            <w:tcW w:w="1380"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184,307 </w:t>
            </w:r>
          </w:p>
        </w:tc>
        <w:tc>
          <w:tcPr>
            <w:tcW w:w="1380" w:type="dxa"/>
            <w:gridSpan w:val="2"/>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52,764 </w:t>
            </w:r>
          </w:p>
        </w:tc>
        <w:tc>
          <w:tcPr>
            <w:tcW w:w="1380"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238,596 </w:t>
            </w:r>
          </w:p>
        </w:tc>
        <w:tc>
          <w:tcPr>
            <w:tcW w:w="1380" w:type="dxa"/>
            <w:gridSpan w:val="2"/>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129,832</w:t>
            </w:r>
          </w:p>
        </w:tc>
      </w:tr>
      <w:tr w:rsidR="006A257E" w:rsidTr="00186ED6">
        <w:trPr>
          <w:gridAfter w:val="1"/>
          <w:wAfter w:w="236" w:type="dxa"/>
          <w:trHeight w:val="240"/>
        </w:trPr>
        <w:tc>
          <w:tcPr>
            <w:tcW w:w="4268" w:type="dxa"/>
            <w:tcBorders>
              <w:top w:val="nil"/>
              <w:left w:val="nil"/>
              <w:right w:val="nil"/>
            </w:tcBorders>
            <w:shd w:val="clear" w:color="auto" w:fill="auto"/>
            <w:noWrap/>
            <w:vAlign w:val="center"/>
          </w:tcPr>
          <w:p w:rsidR="006A257E" w:rsidRDefault="006A257E" w:rsidP="00186ED6">
            <w:pPr>
              <w:rPr>
                <w:rFonts w:ascii="Arial" w:hAnsi="Arial" w:cs="Arial"/>
                <w:b/>
                <w:bCs/>
                <w:color w:val="000000"/>
                <w:sz w:val="18"/>
                <w:szCs w:val="18"/>
              </w:rPr>
            </w:pP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r>
      <w:tr w:rsidR="006A257E" w:rsidTr="00186ED6">
        <w:trPr>
          <w:gridAfter w:val="1"/>
          <w:wAfter w:w="236" w:type="dxa"/>
          <w:trHeight w:val="68"/>
        </w:trPr>
        <w:tc>
          <w:tcPr>
            <w:tcW w:w="4268" w:type="dxa"/>
            <w:tcBorders>
              <w:top w:val="nil"/>
              <w:left w:val="nil"/>
              <w:bottom w:val="nil"/>
              <w:right w:val="nil"/>
            </w:tcBorders>
            <w:shd w:val="clear" w:color="auto" w:fill="auto"/>
            <w:noWrap/>
            <w:vAlign w:val="center"/>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Other items</w:t>
            </w: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68"/>
        </w:trPr>
        <w:tc>
          <w:tcPr>
            <w:tcW w:w="4268"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Premium on flow-through shares</w:t>
            </w:r>
          </w:p>
        </w:tc>
        <w:tc>
          <w:tcPr>
            <w:tcW w:w="1380"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(1,704)</w:t>
            </w:r>
          </w:p>
        </w:tc>
        <w:tc>
          <w:tcPr>
            <w:tcW w:w="1380" w:type="dxa"/>
            <w:gridSpan w:val="2"/>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80"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(1,704)</w:t>
            </w:r>
          </w:p>
        </w:tc>
        <w:tc>
          <w:tcPr>
            <w:tcW w:w="1380" w:type="dxa"/>
            <w:gridSpan w:val="2"/>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Tr="00186ED6">
        <w:trPr>
          <w:gridAfter w:val="1"/>
          <w:wAfter w:w="236" w:type="dxa"/>
          <w:trHeight w:val="240"/>
        </w:trPr>
        <w:tc>
          <w:tcPr>
            <w:tcW w:w="4268" w:type="dxa"/>
            <w:tcBorders>
              <w:top w:val="nil"/>
              <w:left w:val="nil"/>
              <w:right w:val="nil"/>
            </w:tcBorders>
            <w:shd w:val="clear" w:color="auto" w:fill="auto"/>
            <w:noWrap/>
            <w:vAlign w:val="center"/>
          </w:tcPr>
          <w:p w:rsidR="006A257E" w:rsidRDefault="006A257E" w:rsidP="00186ED6">
            <w:pPr>
              <w:rPr>
                <w:rFonts w:ascii="Arial" w:hAnsi="Arial" w:cs="Arial"/>
                <w:b/>
                <w:bCs/>
                <w:color w:val="000000"/>
                <w:sz w:val="18"/>
                <w:szCs w:val="18"/>
              </w:rPr>
            </w:pP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right w:val="nil"/>
            </w:tcBorders>
            <w:shd w:val="clear" w:color="auto" w:fill="auto"/>
            <w:noWrap/>
            <w:vAlign w:val="center"/>
          </w:tcPr>
          <w:p w:rsidR="006A257E" w:rsidRDefault="006A257E" w:rsidP="00186ED6">
            <w:pPr>
              <w:rPr>
                <w:rFonts w:ascii="Arial" w:hAnsi="Arial" w:cs="Arial"/>
                <w:b/>
                <w:bCs/>
                <w:color w:val="000000"/>
                <w:sz w:val="18"/>
                <w:szCs w:val="18"/>
              </w:rPr>
            </w:pPr>
            <w:r>
              <w:rPr>
                <w:rFonts w:ascii="Arial" w:hAnsi="Arial" w:cs="Arial"/>
                <w:b/>
                <w:bCs/>
                <w:color w:val="000000"/>
                <w:sz w:val="18"/>
                <w:szCs w:val="18"/>
              </w:rPr>
              <w:t>Loss for the period</w:t>
            </w: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$182,603</w:t>
            </w: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$52,764</w:t>
            </w:r>
          </w:p>
        </w:tc>
        <w:tc>
          <w:tcPr>
            <w:tcW w:w="1380" w:type="dxa"/>
            <w:tcBorders>
              <w:top w:val="nil"/>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$236,892</w:t>
            </w:r>
          </w:p>
        </w:tc>
        <w:tc>
          <w:tcPr>
            <w:tcW w:w="1380" w:type="dxa"/>
            <w:gridSpan w:val="2"/>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$129,832</w:t>
            </w:r>
          </w:p>
        </w:tc>
      </w:tr>
      <w:tr w:rsidR="006A257E" w:rsidTr="00186ED6">
        <w:trPr>
          <w:gridAfter w:val="1"/>
          <w:wAfter w:w="236" w:type="dxa"/>
          <w:trHeight w:val="240"/>
        </w:trPr>
        <w:tc>
          <w:tcPr>
            <w:tcW w:w="4268" w:type="dxa"/>
            <w:tcBorders>
              <w:top w:val="single" w:sz="12" w:space="0" w:color="auto"/>
              <w:left w:val="nil"/>
              <w:bottom w:val="nil"/>
              <w:right w:val="nil"/>
            </w:tcBorders>
            <w:shd w:val="clear" w:color="auto" w:fill="auto"/>
            <w:noWrap/>
            <w:vAlign w:val="center"/>
            <w:hideMark/>
          </w:tcPr>
          <w:p w:rsidR="006A257E" w:rsidRDefault="006A257E" w:rsidP="00186ED6">
            <w:pPr>
              <w:rPr>
                <w:rFonts w:ascii="Arial" w:hAnsi="Arial" w:cs="Arial"/>
                <w:color w:val="000000"/>
                <w:sz w:val="10"/>
                <w:szCs w:val="10"/>
              </w:rPr>
            </w:pPr>
          </w:p>
        </w:tc>
        <w:tc>
          <w:tcPr>
            <w:tcW w:w="1380"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gridSpan w:val="2"/>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 xml:space="preserve">Net loss per share </w:t>
            </w:r>
            <w:r>
              <w:rPr>
                <w:rFonts w:ascii="Arial" w:hAnsi="Arial" w:cs="Arial"/>
                <w:color w:val="000000"/>
                <w:sz w:val="18"/>
                <w:szCs w:val="18"/>
              </w:rPr>
              <w:t>– basic and diluted (Note 11)</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($0.00)</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($0.01)</w:t>
            </w:r>
          </w:p>
        </w:tc>
        <w:tc>
          <w:tcPr>
            <w:tcW w:w="138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($0.01)</w:t>
            </w:r>
          </w:p>
        </w:tc>
        <w:tc>
          <w:tcPr>
            <w:tcW w:w="1380" w:type="dxa"/>
            <w:gridSpan w:val="2"/>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($0.00)</w:t>
            </w:r>
          </w:p>
        </w:tc>
      </w:tr>
      <w:tr w:rsidR="006A257E" w:rsidTr="00186ED6">
        <w:trPr>
          <w:gridAfter w:val="1"/>
          <w:wAfter w:w="236" w:type="dxa"/>
          <w:trHeight w:val="240"/>
        </w:trPr>
        <w:tc>
          <w:tcPr>
            <w:tcW w:w="4268" w:type="dxa"/>
            <w:tcBorders>
              <w:top w:val="nil"/>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gridSpan w:val="2"/>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 xml:space="preserve">Weighted average number </w:t>
            </w:r>
          </w:p>
        </w:tc>
        <w:tc>
          <w:tcPr>
            <w:tcW w:w="1380" w:type="dxa"/>
            <w:tcBorders>
              <w:top w:val="nil"/>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gridSpan w:val="2"/>
            <w:tcBorders>
              <w:top w:val="nil"/>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tcBorders>
              <w:top w:val="nil"/>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80" w:type="dxa"/>
            <w:gridSpan w:val="2"/>
            <w:tcBorders>
              <w:top w:val="nil"/>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gridAfter w:val="1"/>
          <w:wAfter w:w="236" w:type="dxa"/>
          <w:trHeight w:val="240"/>
        </w:trPr>
        <w:tc>
          <w:tcPr>
            <w:tcW w:w="4268" w:type="dxa"/>
            <w:tcBorders>
              <w:top w:val="nil"/>
              <w:left w:val="nil"/>
              <w:bottom w:val="single" w:sz="12" w:space="0" w:color="auto"/>
              <w:right w:val="nil"/>
            </w:tcBorders>
            <w:shd w:val="clear" w:color="auto" w:fill="auto"/>
            <w:noWrap/>
            <w:vAlign w:val="bottom"/>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of shares</w:t>
            </w:r>
            <w:r>
              <w:rPr>
                <w:rFonts w:ascii="Arial" w:hAnsi="Arial" w:cs="Arial"/>
                <w:color w:val="000000"/>
                <w:sz w:val="18"/>
                <w:szCs w:val="18"/>
              </w:rPr>
              <w:t xml:space="preserve"> – basic and diluted (Note 11)</w:t>
            </w:r>
          </w:p>
        </w:tc>
        <w:tc>
          <w:tcPr>
            <w:tcW w:w="1380" w:type="dxa"/>
            <w:tcBorders>
              <w:top w:val="nil"/>
              <w:left w:val="nil"/>
              <w:bottom w:val="single" w:sz="12" w:space="0" w:color="auto"/>
              <w:right w:val="nil"/>
            </w:tcBorders>
            <w:shd w:val="clear" w:color="auto" w:fill="auto"/>
            <w:noWrap/>
            <w:vAlign w:val="bottom"/>
            <w:hideMark/>
          </w:tcPr>
          <w:p w:rsidR="006A257E" w:rsidRDefault="006A257E" w:rsidP="00186ED6">
            <w:pPr>
              <w:ind w:left="120"/>
              <w:jc w:val="right"/>
              <w:rPr>
                <w:rFonts w:ascii="Arial" w:hAnsi="Arial" w:cs="Arial"/>
                <w:b/>
                <w:bCs/>
                <w:color w:val="000000"/>
                <w:sz w:val="18"/>
                <w:szCs w:val="18"/>
              </w:rPr>
            </w:pPr>
            <w:r>
              <w:rPr>
                <w:rFonts w:ascii="Arial" w:hAnsi="Arial" w:cs="Arial"/>
                <w:b/>
                <w:bCs/>
                <w:color w:val="000000"/>
                <w:sz w:val="18"/>
                <w:szCs w:val="18"/>
              </w:rPr>
              <w:t>51,081,737</w:t>
            </w:r>
          </w:p>
        </w:tc>
        <w:tc>
          <w:tcPr>
            <w:tcW w:w="1380" w:type="dxa"/>
            <w:gridSpan w:val="2"/>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42,156,834</w:t>
            </w:r>
          </w:p>
        </w:tc>
        <w:tc>
          <w:tcPr>
            <w:tcW w:w="1380"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25,543,737</w:t>
            </w:r>
          </w:p>
        </w:tc>
        <w:tc>
          <w:tcPr>
            <w:tcW w:w="1380" w:type="dxa"/>
            <w:gridSpan w:val="2"/>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42,156,834</w:t>
            </w:r>
          </w:p>
        </w:tc>
      </w:tr>
    </w:tbl>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p w:rsidR="006A257E" w:rsidRDefault="006A257E" w:rsidP="006A257E">
      <w:pPr>
        <w:ind w:right="130"/>
        <w:jc w:val="both"/>
        <w:rPr>
          <w:rFonts w:ascii="Arial" w:hAnsi="Arial" w:cs="Arial"/>
          <w:sz w:val="18"/>
          <w:szCs w:val="18"/>
        </w:rPr>
      </w:pPr>
    </w:p>
    <w:tbl>
      <w:tblPr>
        <w:tblW w:w="9796" w:type="dxa"/>
        <w:tblInd w:w="93" w:type="dxa"/>
        <w:tblLayout w:type="fixed"/>
        <w:tblLook w:val="04A0" w:firstRow="1" w:lastRow="0" w:firstColumn="1" w:lastColumn="0" w:noHBand="0" w:noVBand="1"/>
      </w:tblPr>
      <w:tblGrid>
        <w:gridCol w:w="6945"/>
        <w:gridCol w:w="1434"/>
        <w:gridCol w:w="1417"/>
        <w:tblGridChange w:id="7">
          <w:tblGrid>
            <w:gridCol w:w="6945"/>
            <w:gridCol w:w="1434"/>
            <w:gridCol w:w="1417"/>
          </w:tblGrid>
        </w:tblGridChange>
      </w:tblGrid>
      <w:tr w:rsidR="006A257E" w:rsidTr="00186ED6">
        <w:trPr>
          <w:trHeight w:val="173"/>
        </w:trPr>
        <w:tc>
          <w:tcPr>
            <w:tcW w:w="9796" w:type="dxa"/>
            <w:gridSpan w:val="3"/>
            <w:tcBorders>
              <w:top w:val="single" w:sz="12" w:space="0" w:color="auto"/>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lastRenderedPageBreak/>
              <w:t xml:space="preserve">        </w:t>
            </w:r>
            <w:r>
              <w:rPr>
                <w:rFonts w:ascii="Arial" w:hAnsi="Arial" w:cs="Arial"/>
                <w:b/>
                <w:bCs/>
                <w:color w:val="000000"/>
                <w:sz w:val="18"/>
                <w:szCs w:val="18"/>
              </w:rPr>
              <w:t>TAIGA GOLD CORP</w:t>
            </w:r>
            <w:r w:rsidRPr="00E6400D">
              <w:rPr>
                <w:rFonts w:ascii="Arial" w:hAnsi="Arial" w:cs="Arial"/>
                <w:b/>
                <w:bCs/>
                <w:color w:val="000000"/>
                <w:sz w:val="18"/>
                <w:szCs w:val="18"/>
              </w:rPr>
              <w:t>.</w:t>
            </w:r>
          </w:p>
        </w:tc>
      </w:tr>
      <w:tr w:rsidR="006A257E" w:rsidTr="00186ED6">
        <w:trPr>
          <w:trHeight w:val="173"/>
        </w:trPr>
        <w:tc>
          <w:tcPr>
            <w:tcW w:w="9796" w:type="dxa"/>
            <w:gridSpan w:val="3"/>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sidRPr="00E6400D">
              <w:rPr>
                <w:rFonts w:ascii="Arial" w:hAnsi="Arial" w:cs="Arial"/>
                <w:b/>
                <w:bCs/>
                <w:color w:val="000000"/>
                <w:sz w:val="18"/>
                <w:szCs w:val="18"/>
              </w:rPr>
              <w:t>(An Exploration Stage Corporation)</w:t>
            </w:r>
          </w:p>
        </w:tc>
      </w:tr>
      <w:tr w:rsidR="006A257E" w:rsidTr="00186ED6">
        <w:trPr>
          <w:trHeight w:val="173"/>
        </w:trPr>
        <w:tc>
          <w:tcPr>
            <w:tcW w:w="9796" w:type="dxa"/>
            <w:gridSpan w:val="3"/>
            <w:tcBorders>
              <w:top w:val="nil"/>
              <w:left w:val="nil"/>
              <w:bottom w:val="nil"/>
              <w:right w:val="nil"/>
            </w:tcBorders>
            <w:shd w:val="clear" w:color="auto" w:fill="auto"/>
            <w:noWrap/>
            <w:vAlign w:val="bottom"/>
            <w:hideMark/>
          </w:tcPr>
          <w:p w:rsidR="006A257E" w:rsidRPr="00E6400D"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CONDENSED INTERIM </w:t>
            </w:r>
            <w:r w:rsidRPr="00E6400D">
              <w:rPr>
                <w:rFonts w:ascii="Arial" w:hAnsi="Arial" w:cs="Arial"/>
                <w:b/>
                <w:bCs/>
                <w:color w:val="000000"/>
                <w:sz w:val="18"/>
                <w:szCs w:val="18"/>
              </w:rPr>
              <w:t>STATEMENTS OF CASH FLOWS</w:t>
            </w:r>
          </w:p>
        </w:tc>
      </w:tr>
      <w:tr w:rsidR="006A257E" w:rsidTr="00186ED6">
        <w:trPr>
          <w:trHeight w:val="173"/>
        </w:trPr>
        <w:tc>
          <w:tcPr>
            <w:tcW w:w="9796" w:type="dxa"/>
            <w:gridSpan w:val="3"/>
            <w:tcBorders>
              <w:top w:val="nil"/>
              <w:left w:val="nil"/>
              <w:right w:val="nil"/>
            </w:tcBorders>
            <w:shd w:val="clear" w:color="auto" w:fill="auto"/>
            <w:noWrap/>
            <w:vAlign w:val="bottom"/>
          </w:tcPr>
          <w:p w:rsidR="006A257E" w:rsidRPr="00C83BA8" w:rsidRDefault="006A257E" w:rsidP="00186ED6">
            <w:pPr>
              <w:jc w:val="right"/>
              <w:rPr>
                <w:rFonts w:ascii="Arial" w:hAnsi="Arial" w:cs="Arial"/>
                <w:bCs/>
                <w:color w:val="000000"/>
                <w:sz w:val="18"/>
                <w:szCs w:val="18"/>
              </w:rPr>
            </w:pPr>
            <w:r w:rsidRPr="00C83BA8">
              <w:rPr>
                <w:rFonts w:ascii="Arial" w:hAnsi="Arial" w:cs="Arial"/>
                <w:bCs/>
                <w:color w:val="000000"/>
                <w:sz w:val="18"/>
                <w:szCs w:val="18"/>
              </w:rPr>
              <w:t>(Unaudited – prepared by management)</w:t>
            </w:r>
          </w:p>
        </w:tc>
      </w:tr>
      <w:tr w:rsidR="006A257E" w:rsidTr="00186ED6">
        <w:trPr>
          <w:trHeight w:val="173"/>
        </w:trPr>
        <w:tc>
          <w:tcPr>
            <w:tcW w:w="9796" w:type="dxa"/>
            <w:gridSpan w:val="3"/>
            <w:tcBorders>
              <w:top w:val="nil"/>
              <w:left w:val="nil"/>
              <w:bottom w:val="single" w:sz="12" w:space="0" w:color="auto"/>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sidRPr="00C83BA8">
              <w:rPr>
                <w:rFonts w:ascii="Arial" w:hAnsi="Arial" w:cs="Arial"/>
                <w:bCs/>
                <w:color w:val="000000"/>
                <w:sz w:val="18"/>
                <w:szCs w:val="18"/>
              </w:rPr>
              <w:t>(Expressed in Canadian dollars)</w:t>
            </w:r>
          </w:p>
        </w:tc>
      </w:tr>
      <w:tr w:rsidR="006A257E" w:rsidTr="00186ED6">
        <w:trPr>
          <w:trHeight w:val="173"/>
        </w:trPr>
        <w:tc>
          <w:tcPr>
            <w:tcW w:w="6945" w:type="dxa"/>
            <w:tcBorders>
              <w:top w:val="single" w:sz="12" w:space="0" w:color="auto"/>
              <w:left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p>
        </w:tc>
        <w:tc>
          <w:tcPr>
            <w:tcW w:w="2851" w:type="dxa"/>
            <w:gridSpan w:val="2"/>
            <w:tcBorders>
              <w:top w:val="single" w:sz="12" w:space="0" w:color="auto"/>
              <w:left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r>
      <w:tr w:rsidR="006A257E" w:rsidTr="00186ED6">
        <w:trPr>
          <w:trHeight w:val="173"/>
        </w:trPr>
        <w:tc>
          <w:tcPr>
            <w:tcW w:w="6945" w:type="dxa"/>
            <w:tcBorders>
              <w:top w:val="nil"/>
              <w:left w:val="nil"/>
              <w:right w:val="nil"/>
            </w:tcBorders>
            <w:shd w:val="clear" w:color="auto" w:fill="auto"/>
            <w:noWrap/>
            <w:vAlign w:val="bottom"/>
          </w:tcPr>
          <w:p w:rsidR="006A257E" w:rsidRDefault="006A257E" w:rsidP="00186ED6">
            <w:pPr>
              <w:rPr>
                <w:rFonts w:ascii="Arial" w:hAnsi="Arial" w:cs="Arial"/>
                <w:b/>
                <w:bCs/>
                <w:color w:val="000000"/>
                <w:sz w:val="18"/>
                <w:szCs w:val="18"/>
              </w:rPr>
            </w:pPr>
          </w:p>
        </w:tc>
        <w:tc>
          <w:tcPr>
            <w:tcW w:w="1434" w:type="dxa"/>
            <w:tcBorders>
              <w:top w:val="nil"/>
              <w:left w:val="nil"/>
              <w:right w:val="nil"/>
            </w:tcBorders>
            <w:shd w:val="clear" w:color="auto" w:fill="auto"/>
            <w:noWrap/>
            <w:vAlign w:val="bottom"/>
          </w:tcPr>
          <w:p w:rsidR="006A257E" w:rsidDel="00AD219F" w:rsidRDefault="006A257E" w:rsidP="00186ED6">
            <w:pPr>
              <w:jc w:val="right"/>
              <w:rPr>
                <w:rFonts w:ascii="Arial" w:hAnsi="Arial" w:cs="Arial"/>
                <w:b/>
                <w:bCs/>
                <w:color w:val="000000"/>
                <w:sz w:val="18"/>
                <w:szCs w:val="18"/>
              </w:rPr>
            </w:pPr>
          </w:p>
        </w:tc>
        <w:tc>
          <w:tcPr>
            <w:tcW w:w="1417" w:type="dxa"/>
            <w:tcBorders>
              <w:top w:val="nil"/>
              <w:left w:val="nil"/>
              <w:right w:val="nil"/>
            </w:tcBorders>
            <w:shd w:val="clear" w:color="auto" w:fill="auto"/>
            <w:noWrap/>
            <w:vAlign w:val="bottom"/>
          </w:tcPr>
          <w:p w:rsidR="006A257E" w:rsidRPr="00C83BA8" w:rsidDel="00AD219F" w:rsidRDefault="006A257E" w:rsidP="00186ED6">
            <w:pPr>
              <w:jc w:val="right"/>
              <w:rPr>
                <w:rFonts w:ascii="Arial" w:hAnsi="Arial" w:cs="Arial"/>
                <w:bCs/>
                <w:color w:val="000000"/>
                <w:sz w:val="18"/>
                <w:szCs w:val="18"/>
              </w:rPr>
            </w:pPr>
          </w:p>
        </w:tc>
      </w:tr>
      <w:tr w:rsidR="006A257E" w:rsidTr="00186ED6">
        <w:trPr>
          <w:trHeight w:val="173"/>
        </w:trPr>
        <w:tc>
          <w:tcPr>
            <w:tcW w:w="6945" w:type="dxa"/>
            <w:tcBorders>
              <w:left w:val="nil"/>
              <w:bottom w:val="single" w:sz="4" w:space="0" w:color="auto"/>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Pr>
                <w:rFonts w:ascii="Arial" w:hAnsi="Arial" w:cs="Arial"/>
                <w:b/>
                <w:bCs/>
                <w:color w:val="000000"/>
                <w:sz w:val="18"/>
                <w:szCs w:val="18"/>
              </w:rPr>
              <w:t>For the six months ended June 30,</w:t>
            </w:r>
          </w:p>
        </w:tc>
        <w:tc>
          <w:tcPr>
            <w:tcW w:w="1434" w:type="dxa"/>
            <w:tcBorders>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2018</w:t>
            </w:r>
          </w:p>
        </w:tc>
        <w:tc>
          <w:tcPr>
            <w:tcW w:w="1417" w:type="dxa"/>
            <w:tcBorders>
              <w:left w:val="nil"/>
              <w:bottom w:val="single" w:sz="4" w:space="0" w:color="auto"/>
              <w:right w:val="nil"/>
            </w:tcBorders>
            <w:shd w:val="clear" w:color="auto" w:fill="auto"/>
            <w:noWrap/>
            <w:vAlign w:val="bottom"/>
            <w:hideMark/>
          </w:tcPr>
          <w:p w:rsidR="006A257E" w:rsidRPr="00DD025A" w:rsidRDefault="006A257E" w:rsidP="00186ED6">
            <w:pPr>
              <w:jc w:val="right"/>
              <w:rPr>
                <w:rFonts w:ascii="Arial" w:hAnsi="Arial" w:cs="Arial"/>
                <w:color w:val="000000"/>
                <w:sz w:val="18"/>
                <w:szCs w:val="18"/>
              </w:rPr>
            </w:pPr>
            <w:r w:rsidRPr="00735BB8">
              <w:rPr>
                <w:rFonts w:ascii="Arial" w:hAnsi="Arial" w:cs="Arial"/>
                <w:bCs/>
                <w:color w:val="000000"/>
                <w:sz w:val="18"/>
                <w:szCs w:val="18"/>
              </w:rPr>
              <w:t>201</w:t>
            </w:r>
            <w:r>
              <w:rPr>
                <w:rFonts w:ascii="Arial" w:hAnsi="Arial" w:cs="Arial"/>
                <w:bCs/>
                <w:color w:val="000000"/>
                <w:sz w:val="18"/>
                <w:szCs w:val="18"/>
              </w:rPr>
              <w:t>7</w:t>
            </w:r>
          </w:p>
        </w:tc>
      </w:tr>
      <w:tr w:rsidR="006A257E" w:rsidTr="00186ED6">
        <w:trPr>
          <w:trHeight w:val="173"/>
        </w:trPr>
        <w:tc>
          <w:tcPr>
            <w:tcW w:w="6945" w:type="dxa"/>
            <w:tcBorders>
              <w:top w:val="single" w:sz="4" w:space="0" w:color="auto"/>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6A257E" w:rsidRPr="00A714AB" w:rsidRDefault="006A257E" w:rsidP="00186ED6">
            <w:pPr>
              <w:rPr>
                <w:rFonts w:ascii="Arial" w:hAnsi="Arial" w:cs="Arial"/>
                <w:color w:val="000000"/>
                <w:sz w:val="18"/>
                <w:szCs w:val="18"/>
              </w:rPr>
            </w:pPr>
          </w:p>
        </w:tc>
        <w:tc>
          <w:tcPr>
            <w:tcW w:w="1417" w:type="dxa"/>
            <w:tcBorders>
              <w:top w:val="single" w:sz="4" w:space="0" w:color="auto"/>
              <w:left w:val="nil"/>
              <w:bottom w:val="nil"/>
              <w:right w:val="nil"/>
            </w:tcBorders>
            <w:shd w:val="clear" w:color="auto" w:fill="auto"/>
            <w:noWrap/>
            <w:vAlign w:val="bottom"/>
          </w:tcPr>
          <w:p w:rsidR="006A257E" w:rsidRPr="00A714AB" w:rsidRDefault="006A257E" w:rsidP="00186ED6">
            <w:pPr>
              <w:jc w:val="right"/>
              <w:rPr>
                <w:rFonts w:ascii="Arial" w:hAnsi="Arial" w:cs="Arial"/>
                <w:color w:val="000000"/>
                <w:sz w:val="18"/>
                <w:szCs w:val="18"/>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Cash flows from operating activities</w:t>
            </w:r>
          </w:p>
        </w:tc>
        <w:tc>
          <w:tcPr>
            <w:tcW w:w="1434" w:type="dxa"/>
            <w:tcBorders>
              <w:top w:val="nil"/>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 xml:space="preserve">  </w:t>
            </w:r>
            <w:r w:rsidRPr="00E6400D">
              <w:rPr>
                <w:rFonts w:ascii="Arial" w:hAnsi="Arial" w:cs="Arial"/>
                <w:color w:val="000000"/>
                <w:sz w:val="18"/>
                <w:szCs w:val="18"/>
              </w:rPr>
              <w:t xml:space="preserve">Loss for the </w:t>
            </w:r>
            <w:r>
              <w:rPr>
                <w:rFonts w:ascii="Arial" w:hAnsi="Arial" w:cs="Arial"/>
                <w:color w:val="000000"/>
                <w:sz w:val="18"/>
                <w:szCs w:val="18"/>
              </w:rPr>
              <w:t>period</w:t>
            </w:r>
          </w:p>
        </w:tc>
        <w:tc>
          <w:tcPr>
            <w:tcW w:w="1434" w:type="dxa"/>
            <w:tcBorders>
              <w:top w:val="nil"/>
              <w:left w:val="nil"/>
              <w:bottom w:val="nil"/>
              <w:right w:val="nil"/>
            </w:tcBorders>
            <w:shd w:val="clear" w:color="auto" w:fill="auto"/>
            <w:noWrap/>
            <w:vAlign w:val="bottom"/>
            <w:hideMark/>
          </w:tcPr>
          <w:p w:rsidR="006A257E" w:rsidRDefault="006A257E" w:rsidP="00186ED6">
            <w:pPr>
              <w:tabs>
                <w:tab w:val="left" w:pos="111"/>
                <w:tab w:val="left" w:pos="306"/>
              </w:tabs>
              <w:jc w:val="right"/>
              <w:rPr>
                <w:rFonts w:ascii="Arial" w:hAnsi="Arial" w:cs="Arial"/>
                <w:b/>
                <w:bCs/>
                <w:color w:val="000000"/>
                <w:sz w:val="18"/>
                <w:szCs w:val="18"/>
              </w:rPr>
            </w:pPr>
            <w:r>
              <w:rPr>
                <w:rFonts w:ascii="Arial" w:hAnsi="Arial" w:cs="Arial"/>
                <w:b/>
                <w:bCs/>
                <w:color w:val="000000"/>
                <w:sz w:val="18"/>
                <w:szCs w:val="18"/>
              </w:rPr>
              <w:t>$(236,892)</w:t>
            </w:r>
          </w:p>
        </w:tc>
        <w:tc>
          <w:tcPr>
            <w:tcW w:w="1417" w:type="dxa"/>
            <w:tcBorders>
              <w:top w:val="nil"/>
              <w:left w:val="nil"/>
              <w:bottom w:val="nil"/>
              <w:right w:val="nil"/>
            </w:tcBorders>
            <w:shd w:val="clear" w:color="auto" w:fill="auto"/>
            <w:noWrap/>
            <w:vAlign w:val="bottom"/>
            <w:hideMark/>
          </w:tcPr>
          <w:p w:rsidR="006A257E" w:rsidRPr="00C83BA8" w:rsidRDefault="006A257E" w:rsidP="00186ED6">
            <w:pPr>
              <w:tabs>
                <w:tab w:val="left" w:pos="111"/>
                <w:tab w:val="left" w:pos="306"/>
              </w:tabs>
              <w:jc w:val="right"/>
              <w:rPr>
                <w:rFonts w:ascii="Arial" w:hAnsi="Arial" w:cs="Arial"/>
                <w:bCs/>
                <w:color w:val="000000"/>
                <w:sz w:val="18"/>
                <w:szCs w:val="18"/>
              </w:rPr>
            </w:pPr>
            <w:r>
              <w:rPr>
                <w:rFonts w:ascii="Arial" w:hAnsi="Arial" w:cs="Arial"/>
                <w:color w:val="000000"/>
                <w:sz w:val="18"/>
                <w:szCs w:val="18"/>
              </w:rPr>
              <w:t>$(129,832)</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xml:space="preserve">  Adjustment for: </w:t>
            </w:r>
          </w:p>
        </w:tc>
        <w:tc>
          <w:tcPr>
            <w:tcW w:w="1434" w:type="dxa"/>
            <w:tcBorders>
              <w:top w:val="nil"/>
              <w:left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xml:space="preserve">     Share-based payments</w:t>
            </w:r>
          </w:p>
        </w:tc>
        <w:tc>
          <w:tcPr>
            <w:tcW w:w="1434"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16,353 </w:t>
            </w:r>
          </w:p>
        </w:tc>
        <w:tc>
          <w:tcPr>
            <w:tcW w:w="1417" w:type="dxa"/>
            <w:tcBorders>
              <w:top w:val="nil"/>
              <w:left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bCs/>
                <w:color w:val="000000"/>
                <w:sz w:val="18"/>
                <w:szCs w:val="18"/>
              </w:rPr>
              <w:t>52,450</w:t>
            </w:r>
            <w:r w:rsidRPr="00C83BA8">
              <w:rPr>
                <w:rFonts w:ascii="Arial" w:hAnsi="Arial" w:cs="Arial"/>
                <w:bCs/>
                <w:color w:val="000000"/>
                <w:sz w:val="18"/>
                <w:szCs w:val="18"/>
              </w:rPr>
              <w:t xml:space="preserve"> </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Premium on flow-through shares</w:t>
            </w:r>
          </w:p>
        </w:tc>
        <w:tc>
          <w:tcPr>
            <w:tcW w:w="1434"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(1,704)</w:t>
            </w:r>
          </w:p>
        </w:tc>
        <w:tc>
          <w:tcPr>
            <w:tcW w:w="141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bCs/>
                <w:color w:val="000000"/>
                <w:sz w:val="18"/>
                <w:szCs w:val="18"/>
              </w:rPr>
            </w:pPr>
            <w:r>
              <w:rPr>
                <w:rFonts w:ascii="Arial" w:hAnsi="Arial" w:cs="Arial"/>
                <w:bCs/>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p>
        </w:tc>
        <w:tc>
          <w:tcPr>
            <w:tcW w:w="1434" w:type="dxa"/>
            <w:tcBorders>
              <w:top w:val="single" w:sz="4" w:space="0" w:color="auto"/>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(222,243)</w:t>
            </w:r>
          </w:p>
        </w:tc>
        <w:tc>
          <w:tcPr>
            <w:tcW w:w="1417" w:type="dxa"/>
            <w:tcBorders>
              <w:top w:val="single" w:sz="4" w:space="0" w:color="auto"/>
              <w:left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color w:val="000000"/>
                <w:sz w:val="18"/>
                <w:szCs w:val="18"/>
              </w:rPr>
              <w:t>(77,382)</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bCs/>
                <w:color w:val="000000"/>
                <w:sz w:val="18"/>
                <w:szCs w:val="18"/>
              </w:rPr>
            </w:pPr>
            <w:r w:rsidRPr="007A68AC">
              <w:rPr>
                <w:rFonts w:ascii="Arial" w:hAnsi="Arial" w:cs="Arial"/>
                <w:bCs/>
                <w:color w:val="000000"/>
                <w:sz w:val="18"/>
                <w:szCs w:val="18"/>
              </w:rPr>
              <w:t xml:space="preserve">  Changes in non-cash working capital items</w:t>
            </w:r>
          </w:p>
        </w:tc>
        <w:tc>
          <w:tcPr>
            <w:tcW w:w="1434" w:type="dxa"/>
            <w:tcBorders>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417" w:type="dxa"/>
            <w:tcBorders>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bCs/>
                <w:color w:val="000000"/>
                <w:sz w:val="18"/>
                <w:szCs w:val="18"/>
              </w:rPr>
            </w:pPr>
            <w:r>
              <w:rPr>
                <w:rFonts w:ascii="Arial" w:hAnsi="Arial" w:cs="Arial"/>
                <w:bCs/>
                <w:color w:val="000000"/>
                <w:sz w:val="18"/>
                <w:szCs w:val="18"/>
              </w:rPr>
              <w:t xml:space="preserve">     Increase in accounts receivable</w:t>
            </w:r>
          </w:p>
        </w:tc>
        <w:tc>
          <w:tcPr>
            <w:tcW w:w="1434" w:type="dxa"/>
            <w:tcBorders>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(7,962)</w:t>
            </w:r>
          </w:p>
        </w:tc>
        <w:tc>
          <w:tcPr>
            <w:tcW w:w="1417" w:type="dxa"/>
            <w:tcBorders>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bCs/>
                <w:color w:val="000000"/>
                <w:sz w:val="18"/>
                <w:szCs w:val="18"/>
              </w:rPr>
            </w:pPr>
            <w:r>
              <w:rPr>
                <w:rFonts w:ascii="Arial" w:hAnsi="Arial" w:cs="Arial"/>
                <w:bCs/>
                <w:color w:val="000000"/>
                <w:sz w:val="18"/>
                <w:szCs w:val="18"/>
              </w:rPr>
              <w:t xml:space="preserve">     Increase in accounts payable and accrued liabilities</w:t>
            </w:r>
          </w:p>
        </w:tc>
        <w:tc>
          <w:tcPr>
            <w:tcW w:w="1434"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166,750</w:t>
            </w:r>
          </w:p>
        </w:tc>
        <w:tc>
          <w:tcPr>
            <w:tcW w:w="141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(63,455)</w:t>
            </w:r>
          </w:p>
        </w:tc>
        <w:tc>
          <w:tcPr>
            <w:tcW w:w="1417" w:type="dxa"/>
            <w:tcBorders>
              <w:top w:val="single" w:sz="4" w:space="0" w:color="auto"/>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(77,382)</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81640A" w:rsidRDefault="006A257E" w:rsidP="00186ED6">
            <w:pPr>
              <w:rPr>
                <w:rFonts w:ascii="Arial" w:hAnsi="Arial" w:cs="Arial"/>
                <w:bCs/>
                <w:color w:val="000000"/>
                <w:sz w:val="18"/>
                <w:szCs w:val="18"/>
              </w:rPr>
            </w:pPr>
          </w:p>
        </w:tc>
        <w:tc>
          <w:tcPr>
            <w:tcW w:w="1434" w:type="dxa"/>
            <w:tcBorders>
              <w:top w:val="single" w:sz="4" w:space="0" w:color="auto"/>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417" w:type="dxa"/>
            <w:tcBorders>
              <w:top w:val="single" w:sz="4" w:space="0" w:color="auto"/>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Cash flows from financing activity</w:t>
            </w:r>
          </w:p>
        </w:tc>
        <w:tc>
          <w:tcPr>
            <w:tcW w:w="1434" w:type="dxa"/>
            <w:tcBorders>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left w:val="nil"/>
              <w:bottom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xml:space="preserve">   </w:t>
            </w:r>
            <w:r>
              <w:rPr>
                <w:rFonts w:ascii="Arial" w:hAnsi="Arial" w:cs="Arial"/>
                <w:color w:val="000000"/>
                <w:sz w:val="18"/>
                <w:szCs w:val="18"/>
              </w:rPr>
              <w:t>Funding provided by Eagle Plains</w:t>
            </w:r>
            <w:r w:rsidRPr="00E6400D">
              <w:rPr>
                <w:rFonts w:ascii="Arial" w:hAnsi="Arial" w:cs="Arial"/>
                <w:color w:val="000000"/>
                <w:sz w:val="18"/>
                <w:szCs w:val="18"/>
              </w:rPr>
              <w:t xml:space="preserve">                     </w:t>
            </w:r>
          </w:p>
        </w:tc>
        <w:tc>
          <w:tcPr>
            <w:tcW w:w="1434" w:type="dxa"/>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(5,599)</w:t>
            </w:r>
          </w:p>
        </w:tc>
        <w:tc>
          <w:tcPr>
            <w:tcW w:w="1417" w:type="dxa"/>
            <w:tcBorders>
              <w:top w:val="nil"/>
              <w:left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bCs/>
                <w:color w:val="000000"/>
                <w:sz w:val="18"/>
                <w:szCs w:val="18"/>
              </w:rPr>
              <w:t>89,942</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Proceeds from issuance of shares</w:t>
            </w:r>
          </w:p>
        </w:tc>
        <w:tc>
          <w:tcPr>
            <w:tcW w:w="1434" w:type="dxa"/>
            <w:tcBorders>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1,058,900</w:t>
            </w:r>
          </w:p>
        </w:tc>
        <w:tc>
          <w:tcPr>
            <w:tcW w:w="1417" w:type="dxa"/>
            <w:tcBorders>
              <w:left w:val="nil"/>
              <w:bottom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bCs/>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Share issuance costs</w:t>
            </w:r>
          </w:p>
        </w:tc>
        <w:tc>
          <w:tcPr>
            <w:tcW w:w="1434" w:type="dxa"/>
            <w:tcBorders>
              <w:left w:val="nil"/>
              <w:bottom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(29,711)</w:t>
            </w:r>
          </w:p>
        </w:tc>
        <w:tc>
          <w:tcPr>
            <w:tcW w:w="1417" w:type="dxa"/>
            <w:tcBorders>
              <w:left w:val="nil"/>
              <w:bottom w:val="nil"/>
              <w:right w:val="nil"/>
            </w:tcBorders>
            <w:shd w:val="clear" w:color="auto" w:fill="auto"/>
            <w:noWrap/>
            <w:vAlign w:val="bottom"/>
          </w:tcPr>
          <w:p w:rsidR="006A257E" w:rsidRPr="00C83BA8" w:rsidRDefault="006A257E" w:rsidP="00186ED6">
            <w:pPr>
              <w:jc w:val="right"/>
              <w:rPr>
                <w:rFonts w:ascii="Arial" w:hAnsi="Arial" w:cs="Arial"/>
                <w:bCs/>
                <w:color w:val="000000"/>
                <w:sz w:val="18"/>
                <w:szCs w:val="18"/>
              </w:rPr>
            </w:pPr>
            <w:r>
              <w:rPr>
                <w:rFonts w:ascii="Arial" w:hAnsi="Arial" w:cs="Arial"/>
                <w:bCs/>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Proceeds from exercise of options</w:t>
            </w:r>
          </w:p>
        </w:tc>
        <w:tc>
          <w:tcPr>
            <w:tcW w:w="1434" w:type="dxa"/>
            <w:tcBorders>
              <w:left w:val="nil"/>
              <w:bottom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7,282</w:t>
            </w:r>
          </w:p>
        </w:tc>
        <w:tc>
          <w:tcPr>
            <w:tcW w:w="1417" w:type="dxa"/>
            <w:tcBorders>
              <w:left w:val="nil"/>
              <w:bottom w:val="nil"/>
              <w:right w:val="nil"/>
            </w:tcBorders>
            <w:shd w:val="clear" w:color="auto" w:fill="auto"/>
            <w:noWrap/>
            <w:vAlign w:val="bottom"/>
          </w:tcPr>
          <w:p w:rsidR="006A257E" w:rsidRDefault="006A257E" w:rsidP="00186ED6">
            <w:pPr>
              <w:jc w:val="right"/>
              <w:rPr>
                <w:rFonts w:ascii="Arial" w:hAnsi="Arial" w:cs="Arial"/>
                <w:bCs/>
                <w:color w:val="000000"/>
                <w:sz w:val="18"/>
                <w:szCs w:val="18"/>
              </w:rPr>
            </w:pPr>
            <w:r>
              <w:rPr>
                <w:rFonts w:ascii="Arial" w:hAnsi="Arial" w:cs="Arial"/>
                <w:bCs/>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1,030,872 </w:t>
            </w:r>
          </w:p>
        </w:tc>
        <w:tc>
          <w:tcPr>
            <w:tcW w:w="1417" w:type="dxa"/>
            <w:tcBorders>
              <w:top w:val="single" w:sz="4" w:space="0" w:color="auto"/>
              <w:left w:val="nil"/>
              <w:bottom w:val="nil"/>
              <w:right w:val="nil"/>
            </w:tcBorders>
            <w:shd w:val="clear" w:color="auto" w:fill="auto"/>
            <w:noWrap/>
            <w:vAlign w:val="bottom"/>
          </w:tcPr>
          <w:p w:rsidR="006A257E" w:rsidRPr="00C83BA8" w:rsidRDefault="006A257E" w:rsidP="00186ED6">
            <w:pPr>
              <w:jc w:val="right"/>
              <w:rPr>
                <w:rFonts w:ascii="Arial" w:hAnsi="Arial" w:cs="Arial"/>
                <w:bCs/>
                <w:color w:val="000000"/>
                <w:sz w:val="18"/>
                <w:szCs w:val="18"/>
              </w:rPr>
            </w:pPr>
            <w:r>
              <w:rPr>
                <w:rFonts w:ascii="Arial" w:hAnsi="Arial" w:cs="Arial"/>
                <w:color w:val="000000"/>
                <w:sz w:val="18"/>
                <w:szCs w:val="18"/>
              </w:rPr>
              <w:t xml:space="preserve">89,942 </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p>
        </w:tc>
        <w:tc>
          <w:tcPr>
            <w:tcW w:w="1434" w:type="dxa"/>
            <w:tcBorders>
              <w:top w:val="single" w:sz="4" w:space="0" w:color="auto"/>
              <w:left w:val="nil"/>
              <w:bottom w:val="nil"/>
              <w:right w:val="nil"/>
            </w:tcBorders>
            <w:shd w:val="clear" w:color="auto" w:fill="auto"/>
            <w:noWrap/>
            <w:vAlign w:val="bottom"/>
          </w:tcPr>
          <w:p w:rsidR="006A257E" w:rsidRDefault="006A257E" w:rsidP="00186ED6">
            <w:pPr>
              <w:rPr>
                <w:rFonts w:ascii="Arial" w:hAnsi="Arial" w:cs="Arial"/>
                <w:b/>
                <w:bCs/>
                <w:color w:val="000000"/>
                <w:sz w:val="18"/>
                <w:szCs w:val="18"/>
              </w:rPr>
            </w:pPr>
          </w:p>
        </w:tc>
        <w:tc>
          <w:tcPr>
            <w:tcW w:w="1417" w:type="dxa"/>
            <w:tcBorders>
              <w:top w:val="single" w:sz="4" w:space="0" w:color="auto"/>
              <w:left w:val="nil"/>
              <w:bottom w:val="nil"/>
              <w:right w:val="nil"/>
            </w:tcBorders>
            <w:shd w:val="clear" w:color="auto" w:fill="auto"/>
            <w:noWrap/>
            <w:vAlign w:val="bottom"/>
          </w:tcPr>
          <w:p w:rsidR="006A257E" w:rsidRPr="00C83BA8" w:rsidRDefault="006A257E" w:rsidP="00186ED6">
            <w:pPr>
              <w:rPr>
                <w:rFonts w:ascii="Arial" w:hAnsi="Arial" w:cs="Arial"/>
                <w:bCs/>
                <w:color w:val="000000"/>
                <w:sz w:val="18"/>
                <w:szCs w:val="18"/>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Cash flows from investing activities</w:t>
            </w:r>
          </w:p>
        </w:tc>
        <w:tc>
          <w:tcPr>
            <w:tcW w:w="1434" w:type="dxa"/>
            <w:tcBorders>
              <w:top w:val="nil"/>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Cash received for option payments</w:t>
            </w:r>
          </w:p>
        </w:tc>
        <w:tc>
          <w:tcPr>
            <w:tcW w:w="1434" w:type="dxa"/>
            <w:tcBorders>
              <w:top w:val="nil"/>
              <w:left w:val="nil"/>
              <w:bottom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w:t>
            </w:r>
          </w:p>
        </w:tc>
        <w:tc>
          <w:tcPr>
            <w:tcW w:w="1417" w:type="dxa"/>
            <w:tcBorders>
              <w:top w:val="nil"/>
              <w:left w:val="nil"/>
              <w:bottom w:val="nil"/>
              <w:right w:val="nil"/>
            </w:tcBorders>
            <w:shd w:val="clear" w:color="auto" w:fill="auto"/>
            <w:noWrap/>
            <w:vAlign w:val="bottom"/>
          </w:tcPr>
          <w:p w:rsidR="006A257E" w:rsidRDefault="006A257E" w:rsidP="00186ED6">
            <w:pPr>
              <w:jc w:val="right"/>
              <w:rPr>
                <w:rFonts w:ascii="Arial" w:hAnsi="Arial" w:cs="Arial"/>
                <w:bCs/>
                <w:color w:val="000000"/>
                <w:sz w:val="18"/>
                <w:szCs w:val="18"/>
              </w:rPr>
            </w:pPr>
            <w:r>
              <w:rPr>
                <w:rFonts w:ascii="Arial" w:hAnsi="Arial" w:cs="Arial"/>
                <w:bCs/>
                <w:color w:val="000000"/>
                <w:sz w:val="18"/>
                <w:szCs w:val="18"/>
              </w:rPr>
              <w:t>52,500</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 xml:space="preserve">   </w:t>
            </w:r>
            <w:r>
              <w:rPr>
                <w:rFonts w:ascii="Arial" w:hAnsi="Arial" w:cs="Arial"/>
                <w:color w:val="000000"/>
                <w:sz w:val="18"/>
                <w:szCs w:val="18"/>
              </w:rPr>
              <w:t>Exploration and evaluation</w:t>
            </w:r>
            <w:r w:rsidRPr="00E6400D">
              <w:rPr>
                <w:rFonts w:ascii="Arial" w:hAnsi="Arial" w:cs="Arial"/>
                <w:color w:val="000000"/>
                <w:sz w:val="18"/>
                <w:szCs w:val="18"/>
              </w:rPr>
              <w:t xml:space="preserve"> </w:t>
            </w:r>
            <w:r>
              <w:rPr>
                <w:rFonts w:ascii="Arial" w:hAnsi="Arial" w:cs="Arial"/>
                <w:color w:val="000000"/>
                <w:sz w:val="18"/>
                <w:szCs w:val="18"/>
              </w:rPr>
              <w:t>assets</w:t>
            </w:r>
            <w:r w:rsidRPr="00E6400D">
              <w:rPr>
                <w:rFonts w:ascii="Arial" w:hAnsi="Arial" w:cs="Arial"/>
                <w:color w:val="000000"/>
                <w:sz w:val="18"/>
                <w:szCs w:val="18"/>
              </w:rPr>
              <w:t xml:space="preserve"> </w:t>
            </w:r>
            <w:r>
              <w:rPr>
                <w:rFonts w:ascii="Arial" w:hAnsi="Arial" w:cs="Arial"/>
                <w:color w:val="000000"/>
                <w:sz w:val="18"/>
                <w:szCs w:val="18"/>
              </w:rPr>
              <w:t>expenditures</w:t>
            </w:r>
          </w:p>
        </w:tc>
        <w:tc>
          <w:tcPr>
            <w:tcW w:w="1434"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32,173 </w:t>
            </w:r>
          </w:p>
        </w:tc>
        <w:tc>
          <w:tcPr>
            <w:tcW w:w="1417" w:type="dxa"/>
            <w:tcBorders>
              <w:top w:val="nil"/>
              <w:left w:val="nil"/>
              <w:bottom w:val="single" w:sz="4" w:space="0" w:color="auto"/>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color w:val="000000"/>
                <w:sz w:val="18"/>
                <w:szCs w:val="18"/>
              </w:rPr>
              <w:t>(65,060)</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hideMark/>
          </w:tcPr>
          <w:p w:rsidR="006A257E" w:rsidRDefault="006A257E" w:rsidP="00186ED6">
            <w:pPr>
              <w:jc w:val="right"/>
              <w:rPr>
                <w:rFonts w:ascii="Calibri" w:hAnsi="Calibri"/>
                <w:color w:val="000000"/>
                <w:sz w:val="22"/>
                <w:szCs w:val="22"/>
              </w:rPr>
            </w:pPr>
            <w:r>
              <w:rPr>
                <w:rFonts w:ascii="Arial" w:hAnsi="Arial" w:cs="Arial"/>
                <w:b/>
                <w:bCs/>
                <w:color w:val="000000"/>
                <w:sz w:val="18"/>
                <w:szCs w:val="18"/>
              </w:rPr>
              <w:t xml:space="preserve">32,173 </w:t>
            </w:r>
          </w:p>
        </w:tc>
        <w:tc>
          <w:tcPr>
            <w:tcW w:w="1417" w:type="dxa"/>
            <w:tcBorders>
              <w:top w:val="single" w:sz="4" w:space="0" w:color="auto"/>
              <w:left w:val="nil"/>
              <w:bottom w:val="single" w:sz="4" w:space="0" w:color="auto"/>
              <w:right w:val="nil"/>
            </w:tcBorders>
            <w:shd w:val="clear" w:color="auto" w:fill="auto"/>
            <w:noWrap/>
            <w:vAlign w:val="bottom"/>
            <w:hideMark/>
          </w:tcPr>
          <w:p w:rsidR="006A257E" w:rsidRPr="00C83BA8" w:rsidRDefault="006A257E" w:rsidP="00186ED6">
            <w:pPr>
              <w:jc w:val="right"/>
              <w:rPr>
                <w:rFonts w:ascii="Calibri" w:hAnsi="Calibri"/>
                <w:color w:val="000000"/>
                <w:sz w:val="22"/>
                <w:szCs w:val="22"/>
              </w:rPr>
            </w:pPr>
            <w:r>
              <w:rPr>
                <w:rFonts w:ascii="Arial" w:hAnsi="Arial" w:cs="Arial"/>
                <w:color w:val="000000"/>
                <w:sz w:val="18"/>
                <w:szCs w:val="18"/>
              </w:rPr>
              <w:t>(12,560)</w:t>
            </w: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Default="006A257E" w:rsidP="00186ED6">
            <w:pPr>
              <w:rPr>
                <w:rFonts w:ascii="Arial" w:hAnsi="Arial" w:cs="Arial"/>
                <w:b/>
                <w:bCs/>
                <w:color w:val="000000"/>
                <w:sz w:val="18"/>
                <w:szCs w:val="18"/>
              </w:rPr>
            </w:pPr>
          </w:p>
        </w:tc>
        <w:tc>
          <w:tcPr>
            <w:tcW w:w="1434" w:type="dxa"/>
            <w:tcBorders>
              <w:top w:val="single" w:sz="4" w:space="0" w:color="auto"/>
              <w:left w:val="nil"/>
              <w:right w:val="nil"/>
            </w:tcBorders>
            <w:shd w:val="clear" w:color="auto" w:fill="auto"/>
            <w:noWrap/>
            <w:vAlign w:val="bottom"/>
          </w:tcPr>
          <w:p w:rsidR="006A257E" w:rsidRDefault="006A257E" w:rsidP="00186ED6">
            <w:pPr>
              <w:jc w:val="right"/>
              <w:rPr>
                <w:rFonts w:ascii="Arial" w:hAnsi="Arial" w:cs="Arial"/>
                <w:b/>
                <w:bCs/>
                <w:color w:val="000000"/>
                <w:sz w:val="18"/>
                <w:szCs w:val="18"/>
              </w:rPr>
            </w:pPr>
          </w:p>
        </w:tc>
        <w:tc>
          <w:tcPr>
            <w:tcW w:w="1417" w:type="dxa"/>
            <w:tcBorders>
              <w:top w:val="single" w:sz="4" w:space="0" w:color="auto"/>
              <w:left w:val="nil"/>
              <w:right w:val="nil"/>
            </w:tcBorders>
            <w:shd w:val="clear" w:color="auto" w:fill="auto"/>
            <w:noWrap/>
            <w:vAlign w:val="bottom"/>
          </w:tcPr>
          <w:p w:rsidR="006A257E" w:rsidRPr="00C83BA8" w:rsidRDefault="006A257E" w:rsidP="00186ED6">
            <w:pPr>
              <w:jc w:val="right"/>
              <w:rPr>
                <w:rFonts w:ascii="Arial" w:hAnsi="Arial" w:cs="Arial"/>
                <w:bCs/>
                <w:color w:val="000000"/>
                <w:sz w:val="18"/>
                <w:szCs w:val="18"/>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Pr>
                <w:rFonts w:ascii="Arial" w:hAnsi="Arial" w:cs="Arial"/>
                <w:b/>
                <w:bCs/>
                <w:color w:val="000000"/>
                <w:sz w:val="18"/>
                <w:szCs w:val="18"/>
              </w:rPr>
              <w:t>In</w:t>
            </w:r>
            <w:r w:rsidRPr="00E6400D">
              <w:rPr>
                <w:rFonts w:ascii="Arial" w:hAnsi="Arial" w:cs="Arial"/>
                <w:b/>
                <w:bCs/>
                <w:color w:val="000000"/>
                <w:sz w:val="18"/>
                <w:szCs w:val="18"/>
              </w:rPr>
              <w:t>crease in cash</w:t>
            </w:r>
            <w:r>
              <w:rPr>
                <w:rFonts w:ascii="Arial" w:hAnsi="Arial" w:cs="Arial"/>
                <w:b/>
                <w:bCs/>
                <w:color w:val="000000"/>
                <w:sz w:val="18"/>
                <w:szCs w:val="18"/>
              </w:rPr>
              <w:t xml:space="preserve"> and cash equivalents</w:t>
            </w:r>
            <w:r w:rsidRPr="00E6400D">
              <w:rPr>
                <w:rFonts w:ascii="Arial" w:hAnsi="Arial" w:cs="Arial"/>
                <w:b/>
                <w:bCs/>
                <w:color w:val="000000"/>
                <w:sz w:val="18"/>
                <w:szCs w:val="18"/>
              </w:rPr>
              <w:t xml:space="preserve"> </w:t>
            </w:r>
          </w:p>
        </w:tc>
        <w:tc>
          <w:tcPr>
            <w:tcW w:w="1434" w:type="dxa"/>
            <w:tcBorders>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999,590 </w:t>
            </w:r>
          </w:p>
        </w:tc>
        <w:tc>
          <w:tcPr>
            <w:tcW w:w="1417" w:type="dxa"/>
            <w:tcBorders>
              <w:left w:val="nil"/>
              <w:bottom w:val="nil"/>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color w:val="000000"/>
                <w:sz w:val="18"/>
                <w:szCs w:val="18"/>
              </w:rPr>
              <w:t xml:space="preserve">- </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p>
        </w:tc>
        <w:tc>
          <w:tcPr>
            <w:tcW w:w="1434" w:type="dxa"/>
            <w:tcBorders>
              <w:top w:val="nil"/>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Cash</w:t>
            </w:r>
            <w:r>
              <w:rPr>
                <w:rFonts w:ascii="Arial" w:hAnsi="Arial" w:cs="Arial"/>
                <w:color w:val="000000"/>
                <w:sz w:val="18"/>
                <w:szCs w:val="18"/>
              </w:rPr>
              <w:t xml:space="preserve"> and cash equivalents</w:t>
            </w:r>
            <w:r w:rsidRPr="00E6400D">
              <w:rPr>
                <w:rFonts w:ascii="Arial" w:hAnsi="Arial" w:cs="Arial"/>
                <w:color w:val="000000"/>
                <w:sz w:val="18"/>
                <w:szCs w:val="18"/>
              </w:rPr>
              <w:t xml:space="preserve">, beginning of </w:t>
            </w:r>
            <w:r>
              <w:rPr>
                <w:rFonts w:ascii="Arial" w:hAnsi="Arial" w:cs="Arial"/>
                <w:color w:val="000000"/>
                <w:sz w:val="18"/>
                <w:szCs w:val="18"/>
              </w:rPr>
              <w:t>period</w:t>
            </w:r>
          </w:p>
        </w:tc>
        <w:tc>
          <w:tcPr>
            <w:tcW w:w="1434"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 </w:t>
            </w:r>
          </w:p>
        </w:tc>
        <w:tc>
          <w:tcPr>
            <w:tcW w:w="1417" w:type="dxa"/>
            <w:tcBorders>
              <w:top w:val="nil"/>
              <w:left w:val="nil"/>
              <w:bottom w:val="single" w:sz="4" w:space="0" w:color="auto"/>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bCs/>
                <w:color w:val="000000"/>
                <w:sz w:val="18"/>
                <w:szCs w:val="18"/>
              </w:rPr>
              <w:t>1</w:t>
            </w:r>
          </w:p>
        </w:tc>
      </w:tr>
      <w:tr w:rsidR="006A257E" w:rsidTr="00186ED6">
        <w:trPr>
          <w:trHeight w:val="173"/>
        </w:trPr>
        <w:tc>
          <w:tcPr>
            <w:tcW w:w="6945" w:type="dxa"/>
            <w:tcBorders>
              <w:top w:val="nil"/>
              <w:left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p>
        </w:tc>
        <w:tc>
          <w:tcPr>
            <w:tcW w:w="1434" w:type="dxa"/>
            <w:tcBorders>
              <w:top w:val="nil"/>
              <w:left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single" w:sz="12" w:space="0" w:color="auto"/>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Pr>
                <w:rFonts w:ascii="Arial" w:hAnsi="Arial" w:cs="Arial"/>
                <w:b/>
                <w:bCs/>
                <w:color w:val="000000"/>
                <w:sz w:val="18"/>
                <w:szCs w:val="18"/>
              </w:rPr>
              <w:t>Cash and cash equivalents, end of period</w:t>
            </w:r>
          </w:p>
        </w:tc>
        <w:tc>
          <w:tcPr>
            <w:tcW w:w="1434" w:type="dxa"/>
            <w:tcBorders>
              <w:top w:val="nil"/>
              <w:left w:val="nil"/>
              <w:bottom w:val="single" w:sz="12" w:space="0" w:color="auto"/>
              <w:right w:val="nil"/>
            </w:tcBorders>
            <w:shd w:val="clear" w:color="auto" w:fill="auto"/>
            <w:noWrap/>
            <w:vAlign w:val="bottom"/>
            <w:hideMark/>
          </w:tcPr>
          <w:p w:rsidR="006A257E" w:rsidRDefault="006A257E" w:rsidP="00186ED6">
            <w:pPr>
              <w:tabs>
                <w:tab w:val="left" w:pos="153"/>
                <w:tab w:val="left" w:pos="342"/>
              </w:tabs>
              <w:jc w:val="right"/>
              <w:rPr>
                <w:rFonts w:ascii="Arial" w:hAnsi="Arial" w:cs="Arial"/>
                <w:b/>
                <w:bCs/>
                <w:color w:val="000000"/>
                <w:sz w:val="18"/>
                <w:szCs w:val="18"/>
              </w:rPr>
            </w:pPr>
            <w:r>
              <w:rPr>
                <w:rFonts w:ascii="Arial" w:hAnsi="Arial" w:cs="Arial"/>
                <w:b/>
                <w:bCs/>
                <w:color w:val="000000"/>
                <w:sz w:val="18"/>
                <w:szCs w:val="18"/>
              </w:rPr>
              <w:t xml:space="preserve">$  999,591 </w:t>
            </w:r>
          </w:p>
        </w:tc>
        <w:tc>
          <w:tcPr>
            <w:tcW w:w="1417" w:type="dxa"/>
            <w:tcBorders>
              <w:top w:val="nil"/>
              <w:left w:val="nil"/>
              <w:bottom w:val="single" w:sz="12" w:space="0" w:color="auto"/>
              <w:right w:val="nil"/>
            </w:tcBorders>
            <w:shd w:val="clear" w:color="auto" w:fill="auto"/>
            <w:noWrap/>
            <w:vAlign w:val="bottom"/>
            <w:hideMark/>
          </w:tcPr>
          <w:p w:rsidR="006A257E" w:rsidRPr="00C83BA8" w:rsidRDefault="006A257E" w:rsidP="00186ED6">
            <w:pPr>
              <w:tabs>
                <w:tab w:val="left" w:pos="153"/>
                <w:tab w:val="left" w:pos="408"/>
              </w:tabs>
              <w:jc w:val="right"/>
              <w:rPr>
                <w:rFonts w:ascii="Arial" w:hAnsi="Arial" w:cs="Arial"/>
                <w:bCs/>
                <w:color w:val="000000"/>
                <w:sz w:val="18"/>
                <w:szCs w:val="18"/>
              </w:rPr>
            </w:pPr>
            <w:r>
              <w:rPr>
                <w:rFonts w:ascii="Arial" w:hAnsi="Arial" w:cs="Arial"/>
                <w:color w:val="000000"/>
                <w:sz w:val="18"/>
                <w:szCs w:val="18"/>
              </w:rPr>
              <w:t xml:space="preserve">$            1 </w:t>
            </w:r>
          </w:p>
        </w:tc>
      </w:tr>
      <w:tr w:rsidR="006A257E" w:rsidTr="00186ED6">
        <w:trPr>
          <w:trHeight w:val="176"/>
        </w:trPr>
        <w:tc>
          <w:tcPr>
            <w:tcW w:w="6945" w:type="dxa"/>
            <w:tcBorders>
              <w:top w:val="single" w:sz="12" w:space="0" w:color="auto"/>
              <w:left w:val="nil"/>
              <w:right w:val="nil"/>
            </w:tcBorders>
            <w:shd w:val="clear" w:color="auto" w:fill="auto"/>
            <w:noWrap/>
            <w:vAlign w:val="bottom"/>
          </w:tcPr>
          <w:p w:rsidR="006A257E" w:rsidRDefault="006A257E" w:rsidP="00186ED6">
            <w:pPr>
              <w:rPr>
                <w:rFonts w:ascii="Arial" w:hAnsi="Arial" w:cs="Arial"/>
                <w:color w:val="000000"/>
                <w:sz w:val="18"/>
                <w:szCs w:val="18"/>
              </w:rPr>
            </w:pPr>
          </w:p>
        </w:tc>
        <w:tc>
          <w:tcPr>
            <w:tcW w:w="1434" w:type="dxa"/>
            <w:tcBorders>
              <w:top w:val="single" w:sz="12" w:space="0" w:color="auto"/>
              <w:left w:val="nil"/>
              <w:right w:val="nil"/>
            </w:tcBorders>
            <w:shd w:val="clear" w:color="auto" w:fill="auto"/>
            <w:noWrap/>
            <w:vAlign w:val="bottom"/>
          </w:tcPr>
          <w:p w:rsidR="006A257E" w:rsidRDefault="006A257E" w:rsidP="00186ED6">
            <w:pPr>
              <w:rPr>
                <w:rFonts w:ascii="Calibri" w:hAnsi="Calibri"/>
                <w:color w:val="000000"/>
                <w:sz w:val="22"/>
                <w:szCs w:val="22"/>
              </w:rPr>
            </w:pPr>
          </w:p>
        </w:tc>
        <w:tc>
          <w:tcPr>
            <w:tcW w:w="1417" w:type="dxa"/>
            <w:tcBorders>
              <w:top w:val="single" w:sz="12" w:space="0" w:color="auto"/>
              <w:left w:val="nil"/>
              <w:right w:val="nil"/>
            </w:tcBorders>
            <w:shd w:val="clear" w:color="auto" w:fill="auto"/>
            <w:noWrap/>
            <w:vAlign w:val="bottom"/>
          </w:tcPr>
          <w:p w:rsidR="006A257E"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r w:rsidRPr="00E6400D">
              <w:rPr>
                <w:rFonts w:ascii="Arial" w:hAnsi="Arial" w:cs="Arial"/>
                <w:b/>
                <w:bCs/>
                <w:color w:val="000000"/>
                <w:sz w:val="18"/>
                <w:szCs w:val="18"/>
              </w:rPr>
              <w:t xml:space="preserve">Cash </w:t>
            </w:r>
            <w:r>
              <w:rPr>
                <w:rFonts w:ascii="Arial" w:hAnsi="Arial" w:cs="Arial"/>
                <w:b/>
                <w:bCs/>
                <w:color w:val="000000"/>
                <w:sz w:val="18"/>
                <w:szCs w:val="18"/>
              </w:rPr>
              <w:t>and cash equivalents comprise:</w:t>
            </w:r>
          </w:p>
        </w:tc>
        <w:tc>
          <w:tcPr>
            <w:tcW w:w="1434" w:type="dxa"/>
            <w:tcBorders>
              <w:top w:val="nil"/>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6A257E" w:rsidRPr="00C83BA8" w:rsidRDefault="006A257E" w:rsidP="00186ED6">
            <w:pPr>
              <w:rPr>
                <w:rFonts w:ascii="Calibri" w:hAnsi="Calibri"/>
                <w:color w:val="000000"/>
                <w:sz w:val="22"/>
                <w:szCs w:val="22"/>
              </w:rPr>
            </w:pPr>
          </w:p>
        </w:tc>
      </w:tr>
      <w:tr w:rsidR="006A257E" w:rsidTr="00186ED6">
        <w:trPr>
          <w:trHeight w:val="173"/>
        </w:trPr>
        <w:tc>
          <w:tcPr>
            <w:tcW w:w="6945" w:type="dxa"/>
            <w:tcBorders>
              <w:top w:val="nil"/>
              <w:left w:val="nil"/>
              <w:bottom w:val="nil"/>
              <w:right w:val="nil"/>
            </w:tcBorders>
            <w:shd w:val="clear" w:color="auto" w:fill="auto"/>
            <w:noWrap/>
            <w:vAlign w:val="bottom"/>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Bank deposits</w:t>
            </w:r>
          </w:p>
        </w:tc>
        <w:tc>
          <w:tcPr>
            <w:tcW w:w="1434" w:type="dxa"/>
            <w:tcBorders>
              <w:top w:val="nil"/>
              <w:left w:val="nil"/>
              <w:bottom w:val="nil"/>
              <w:right w:val="nil"/>
            </w:tcBorders>
            <w:shd w:val="clear" w:color="auto" w:fill="auto"/>
            <w:noWrap/>
            <w:vAlign w:val="bottom"/>
          </w:tcPr>
          <w:p w:rsidR="006A257E" w:rsidRDefault="006A257E" w:rsidP="00186ED6">
            <w:pPr>
              <w:tabs>
                <w:tab w:val="left" w:pos="474"/>
              </w:tabs>
              <w:jc w:val="right"/>
              <w:rPr>
                <w:rFonts w:ascii="Arial" w:hAnsi="Arial" w:cs="Arial"/>
                <w:b/>
                <w:bCs/>
                <w:color w:val="000000"/>
                <w:sz w:val="18"/>
                <w:szCs w:val="18"/>
              </w:rPr>
            </w:pPr>
            <w:r>
              <w:rPr>
                <w:rFonts w:ascii="Arial" w:hAnsi="Arial" w:cs="Arial"/>
                <w:b/>
                <w:bCs/>
                <w:color w:val="000000"/>
                <w:sz w:val="18"/>
                <w:szCs w:val="18"/>
              </w:rPr>
              <w:t>$    98,091</w:t>
            </w:r>
          </w:p>
        </w:tc>
        <w:tc>
          <w:tcPr>
            <w:tcW w:w="1417" w:type="dxa"/>
            <w:tcBorders>
              <w:top w:val="nil"/>
              <w:left w:val="nil"/>
              <w:bottom w:val="nil"/>
              <w:right w:val="nil"/>
            </w:tcBorders>
            <w:shd w:val="clear" w:color="auto" w:fill="auto"/>
            <w:noWrap/>
            <w:vAlign w:val="bottom"/>
          </w:tcPr>
          <w:p w:rsidR="006A257E" w:rsidRDefault="006A257E" w:rsidP="00186ED6">
            <w:pPr>
              <w:jc w:val="right"/>
              <w:rPr>
                <w:rFonts w:ascii="Arial" w:hAnsi="Arial" w:cs="Arial"/>
                <w:bCs/>
                <w:color w:val="000000"/>
                <w:sz w:val="18"/>
                <w:szCs w:val="18"/>
              </w:rPr>
            </w:pPr>
            <w:r>
              <w:rPr>
                <w:rFonts w:ascii="Arial" w:hAnsi="Arial" w:cs="Arial"/>
                <w:bCs/>
                <w:color w:val="000000"/>
                <w:sz w:val="18"/>
                <w:szCs w:val="18"/>
              </w:rPr>
              <w:t>$            1</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color w:val="000000"/>
                <w:sz w:val="18"/>
                <w:szCs w:val="18"/>
              </w:rPr>
            </w:pPr>
            <w:r>
              <w:rPr>
                <w:rFonts w:ascii="Arial" w:hAnsi="Arial" w:cs="Arial"/>
                <w:color w:val="000000"/>
                <w:sz w:val="18"/>
                <w:szCs w:val="18"/>
              </w:rPr>
              <w:t xml:space="preserve">   Term deposits</w:t>
            </w:r>
          </w:p>
        </w:tc>
        <w:tc>
          <w:tcPr>
            <w:tcW w:w="1434"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901,500</w:t>
            </w:r>
          </w:p>
        </w:tc>
        <w:tc>
          <w:tcPr>
            <w:tcW w:w="1417" w:type="dxa"/>
            <w:tcBorders>
              <w:top w:val="nil"/>
              <w:left w:val="nil"/>
              <w:bottom w:val="single" w:sz="4" w:space="0" w:color="auto"/>
              <w:right w:val="nil"/>
            </w:tcBorders>
            <w:shd w:val="clear" w:color="auto" w:fill="auto"/>
            <w:noWrap/>
            <w:vAlign w:val="bottom"/>
            <w:hideMark/>
          </w:tcPr>
          <w:p w:rsidR="006A257E" w:rsidRPr="00C83BA8" w:rsidRDefault="006A257E" w:rsidP="00186ED6">
            <w:pPr>
              <w:jc w:val="right"/>
              <w:rPr>
                <w:rFonts w:ascii="Arial" w:hAnsi="Arial" w:cs="Arial"/>
                <w:bCs/>
                <w:color w:val="000000"/>
                <w:sz w:val="18"/>
                <w:szCs w:val="18"/>
              </w:rPr>
            </w:pPr>
            <w:r>
              <w:rPr>
                <w:rFonts w:ascii="Arial" w:hAnsi="Arial" w:cs="Arial"/>
                <w:color w:val="000000"/>
                <w:sz w:val="18"/>
                <w:szCs w:val="18"/>
              </w:rPr>
              <w:t>-</w:t>
            </w:r>
          </w:p>
        </w:tc>
      </w:tr>
      <w:tr w:rsidR="006A257E" w:rsidTr="00186ED6">
        <w:trPr>
          <w:trHeight w:val="173"/>
        </w:trPr>
        <w:tc>
          <w:tcPr>
            <w:tcW w:w="6945" w:type="dxa"/>
            <w:tcBorders>
              <w:top w:val="nil"/>
              <w:left w:val="nil"/>
              <w:bottom w:val="nil"/>
              <w:right w:val="nil"/>
            </w:tcBorders>
            <w:shd w:val="clear" w:color="auto" w:fill="auto"/>
            <w:noWrap/>
            <w:vAlign w:val="bottom"/>
            <w:hideMark/>
          </w:tcPr>
          <w:p w:rsidR="006A257E" w:rsidRPr="00E6400D" w:rsidRDefault="006A257E" w:rsidP="00186ED6">
            <w:pPr>
              <w:rPr>
                <w:rFonts w:ascii="Arial" w:hAnsi="Arial" w:cs="Arial"/>
                <w:b/>
                <w:bCs/>
                <w:color w:val="000000"/>
                <w:sz w:val="18"/>
                <w:szCs w:val="18"/>
              </w:rPr>
            </w:pPr>
          </w:p>
        </w:tc>
        <w:tc>
          <w:tcPr>
            <w:tcW w:w="1434" w:type="dxa"/>
            <w:tcBorders>
              <w:top w:val="single" w:sz="4" w:space="0" w:color="auto"/>
              <w:left w:val="nil"/>
              <w:bottom w:val="single" w:sz="4" w:space="0" w:color="auto"/>
              <w:right w:val="nil"/>
            </w:tcBorders>
            <w:shd w:val="clear" w:color="auto" w:fill="auto"/>
            <w:noWrap/>
            <w:vAlign w:val="bottom"/>
            <w:hideMark/>
          </w:tcPr>
          <w:p w:rsidR="006A257E" w:rsidRDefault="006A257E" w:rsidP="00186ED6">
            <w:pPr>
              <w:jc w:val="right"/>
              <w:rPr>
                <w:rFonts w:ascii="Calibri" w:hAnsi="Calibri"/>
                <w:color w:val="000000"/>
                <w:sz w:val="22"/>
                <w:szCs w:val="22"/>
              </w:rPr>
            </w:pPr>
            <w:r>
              <w:rPr>
                <w:rFonts w:ascii="Arial" w:hAnsi="Arial" w:cs="Arial"/>
                <w:b/>
                <w:bCs/>
                <w:color w:val="000000"/>
                <w:sz w:val="18"/>
                <w:szCs w:val="18"/>
              </w:rPr>
              <w:t>$  999,591</w:t>
            </w:r>
          </w:p>
        </w:tc>
        <w:tc>
          <w:tcPr>
            <w:tcW w:w="1417" w:type="dxa"/>
            <w:tcBorders>
              <w:top w:val="single" w:sz="4" w:space="0" w:color="auto"/>
              <w:left w:val="nil"/>
              <w:bottom w:val="single" w:sz="4" w:space="0" w:color="auto"/>
              <w:right w:val="nil"/>
            </w:tcBorders>
            <w:shd w:val="clear" w:color="auto" w:fill="auto"/>
            <w:noWrap/>
            <w:vAlign w:val="bottom"/>
            <w:hideMark/>
          </w:tcPr>
          <w:p w:rsidR="006A257E" w:rsidRPr="00C83BA8" w:rsidRDefault="006A257E" w:rsidP="00186ED6">
            <w:pPr>
              <w:jc w:val="right"/>
              <w:rPr>
                <w:rFonts w:ascii="Calibri" w:hAnsi="Calibri"/>
                <w:color w:val="000000"/>
                <w:sz w:val="22"/>
                <w:szCs w:val="22"/>
              </w:rPr>
            </w:pPr>
            <w:r>
              <w:rPr>
                <w:rFonts w:ascii="Arial" w:hAnsi="Arial" w:cs="Arial"/>
                <w:color w:val="000000"/>
                <w:sz w:val="18"/>
                <w:szCs w:val="18"/>
              </w:rPr>
              <w:t>$            1</w:t>
            </w:r>
          </w:p>
        </w:tc>
      </w:tr>
      <w:tr w:rsidR="006A257E" w:rsidTr="00186ED6">
        <w:trPr>
          <w:trHeight w:val="288"/>
        </w:trPr>
        <w:tc>
          <w:tcPr>
            <w:tcW w:w="6945"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p w:rsidR="006A257E" w:rsidRPr="00E6400D" w:rsidRDefault="006A257E" w:rsidP="00186ED6">
            <w:pPr>
              <w:rPr>
                <w:rFonts w:ascii="Arial" w:hAnsi="Arial" w:cs="Arial"/>
                <w:color w:val="000000"/>
                <w:sz w:val="18"/>
                <w:szCs w:val="18"/>
              </w:rPr>
            </w:pPr>
            <w:r w:rsidRPr="00E6400D">
              <w:rPr>
                <w:rFonts w:ascii="Arial" w:hAnsi="Arial" w:cs="Arial"/>
                <w:color w:val="000000"/>
                <w:sz w:val="18"/>
                <w:szCs w:val="18"/>
              </w:rPr>
              <w:t>The Company made no cash payments for</w:t>
            </w:r>
            <w:r>
              <w:rPr>
                <w:rFonts w:ascii="Arial" w:hAnsi="Arial" w:cs="Arial"/>
                <w:color w:val="000000"/>
                <w:sz w:val="18"/>
                <w:szCs w:val="18"/>
              </w:rPr>
              <w:t xml:space="preserve"> interest or </w:t>
            </w:r>
            <w:r w:rsidRPr="00E6400D">
              <w:rPr>
                <w:rFonts w:ascii="Arial" w:hAnsi="Arial" w:cs="Arial"/>
                <w:color w:val="000000"/>
                <w:sz w:val="18"/>
                <w:szCs w:val="18"/>
              </w:rPr>
              <w:t>income taxes</w:t>
            </w:r>
            <w:r>
              <w:rPr>
                <w:rFonts w:ascii="Arial" w:hAnsi="Arial" w:cs="Arial"/>
                <w:color w:val="000000"/>
                <w:sz w:val="18"/>
                <w:szCs w:val="18"/>
              </w:rPr>
              <w:t>.</w:t>
            </w:r>
          </w:p>
        </w:tc>
        <w:tc>
          <w:tcPr>
            <w:tcW w:w="1434"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c>
          <w:tcPr>
            <w:tcW w:w="1417"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olor w:val="000000"/>
                <w:sz w:val="22"/>
                <w:szCs w:val="22"/>
              </w:rPr>
            </w:pPr>
          </w:p>
        </w:tc>
      </w:tr>
    </w:tbl>
    <w:p w:rsidR="006A257E" w:rsidRDefault="006A257E" w:rsidP="006A257E">
      <w:pPr>
        <w:tabs>
          <w:tab w:val="left" w:pos="4320"/>
        </w:tabs>
        <w:ind w:left="2880" w:right="-540" w:hanging="2738"/>
        <w:rPr>
          <w:rFonts w:ascii="Arial" w:hAnsi="Arial" w:cs="Arial"/>
          <w:b/>
          <w:sz w:val="18"/>
          <w:szCs w:val="18"/>
        </w:rPr>
      </w:pPr>
    </w:p>
    <w:p w:rsidR="006A257E" w:rsidRDefault="006A257E" w:rsidP="006A257E">
      <w:pPr>
        <w:tabs>
          <w:tab w:val="left" w:pos="4320"/>
        </w:tabs>
        <w:ind w:left="113" w:right="-567" w:hanging="113"/>
        <w:rPr>
          <w:rFonts w:ascii="Arial" w:hAnsi="Arial" w:cs="Arial"/>
          <w:b/>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tabs>
          <w:tab w:val="left" w:pos="4320"/>
        </w:tabs>
        <w:ind w:left="113" w:right="-567" w:hanging="113"/>
        <w:rPr>
          <w:rFonts w:ascii="Arial" w:hAnsi="Arial" w:cs="Arial"/>
          <w:sz w:val="18"/>
          <w:szCs w:val="18"/>
        </w:rPr>
      </w:pPr>
    </w:p>
    <w:p w:rsidR="006A257E" w:rsidRDefault="006A257E" w:rsidP="006A257E">
      <w:pPr>
        <w:jc w:val="right"/>
        <w:rPr>
          <w:rFonts w:ascii="Arial" w:hAnsi="Arial" w:cs="Arial"/>
          <w:b/>
          <w:bCs/>
          <w:color w:val="000000"/>
          <w:sz w:val="18"/>
          <w:szCs w:val="18"/>
        </w:rPr>
        <w:sectPr w:rsidR="006A257E" w:rsidSect="00170E07">
          <w:footerReference w:type="default" r:id="rId8"/>
          <w:footerReference w:type="first" r:id="rId9"/>
          <w:pgSz w:w="12240" w:h="15840"/>
          <w:pgMar w:top="1440" w:right="1800" w:bottom="864" w:left="1800" w:header="706" w:footer="706" w:gutter="0"/>
          <w:cols w:space="708"/>
          <w:titlePg/>
          <w:docGrid w:linePitch="360"/>
        </w:sectPr>
      </w:pPr>
    </w:p>
    <w:tbl>
      <w:tblPr>
        <w:tblW w:w="11041" w:type="dxa"/>
        <w:jc w:val="center"/>
        <w:tblLayout w:type="fixed"/>
        <w:tblLook w:val="04A0" w:firstRow="1" w:lastRow="0" w:firstColumn="1" w:lastColumn="0" w:noHBand="0" w:noVBand="1"/>
      </w:tblPr>
      <w:tblGrid>
        <w:gridCol w:w="3879"/>
        <w:gridCol w:w="1117"/>
        <w:gridCol w:w="1117"/>
        <w:gridCol w:w="1147"/>
        <w:gridCol w:w="1354"/>
        <w:gridCol w:w="1237"/>
        <w:gridCol w:w="1190"/>
      </w:tblGrid>
      <w:tr w:rsidR="006A257E" w:rsidTr="00186ED6">
        <w:trPr>
          <w:trHeight w:val="176"/>
          <w:jc w:val="center"/>
        </w:trPr>
        <w:tc>
          <w:tcPr>
            <w:tcW w:w="11041" w:type="dxa"/>
            <w:gridSpan w:val="7"/>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lastRenderedPageBreak/>
              <w:t>TAIGA GOLD CORP.</w:t>
            </w:r>
          </w:p>
        </w:tc>
      </w:tr>
      <w:tr w:rsidR="006A257E" w:rsidTr="00186ED6">
        <w:trPr>
          <w:trHeight w:val="176"/>
          <w:jc w:val="center"/>
        </w:trPr>
        <w:tc>
          <w:tcPr>
            <w:tcW w:w="11041" w:type="dxa"/>
            <w:gridSpan w:val="7"/>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(An Exploration Stage Corporation)</w:t>
            </w:r>
          </w:p>
        </w:tc>
      </w:tr>
      <w:tr w:rsidR="006A257E" w:rsidTr="00186ED6">
        <w:trPr>
          <w:trHeight w:val="176"/>
          <w:jc w:val="center"/>
        </w:trPr>
        <w:tc>
          <w:tcPr>
            <w:tcW w:w="11041" w:type="dxa"/>
            <w:gridSpan w:val="7"/>
            <w:tcBorders>
              <w:top w:val="nil"/>
              <w:left w:val="nil"/>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CONDENSED INTERIM STATEMENTS OF CHANGES IN EQUITY</w:t>
            </w:r>
          </w:p>
          <w:p w:rsidR="006A257E" w:rsidRPr="00126ADE" w:rsidRDefault="006A257E" w:rsidP="00186ED6">
            <w:pPr>
              <w:jc w:val="right"/>
              <w:rPr>
                <w:rFonts w:ascii="Arial" w:hAnsi="Arial" w:cs="Arial"/>
                <w:bCs/>
                <w:color w:val="000000"/>
                <w:sz w:val="18"/>
                <w:szCs w:val="18"/>
              </w:rPr>
            </w:pPr>
            <w:r w:rsidRPr="00126ADE">
              <w:rPr>
                <w:rFonts w:ascii="Arial" w:hAnsi="Arial" w:cs="Arial"/>
                <w:bCs/>
                <w:color w:val="000000"/>
                <w:sz w:val="18"/>
                <w:szCs w:val="18"/>
              </w:rPr>
              <w:t>(Unaudited – prepared by management)</w:t>
            </w:r>
          </w:p>
        </w:tc>
      </w:tr>
      <w:tr w:rsidR="006A257E" w:rsidTr="00186ED6">
        <w:trPr>
          <w:trHeight w:val="176"/>
          <w:jc w:val="center"/>
        </w:trPr>
        <w:tc>
          <w:tcPr>
            <w:tcW w:w="11041" w:type="dxa"/>
            <w:gridSpan w:val="7"/>
            <w:tcBorders>
              <w:top w:val="nil"/>
              <w:left w:val="nil"/>
              <w:bottom w:val="single" w:sz="12" w:space="0" w:color="auto"/>
              <w:right w:val="nil"/>
            </w:tcBorders>
            <w:shd w:val="clear" w:color="auto" w:fill="auto"/>
            <w:noWrap/>
            <w:vAlign w:val="bottom"/>
            <w:hideMark/>
          </w:tcPr>
          <w:p w:rsidR="006A257E" w:rsidRPr="00126ADE" w:rsidRDefault="006A257E" w:rsidP="00186ED6">
            <w:pPr>
              <w:jc w:val="right"/>
              <w:rPr>
                <w:rFonts w:ascii="Arial" w:hAnsi="Arial" w:cs="Arial"/>
                <w:bCs/>
                <w:color w:val="000000"/>
                <w:sz w:val="18"/>
                <w:szCs w:val="18"/>
              </w:rPr>
            </w:pPr>
            <w:r w:rsidRPr="00126ADE">
              <w:rPr>
                <w:rFonts w:ascii="Arial" w:hAnsi="Arial" w:cs="Arial"/>
                <w:bCs/>
                <w:color w:val="000000"/>
                <w:sz w:val="18"/>
                <w:szCs w:val="18"/>
              </w:rPr>
              <w:t>(Expressed in Canadian dollars)</w:t>
            </w:r>
          </w:p>
        </w:tc>
      </w:tr>
      <w:tr w:rsidR="006A257E" w:rsidTr="00186ED6">
        <w:trPr>
          <w:trHeight w:val="176"/>
          <w:jc w:val="center"/>
        </w:trPr>
        <w:tc>
          <w:tcPr>
            <w:tcW w:w="3879"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47"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354"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Calibri" w:hAnsi="Calibri" w:cs="Calibri"/>
                <w:color w:val="000000"/>
                <w:sz w:val="22"/>
                <w:szCs w:val="22"/>
              </w:rPr>
            </w:pPr>
            <w:r>
              <w:rPr>
                <w:rFonts w:ascii="Calibri" w:hAnsi="Calibri" w:cs="Calibri"/>
                <w:color w:val="000000"/>
                <w:sz w:val="22"/>
                <w:szCs w:val="22"/>
              </w:rPr>
              <w:t xml:space="preserve">Funding </w:t>
            </w:r>
          </w:p>
        </w:tc>
        <w:tc>
          <w:tcPr>
            <w:tcW w:w="1237"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90" w:type="dxa"/>
            <w:tcBorders>
              <w:top w:val="single" w:sz="12" w:space="0" w:color="auto"/>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117"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147"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provided by </w:t>
            </w:r>
          </w:p>
        </w:tc>
        <w:tc>
          <w:tcPr>
            <w:tcW w:w="1237" w:type="dxa"/>
            <w:tcBorders>
              <w:top w:val="nil"/>
              <w:left w:val="nil"/>
              <w:bottom w:val="nil"/>
              <w:right w:val="nil"/>
            </w:tcBorders>
            <w:shd w:val="clear" w:color="auto" w:fill="auto"/>
            <w:noWrap/>
            <w:vAlign w:val="bottom"/>
            <w:hideMark/>
          </w:tcPr>
          <w:p w:rsidR="006A257E" w:rsidRDefault="006A257E" w:rsidP="00186ED6">
            <w:pPr>
              <w:jc w:val="center"/>
              <w:rPr>
                <w:rFonts w:ascii="Arial" w:hAnsi="Arial" w:cs="Arial"/>
                <w:color w:val="000000"/>
                <w:sz w:val="18"/>
                <w:szCs w:val="18"/>
              </w:rPr>
            </w:pPr>
          </w:p>
        </w:tc>
        <w:tc>
          <w:tcPr>
            <w:tcW w:w="1190" w:type="dxa"/>
            <w:tcBorders>
              <w:top w:val="nil"/>
              <w:left w:val="nil"/>
              <w:bottom w:val="nil"/>
              <w:right w:val="nil"/>
            </w:tcBorders>
            <w:shd w:val="clear" w:color="auto" w:fill="auto"/>
            <w:vAlign w:val="bottom"/>
            <w:hideMark/>
          </w:tcPr>
          <w:p w:rsidR="006A257E" w:rsidRDefault="006A257E" w:rsidP="00186ED6">
            <w:pPr>
              <w:jc w:val="center"/>
              <w:rPr>
                <w:rFonts w:ascii="Arial" w:hAnsi="Arial" w:cs="Arial"/>
                <w:color w:val="000000"/>
                <w:sz w:val="18"/>
                <w:szCs w:val="18"/>
              </w:rPr>
            </w:pP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17" w:type="dxa"/>
            <w:tcBorders>
              <w:top w:val="nil"/>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147" w:type="dxa"/>
            <w:tcBorders>
              <w:top w:val="nil"/>
              <w:left w:val="nil"/>
              <w:bottom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and expenses</w:t>
            </w:r>
          </w:p>
        </w:tc>
        <w:tc>
          <w:tcPr>
            <w:tcW w:w="1237" w:type="dxa"/>
            <w:tcBorders>
              <w:top w:val="nil"/>
              <w:left w:val="nil"/>
              <w:bottom w:val="nil"/>
              <w:right w:val="nil"/>
            </w:tcBorders>
            <w:shd w:val="clear" w:color="auto" w:fill="auto"/>
            <w:noWrap/>
            <w:vAlign w:val="bottom"/>
            <w:hideMark/>
          </w:tcPr>
          <w:p w:rsidR="006A257E" w:rsidRDefault="006A257E" w:rsidP="00186ED6">
            <w:pPr>
              <w:jc w:val="center"/>
              <w:rPr>
                <w:rFonts w:ascii="Arial" w:hAnsi="Arial" w:cs="Arial"/>
                <w:color w:val="000000"/>
                <w:sz w:val="18"/>
                <w:szCs w:val="18"/>
              </w:rPr>
            </w:pPr>
          </w:p>
        </w:tc>
        <w:tc>
          <w:tcPr>
            <w:tcW w:w="1190" w:type="dxa"/>
            <w:tcBorders>
              <w:top w:val="nil"/>
              <w:left w:val="nil"/>
              <w:bottom w:val="nil"/>
              <w:right w:val="nil"/>
            </w:tcBorders>
            <w:shd w:val="clear" w:color="auto" w:fill="auto"/>
            <w:vAlign w:val="bottom"/>
            <w:hideMark/>
          </w:tcPr>
          <w:p w:rsidR="006A257E" w:rsidRDefault="006A257E" w:rsidP="00186ED6">
            <w:pPr>
              <w:jc w:val="center"/>
              <w:rPr>
                <w:rFonts w:ascii="Arial" w:hAnsi="Arial" w:cs="Arial"/>
                <w:color w:val="000000"/>
                <w:sz w:val="18"/>
                <w:szCs w:val="18"/>
              </w:rPr>
            </w:pPr>
          </w:p>
        </w:tc>
      </w:tr>
      <w:tr w:rsidR="006A257E" w:rsidTr="00186ED6">
        <w:trPr>
          <w:trHeight w:val="176"/>
          <w:jc w:val="center"/>
        </w:trPr>
        <w:tc>
          <w:tcPr>
            <w:tcW w:w="3879" w:type="dxa"/>
            <w:tcBorders>
              <w:top w:val="nil"/>
              <w:left w:val="nil"/>
              <w:right w:val="nil"/>
            </w:tcBorders>
            <w:shd w:val="clear" w:color="auto" w:fill="auto"/>
            <w:noWrap/>
            <w:vAlign w:val="bottom"/>
            <w:hideMark/>
          </w:tcPr>
          <w:p w:rsidR="006A257E" w:rsidRDefault="006A257E" w:rsidP="00186ED6">
            <w:pPr>
              <w:rPr>
                <w:rFonts w:ascii="Calibri" w:hAnsi="Calibri" w:cs="Calibri"/>
                <w:color w:val="000000"/>
                <w:sz w:val="22"/>
                <w:szCs w:val="22"/>
              </w:rPr>
            </w:pPr>
          </w:p>
        </w:tc>
        <w:tc>
          <w:tcPr>
            <w:tcW w:w="2234" w:type="dxa"/>
            <w:gridSpan w:val="2"/>
            <w:tcBorders>
              <w:top w:val="nil"/>
              <w:left w:val="nil"/>
              <w:right w:val="nil"/>
            </w:tcBorders>
            <w:shd w:val="clear" w:color="auto" w:fill="auto"/>
            <w:noWrap/>
            <w:vAlign w:val="bottom"/>
            <w:hideMark/>
          </w:tcPr>
          <w:p w:rsidR="006A257E" w:rsidRDefault="006A257E" w:rsidP="00186ED6">
            <w:pPr>
              <w:jc w:val="center"/>
              <w:rPr>
                <w:rFonts w:ascii="Calibri" w:hAnsi="Calibri" w:cs="Calibri"/>
                <w:color w:val="000000"/>
                <w:sz w:val="22"/>
                <w:szCs w:val="22"/>
              </w:rPr>
            </w:pPr>
            <w:r>
              <w:rPr>
                <w:rFonts w:ascii="Calibri" w:hAnsi="Calibri" w:cs="Calibri"/>
                <w:color w:val="000000"/>
                <w:sz w:val="22"/>
                <w:szCs w:val="22"/>
              </w:rPr>
              <w:t xml:space="preserve">     Share Capital</w:t>
            </w:r>
          </w:p>
        </w:tc>
        <w:tc>
          <w:tcPr>
            <w:tcW w:w="1147"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Contributed</w:t>
            </w:r>
          </w:p>
        </w:tc>
        <w:tc>
          <w:tcPr>
            <w:tcW w:w="1354"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paid by</w:t>
            </w:r>
          </w:p>
        </w:tc>
        <w:tc>
          <w:tcPr>
            <w:tcW w:w="1237" w:type="dxa"/>
            <w:tcBorders>
              <w:top w:val="nil"/>
              <w:left w:val="nil"/>
              <w:right w:val="nil"/>
            </w:tcBorders>
            <w:shd w:val="clear" w:color="auto" w:fill="auto"/>
            <w:noWrap/>
            <w:vAlign w:val="bottom"/>
            <w:hideMark/>
          </w:tcPr>
          <w:p w:rsidR="006A257E" w:rsidRDefault="006A257E" w:rsidP="00186ED6">
            <w:pPr>
              <w:jc w:val="center"/>
              <w:rPr>
                <w:rFonts w:ascii="Arial" w:hAnsi="Arial" w:cs="Arial"/>
                <w:color w:val="000000"/>
                <w:sz w:val="18"/>
                <w:szCs w:val="18"/>
              </w:rPr>
            </w:pPr>
          </w:p>
        </w:tc>
        <w:tc>
          <w:tcPr>
            <w:tcW w:w="1190" w:type="dxa"/>
            <w:tcBorders>
              <w:top w:val="nil"/>
              <w:left w:val="nil"/>
              <w:right w:val="nil"/>
            </w:tcBorders>
            <w:shd w:val="clear" w:color="auto" w:fill="auto"/>
            <w:vAlign w:val="bottom"/>
            <w:hideMark/>
          </w:tcPr>
          <w:p w:rsidR="006A257E" w:rsidRDefault="006A257E" w:rsidP="00186ED6">
            <w:pPr>
              <w:jc w:val="center"/>
              <w:rPr>
                <w:rFonts w:ascii="Arial" w:hAnsi="Arial" w:cs="Arial"/>
                <w:color w:val="000000"/>
                <w:sz w:val="18"/>
                <w:szCs w:val="18"/>
              </w:rPr>
            </w:pPr>
          </w:p>
        </w:tc>
      </w:tr>
      <w:tr w:rsidR="006A257E" w:rsidTr="00186ED6">
        <w:trPr>
          <w:trHeight w:val="176"/>
          <w:jc w:val="center"/>
        </w:trPr>
        <w:tc>
          <w:tcPr>
            <w:tcW w:w="3879" w:type="dxa"/>
            <w:tcBorders>
              <w:top w:val="nil"/>
              <w:left w:val="nil"/>
              <w:bottom w:val="single" w:sz="12" w:space="0" w:color="auto"/>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w:t>
            </w:r>
          </w:p>
        </w:tc>
        <w:tc>
          <w:tcPr>
            <w:tcW w:w="1117"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Shares</w:t>
            </w:r>
          </w:p>
        </w:tc>
        <w:tc>
          <w:tcPr>
            <w:tcW w:w="1117"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Amount</w:t>
            </w:r>
          </w:p>
        </w:tc>
        <w:tc>
          <w:tcPr>
            <w:tcW w:w="1147"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Surplus</w:t>
            </w:r>
          </w:p>
        </w:tc>
        <w:tc>
          <w:tcPr>
            <w:tcW w:w="1354"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Eagle Plains</w:t>
            </w:r>
          </w:p>
        </w:tc>
        <w:tc>
          <w:tcPr>
            <w:tcW w:w="1237" w:type="dxa"/>
            <w:tcBorders>
              <w:top w:val="nil"/>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Deficit</w:t>
            </w:r>
          </w:p>
        </w:tc>
        <w:tc>
          <w:tcPr>
            <w:tcW w:w="1190" w:type="dxa"/>
            <w:tcBorders>
              <w:top w:val="nil"/>
              <w:left w:val="nil"/>
              <w:bottom w:val="single" w:sz="12" w:space="0" w:color="auto"/>
              <w:right w:val="nil"/>
            </w:tcBorders>
            <w:shd w:val="clear" w:color="auto" w:fill="auto"/>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Total</w:t>
            </w:r>
          </w:p>
        </w:tc>
      </w:tr>
      <w:tr w:rsidR="006A257E" w:rsidTr="00186ED6">
        <w:trPr>
          <w:trHeight w:val="379"/>
          <w:jc w:val="center"/>
        </w:trPr>
        <w:tc>
          <w:tcPr>
            <w:tcW w:w="3879"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Balance, December 31, 2016</w:t>
            </w: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w:t>
            </w:r>
          </w:p>
        </w:tc>
        <w:tc>
          <w:tcPr>
            <w:tcW w:w="1147"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40,585 </w:t>
            </w:r>
          </w:p>
        </w:tc>
        <w:tc>
          <w:tcPr>
            <w:tcW w:w="1354"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$850,307 </w:t>
            </w:r>
          </w:p>
        </w:tc>
        <w:tc>
          <w:tcPr>
            <w:tcW w:w="1237" w:type="dxa"/>
            <w:tcBorders>
              <w:top w:val="single" w:sz="12"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(640,405)</w:t>
            </w:r>
          </w:p>
        </w:tc>
        <w:tc>
          <w:tcPr>
            <w:tcW w:w="1190" w:type="dxa"/>
            <w:tcBorders>
              <w:top w:val="single" w:sz="12" w:space="0" w:color="auto"/>
              <w:left w:val="nil"/>
              <w:bottom w:val="nil"/>
              <w:right w:val="nil"/>
            </w:tcBorders>
            <w:shd w:val="clear" w:color="auto" w:fill="auto"/>
            <w:noWrap/>
            <w:vAlign w:val="bottom"/>
            <w:hideMark/>
          </w:tcPr>
          <w:p w:rsidR="006A257E" w:rsidRDefault="006A257E" w:rsidP="00186ED6">
            <w:pPr>
              <w:tabs>
                <w:tab w:val="left" w:pos="168"/>
              </w:tabs>
              <w:jc w:val="right"/>
              <w:rPr>
                <w:rFonts w:ascii="Arial" w:hAnsi="Arial" w:cs="Arial"/>
                <w:color w:val="000000"/>
                <w:sz w:val="18"/>
                <w:szCs w:val="18"/>
              </w:rPr>
            </w:pPr>
            <w:r>
              <w:rPr>
                <w:rFonts w:ascii="Arial" w:hAnsi="Arial" w:cs="Arial"/>
                <w:color w:val="000000"/>
                <w:sz w:val="18"/>
                <w:szCs w:val="18"/>
              </w:rPr>
              <w:t xml:space="preserve">$  250,487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Share-based payments</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52,450 </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52,450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Funds provided by Eagle Plains</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89,996 </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89,996 </w:t>
            </w:r>
          </w:p>
        </w:tc>
      </w:tr>
      <w:tr w:rsidR="006A257E" w:rsidTr="00186ED6">
        <w:trPr>
          <w:trHeight w:val="176"/>
          <w:jc w:val="center"/>
        </w:trPr>
        <w:tc>
          <w:tcPr>
            <w:tcW w:w="3879" w:type="dxa"/>
            <w:tcBorders>
              <w:top w:val="nil"/>
              <w:left w:val="nil"/>
              <w:bottom w:val="single" w:sz="4" w:space="0" w:color="auto"/>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Loss for the period</w:t>
            </w:r>
          </w:p>
        </w:tc>
        <w:tc>
          <w:tcPr>
            <w:tcW w:w="1117"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(129,832)</w:t>
            </w:r>
          </w:p>
        </w:tc>
        <w:tc>
          <w:tcPr>
            <w:tcW w:w="1190" w:type="dxa"/>
            <w:tcBorders>
              <w:top w:val="nil"/>
              <w:left w:val="nil"/>
              <w:bottom w:val="single" w:sz="4"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(129,832)</w:t>
            </w:r>
          </w:p>
        </w:tc>
      </w:tr>
      <w:tr w:rsidR="006A257E" w:rsidTr="00186ED6">
        <w:trPr>
          <w:trHeight w:val="397"/>
          <w:jc w:val="center"/>
        </w:trPr>
        <w:tc>
          <w:tcPr>
            <w:tcW w:w="3879"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Balance, June 30, 2017</w:t>
            </w:r>
          </w:p>
        </w:tc>
        <w:tc>
          <w:tcPr>
            <w:tcW w:w="111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w:t>
            </w:r>
          </w:p>
        </w:tc>
        <w:tc>
          <w:tcPr>
            <w:tcW w:w="114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tabs>
                <w:tab w:val="left" w:pos="210"/>
              </w:tabs>
              <w:jc w:val="right"/>
              <w:rPr>
                <w:rFonts w:ascii="Arial" w:hAnsi="Arial" w:cs="Arial"/>
                <w:color w:val="000000"/>
                <w:sz w:val="18"/>
                <w:szCs w:val="18"/>
              </w:rPr>
            </w:pPr>
            <w:r>
              <w:rPr>
                <w:rFonts w:ascii="Arial" w:hAnsi="Arial" w:cs="Arial"/>
                <w:color w:val="000000"/>
                <w:sz w:val="18"/>
                <w:szCs w:val="18"/>
              </w:rPr>
              <w:t xml:space="preserve">$   93,035 </w:t>
            </w:r>
          </w:p>
        </w:tc>
        <w:tc>
          <w:tcPr>
            <w:tcW w:w="1354"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$940,303 </w:t>
            </w:r>
          </w:p>
        </w:tc>
        <w:tc>
          <w:tcPr>
            <w:tcW w:w="123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tabs>
                <w:tab w:val="left" w:pos="229"/>
              </w:tabs>
              <w:jc w:val="right"/>
              <w:rPr>
                <w:rFonts w:ascii="Arial" w:hAnsi="Arial" w:cs="Arial"/>
                <w:color w:val="000000"/>
                <w:sz w:val="18"/>
                <w:szCs w:val="18"/>
              </w:rPr>
            </w:pPr>
            <w:r>
              <w:rPr>
                <w:rFonts w:ascii="Arial" w:hAnsi="Arial" w:cs="Arial"/>
                <w:color w:val="000000"/>
                <w:sz w:val="18"/>
                <w:szCs w:val="18"/>
              </w:rPr>
              <w:t>$  (770,237)</w:t>
            </w:r>
          </w:p>
        </w:tc>
        <w:tc>
          <w:tcPr>
            <w:tcW w:w="1190"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263,101 </w:t>
            </w:r>
          </w:p>
        </w:tc>
      </w:tr>
      <w:tr w:rsidR="006A257E" w:rsidTr="00186ED6">
        <w:trPr>
          <w:trHeight w:val="579"/>
          <w:jc w:val="center"/>
        </w:trPr>
        <w:tc>
          <w:tcPr>
            <w:tcW w:w="3879"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117"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147"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354"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237"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c>
          <w:tcPr>
            <w:tcW w:w="1190" w:type="dxa"/>
            <w:tcBorders>
              <w:top w:val="single" w:sz="12" w:space="0" w:color="auto"/>
              <w:left w:val="nil"/>
              <w:bottom w:val="nil"/>
              <w:right w:val="nil"/>
            </w:tcBorders>
            <w:shd w:val="clear" w:color="auto" w:fill="auto"/>
            <w:noWrap/>
            <w:vAlign w:val="bottom"/>
            <w:hideMark/>
          </w:tcPr>
          <w:p w:rsidR="006A257E" w:rsidRDefault="006A257E" w:rsidP="00186ED6">
            <w:pPr>
              <w:rPr>
                <w:rFonts w:ascii="Arial" w:hAnsi="Arial" w:cs="Arial"/>
                <w:b/>
                <w:bCs/>
                <w:color w:val="000000"/>
                <w:sz w:val="18"/>
                <w:szCs w:val="18"/>
              </w:rPr>
            </w:pPr>
          </w:p>
        </w:tc>
      </w:tr>
      <w:tr w:rsidR="006A257E" w:rsidTr="00186ED6">
        <w:trPr>
          <w:trHeight w:val="343"/>
          <w:jc w:val="center"/>
        </w:trPr>
        <w:tc>
          <w:tcPr>
            <w:tcW w:w="3879" w:type="dxa"/>
            <w:tcBorders>
              <w:top w:val="single" w:sz="4" w:space="0" w:color="auto"/>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Balance, December 31, 2017</w:t>
            </w:r>
          </w:p>
        </w:tc>
        <w:tc>
          <w:tcPr>
            <w:tcW w:w="1117" w:type="dxa"/>
            <w:tcBorders>
              <w:top w:val="single" w:sz="4"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 </w:t>
            </w:r>
          </w:p>
        </w:tc>
        <w:tc>
          <w:tcPr>
            <w:tcW w:w="1117" w:type="dxa"/>
            <w:tcBorders>
              <w:top w:val="single" w:sz="4"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1 </w:t>
            </w:r>
          </w:p>
        </w:tc>
        <w:tc>
          <w:tcPr>
            <w:tcW w:w="1147" w:type="dxa"/>
            <w:tcBorders>
              <w:top w:val="single" w:sz="4" w:space="0" w:color="auto"/>
              <w:left w:val="nil"/>
              <w:bottom w:val="nil"/>
              <w:right w:val="nil"/>
            </w:tcBorders>
            <w:shd w:val="clear" w:color="auto" w:fill="auto"/>
            <w:noWrap/>
            <w:vAlign w:val="bottom"/>
            <w:hideMark/>
          </w:tcPr>
          <w:p w:rsidR="006A257E" w:rsidRDefault="006A257E" w:rsidP="00186ED6">
            <w:pPr>
              <w:tabs>
                <w:tab w:val="left" w:pos="267"/>
              </w:tabs>
              <w:jc w:val="right"/>
              <w:rPr>
                <w:rFonts w:ascii="Arial" w:hAnsi="Arial" w:cs="Arial"/>
                <w:color w:val="000000"/>
                <w:sz w:val="18"/>
                <w:szCs w:val="18"/>
              </w:rPr>
            </w:pPr>
            <w:r>
              <w:rPr>
                <w:rFonts w:ascii="Arial" w:hAnsi="Arial" w:cs="Arial"/>
                <w:color w:val="000000"/>
                <w:sz w:val="18"/>
                <w:szCs w:val="18"/>
              </w:rPr>
              <w:t xml:space="preserve">$   93,582 </w:t>
            </w:r>
          </w:p>
        </w:tc>
        <w:tc>
          <w:tcPr>
            <w:tcW w:w="1354" w:type="dxa"/>
            <w:tcBorders>
              <w:top w:val="single" w:sz="4"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$977,789 </w:t>
            </w:r>
          </w:p>
        </w:tc>
        <w:tc>
          <w:tcPr>
            <w:tcW w:w="1237" w:type="dxa"/>
            <w:tcBorders>
              <w:top w:val="single" w:sz="4" w:space="0" w:color="auto"/>
              <w:left w:val="nil"/>
              <w:bottom w:val="nil"/>
              <w:right w:val="nil"/>
            </w:tcBorders>
            <w:shd w:val="clear" w:color="auto" w:fill="auto"/>
            <w:noWrap/>
            <w:vAlign w:val="bottom"/>
            <w:hideMark/>
          </w:tcPr>
          <w:p w:rsidR="006A257E" w:rsidRDefault="006A257E" w:rsidP="00186ED6">
            <w:pPr>
              <w:tabs>
                <w:tab w:val="left" w:pos="157"/>
              </w:tabs>
              <w:jc w:val="right"/>
              <w:rPr>
                <w:rFonts w:ascii="Arial" w:hAnsi="Arial" w:cs="Arial"/>
                <w:color w:val="000000"/>
                <w:sz w:val="18"/>
                <w:szCs w:val="18"/>
              </w:rPr>
            </w:pPr>
            <w:r>
              <w:rPr>
                <w:rFonts w:ascii="Arial" w:hAnsi="Arial" w:cs="Arial"/>
                <w:color w:val="000000"/>
                <w:sz w:val="18"/>
                <w:szCs w:val="18"/>
              </w:rPr>
              <w:t>$   (833,815)</w:t>
            </w:r>
          </w:p>
        </w:tc>
        <w:tc>
          <w:tcPr>
            <w:tcW w:w="1190" w:type="dxa"/>
            <w:tcBorders>
              <w:top w:val="single" w:sz="4" w:space="0" w:color="auto"/>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237,557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Adjustment for carve-out amounts</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888,104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(109,935)</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(972,190)</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(194,021)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Shares issued for cash</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11,162,716 </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300,000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300,000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Shares issued per Plan of Arrangement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44,981,334 </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400,585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400,585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 cancelled on spin out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Shares issued for options exercised</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120,000 </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7,282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7,282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Shares issued for flow-through financing</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2,507,500 </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501,500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501,500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Shares issued for private placement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1,430,000 </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257,400 </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257,400 </w:t>
            </w:r>
          </w:p>
        </w:tc>
      </w:tr>
      <w:tr w:rsidR="006A257E" w:rsidTr="00186ED6">
        <w:trPr>
          <w:trHeight w:val="176"/>
          <w:jc w:val="center"/>
        </w:trPr>
        <w:tc>
          <w:tcPr>
            <w:tcW w:w="3879" w:type="dxa"/>
            <w:tcBorders>
              <w:top w:val="nil"/>
              <w:left w:val="nil"/>
              <w:bottom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Flow-through premium liability</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(75,225)</w:t>
            </w:r>
          </w:p>
        </w:tc>
        <w:tc>
          <w:tcPr>
            <w:tcW w:w="114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bottom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(75,225)</w:t>
            </w:r>
          </w:p>
        </w:tc>
      </w:tr>
      <w:tr w:rsidR="006A257E" w:rsidTr="00186ED6">
        <w:trPr>
          <w:trHeight w:val="176"/>
          <w:jc w:val="center"/>
        </w:trPr>
        <w:tc>
          <w:tcPr>
            <w:tcW w:w="3879" w:type="dxa"/>
            <w:tcBorders>
              <w:top w:val="nil"/>
              <w:left w:val="nil"/>
              <w:right w:val="nil"/>
            </w:tcBorders>
            <w:shd w:val="clear" w:color="auto" w:fill="auto"/>
            <w:noWrap/>
            <w:vAlign w:val="bottom"/>
            <w:hideMark/>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Residual value of warrants</w:t>
            </w:r>
          </w:p>
        </w:tc>
        <w:tc>
          <w:tcPr>
            <w:tcW w:w="1117"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(14,300)</w:t>
            </w:r>
          </w:p>
        </w:tc>
        <w:tc>
          <w:tcPr>
            <w:tcW w:w="1147"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14,300 </w:t>
            </w:r>
          </w:p>
        </w:tc>
        <w:tc>
          <w:tcPr>
            <w:tcW w:w="1354"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hideMark/>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 </w:t>
            </w:r>
          </w:p>
        </w:tc>
      </w:tr>
      <w:tr w:rsidR="006A257E" w:rsidTr="00186ED6">
        <w:trPr>
          <w:trHeight w:val="176"/>
          <w:jc w:val="center"/>
        </w:trPr>
        <w:tc>
          <w:tcPr>
            <w:tcW w:w="3879" w:type="dxa"/>
            <w:tcBorders>
              <w:top w:val="nil"/>
              <w:left w:val="nil"/>
              <w:right w:val="nil"/>
            </w:tcBorders>
            <w:shd w:val="clear" w:color="auto" w:fill="auto"/>
            <w:noWrap/>
            <w:vAlign w:val="bottom"/>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 issue costs</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(29,710)</w:t>
            </w:r>
          </w:p>
        </w:tc>
        <w:tc>
          <w:tcPr>
            <w:tcW w:w="114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(29,710)</w:t>
            </w:r>
          </w:p>
        </w:tc>
      </w:tr>
      <w:tr w:rsidR="006A257E" w:rsidTr="00186ED6">
        <w:trPr>
          <w:trHeight w:val="176"/>
          <w:jc w:val="center"/>
        </w:trPr>
        <w:tc>
          <w:tcPr>
            <w:tcW w:w="3879" w:type="dxa"/>
            <w:tcBorders>
              <w:top w:val="nil"/>
              <w:left w:val="nil"/>
              <w:right w:val="nil"/>
            </w:tcBorders>
            <w:shd w:val="clear" w:color="auto" w:fill="auto"/>
            <w:noWrap/>
            <w:vAlign w:val="bottom"/>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Share-based payment</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16,353 </w:t>
            </w:r>
          </w:p>
        </w:tc>
        <w:tc>
          <w:tcPr>
            <w:tcW w:w="1354"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 xml:space="preserve">16,353 </w:t>
            </w:r>
          </w:p>
        </w:tc>
      </w:tr>
      <w:tr w:rsidR="006A257E" w:rsidTr="00186ED6">
        <w:trPr>
          <w:trHeight w:val="176"/>
          <w:jc w:val="center"/>
        </w:trPr>
        <w:tc>
          <w:tcPr>
            <w:tcW w:w="3879" w:type="dxa"/>
            <w:tcBorders>
              <w:top w:val="nil"/>
              <w:left w:val="nil"/>
              <w:right w:val="nil"/>
            </w:tcBorders>
            <w:shd w:val="clear" w:color="auto" w:fill="auto"/>
            <w:noWrap/>
            <w:vAlign w:val="bottom"/>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Funds provided by Eagle Plains</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(5,599)</w:t>
            </w:r>
          </w:p>
        </w:tc>
        <w:tc>
          <w:tcPr>
            <w:tcW w:w="1237"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90" w:type="dxa"/>
            <w:tcBorders>
              <w:top w:val="nil"/>
              <w:left w:val="nil"/>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(5,599)</w:t>
            </w:r>
          </w:p>
        </w:tc>
      </w:tr>
      <w:tr w:rsidR="006A257E" w:rsidTr="00186ED6">
        <w:trPr>
          <w:trHeight w:val="176"/>
          <w:jc w:val="center"/>
        </w:trPr>
        <w:tc>
          <w:tcPr>
            <w:tcW w:w="3879" w:type="dxa"/>
            <w:tcBorders>
              <w:left w:val="nil"/>
              <w:bottom w:val="single" w:sz="4" w:space="0" w:color="auto"/>
              <w:right w:val="nil"/>
            </w:tcBorders>
            <w:shd w:val="clear" w:color="auto" w:fill="auto"/>
            <w:noWrap/>
            <w:vAlign w:val="bottom"/>
          </w:tcPr>
          <w:p w:rsidR="006A257E" w:rsidRDefault="006A257E" w:rsidP="00186ED6">
            <w:pPr>
              <w:rPr>
                <w:rFonts w:ascii="Arial" w:hAnsi="Arial" w:cs="Arial"/>
                <w:color w:val="000000"/>
                <w:sz w:val="18"/>
                <w:szCs w:val="18"/>
              </w:rPr>
            </w:pPr>
            <w:r>
              <w:rPr>
                <w:rFonts w:ascii="Arial" w:hAnsi="Arial" w:cs="Arial"/>
                <w:color w:val="000000"/>
                <w:sz w:val="18"/>
                <w:szCs w:val="18"/>
              </w:rPr>
              <w:t xml:space="preserve">  Loss for the period</w:t>
            </w:r>
          </w:p>
        </w:tc>
        <w:tc>
          <w:tcPr>
            <w:tcW w:w="111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1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4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354"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237"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(236,892)</w:t>
            </w:r>
          </w:p>
        </w:tc>
        <w:tc>
          <w:tcPr>
            <w:tcW w:w="1190" w:type="dxa"/>
            <w:tcBorders>
              <w:left w:val="nil"/>
              <w:bottom w:val="single" w:sz="4" w:space="0" w:color="auto"/>
              <w:right w:val="nil"/>
            </w:tcBorders>
            <w:shd w:val="clear" w:color="auto" w:fill="auto"/>
            <w:noWrap/>
            <w:vAlign w:val="bottom"/>
          </w:tcPr>
          <w:p w:rsidR="006A257E" w:rsidRDefault="006A257E" w:rsidP="00186ED6">
            <w:pPr>
              <w:jc w:val="right"/>
              <w:rPr>
                <w:rFonts w:ascii="Arial" w:hAnsi="Arial" w:cs="Arial"/>
                <w:color w:val="000000"/>
                <w:sz w:val="18"/>
                <w:szCs w:val="18"/>
              </w:rPr>
            </w:pPr>
            <w:r>
              <w:rPr>
                <w:rFonts w:ascii="Arial" w:hAnsi="Arial" w:cs="Arial"/>
                <w:color w:val="000000"/>
                <w:sz w:val="18"/>
                <w:szCs w:val="18"/>
              </w:rPr>
              <w:t>(236,892)</w:t>
            </w:r>
          </w:p>
        </w:tc>
      </w:tr>
      <w:tr w:rsidR="006A257E" w:rsidTr="00186ED6">
        <w:trPr>
          <w:trHeight w:val="345"/>
          <w:jc w:val="center"/>
        </w:trPr>
        <w:tc>
          <w:tcPr>
            <w:tcW w:w="3879"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rPr>
                <w:rFonts w:ascii="Arial" w:hAnsi="Arial" w:cs="Arial"/>
                <w:b/>
                <w:bCs/>
                <w:color w:val="000000"/>
                <w:sz w:val="18"/>
                <w:szCs w:val="18"/>
              </w:rPr>
            </w:pPr>
            <w:r>
              <w:rPr>
                <w:rFonts w:ascii="Arial" w:hAnsi="Arial" w:cs="Arial"/>
                <w:b/>
                <w:bCs/>
                <w:color w:val="000000"/>
                <w:sz w:val="18"/>
                <w:szCs w:val="18"/>
              </w:rPr>
              <w:t>Balance, June 30, 2018</w:t>
            </w:r>
          </w:p>
        </w:tc>
        <w:tc>
          <w:tcPr>
            <w:tcW w:w="111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60,201,550 </w:t>
            </w:r>
          </w:p>
        </w:tc>
        <w:tc>
          <w:tcPr>
            <w:tcW w:w="111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$2,235,636 </w:t>
            </w:r>
          </w:p>
        </w:tc>
        <w:tc>
          <w:tcPr>
            <w:tcW w:w="114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  14,300 </w:t>
            </w:r>
          </w:p>
        </w:tc>
        <w:tc>
          <w:tcPr>
            <w:tcW w:w="1354"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tabs>
                <w:tab w:val="left" w:pos="503"/>
              </w:tabs>
              <w:jc w:val="right"/>
              <w:rPr>
                <w:rFonts w:ascii="Arial" w:hAnsi="Arial" w:cs="Arial"/>
                <w:b/>
                <w:bCs/>
                <w:color w:val="000000"/>
                <w:sz w:val="18"/>
                <w:szCs w:val="18"/>
              </w:rPr>
            </w:pPr>
            <w:r>
              <w:rPr>
                <w:rFonts w:ascii="Arial" w:hAnsi="Arial" w:cs="Arial"/>
                <w:b/>
                <w:bCs/>
                <w:color w:val="000000"/>
                <w:sz w:val="18"/>
                <w:szCs w:val="18"/>
              </w:rPr>
              <w:t xml:space="preserve">$          - </w:t>
            </w:r>
          </w:p>
        </w:tc>
        <w:tc>
          <w:tcPr>
            <w:tcW w:w="1237"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$(1,070,707)</w:t>
            </w:r>
          </w:p>
        </w:tc>
        <w:tc>
          <w:tcPr>
            <w:tcW w:w="1190" w:type="dxa"/>
            <w:tcBorders>
              <w:top w:val="single" w:sz="4" w:space="0" w:color="auto"/>
              <w:left w:val="nil"/>
              <w:bottom w:val="single" w:sz="12" w:space="0" w:color="auto"/>
              <w:right w:val="nil"/>
            </w:tcBorders>
            <w:shd w:val="clear" w:color="auto" w:fill="auto"/>
            <w:noWrap/>
            <w:vAlign w:val="bottom"/>
            <w:hideMark/>
          </w:tcPr>
          <w:p w:rsidR="006A257E" w:rsidRDefault="006A257E" w:rsidP="00186ED6">
            <w:pPr>
              <w:jc w:val="right"/>
              <w:rPr>
                <w:rFonts w:ascii="Arial" w:hAnsi="Arial" w:cs="Arial"/>
                <w:b/>
                <w:bCs/>
                <w:color w:val="000000"/>
                <w:sz w:val="18"/>
                <w:szCs w:val="18"/>
              </w:rPr>
            </w:pPr>
            <w:r>
              <w:rPr>
                <w:rFonts w:ascii="Arial" w:hAnsi="Arial" w:cs="Arial"/>
                <w:b/>
                <w:bCs/>
                <w:color w:val="000000"/>
                <w:sz w:val="18"/>
                <w:szCs w:val="18"/>
              </w:rPr>
              <w:t xml:space="preserve">$1,179,229 </w:t>
            </w:r>
          </w:p>
        </w:tc>
      </w:tr>
    </w:tbl>
    <w:p w:rsidR="006A257E" w:rsidRDefault="006A257E" w:rsidP="006A257E">
      <w:pPr>
        <w:tabs>
          <w:tab w:val="left" w:pos="4320"/>
        </w:tabs>
        <w:ind w:left="113" w:right="-567" w:hanging="113"/>
        <w:rPr>
          <w:rFonts w:ascii="Arial" w:hAnsi="Arial" w:cs="Arial"/>
          <w:sz w:val="18"/>
          <w:szCs w:val="18"/>
        </w:rPr>
        <w:sectPr w:rsidR="006A257E" w:rsidSect="00F149E4">
          <w:pgSz w:w="15840" w:h="12240" w:orient="landscape"/>
          <w:pgMar w:top="1797" w:right="1440" w:bottom="1797" w:left="862" w:header="709" w:footer="709" w:gutter="0"/>
          <w:cols w:space="708"/>
          <w:titlePg/>
          <w:docGrid w:linePitch="360"/>
        </w:sectPr>
      </w:pPr>
    </w:p>
    <w:p w:rsidR="006A257E" w:rsidRDefault="006A257E" w:rsidP="006A257E">
      <w:pPr>
        <w:tabs>
          <w:tab w:val="left" w:pos="3060"/>
          <w:tab w:val="right" w:pos="5222"/>
          <w:tab w:val="right" w:pos="6480"/>
          <w:tab w:val="right" w:pos="7740"/>
          <w:tab w:val="right" w:pos="9180"/>
        </w:tabs>
        <w:ind w:right="990"/>
        <w:rPr>
          <w:rFonts w:ascii="Arial" w:hAnsi="Arial" w:cs="Arial"/>
          <w:b/>
          <w:sz w:val="18"/>
          <w:szCs w:val="18"/>
        </w:rPr>
      </w:pPr>
    </w:p>
    <w:p w:rsidR="006A257E" w:rsidRDefault="006A257E" w:rsidP="006A257E">
      <w:pPr>
        <w:pBdr>
          <w:bottom w:val="single" w:sz="8" w:space="1" w:color="auto"/>
        </w:pBdr>
        <w:tabs>
          <w:tab w:val="left" w:pos="432"/>
        </w:tabs>
        <w:rPr>
          <w:rFonts w:ascii="Arial" w:hAnsi="Arial" w:cs="Arial"/>
          <w:b/>
          <w:bCs/>
          <w:sz w:val="18"/>
          <w:szCs w:val="18"/>
        </w:rPr>
      </w:pPr>
      <w:r>
        <w:rPr>
          <w:rFonts w:ascii="Arial" w:hAnsi="Arial" w:cs="Arial"/>
          <w:b/>
          <w:bCs/>
          <w:sz w:val="18"/>
          <w:szCs w:val="18"/>
        </w:rPr>
        <w:t>1.     Nature and continuance of operations</w:t>
      </w:r>
    </w:p>
    <w:p w:rsidR="006A257E" w:rsidRPr="0014469A"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ind w:left="432"/>
        <w:jc w:val="both"/>
        <w:rPr>
          <w:rFonts w:ascii="Arial" w:hAnsi="Arial" w:cs="Arial"/>
          <w:spacing w:val="-2"/>
          <w:sz w:val="18"/>
          <w:szCs w:val="18"/>
          <w:lang w:val="en-GB"/>
        </w:rPr>
      </w:pPr>
    </w:p>
    <w:p w:rsidR="006A257E" w:rsidRDefault="006A257E" w:rsidP="006A257E">
      <w:pPr>
        <w:autoSpaceDE w:val="0"/>
        <w:autoSpaceDN w:val="0"/>
        <w:adjustRightInd w:val="0"/>
        <w:jc w:val="both"/>
        <w:rPr>
          <w:rFonts w:ascii="Arial" w:hAnsi="Arial" w:cs="Arial"/>
          <w:sz w:val="18"/>
          <w:szCs w:val="18"/>
        </w:rPr>
      </w:pPr>
      <w:r>
        <w:rPr>
          <w:rFonts w:ascii="Arial" w:hAnsi="Arial" w:cs="Arial"/>
          <w:sz w:val="18"/>
          <w:szCs w:val="18"/>
        </w:rPr>
        <w:t>Taiga Gold Corp. (“Taiga”) was incorporated on September 28, 2017 under the laws of the province of Alberta as a wholly-owned subsidiary of Eagle Plains Resources Ltd. (“Eagle Plains”, “EPL”). On April 6, 2018, a Plan of Arrangement (the “Arrangement”) was approved by the shareholders of Eagle Plains whereby Eagle Plains distributed 100% of its interest in certain properties to Taiga.  Concurrently with the completion of the Arrangement, Taiga obtained approval to list its common shares on the Canadian Securities Exchange (“CSE”) and began trading under the symbol TGC on April 30, 2018.  For additional details on the transaction see Note 2.</w:t>
      </w:r>
    </w:p>
    <w:p w:rsidR="006A257E" w:rsidRPr="00F149E4" w:rsidRDefault="006A257E" w:rsidP="006A257E">
      <w:pPr>
        <w:jc w:val="both"/>
        <w:rPr>
          <w:rFonts w:ascii="Arial" w:hAnsi="Arial" w:cs="Arial"/>
          <w:sz w:val="18"/>
          <w:szCs w:val="18"/>
        </w:rPr>
      </w:pPr>
    </w:p>
    <w:p w:rsidR="006A257E" w:rsidRPr="009B010A" w:rsidRDefault="006A257E" w:rsidP="006A257E">
      <w:pPr>
        <w:jc w:val="both"/>
        <w:rPr>
          <w:rFonts w:ascii="Arial" w:hAnsi="Arial" w:cs="Arial"/>
          <w:spacing w:val="-2"/>
          <w:sz w:val="18"/>
          <w:szCs w:val="18"/>
          <w:lang w:val="en-GB"/>
        </w:rPr>
      </w:pPr>
      <w:r w:rsidRPr="009B010A">
        <w:rPr>
          <w:rFonts w:ascii="Arial" w:hAnsi="Arial" w:cs="Arial"/>
          <w:sz w:val="18"/>
          <w:szCs w:val="18"/>
        </w:rPr>
        <w:t xml:space="preserve">The </w:t>
      </w:r>
      <w:r>
        <w:rPr>
          <w:rFonts w:ascii="Arial" w:hAnsi="Arial" w:cs="Arial"/>
          <w:sz w:val="18"/>
          <w:szCs w:val="18"/>
        </w:rPr>
        <w:t>Company</w:t>
      </w:r>
      <w:r w:rsidRPr="009B010A">
        <w:rPr>
          <w:rFonts w:ascii="Arial" w:hAnsi="Arial" w:cs="Arial"/>
          <w:sz w:val="18"/>
          <w:szCs w:val="18"/>
        </w:rPr>
        <w:t xml:space="preserve"> is engaged in the exploration and development of mineral resources and is considered to be in the exploration stage as it has not placed any of its mineral properties into production</w:t>
      </w:r>
      <w:r>
        <w:rPr>
          <w:rFonts w:ascii="Arial" w:hAnsi="Arial" w:cs="Arial"/>
          <w:sz w:val="18"/>
          <w:szCs w:val="18"/>
        </w:rPr>
        <w:t>.</w:t>
      </w:r>
    </w:p>
    <w:p w:rsidR="006A257E" w:rsidRDefault="006A257E" w:rsidP="006A257E">
      <w:pPr>
        <w:jc w:val="both"/>
        <w:rPr>
          <w:rFonts w:ascii="Arial" w:hAnsi="Arial" w:cs="Arial"/>
          <w:spacing w:val="-2"/>
          <w:sz w:val="18"/>
          <w:szCs w:val="18"/>
        </w:rPr>
      </w:pPr>
    </w:p>
    <w:p w:rsidR="006A257E" w:rsidRPr="00BF1D19" w:rsidRDefault="006A257E" w:rsidP="006A257E">
      <w:pPr>
        <w:jc w:val="both"/>
        <w:rPr>
          <w:rFonts w:ascii="Arial" w:hAnsi="Arial" w:cs="Arial"/>
          <w:spacing w:val="-2"/>
          <w:sz w:val="18"/>
          <w:szCs w:val="18"/>
        </w:rPr>
      </w:pPr>
      <w:r w:rsidRPr="00BF1D19">
        <w:rPr>
          <w:rFonts w:ascii="Arial" w:hAnsi="Arial" w:cs="Arial"/>
          <w:spacing w:val="-2"/>
          <w:sz w:val="18"/>
          <w:szCs w:val="18"/>
        </w:rPr>
        <w:t xml:space="preserve">The corporate office and principal place of business is Suite </w:t>
      </w:r>
      <w:r>
        <w:rPr>
          <w:rFonts w:ascii="Arial" w:hAnsi="Arial" w:cs="Arial"/>
          <w:spacing w:val="-2"/>
          <w:sz w:val="18"/>
          <w:szCs w:val="18"/>
        </w:rPr>
        <w:t>200</w:t>
      </w:r>
      <w:r w:rsidRPr="00BF1D19">
        <w:rPr>
          <w:rFonts w:ascii="Arial" w:hAnsi="Arial" w:cs="Arial"/>
          <w:spacing w:val="-2"/>
          <w:sz w:val="18"/>
          <w:szCs w:val="18"/>
        </w:rPr>
        <w:t xml:space="preserve">, </w:t>
      </w:r>
      <w:r>
        <w:rPr>
          <w:rFonts w:ascii="Arial" w:hAnsi="Arial" w:cs="Arial"/>
          <w:spacing w:val="-2"/>
          <w:sz w:val="18"/>
          <w:szCs w:val="18"/>
        </w:rPr>
        <w:t>44-12</w:t>
      </w:r>
      <w:r w:rsidRPr="00BF1D19">
        <w:rPr>
          <w:rFonts w:ascii="Arial" w:hAnsi="Arial" w:cs="Arial"/>
          <w:spacing w:val="-2"/>
          <w:sz w:val="18"/>
          <w:szCs w:val="18"/>
          <w:vertAlign w:val="superscript"/>
        </w:rPr>
        <w:t>th</w:t>
      </w:r>
      <w:r>
        <w:rPr>
          <w:rFonts w:ascii="Arial" w:hAnsi="Arial" w:cs="Arial"/>
          <w:spacing w:val="-2"/>
          <w:sz w:val="18"/>
          <w:szCs w:val="18"/>
        </w:rPr>
        <w:t xml:space="preserve"> Avenue South, Cranbrook</w:t>
      </w:r>
      <w:r w:rsidRPr="00BF1D19">
        <w:rPr>
          <w:rFonts w:ascii="Arial" w:hAnsi="Arial" w:cs="Arial"/>
          <w:spacing w:val="-2"/>
          <w:sz w:val="18"/>
          <w:szCs w:val="18"/>
        </w:rPr>
        <w:t>, British Columbia, Canada.</w:t>
      </w:r>
    </w:p>
    <w:p w:rsidR="006A257E" w:rsidRPr="00F149E4" w:rsidRDefault="006A257E" w:rsidP="006A257E">
      <w:pPr>
        <w:jc w:val="both"/>
        <w:rPr>
          <w:rFonts w:ascii="Arial" w:hAnsi="Arial" w:cs="Arial"/>
          <w:spacing w:val="-2"/>
          <w:sz w:val="12"/>
          <w:szCs w:val="12"/>
          <w:lang w:val="en-GB"/>
        </w:rPr>
      </w:pPr>
    </w:p>
    <w:p w:rsidR="006A257E" w:rsidRDefault="006A257E" w:rsidP="006A257E">
      <w:pPr>
        <w:jc w:val="both"/>
        <w:rPr>
          <w:rFonts w:ascii="Arial" w:hAnsi="Arial" w:cs="Arial"/>
          <w:sz w:val="18"/>
          <w:szCs w:val="18"/>
        </w:rPr>
      </w:pPr>
      <w:r w:rsidRPr="009B010A">
        <w:rPr>
          <w:rFonts w:ascii="Arial" w:hAnsi="Arial" w:cs="Arial"/>
          <w:sz w:val="18"/>
          <w:szCs w:val="18"/>
        </w:rPr>
        <w:t xml:space="preserve">The statements of </w:t>
      </w:r>
      <w:r>
        <w:rPr>
          <w:rFonts w:ascii="Arial" w:hAnsi="Arial" w:cs="Arial"/>
          <w:sz w:val="18"/>
          <w:szCs w:val="18"/>
        </w:rPr>
        <w:t>comprehensive loss</w:t>
      </w:r>
      <w:r w:rsidRPr="009B010A">
        <w:rPr>
          <w:rFonts w:ascii="Arial" w:hAnsi="Arial" w:cs="Arial"/>
          <w:sz w:val="18"/>
          <w:szCs w:val="18"/>
        </w:rPr>
        <w:t xml:space="preserve"> for the </w:t>
      </w:r>
      <w:r>
        <w:rPr>
          <w:rFonts w:ascii="Arial" w:hAnsi="Arial" w:cs="Arial"/>
          <w:sz w:val="18"/>
          <w:szCs w:val="18"/>
        </w:rPr>
        <w:t xml:space="preserve">periods ended June 30, 2018 and 2017 </w:t>
      </w:r>
      <w:r w:rsidRPr="009B010A">
        <w:rPr>
          <w:rFonts w:ascii="Arial" w:hAnsi="Arial" w:cs="Arial"/>
          <w:sz w:val="18"/>
          <w:szCs w:val="18"/>
        </w:rPr>
        <w:t xml:space="preserve">reflect an allocation of </w:t>
      </w:r>
      <w:r>
        <w:rPr>
          <w:rFonts w:ascii="Arial" w:hAnsi="Arial" w:cs="Arial"/>
          <w:sz w:val="18"/>
          <w:szCs w:val="18"/>
        </w:rPr>
        <w:t>Eagle Plains’</w:t>
      </w:r>
      <w:r w:rsidRPr="009B010A">
        <w:rPr>
          <w:rFonts w:ascii="Arial" w:hAnsi="Arial" w:cs="Arial"/>
          <w:sz w:val="18"/>
          <w:szCs w:val="18"/>
        </w:rPr>
        <w:t xml:space="preserve"> general and administrative expenses incurred </w:t>
      </w:r>
      <w:r>
        <w:rPr>
          <w:rFonts w:ascii="Arial" w:hAnsi="Arial" w:cs="Arial"/>
          <w:sz w:val="18"/>
          <w:szCs w:val="18"/>
        </w:rPr>
        <w:t xml:space="preserve">in </w:t>
      </w:r>
      <w:r w:rsidRPr="009B010A">
        <w:rPr>
          <w:rFonts w:ascii="Arial" w:hAnsi="Arial" w:cs="Arial"/>
          <w:sz w:val="18"/>
          <w:szCs w:val="18"/>
        </w:rPr>
        <w:t xml:space="preserve">the </w:t>
      </w:r>
      <w:r>
        <w:rPr>
          <w:rFonts w:ascii="Arial" w:hAnsi="Arial" w:cs="Arial"/>
          <w:sz w:val="18"/>
          <w:szCs w:val="18"/>
        </w:rPr>
        <w:t>periods</w:t>
      </w:r>
      <w:r w:rsidRPr="009B010A">
        <w:rPr>
          <w:rFonts w:ascii="Arial" w:hAnsi="Arial" w:cs="Arial"/>
          <w:sz w:val="18"/>
          <w:szCs w:val="18"/>
        </w:rPr>
        <w:t>. The allocation of general and administrative expense was calculated on the basis of the ratio of expenditures incurred on the Spin-</w:t>
      </w:r>
      <w:r>
        <w:rPr>
          <w:rFonts w:ascii="Arial" w:hAnsi="Arial" w:cs="Arial"/>
          <w:sz w:val="18"/>
          <w:szCs w:val="18"/>
        </w:rPr>
        <w:t>out</w:t>
      </w:r>
      <w:r w:rsidRPr="009B010A">
        <w:rPr>
          <w:rFonts w:ascii="Arial" w:hAnsi="Arial" w:cs="Arial"/>
          <w:sz w:val="18"/>
          <w:szCs w:val="18"/>
        </w:rPr>
        <w:t xml:space="preserve"> Properties as compared to the total expenditures incurred on all of </w:t>
      </w:r>
      <w:r>
        <w:rPr>
          <w:rFonts w:ascii="Arial" w:hAnsi="Arial" w:cs="Arial"/>
          <w:sz w:val="18"/>
          <w:szCs w:val="18"/>
        </w:rPr>
        <w:t>Eagle Plains’</w:t>
      </w:r>
      <w:r w:rsidRPr="009B010A">
        <w:rPr>
          <w:rFonts w:ascii="Arial" w:hAnsi="Arial" w:cs="Arial"/>
          <w:sz w:val="18"/>
          <w:szCs w:val="18"/>
        </w:rPr>
        <w:t xml:space="preserve"> mineral properties </w:t>
      </w:r>
      <w:r>
        <w:rPr>
          <w:rFonts w:ascii="Arial" w:hAnsi="Arial" w:cs="Arial"/>
          <w:sz w:val="18"/>
          <w:szCs w:val="18"/>
        </w:rPr>
        <w:t>for the periods ended March 31, 2018 and June 30, 2017.</w:t>
      </w:r>
      <w:r w:rsidRPr="009B010A">
        <w:rPr>
          <w:rFonts w:ascii="Arial" w:hAnsi="Arial" w:cs="Arial"/>
          <w:sz w:val="18"/>
          <w:szCs w:val="18"/>
        </w:rPr>
        <w:t xml:space="preserve"> The financial statements have been presented under the continuity of </w:t>
      </w:r>
      <w:proofErr w:type="gramStart"/>
      <w:r w:rsidRPr="009B010A">
        <w:rPr>
          <w:rFonts w:ascii="Arial" w:hAnsi="Arial" w:cs="Arial"/>
          <w:sz w:val="18"/>
          <w:szCs w:val="18"/>
        </w:rPr>
        <w:t>interests</w:t>
      </w:r>
      <w:proofErr w:type="gramEnd"/>
      <w:r w:rsidRPr="009B010A">
        <w:rPr>
          <w:rFonts w:ascii="Arial" w:hAnsi="Arial" w:cs="Arial"/>
          <w:sz w:val="18"/>
          <w:szCs w:val="18"/>
        </w:rPr>
        <w:t xml:space="preserve"> basis of accounting with</w:t>
      </w:r>
      <w:r>
        <w:rPr>
          <w:rFonts w:ascii="Arial" w:hAnsi="Arial" w:cs="Arial"/>
          <w:sz w:val="18"/>
          <w:szCs w:val="18"/>
        </w:rPr>
        <w:t xml:space="preserve"> statement of financial position comparative</w:t>
      </w:r>
      <w:r w:rsidRPr="009B010A">
        <w:rPr>
          <w:rFonts w:ascii="Arial" w:hAnsi="Arial" w:cs="Arial"/>
          <w:sz w:val="18"/>
          <w:szCs w:val="18"/>
        </w:rPr>
        <w:t xml:space="preserve"> amounts based on the amounts recorded by </w:t>
      </w:r>
      <w:r>
        <w:rPr>
          <w:rFonts w:ascii="Arial" w:hAnsi="Arial" w:cs="Arial"/>
          <w:sz w:val="18"/>
          <w:szCs w:val="18"/>
        </w:rPr>
        <w:t>Eagle Plains</w:t>
      </w:r>
      <w:r w:rsidRPr="009B010A">
        <w:rPr>
          <w:rFonts w:ascii="Arial" w:hAnsi="Arial" w:cs="Arial"/>
          <w:sz w:val="18"/>
          <w:szCs w:val="18"/>
        </w:rPr>
        <w:t xml:space="preserve">. Management cautions readers of these </w:t>
      </w:r>
      <w:r>
        <w:rPr>
          <w:rFonts w:ascii="Arial" w:hAnsi="Arial" w:cs="Arial"/>
          <w:sz w:val="18"/>
          <w:szCs w:val="18"/>
        </w:rPr>
        <w:t xml:space="preserve">condensed interim </w:t>
      </w:r>
      <w:r w:rsidRPr="009B010A">
        <w:rPr>
          <w:rFonts w:ascii="Arial" w:hAnsi="Arial" w:cs="Arial"/>
          <w:sz w:val="18"/>
          <w:szCs w:val="18"/>
        </w:rPr>
        <w:t xml:space="preserve">financial statements that the allocation of expenses does not necessarily reflect an accurate presentation of general and administrative expenses that </w:t>
      </w:r>
      <w:r>
        <w:rPr>
          <w:rFonts w:ascii="Arial" w:hAnsi="Arial" w:cs="Arial"/>
          <w:sz w:val="18"/>
          <w:szCs w:val="18"/>
        </w:rPr>
        <w:t>the Company</w:t>
      </w:r>
      <w:r w:rsidRPr="009B010A">
        <w:rPr>
          <w:rFonts w:ascii="Arial" w:hAnsi="Arial" w:cs="Arial"/>
          <w:sz w:val="18"/>
          <w:szCs w:val="18"/>
        </w:rPr>
        <w:t xml:space="preserve"> would have incurred in the afore-mentioned </w:t>
      </w:r>
      <w:r>
        <w:rPr>
          <w:rFonts w:ascii="Arial" w:hAnsi="Arial" w:cs="Arial"/>
          <w:sz w:val="18"/>
          <w:szCs w:val="18"/>
        </w:rPr>
        <w:t>periods</w:t>
      </w:r>
      <w:r w:rsidRPr="009B010A">
        <w:rPr>
          <w:rFonts w:ascii="Arial" w:hAnsi="Arial" w:cs="Arial"/>
          <w:sz w:val="18"/>
          <w:szCs w:val="18"/>
        </w:rPr>
        <w:t xml:space="preserve"> or will incur in the future. </w:t>
      </w:r>
    </w:p>
    <w:p w:rsidR="006A257E" w:rsidRDefault="006A257E" w:rsidP="006A257E">
      <w:pPr>
        <w:jc w:val="both"/>
        <w:rPr>
          <w:rFonts w:ascii="Arial" w:hAnsi="Arial" w:cs="Arial"/>
          <w:sz w:val="18"/>
          <w:szCs w:val="18"/>
        </w:rPr>
      </w:pPr>
    </w:p>
    <w:p w:rsidR="006A257E" w:rsidRPr="00F149E4" w:rsidRDefault="006A257E" w:rsidP="006A257E">
      <w:pPr>
        <w:autoSpaceDE w:val="0"/>
        <w:autoSpaceDN w:val="0"/>
        <w:adjustRightInd w:val="0"/>
        <w:jc w:val="both"/>
        <w:rPr>
          <w:rFonts w:ascii="Arial" w:hAnsi="Arial" w:cs="Arial"/>
          <w:sz w:val="18"/>
          <w:szCs w:val="18"/>
        </w:rPr>
      </w:pPr>
      <w:r w:rsidRPr="00F149E4">
        <w:rPr>
          <w:rFonts w:ascii="Arial" w:hAnsi="Arial" w:cs="Arial"/>
          <w:sz w:val="18"/>
          <w:szCs w:val="18"/>
        </w:rPr>
        <w:t>The Company believes its current working capital is sufficient to maintain its core operations for the next twelve months, however, additional funding will be required by the Company to complete its strategic objectives and continue as a going concern. Given the current state of the financing market</w:t>
      </w:r>
      <w:r>
        <w:rPr>
          <w:rFonts w:ascii="Arial" w:hAnsi="Arial" w:cs="Arial"/>
          <w:sz w:val="18"/>
          <w:szCs w:val="18"/>
        </w:rPr>
        <w:t xml:space="preserve"> </w:t>
      </w:r>
      <w:r w:rsidRPr="00F149E4">
        <w:rPr>
          <w:rFonts w:ascii="Arial" w:hAnsi="Arial" w:cs="Arial"/>
          <w:sz w:val="18"/>
          <w:szCs w:val="18"/>
        </w:rPr>
        <w:t>for junior mining companies there is no certainty that additional financing at terms that are</w:t>
      </w:r>
      <w:r>
        <w:rPr>
          <w:rFonts w:ascii="Arial" w:hAnsi="Arial" w:cs="Arial"/>
          <w:sz w:val="18"/>
          <w:szCs w:val="18"/>
        </w:rPr>
        <w:t xml:space="preserve"> </w:t>
      </w:r>
      <w:r w:rsidRPr="00F149E4">
        <w:rPr>
          <w:rFonts w:ascii="Arial" w:hAnsi="Arial" w:cs="Arial"/>
          <w:sz w:val="18"/>
          <w:szCs w:val="18"/>
        </w:rPr>
        <w:t>acceptable to the Company will be available and an inability to obtain additional financing would</w:t>
      </w:r>
      <w:r>
        <w:rPr>
          <w:rFonts w:ascii="Arial" w:hAnsi="Arial" w:cs="Arial"/>
          <w:sz w:val="18"/>
          <w:szCs w:val="18"/>
        </w:rPr>
        <w:t xml:space="preserve"> </w:t>
      </w:r>
      <w:r w:rsidRPr="00F149E4">
        <w:rPr>
          <w:rFonts w:ascii="Arial" w:hAnsi="Arial" w:cs="Arial"/>
          <w:sz w:val="18"/>
          <w:szCs w:val="18"/>
        </w:rPr>
        <w:t>have a direct impact on the Company’s ability to continue as a going concern beyond twelve months.</w:t>
      </w:r>
    </w:p>
    <w:p w:rsidR="006A257E" w:rsidRPr="0014469A" w:rsidRDefault="006A257E" w:rsidP="006A257E">
      <w:pPr>
        <w:pBdr>
          <w:bottom w:val="single" w:sz="8" w:space="1" w:color="auto"/>
        </w:pBdr>
        <w:jc w:val="both"/>
        <w:rPr>
          <w:rFonts w:ascii="Arial" w:hAnsi="Arial" w:cs="Arial"/>
          <w:bCs/>
          <w:sz w:val="18"/>
          <w:szCs w:val="18"/>
        </w:rPr>
      </w:pPr>
    </w:p>
    <w:p w:rsidR="006A257E" w:rsidRPr="00AD39AE" w:rsidRDefault="006A257E" w:rsidP="006A257E">
      <w:pPr>
        <w:ind w:left="432"/>
        <w:jc w:val="both"/>
        <w:rPr>
          <w:rFonts w:ascii="Arial" w:hAnsi="Arial" w:cs="Arial"/>
          <w:spacing w:val="-2"/>
          <w:sz w:val="18"/>
          <w:szCs w:val="18"/>
          <w:lang w:val="en-GB"/>
        </w:rPr>
      </w:pPr>
    </w:p>
    <w:p w:rsidR="006A257E" w:rsidRDefault="006A257E" w:rsidP="006A257E">
      <w:pPr>
        <w:jc w:val="both"/>
        <w:rPr>
          <w:rFonts w:ascii="Arial" w:hAnsi="Arial" w:cs="Arial"/>
          <w:bCs/>
          <w:sz w:val="18"/>
          <w:szCs w:val="18"/>
        </w:rPr>
      </w:pPr>
      <w:r>
        <w:rPr>
          <w:rFonts w:ascii="Arial" w:hAnsi="Arial" w:cs="Arial"/>
          <w:b/>
          <w:bCs/>
          <w:sz w:val="18"/>
          <w:szCs w:val="18"/>
        </w:rPr>
        <w:t>2.     Transfer of Business</w:t>
      </w:r>
    </w:p>
    <w:p w:rsidR="006A257E" w:rsidRPr="0014469A" w:rsidRDefault="006A257E" w:rsidP="006A257E">
      <w:pPr>
        <w:pBdr>
          <w:bottom w:val="single" w:sz="8" w:space="1" w:color="auto"/>
        </w:pBdr>
        <w:jc w:val="both"/>
        <w:rPr>
          <w:rFonts w:ascii="Arial" w:hAnsi="Arial" w:cs="Arial"/>
          <w:bCs/>
          <w:sz w:val="18"/>
          <w:szCs w:val="18"/>
        </w:rPr>
      </w:pPr>
    </w:p>
    <w:p w:rsidR="006A257E" w:rsidRDefault="006A257E" w:rsidP="006A257E">
      <w:pPr>
        <w:pStyle w:val="NormalWeb"/>
        <w:widowControl w:val="0"/>
        <w:spacing w:before="0" w:beforeAutospacing="0" w:after="0" w:afterAutospacing="0"/>
        <w:jc w:val="both"/>
        <w:rPr>
          <w:rFonts w:ascii="Arial" w:hAnsi="Arial" w:cs="Arial"/>
          <w:sz w:val="18"/>
          <w:szCs w:val="18"/>
        </w:rPr>
      </w:pPr>
    </w:p>
    <w:p w:rsidR="006A257E" w:rsidRDefault="006A257E" w:rsidP="006A257E">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On February 2, 2018, the Company executed a formal arrangement agreement related to the proposed spin-out (the “Arrangement”). Pursuant to the Arrangement, Taiga acquire</w:t>
      </w:r>
      <w:r>
        <w:rPr>
          <w:rFonts w:ascii="Arial" w:hAnsi="Arial" w:cs="Arial"/>
          <w:sz w:val="18"/>
          <w:szCs w:val="18"/>
        </w:rPr>
        <w:t>d</w:t>
      </w:r>
      <w:r w:rsidRPr="00057E8A">
        <w:rPr>
          <w:rFonts w:ascii="Arial" w:hAnsi="Arial" w:cs="Arial"/>
          <w:sz w:val="18"/>
          <w:szCs w:val="18"/>
        </w:rPr>
        <w:t xml:space="preserve"> Eagle Plains’ interest in Fisher, Chico, Orchid, Leland and SAM properties, not including the NSR’s which will remain with Eagle Plains, together with $300,000 in cash.  Each Eagle Plains Shareholder, other than a Dissenting Shareholder, will, immediately after the Arrangement, hold one new common share in the capital of Eagle Plains ("Eagle Plains New Share") and one-half of a common share in the capital of Taiga ("Taiga Share") for each Eagle Plains common share ("Eagle Plains Share") held immediately prior to the Arrangement, where the Eagle Plains New Shares will be identical in every respect to the present Eagle Plains Shares. Eagle Plains will own nineteen point nine percent (19.9%) of the issued and outstanding Taiga Shares upon completion of the Arrangement.  </w:t>
      </w:r>
    </w:p>
    <w:p w:rsidR="006A257E" w:rsidRPr="00057E8A" w:rsidRDefault="006A257E" w:rsidP="006A257E">
      <w:pPr>
        <w:pStyle w:val="NormalWeb"/>
        <w:widowControl w:val="0"/>
        <w:spacing w:before="0" w:beforeAutospacing="0" w:after="0" w:afterAutospacing="0"/>
        <w:jc w:val="both"/>
        <w:rPr>
          <w:rFonts w:ascii="Arial" w:hAnsi="Arial" w:cs="Arial"/>
          <w:sz w:val="18"/>
          <w:szCs w:val="18"/>
        </w:rPr>
      </w:pPr>
    </w:p>
    <w:p w:rsidR="006A257E" w:rsidRDefault="006A257E" w:rsidP="006A257E">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 xml:space="preserve">The reorganization was approved by shareholders at a special meeting on April 6, 2018 and received formal approval of the Court of Queen's Bench of Alberta on April 11, 2018.  Taiga securities </w:t>
      </w:r>
      <w:r>
        <w:rPr>
          <w:rFonts w:ascii="Arial" w:hAnsi="Arial" w:cs="Arial"/>
          <w:sz w:val="18"/>
          <w:szCs w:val="18"/>
        </w:rPr>
        <w:t>were</w:t>
      </w:r>
      <w:r w:rsidRPr="00057E8A">
        <w:rPr>
          <w:rFonts w:ascii="Arial" w:hAnsi="Arial" w:cs="Arial"/>
          <w:sz w:val="18"/>
          <w:szCs w:val="18"/>
        </w:rPr>
        <w:t xml:space="preserve"> listed for trading on the CSE on April </w:t>
      </w:r>
      <w:r>
        <w:rPr>
          <w:rFonts w:ascii="Arial" w:hAnsi="Arial" w:cs="Arial"/>
          <w:sz w:val="18"/>
          <w:szCs w:val="18"/>
        </w:rPr>
        <w:t>30</w:t>
      </w:r>
      <w:r w:rsidRPr="00057E8A">
        <w:rPr>
          <w:rFonts w:ascii="Arial" w:hAnsi="Arial" w:cs="Arial"/>
          <w:sz w:val="18"/>
          <w:szCs w:val="18"/>
        </w:rPr>
        <w:t>, 2018.</w:t>
      </w:r>
    </w:p>
    <w:p w:rsidR="006A257E" w:rsidRPr="0014469A" w:rsidRDefault="006A257E" w:rsidP="006A257E">
      <w:pPr>
        <w:pBdr>
          <w:bottom w:val="single" w:sz="8" w:space="1" w:color="auto"/>
        </w:pBdr>
        <w:jc w:val="both"/>
        <w:rPr>
          <w:rFonts w:ascii="Arial" w:hAnsi="Arial" w:cs="Arial"/>
          <w:bCs/>
          <w:sz w:val="18"/>
          <w:szCs w:val="18"/>
        </w:rPr>
      </w:pPr>
    </w:p>
    <w:p w:rsidR="006A257E" w:rsidRDefault="006A257E" w:rsidP="006A257E">
      <w:pPr>
        <w:jc w:val="both"/>
        <w:rPr>
          <w:rFonts w:ascii="Arial" w:hAnsi="Arial" w:cs="Arial"/>
          <w:b/>
          <w:bCs/>
          <w:sz w:val="18"/>
          <w:szCs w:val="18"/>
        </w:rPr>
      </w:pPr>
    </w:p>
    <w:p w:rsidR="006A257E" w:rsidRDefault="006A257E" w:rsidP="006A257E">
      <w:pPr>
        <w:jc w:val="both"/>
        <w:rPr>
          <w:rFonts w:ascii="Arial" w:hAnsi="Arial" w:cs="Arial"/>
          <w:bCs/>
          <w:sz w:val="18"/>
          <w:szCs w:val="18"/>
        </w:rPr>
      </w:pPr>
      <w:r>
        <w:rPr>
          <w:rFonts w:ascii="Arial" w:hAnsi="Arial" w:cs="Arial"/>
          <w:b/>
          <w:bCs/>
          <w:sz w:val="18"/>
          <w:szCs w:val="18"/>
        </w:rPr>
        <w:t>3.     Basis of Preparation</w:t>
      </w:r>
    </w:p>
    <w:p w:rsidR="006A257E" w:rsidRPr="0014469A" w:rsidRDefault="006A257E" w:rsidP="006A257E">
      <w:pPr>
        <w:pBdr>
          <w:bottom w:val="single" w:sz="8" w:space="1" w:color="auto"/>
        </w:pBdr>
        <w:jc w:val="both"/>
        <w:rPr>
          <w:rFonts w:ascii="Arial" w:hAnsi="Arial" w:cs="Arial"/>
          <w:bCs/>
          <w:sz w:val="18"/>
          <w:szCs w:val="18"/>
        </w:rPr>
      </w:pPr>
    </w:p>
    <w:p w:rsidR="006A257E" w:rsidRPr="00F149E4" w:rsidRDefault="006A257E" w:rsidP="006A257E">
      <w:pPr>
        <w:jc w:val="both"/>
        <w:rPr>
          <w:rFonts w:ascii="Arial" w:hAnsi="Arial" w:cs="Arial"/>
          <w:bCs/>
          <w:sz w:val="12"/>
          <w:szCs w:val="12"/>
        </w:rPr>
      </w:pPr>
    </w:p>
    <w:p w:rsidR="006A257E" w:rsidRPr="001E0B0F" w:rsidRDefault="006A257E" w:rsidP="00444A4B">
      <w:pPr>
        <w:numPr>
          <w:ilvl w:val="0"/>
          <w:numId w:val="8"/>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Statement of Compliance</w:t>
      </w:r>
    </w:p>
    <w:p w:rsidR="006A257E" w:rsidRDefault="006A257E" w:rsidP="006A257E">
      <w:pPr>
        <w:jc w:val="both"/>
        <w:rPr>
          <w:rFonts w:ascii="Arial" w:hAnsi="Arial" w:cs="Arial"/>
          <w:bCs/>
          <w:sz w:val="18"/>
          <w:szCs w:val="18"/>
        </w:rPr>
      </w:pPr>
    </w:p>
    <w:p w:rsidR="006A257E" w:rsidRDefault="006A257E" w:rsidP="006A257E">
      <w:pPr>
        <w:widowControl w:val="0"/>
        <w:jc w:val="both"/>
        <w:rPr>
          <w:rFonts w:ascii="Arial" w:hAnsi="Arial" w:cs="Arial"/>
          <w:bCs/>
          <w:sz w:val="18"/>
          <w:szCs w:val="18"/>
        </w:rPr>
      </w:pPr>
      <w:r w:rsidRPr="00371766">
        <w:rPr>
          <w:rFonts w:ascii="Arial" w:hAnsi="Arial" w:cs="Arial"/>
          <w:bCs/>
          <w:sz w:val="18"/>
          <w:szCs w:val="18"/>
        </w:rPr>
        <w:t xml:space="preserve">The </w:t>
      </w:r>
      <w:r>
        <w:rPr>
          <w:rFonts w:ascii="Arial" w:hAnsi="Arial" w:cs="Arial"/>
          <w:bCs/>
          <w:sz w:val="18"/>
          <w:szCs w:val="18"/>
        </w:rPr>
        <w:t>condensed interim</w:t>
      </w:r>
      <w:r w:rsidRPr="00371766">
        <w:rPr>
          <w:rFonts w:ascii="Arial" w:hAnsi="Arial" w:cs="Arial"/>
          <w:bCs/>
          <w:sz w:val="18"/>
          <w:szCs w:val="18"/>
        </w:rPr>
        <w:t xml:space="preserve"> financial statements for the Company for the periods ending </w:t>
      </w:r>
      <w:r>
        <w:rPr>
          <w:rFonts w:ascii="Arial" w:hAnsi="Arial" w:cs="Arial"/>
          <w:bCs/>
          <w:sz w:val="18"/>
          <w:szCs w:val="18"/>
        </w:rPr>
        <w:t>June 30</w:t>
      </w:r>
      <w:r w:rsidRPr="00371766">
        <w:rPr>
          <w:rFonts w:ascii="Arial" w:hAnsi="Arial" w:cs="Arial"/>
          <w:bCs/>
          <w:sz w:val="18"/>
          <w:szCs w:val="18"/>
        </w:rPr>
        <w:t xml:space="preserve">, 2018 and 2017 are prepared in accordance with International Financial Reporting Standard 34 (“IAS 34”), Interim Financial Reporting, using accounting policies which are consistent with International Financial Reporting Standards (“IFRS”) as issued by </w:t>
      </w:r>
    </w:p>
    <w:p w:rsidR="006A257E" w:rsidRDefault="006A257E" w:rsidP="006A257E">
      <w:pPr>
        <w:jc w:val="both"/>
        <w:rPr>
          <w:rFonts w:ascii="Arial" w:hAnsi="Arial" w:cs="Arial"/>
          <w:b/>
          <w:bCs/>
          <w:sz w:val="18"/>
          <w:szCs w:val="18"/>
        </w:rPr>
      </w:pPr>
    </w:p>
    <w:p w:rsidR="006A257E" w:rsidRDefault="006A257E" w:rsidP="006A257E">
      <w:pPr>
        <w:jc w:val="both"/>
        <w:rPr>
          <w:rFonts w:ascii="Arial" w:hAnsi="Arial" w:cs="Arial"/>
          <w:bCs/>
          <w:sz w:val="18"/>
          <w:szCs w:val="18"/>
        </w:rPr>
      </w:pPr>
      <w:r>
        <w:rPr>
          <w:rFonts w:ascii="Arial" w:hAnsi="Arial" w:cs="Arial"/>
          <w:b/>
          <w:bCs/>
          <w:sz w:val="18"/>
          <w:szCs w:val="18"/>
        </w:rPr>
        <w:t>3.     Basis of Preparation - continued</w:t>
      </w:r>
    </w:p>
    <w:p w:rsidR="006A257E" w:rsidRPr="0014469A" w:rsidRDefault="006A257E" w:rsidP="006A257E">
      <w:pPr>
        <w:pBdr>
          <w:bottom w:val="single" w:sz="8" w:space="1" w:color="auto"/>
        </w:pBdr>
        <w:jc w:val="both"/>
        <w:rPr>
          <w:rFonts w:ascii="Arial" w:hAnsi="Arial" w:cs="Arial"/>
          <w:bCs/>
          <w:sz w:val="18"/>
          <w:szCs w:val="18"/>
        </w:rPr>
      </w:pPr>
    </w:p>
    <w:p w:rsidR="006A257E" w:rsidRDefault="006A257E" w:rsidP="006A257E">
      <w:pPr>
        <w:widowControl w:val="0"/>
        <w:jc w:val="both"/>
        <w:rPr>
          <w:rFonts w:ascii="Arial" w:hAnsi="Arial" w:cs="Arial"/>
          <w:bCs/>
          <w:sz w:val="18"/>
          <w:szCs w:val="18"/>
        </w:rPr>
      </w:pPr>
    </w:p>
    <w:p w:rsidR="006A257E" w:rsidRPr="00371766" w:rsidRDefault="006A257E" w:rsidP="006A257E">
      <w:pPr>
        <w:widowControl w:val="0"/>
        <w:jc w:val="both"/>
        <w:rPr>
          <w:rFonts w:ascii="Arial" w:hAnsi="Arial" w:cs="Arial"/>
          <w:sz w:val="18"/>
          <w:szCs w:val="18"/>
        </w:rPr>
      </w:pPr>
      <w:r w:rsidRPr="00371766">
        <w:rPr>
          <w:rFonts w:ascii="Arial" w:hAnsi="Arial" w:cs="Arial"/>
          <w:bCs/>
          <w:sz w:val="18"/>
          <w:szCs w:val="18"/>
        </w:rPr>
        <w:t xml:space="preserve">the International Accounting Standards Board (“IASB”) and the International Financial Reporting Interpretations Committee (“IFRIC”) and in accordance with a financial reporting framework specified in subsection 3.11(6) of the National Instrument 52-107 </w:t>
      </w:r>
      <w:r w:rsidRPr="00371766">
        <w:rPr>
          <w:rFonts w:ascii="Arial" w:hAnsi="Arial" w:cs="Arial"/>
          <w:bCs/>
          <w:i/>
          <w:sz w:val="18"/>
          <w:szCs w:val="18"/>
        </w:rPr>
        <w:t>Acceptable Accounting Principles and Auditing Standards</w:t>
      </w:r>
      <w:r w:rsidRPr="007A68AC">
        <w:rPr>
          <w:rFonts w:ascii="Arial" w:hAnsi="Arial" w:cs="Arial"/>
          <w:bCs/>
          <w:sz w:val="18"/>
          <w:szCs w:val="18"/>
        </w:rPr>
        <w:t xml:space="preserve"> </w:t>
      </w:r>
      <w:r w:rsidRPr="00371766">
        <w:rPr>
          <w:rFonts w:ascii="Arial" w:hAnsi="Arial" w:cs="Arial"/>
          <w:bCs/>
          <w:sz w:val="18"/>
          <w:szCs w:val="18"/>
        </w:rPr>
        <w:t xml:space="preserve">for carve-out financial statements.  </w:t>
      </w:r>
    </w:p>
    <w:p w:rsidR="006A257E" w:rsidRDefault="006A257E" w:rsidP="006A257E">
      <w:pPr>
        <w:jc w:val="both"/>
        <w:rPr>
          <w:rFonts w:ascii="Arial" w:hAnsi="Arial" w:cs="Arial"/>
          <w:bCs/>
          <w:sz w:val="18"/>
          <w:szCs w:val="18"/>
        </w:rPr>
      </w:pPr>
    </w:p>
    <w:p w:rsidR="006A257E" w:rsidRPr="00A773EC" w:rsidRDefault="006A257E" w:rsidP="006A257E">
      <w:pPr>
        <w:jc w:val="both"/>
        <w:rPr>
          <w:rFonts w:ascii="Arial" w:hAnsi="Arial" w:cs="Arial"/>
          <w:bCs/>
          <w:sz w:val="18"/>
          <w:szCs w:val="18"/>
        </w:rPr>
      </w:pPr>
      <w:r>
        <w:rPr>
          <w:rFonts w:ascii="Arial" w:hAnsi="Arial" w:cs="Arial"/>
          <w:bCs/>
          <w:sz w:val="18"/>
          <w:szCs w:val="18"/>
        </w:rPr>
        <w:t xml:space="preserve">These condensed interim financial statements were authorized for issue by the Board of Directors on August 23, 2018. </w:t>
      </w:r>
    </w:p>
    <w:p w:rsidR="006A257E" w:rsidRDefault="006A257E" w:rsidP="006A257E">
      <w:pPr>
        <w:jc w:val="both"/>
        <w:rPr>
          <w:rFonts w:ascii="Arial" w:hAnsi="Arial" w:cs="Arial"/>
          <w:b/>
          <w:bCs/>
          <w:sz w:val="18"/>
          <w:szCs w:val="18"/>
        </w:rPr>
      </w:pPr>
    </w:p>
    <w:p w:rsidR="006A257E" w:rsidRPr="001E0B0F" w:rsidRDefault="006A257E" w:rsidP="00444A4B">
      <w:pPr>
        <w:numPr>
          <w:ilvl w:val="0"/>
          <w:numId w:val="8"/>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Basis of Measurement</w:t>
      </w:r>
    </w:p>
    <w:p w:rsidR="006A257E" w:rsidRPr="00A773EC" w:rsidRDefault="006A257E" w:rsidP="006A257E">
      <w:pPr>
        <w:jc w:val="both"/>
        <w:rPr>
          <w:rFonts w:ascii="Arial" w:hAnsi="Arial" w:cs="Arial"/>
          <w:bCs/>
          <w:sz w:val="18"/>
          <w:szCs w:val="18"/>
        </w:rPr>
      </w:pPr>
    </w:p>
    <w:p w:rsidR="006A257E" w:rsidRPr="00A773EC" w:rsidRDefault="006A257E" w:rsidP="006A257E">
      <w:pPr>
        <w:jc w:val="both"/>
        <w:rPr>
          <w:rFonts w:ascii="Arial" w:hAnsi="Arial" w:cs="Arial"/>
          <w:b/>
          <w:bCs/>
          <w:sz w:val="18"/>
          <w:szCs w:val="18"/>
        </w:rPr>
      </w:pPr>
      <w:r w:rsidRPr="00A773EC">
        <w:rPr>
          <w:rFonts w:ascii="Arial" w:hAnsi="Arial" w:cs="Arial"/>
          <w:bCs/>
          <w:sz w:val="18"/>
          <w:szCs w:val="18"/>
        </w:rPr>
        <w:t>These</w:t>
      </w:r>
      <w:r>
        <w:rPr>
          <w:rFonts w:ascii="Arial" w:hAnsi="Arial" w:cs="Arial"/>
          <w:bCs/>
          <w:iCs/>
          <w:spacing w:val="-2"/>
          <w:sz w:val="18"/>
          <w:szCs w:val="18"/>
        </w:rPr>
        <w:t xml:space="preserve"> condensed interim </w:t>
      </w:r>
      <w:r w:rsidRPr="00A773EC">
        <w:rPr>
          <w:rFonts w:ascii="Arial" w:hAnsi="Arial" w:cs="Arial"/>
          <w:bCs/>
          <w:sz w:val="18"/>
          <w:szCs w:val="18"/>
        </w:rPr>
        <w:t xml:space="preserve">financial statements have been prepared on a historical cost basis except for financial instruments classified as </w:t>
      </w:r>
      <w:r>
        <w:rPr>
          <w:rFonts w:ascii="Arial" w:hAnsi="Arial" w:cs="Arial"/>
          <w:bCs/>
          <w:sz w:val="18"/>
          <w:szCs w:val="18"/>
        </w:rPr>
        <w:t xml:space="preserve">Fair Value </w:t>
      </w:r>
      <w:proofErr w:type="gramStart"/>
      <w:r>
        <w:rPr>
          <w:rFonts w:ascii="Arial" w:hAnsi="Arial" w:cs="Arial"/>
          <w:bCs/>
          <w:sz w:val="18"/>
          <w:szCs w:val="18"/>
        </w:rPr>
        <w:t>Through</w:t>
      </w:r>
      <w:proofErr w:type="gramEnd"/>
      <w:r>
        <w:rPr>
          <w:rFonts w:ascii="Arial" w:hAnsi="Arial" w:cs="Arial"/>
          <w:bCs/>
          <w:sz w:val="18"/>
          <w:szCs w:val="18"/>
        </w:rPr>
        <w:t xml:space="preserve"> Profit or Loss (“</w:t>
      </w:r>
      <w:r w:rsidRPr="00A773EC">
        <w:rPr>
          <w:rFonts w:ascii="Arial" w:hAnsi="Arial" w:cs="Arial"/>
          <w:bCs/>
          <w:sz w:val="18"/>
          <w:szCs w:val="18"/>
        </w:rPr>
        <w:t>FVTPL</w:t>
      </w:r>
      <w:r>
        <w:rPr>
          <w:rFonts w:ascii="Arial" w:hAnsi="Arial" w:cs="Arial"/>
          <w:bCs/>
          <w:sz w:val="18"/>
          <w:szCs w:val="18"/>
        </w:rPr>
        <w:t>”)</w:t>
      </w:r>
      <w:r w:rsidRPr="00A773EC">
        <w:rPr>
          <w:rFonts w:ascii="Arial" w:hAnsi="Arial" w:cs="Arial"/>
          <w:bCs/>
          <w:sz w:val="18"/>
          <w:szCs w:val="18"/>
        </w:rPr>
        <w:t xml:space="preserve"> and available-for-sale which are stated at their fair value.</w:t>
      </w:r>
      <w:r>
        <w:rPr>
          <w:rFonts w:ascii="Arial" w:hAnsi="Arial" w:cs="Arial"/>
          <w:bCs/>
          <w:sz w:val="18"/>
          <w:szCs w:val="18"/>
        </w:rPr>
        <w:t xml:space="preserve"> These </w:t>
      </w:r>
      <w:r>
        <w:rPr>
          <w:rFonts w:ascii="Arial" w:hAnsi="Arial" w:cs="Arial"/>
          <w:bCs/>
          <w:iCs/>
          <w:spacing w:val="-2"/>
          <w:sz w:val="18"/>
          <w:szCs w:val="18"/>
        </w:rPr>
        <w:t xml:space="preserve">condensed interim </w:t>
      </w:r>
      <w:r>
        <w:rPr>
          <w:rFonts w:ascii="Arial" w:hAnsi="Arial" w:cs="Arial"/>
          <w:bCs/>
          <w:sz w:val="18"/>
          <w:szCs w:val="18"/>
        </w:rPr>
        <w:t>financial statements have been prepared using the accrual basis of accounting, except for cash flow information.</w:t>
      </w:r>
    </w:p>
    <w:p w:rsidR="006A257E" w:rsidRPr="00D072D2" w:rsidRDefault="006A257E" w:rsidP="006A257E">
      <w:pPr>
        <w:jc w:val="both"/>
        <w:rPr>
          <w:rFonts w:ascii="Arial" w:hAnsi="Arial" w:cs="Arial"/>
          <w:bCs/>
          <w:sz w:val="12"/>
          <w:szCs w:val="12"/>
        </w:rPr>
      </w:pPr>
      <w:r>
        <w:rPr>
          <w:rFonts w:ascii="Arial" w:hAnsi="Arial" w:cs="Arial"/>
          <w:bCs/>
          <w:sz w:val="12"/>
          <w:szCs w:val="12"/>
        </w:rPr>
        <w:t xml:space="preserve"> </w:t>
      </w:r>
    </w:p>
    <w:p w:rsidR="006A257E" w:rsidRPr="00A773EC" w:rsidRDefault="006A257E" w:rsidP="006A257E">
      <w:pPr>
        <w:jc w:val="both"/>
        <w:rPr>
          <w:rFonts w:ascii="Arial" w:hAnsi="Arial" w:cs="Arial"/>
          <w:bCs/>
          <w:sz w:val="18"/>
          <w:szCs w:val="18"/>
        </w:rPr>
      </w:pPr>
      <w:r w:rsidRPr="00A773EC">
        <w:rPr>
          <w:rFonts w:ascii="Arial" w:hAnsi="Arial" w:cs="Arial"/>
          <w:bCs/>
          <w:sz w:val="18"/>
          <w:szCs w:val="18"/>
        </w:rPr>
        <w:t>These</w:t>
      </w:r>
      <w:r>
        <w:rPr>
          <w:rFonts w:ascii="Arial" w:hAnsi="Arial" w:cs="Arial"/>
          <w:bCs/>
          <w:iCs/>
          <w:spacing w:val="-2"/>
          <w:sz w:val="18"/>
          <w:szCs w:val="18"/>
        </w:rPr>
        <w:t xml:space="preserve"> condensed interim </w:t>
      </w:r>
      <w:r w:rsidRPr="00A773EC">
        <w:rPr>
          <w:rFonts w:ascii="Arial" w:hAnsi="Arial" w:cs="Arial"/>
          <w:bCs/>
          <w:sz w:val="18"/>
          <w:szCs w:val="18"/>
        </w:rPr>
        <w:t xml:space="preserve">financial statements are presented in Canadian dollars, which is also the </w:t>
      </w:r>
      <w:r>
        <w:rPr>
          <w:rFonts w:ascii="Arial" w:hAnsi="Arial" w:cs="Arial"/>
          <w:bCs/>
          <w:sz w:val="18"/>
          <w:szCs w:val="18"/>
        </w:rPr>
        <w:t>Company</w:t>
      </w:r>
      <w:r w:rsidRPr="00A773EC">
        <w:rPr>
          <w:rFonts w:ascii="Arial" w:hAnsi="Arial" w:cs="Arial"/>
          <w:bCs/>
          <w:sz w:val="18"/>
          <w:szCs w:val="18"/>
        </w:rPr>
        <w:t>’s functional currency.</w:t>
      </w:r>
    </w:p>
    <w:p w:rsidR="006A257E" w:rsidRDefault="006A257E" w:rsidP="006A257E">
      <w:pPr>
        <w:ind w:left="431"/>
        <w:jc w:val="both"/>
        <w:rPr>
          <w:rFonts w:ascii="Arial" w:hAnsi="Arial" w:cs="Arial"/>
          <w:bCs/>
          <w:sz w:val="18"/>
          <w:szCs w:val="18"/>
        </w:rPr>
      </w:pPr>
    </w:p>
    <w:p w:rsidR="006A257E" w:rsidRPr="001E0B0F" w:rsidRDefault="006A257E" w:rsidP="00444A4B">
      <w:pPr>
        <w:numPr>
          <w:ilvl w:val="0"/>
          <w:numId w:val="8"/>
        </w:numPr>
        <w:ind w:left="360"/>
        <w:jc w:val="both"/>
        <w:rPr>
          <w:rFonts w:ascii="Arial" w:hAnsi="Arial" w:cs="Arial"/>
          <w:bCs/>
          <w:sz w:val="18"/>
          <w:szCs w:val="18"/>
          <w:u w:val="single"/>
        </w:rPr>
      </w:pPr>
      <w:r>
        <w:rPr>
          <w:rFonts w:ascii="Arial" w:hAnsi="Arial" w:cs="Arial"/>
          <w:bCs/>
          <w:sz w:val="18"/>
          <w:szCs w:val="18"/>
        </w:rPr>
        <w:t xml:space="preserve">  </w:t>
      </w:r>
      <w:r w:rsidRPr="001E0B0F">
        <w:rPr>
          <w:rFonts w:ascii="Arial" w:hAnsi="Arial" w:cs="Arial"/>
          <w:bCs/>
          <w:sz w:val="18"/>
          <w:szCs w:val="18"/>
          <w:u w:val="single"/>
        </w:rPr>
        <w:t>Use of Estimates and Judgments</w:t>
      </w:r>
    </w:p>
    <w:p w:rsidR="006A257E" w:rsidRPr="000827D0" w:rsidRDefault="006A257E" w:rsidP="006A257E">
      <w:pPr>
        <w:ind w:left="1800"/>
        <w:jc w:val="both"/>
        <w:rPr>
          <w:rFonts w:ascii="Arial" w:hAnsi="Arial" w:cs="Arial"/>
          <w:bCs/>
          <w:sz w:val="18"/>
          <w:szCs w:val="18"/>
        </w:rPr>
      </w:pPr>
    </w:p>
    <w:p w:rsidR="006A257E" w:rsidRDefault="006A257E" w:rsidP="006A257E">
      <w:pPr>
        <w:jc w:val="both"/>
        <w:rPr>
          <w:rFonts w:ascii="Arial" w:hAnsi="Arial" w:cs="Arial"/>
          <w:sz w:val="18"/>
          <w:szCs w:val="18"/>
        </w:rPr>
      </w:pPr>
      <w:r w:rsidRPr="0014469A">
        <w:rPr>
          <w:rFonts w:ascii="Arial" w:hAnsi="Arial" w:cs="Arial"/>
          <w:sz w:val="18"/>
          <w:szCs w:val="18"/>
        </w:rPr>
        <w:t xml:space="preserve">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w:t>
      </w:r>
      <w:r>
        <w:rPr>
          <w:rFonts w:ascii="Arial" w:hAnsi="Arial" w:cs="Arial"/>
          <w:sz w:val="18"/>
          <w:szCs w:val="18"/>
        </w:rPr>
        <w:t xml:space="preserve">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w:t>
      </w:r>
      <w:r w:rsidRPr="0014469A">
        <w:rPr>
          <w:rFonts w:ascii="Arial" w:hAnsi="Arial" w:cs="Arial"/>
          <w:sz w:val="18"/>
          <w:szCs w:val="18"/>
        </w:rPr>
        <w:t>Financial results as determined by act</w:t>
      </w:r>
      <w:r>
        <w:rPr>
          <w:rFonts w:ascii="Arial" w:hAnsi="Arial" w:cs="Arial"/>
          <w:sz w:val="18"/>
          <w:szCs w:val="18"/>
        </w:rPr>
        <w:t>ual events could differ from the</w:t>
      </w:r>
      <w:r w:rsidRPr="0014469A">
        <w:rPr>
          <w:rFonts w:ascii="Arial" w:hAnsi="Arial" w:cs="Arial"/>
          <w:sz w:val="18"/>
          <w:szCs w:val="18"/>
        </w:rPr>
        <w:t>se estimates.</w:t>
      </w:r>
    </w:p>
    <w:p w:rsidR="006A257E" w:rsidRDefault="006A257E" w:rsidP="006A257E">
      <w:pPr>
        <w:jc w:val="both"/>
        <w:rPr>
          <w:rFonts w:ascii="Arial" w:hAnsi="Arial" w:cs="Arial"/>
          <w:b/>
          <w:bCs/>
          <w:sz w:val="18"/>
          <w:szCs w:val="18"/>
        </w:rPr>
      </w:pPr>
    </w:p>
    <w:p w:rsidR="006A257E" w:rsidRDefault="006A257E" w:rsidP="006A257E">
      <w:pPr>
        <w:widowControl w:val="0"/>
        <w:spacing w:before="60"/>
        <w:jc w:val="both"/>
        <w:rPr>
          <w:rFonts w:ascii="Arial" w:hAnsi="Arial" w:cs="Arial"/>
          <w:sz w:val="18"/>
          <w:szCs w:val="18"/>
        </w:rPr>
      </w:pPr>
      <w:r>
        <w:rPr>
          <w:rFonts w:ascii="Arial" w:hAnsi="Arial" w:cs="Arial"/>
          <w:sz w:val="18"/>
          <w:szCs w:val="18"/>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periods if the revision affects both current and future periods.</w:t>
      </w:r>
    </w:p>
    <w:p w:rsidR="006A257E" w:rsidRDefault="006A257E" w:rsidP="006A257E">
      <w:pPr>
        <w:jc w:val="both"/>
        <w:rPr>
          <w:rFonts w:ascii="Arial" w:hAnsi="Arial" w:cs="Arial"/>
          <w:sz w:val="18"/>
          <w:szCs w:val="18"/>
        </w:rPr>
      </w:pPr>
    </w:p>
    <w:p w:rsidR="006A257E" w:rsidRDefault="006A257E" w:rsidP="006A257E">
      <w:pPr>
        <w:jc w:val="both"/>
        <w:rPr>
          <w:rFonts w:ascii="Arial" w:hAnsi="Arial" w:cs="Arial"/>
          <w:sz w:val="18"/>
          <w:szCs w:val="18"/>
        </w:rPr>
      </w:pPr>
      <w:r w:rsidRPr="0014469A">
        <w:rPr>
          <w:rFonts w:ascii="Arial" w:hAnsi="Arial" w:cs="Arial"/>
          <w:sz w:val="18"/>
          <w:szCs w:val="18"/>
        </w:rPr>
        <w:t>Significant areas requiring the use of management estimates</w:t>
      </w:r>
      <w:r>
        <w:rPr>
          <w:rFonts w:ascii="Arial" w:hAnsi="Arial" w:cs="Arial"/>
          <w:sz w:val="18"/>
          <w:szCs w:val="18"/>
        </w:rPr>
        <w:t xml:space="preserve"> </w:t>
      </w:r>
      <w:r w:rsidRPr="0014469A">
        <w:rPr>
          <w:rFonts w:ascii="Arial" w:hAnsi="Arial" w:cs="Arial"/>
          <w:sz w:val="18"/>
          <w:szCs w:val="18"/>
        </w:rPr>
        <w:t xml:space="preserve">include </w:t>
      </w:r>
      <w:r>
        <w:rPr>
          <w:rFonts w:ascii="Arial" w:hAnsi="Arial" w:cs="Arial"/>
          <w:sz w:val="18"/>
          <w:szCs w:val="18"/>
        </w:rPr>
        <w:t xml:space="preserve">the determination of the allocation of Eagle Plains’ general and administrative expenses included in the carve-out statements of comprehensive loss; </w:t>
      </w:r>
      <w:r w:rsidRPr="0014469A">
        <w:rPr>
          <w:rFonts w:ascii="Arial" w:hAnsi="Arial" w:cs="Arial"/>
          <w:sz w:val="18"/>
          <w:szCs w:val="18"/>
        </w:rPr>
        <w:t xml:space="preserve">impairment of </w:t>
      </w:r>
      <w:r>
        <w:rPr>
          <w:rFonts w:ascii="Arial" w:hAnsi="Arial" w:cs="Arial"/>
          <w:sz w:val="18"/>
          <w:szCs w:val="18"/>
        </w:rPr>
        <w:t>exploration and evaluation assets</w:t>
      </w:r>
      <w:r w:rsidRPr="0014469A">
        <w:rPr>
          <w:rFonts w:ascii="Arial" w:hAnsi="Arial" w:cs="Arial"/>
          <w:sz w:val="18"/>
          <w:szCs w:val="18"/>
        </w:rPr>
        <w:t>;</w:t>
      </w:r>
      <w:r>
        <w:rPr>
          <w:rFonts w:ascii="Arial" w:hAnsi="Arial" w:cs="Arial"/>
          <w:sz w:val="18"/>
          <w:szCs w:val="18"/>
        </w:rPr>
        <w:t xml:space="preserve"> provision of reclamation and environmental obligations, if any; and inputs used in accounting for share-based payments in profit or loss. </w:t>
      </w:r>
    </w:p>
    <w:p w:rsidR="006A257E" w:rsidRDefault="006A257E" w:rsidP="006A257E">
      <w:pPr>
        <w:ind w:left="431"/>
        <w:jc w:val="both"/>
        <w:rPr>
          <w:rFonts w:ascii="Arial" w:hAnsi="Arial" w:cs="Arial"/>
          <w:sz w:val="18"/>
          <w:szCs w:val="18"/>
        </w:rPr>
      </w:pPr>
    </w:p>
    <w:p w:rsidR="006A257E" w:rsidRDefault="006A257E" w:rsidP="006A257E">
      <w:pPr>
        <w:jc w:val="both"/>
        <w:rPr>
          <w:rFonts w:ascii="Arial" w:hAnsi="Arial" w:cs="Arial"/>
          <w:sz w:val="18"/>
          <w:szCs w:val="18"/>
        </w:rPr>
      </w:pPr>
      <w:r>
        <w:rPr>
          <w:rFonts w:ascii="Arial" w:hAnsi="Arial" w:cs="Arial"/>
          <w:sz w:val="18"/>
          <w:szCs w:val="18"/>
        </w:rPr>
        <w:t>Areas of significant judgment include the going concern assessment (note 1); the classification of financial instruments; recognition of deferred income taxes and</w:t>
      </w:r>
      <w:r w:rsidRPr="0014469A">
        <w:rPr>
          <w:rFonts w:ascii="Arial" w:hAnsi="Arial" w:cs="Arial"/>
          <w:sz w:val="18"/>
          <w:szCs w:val="18"/>
        </w:rPr>
        <w:t xml:space="preserve"> contingencies reported in the notes to the</w:t>
      </w:r>
      <w:r>
        <w:rPr>
          <w:rFonts w:ascii="Arial" w:hAnsi="Arial" w:cs="Arial"/>
          <w:sz w:val="18"/>
          <w:szCs w:val="18"/>
        </w:rPr>
        <w:t xml:space="preserve"> carve-out</w:t>
      </w:r>
      <w:r w:rsidRPr="0014469A">
        <w:rPr>
          <w:rFonts w:ascii="Arial" w:hAnsi="Arial" w:cs="Arial"/>
          <w:sz w:val="18"/>
          <w:szCs w:val="18"/>
        </w:rPr>
        <w:t xml:space="preserve"> financial statements</w:t>
      </w:r>
      <w:r>
        <w:rPr>
          <w:rFonts w:ascii="Arial" w:hAnsi="Arial" w:cs="Arial"/>
          <w:sz w:val="18"/>
          <w:szCs w:val="18"/>
        </w:rPr>
        <w:t>;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rsidR="006A257E" w:rsidRPr="00FE7FD1" w:rsidRDefault="006A257E" w:rsidP="006A257E">
      <w:pPr>
        <w:pBdr>
          <w:bottom w:val="single" w:sz="8" w:space="1" w:color="auto"/>
        </w:pBdr>
        <w:jc w:val="both"/>
        <w:rPr>
          <w:rFonts w:ascii="Arial" w:hAnsi="Arial" w:cs="Arial"/>
          <w:bCs/>
          <w:sz w:val="18"/>
          <w:szCs w:val="18"/>
        </w:rPr>
      </w:pPr>
    </w:p>
    <w:p w:rsidR="006A257E" w:rsidRPr="00FE7FD1" w:rsidRDefault="006A257E" w:rsidP="006A257E">
      <w:pPr>
        <w:jc w:val="both"/>
        <w:rPr>
          <w:rFonts w:ascii="Arial" w:hAnsi="Arial" w:cs="Arial"/>
          <w:bCs/>
          <w:sz w:val="18"/>
          <w:szCs w:val="18"/>
        </w:rPr>
      </w:pPr>
    </w:p>
    <w:p w:rsidR="006A257E" w:rsidRPr="00FE7FD1" w:rsidRDefault="006A257E" w:rsidP="00444A4B">
      <w:pPr>
        <w:widowControl w:val="0"/>
        <w:numPr>
          <w:ilvl w:val="0"/>
          <w:numId w:val="11"/>
        </w:numPr>
        <w:autoSpaceDE w:val="0"/>
        <w:autoSpaceDN w:val="0"/>
        <w:adjustRightInd w:val="0"/>
        <w:ind w:left="357" w:hanging="357"/>
        <w:jc w:val="both"/>
        <w:rPr>
          <w:rFonts w:ascii="Arial" w:hAnsi="Arial" w:cs="Arial"/>
          <w:b/>
          <w:bCs/>
          <w:sz w:val="18"/>
          <w:szCs w:val="18"/>
        </w:rPr>
      </w:pPr>
      <w:r w:rsidRPr="00FE7FD1">
        <w:rPr>
          <w:rFonts w:ascii="Arial" w:hAnsi="Arial" w:cs="Arial"/>
          <w:b/>
          <w:bCs/>
          <w:sz w:val="18"/>
          <w:szCs w:val="18"/>
        </w:rPr>
        <w:t xml:space="preserve">Significant Accounting Policies </w:t>
      </w:r>
    </w:p>
    <w:p w:rsidR="006A257E" w:rsidRPr="00FE7FD1" w:rsidRDefault="006A257E" w:rsidP="006A257E">
      <w:pPr>
        <w:pBdr>
          <w:bottom w:val="single" w:sz="8" w:space="1" w:color="auto"/>
        </w:pBdr>
        <w:jc w:val="both"/>
        <w:rPr>
          <w:rFonts w:ascii="Arial" w:hAnsi="Arial" w:cs="Arial"/>
          <w:bCs/>
          <w:sz w:val="18"/>
          <w:szCs w:val="18"/>
        </w:rPr>
      </w:pPr>
    </w:p>
    <w:p w:rsidR="006A257E" w:rsidRPr="00B76BA2" w:rsidRDefault="006A257E" w:rsidP="006A257E">
      <w:pPr>
        <w:ind w:left="432"/>
        <w:jc w:val="both"/>
        <w:rPr>
          <w:rFonts w:ascii="Arial" w:hAnsi="Arial" w:cs="Arial"/>
          <w:sz w:val="12"/>
          <w:szCs w:val="12"/>
        </w:rPr>
      </w:pPr>
    </w:p>
    <w:p w:rsidR="006A257E" w:rsidRPr="0014469A" w:rsidRDefault="006A257E" w:rsidP="006A257E">
      <w:pPr>
        <w:jc w:val="both"/>
        <w:rPr>
          <w:rFonts w:ascii="Arial" w:hAnsi="Arial" w:cs="Arial"/>
          <w:sz w:val="18"/>
          <w:szCs w:val="18"/>
        </w:rPr>
      </w:pPr>
      <w:r>
        <w:rPr>
          <w:rFonts w:ascii="Arial" w:hAnsi="Arial" w:cs="Arial"/>
          <w:sz w:val="18"/>
          <w:szCs w:val="18"/>
        </w:rPr>
        <w:t xml:space="preserve">The accounting policies set out below have been applied consistently to all periods presented in these condensed interim financial statements. The accounting policies have been applied consistently by the Company. </w:t>
      </w:r>
      <w:r w:rsidRPr="0014469A">
        <w:rPr>
          <w:rFonts w:ascii="Arial" w:hAnsi="Arial" w:cs="Arial"/>
          <w:sz w:val="18"/>
          <w:szCs w:val="18"/>
        </w:rPr>
        <w:t>The</w:t>
      </w:r>
      <w:r>
        <w:rPr>
          <w:rFonts w:ascii="Arial" w:hAnsi="Arial" w:cs="Arial"/>
          <w:sz w:val="18"/>
          <w:szCs w:val="18"/>
        </w:rPr>
        <w:t xml:space="preserve"> condensed interim</w:t>
      </w:r>
      <w:r>
        <w:rPr>
          <w:rFonts w:ascii="Arial" w:hAnsi="Arial" w:cs="Arial"/>
          <w:bCs/>
          <w:iCs/>
          <w:spacing w:val="-2"/>
          <w:sz w:val="18"/>
          <w:szCs w:val="18"/>
        </w:rPr>
        <w:t xml:space="preserve"> </w:t>
      </w:r>
      <w:r w:rsidRPr="0014469A">
        <w:rPr>
          <w:rFonts w:ascii="Arial" w:hAnsi="Arial" w:cs="Arial"/>
          <w:sz w:val="18"/>
          <w:szCs w:val="18"/>
        </w:rPr>
        <w:t>financial statements have, in management's opinion, been properly prepared using careful judgment with reasonable limits of materiality and within the framework of the significant accounting policies summarized below:</w:t>
      </w:r>
    </w:p>
    <w:p w:rsidR="006A257E" w:rsidRPr="00FE7FD1" w:rsidRDefault="006A257E" w:rsidP="006A257E">
      <w:pPr>
        <w:autoSpaceDE w:val="0"/>
        <w:autoSpaceDN w:val="0"/>
        <w:adjustRightInd w:val="0"/>
        <w:ind w:left="738"/>
        <w:jc w:val="both"/>
        <w:rPr>
          <w:rFonts w:ascii="Arial" w:hAnsi="Arial" w:cs="Arial"/>
          <w:sz w:val="18"/>
          <w:szCs w:val="18"/>
        </w:rPr>
      </w:pPr>
    </w:p>
    <w:p w:rsidR="006A257E" w:rsidRPr="007A68AC" w:rsidRDefault="006A257E" w:rsidP="00444A4B">
      <w:pPr>
        <w:widowControl w:val="0"/>
        <w:numPr>
          <w:ilvl w:val="0"/>
          <w:numId w:val="7"/>
        </w:numPr>
        <w:autoSpaceDE w:val="0"/>
        <w:autoSpaceDN w:val="0"/>
        <w:adjustRightInd w:val="0"/>
        <w:ind w:left="0" w:firstLine="0"/>
        <w:jc w:val="both"/>
        <w:rPr>
          <w:rFonts w:ascii="Arial" w:hAnsi="Arial" w:cs="Arial"/>
          <w:sz w:val="18"/>
          <w:szCs w:val="18"/>
          <w:lang w:val="en-GB"/>
        </w:rPr>
      </w:pPr>
      <w:r>
        <w:rPr>
          <w:rFonts w:ascii="Arial" w:hAnsi="Arial" w:cs="Arial"/>
          <w:sz w:val="18"/>
          <w:szCs w:val="18"/>
          <w:u w:val="single"/>
        </w:rPr>
        <w:t>Cash and cash equivalents</w:t>
      </w:r>
    </w:p>
    <w:p w:rsidR="006A257E" w:rsidRPr="00057E8A" w:rsidRDefault="006A257E" w:rsidP="006A257E">
      <w:pPr>
        <w:tabs>
          <w:tab w:val="left" w:pos="720"/>
        </w:tabs>
        <w:ind w:left="425"/>
        <w:jc w:val="both"/>
        <w:rPr>
          <w:rFonts w:ascii="Arial" w:hAnsi="Arial" w:cs="Arial"/>
          <w:sz w:val="18"/>
          <w:szCs w:val="18"/>
        </w:rPr>
      </w:pPr>
      <w:r w:rsidRPr="00057E8A">
        <w:rPr>
          <w:rFonts w:ascii="Arial" w:hAnsi="Arial" w:cs="Arial"/>
          <w:sz w:val="18"/>
          <w:szCs w:val="18"/>
        </w:rPr>
        <w:t>Cash and cash equivalents consist of cash on hand, bank balances</w:t>
      </w:r>
      <w:r>
        <w:rPr>
          <w:rFonts w:ascii="Arial" w:hAnsi="Arial" w:cs="Arial"/>
          <w:sz w:val="18"/>
          <w:szCs w:val="18"/>
        </w:rPr>
        <w:t xml:space="preserve"> and</w:t>
      </w:r>
      <w:r w:rsidRPr="00057E8A">
        <w:rPr>
          <w:rFonts w:ascii="Arial" w:hAnsi="Arial" w:cs="Arial"/>
          <w:sz w:val="18"/>
          <w:szCs w:val="18"/>
        </w:rPr>
        <w:t xml:space="preserve"> term deposits that are readily convertible to known amounts of cash and subject to an insignificant risk of change in value.</w:t>
      </w:r>
    </w:p>
    <w:p w:rsidR="006A257E" w:rsidRDefault="006A257E" w:rsidP="006A257E">
      <w:pPr>
        <w:widowControl w:val="0"/>
        <w:autoSpaceDE w:val="0"/>
        <w:autoSpaceDN w:val="0"/>
        <w:adjustRightInd w:val="0"/>
        <w:ind w:left="720"/>
        <w:jc w:val="both"/>
        <w:rPr>
          <w:rFonts w:ascii="Arial" w:hAnsi="Arial" w:cs="Arial"/>
          <w:sz w:val="18"/>
          <w:szCs w:val="18"/>
          <w:lang w:val="en-GB"/>
        </w:rPr>
      </w:pPr>
    </w:p>
    <w:p w:rsidR="006A257E" w:rsidRDefault="006A257E" w:rsidP="006A257E">
      <w:pPr>
        <w:autoSpaceDE w:val="0"/>
        <w:autoSpaceDN w:val="0"/>
        <w:adjustRightInd w:val="0"/>
        <w:jc w:val="both"/>
        <w:rPr>
          <w:rFonts w:ascii="Arial" w:hAnsi="Arial" w:cs="Arial"/>
          <w:b/>
          <w:bCs/>
          <w:sz w:val="18"/>
          <w:szCs w:val="18"/>
        </w:rPr>
      </w:pPr>
    </w:p>
    <w:p w:rsidR="006A257E" w:rsidRPr="0014469A"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w:t>
      </w:r>
      <w:r w:rsidRPr="0014469A">
        <w:rPr>
          <w:rFonts w:ascii="Arial" w:hAnsi="Arial" w:cs="Arial"/>
          <w:b/>
          <w:bCs/>
          <w:sz w:val="18"/>
          <w:szCs w:val="18"/>
        </w:rPr>
        <w:t>.     Significant Accounting Policies - continued</w:t>
      </w:r>
    </w:p>
    <w:p w:rsidR="006A257E" w:rsidRPr="0014469A" w:rsidRDefault="006A257E" w:rsidP="006A257E">
      <w:pPr>
        <w:pBdr>
          <w:bottom w:val="single" w:sz="8" w:space="1" w:color="auto"/>
        </w:pBdr>
        <w:jc w:val="both"/>
        <w:rPr>
          <w:rFonts w:ascii="Arial" w:hAnsi="Arial" w:cs="Arial"/>
          <w:bCs/>
          <w:sz w:val="18"/>
          <w:szCs w:val="18"/>
        </w:rPr>
      </w:pPr>
    </w:p>
    <w:p w:rsidR="006A257E" w:rsidRPr="007A68AC" w:rsidRDefault="006A257E" w:rsidP="006A257E">
      <w:pPr>
        <w:widowControl w:val="0"/>
        <w:autoSpaceDE w:val="0"/>
        <w:autoSpaceDN w:val="0"/>
        <w:adjustRightInd w:val="0"/>
        <w:ind w:left="720"/>
        <w:jc w:val="both"/>
        <w:rPr>
          <w:rFonts w:ascii="Arial" w:hAnsi="Arial" w:cs="Arial"/>
          <w:sz w:val="18"/>
          <w:szCs w:val="18"/>
          <w:lang w:val="en-GB"/>
        </w:rPr>
      </w:pPr>
    </w:p>
    <w:p w:rsidR="006A257E" w:rsidRPr="00DB194C" w:rsidRDefault="006A257E" w:rsidP="00444A4B">
      <w:pPr>
        <w:widowControl w:val="0"/>
        <w:numPr>
          <w:ilvl w:val="0"/>
          <w:numId w:val="7"/>
        </w:numPr>
        <w:autoSpaceDE w:val="0"/>
        <w:autoSpaceDN w:val="0"/>
        <w:adjustRightInd w:val="0"/>
        <w:ind w:left="0" w:firstLine="0"/>
        <w:jc w:val="both"/>
        <w:rPr>
          <w:rFonts w:ascii="Arial" w:hAnsi="Arial" w:cs="Arial"/>
          <w:sz w:val="18"/>
          <w:szCs w:val="18"/>
          <w:lang w:val="en-GB"/>
        </w:rPr>
      </w:pPr>
      <w:r>
        <w:rPr>
          <w:rFonts w:ascii="Arial" w:hAnsi="Arial" w:cs="Arial"/>
          <w:sz w:val="18"/>
          <w:szCs w:val="18"/>
          <w:u w:val="single"/>
        </w:rPr>
        <w:t>Financial instruments</w:t>
      </w:r>
    </w:p>
    <w:p w:rsidR="006A257E" w:rsidRDefault="006A257E" w:rsidP="006A257E">
      <w:pPr>
        <w:widowControl w:val="0"/>
        <w:autoSpaceDE w:val="0"/>
        <w:autoSpaceDN w:val="0"/>
        <w:adjustRightInd w:val="0"/>
        <w:ind w:left="432"/>
        <w:jc w:val="both"/>
        <w:rPr>
          <w:rFonts w:ascii="Arial" w:hAnsi="Arial" w:cs="Arial"/>
          <w:sz w:val="18"/>
          <w:szCs w:val="18"/>
          <w:lang w:val="en-GB"/>
        </w:rPr>
      </w:pPr>
      <w:r>
        <w:rPr>
          <w:rFonts w:ascii="Arial" w:hAnsi="Arial" w:cs="Arial"/>
          <w:sz w:val="18"/>
          <w:szCs w:val="18"/>
          <w:lang w:val="en-GB"/>
        </w:rPr>
        <w:t>Financial instruments recognized in the condensed interim</w:t>
      </w:r>
      <w:r>
        <w:rPr>
          <w:rFonts w:ascii="Arial" w:hAnsi="Arial" w:cs="Arial"/>
          <w:bCs/>
          <w:iCs/>
          <w:spacing w:val="-2"/>
          <w:sz w:val="18"/>
          <w:szCs w:val="18"/>
        </w:rPr>
        <w:t xml:space="preserve"> </w:t>
      </w:r>
      <w:r>
        <w:rPr>
          <w:rFonts w:ascii="Arial" w:hAnsi="Arial" w:cs="Arial"/>
          <w:sz w:val="18"/>
          <w:szCs w:val="18"/>
          <w:lang w:val="en-GB"/>
        </w:rPr>
        <w:t xml:space="preserve">statements of financial position include cash and cash equivalents, accounts receivable and accounts payable and accrued liabilities.  </w:t>
      </w:r>
    </w:p>
    <w:p w:rsidR="006A257E" w:rsidRPr="007A68AC" w:rsidRDefault="006A257E" w:rsidP="006A257E">
      <w:pPr>
        <w:autoSpaceDE w:val="0"/>
        <w:autoSpaceDN w:val="0"/>
        <w:adjustRightInd w:val="0"/>
        <w:ind w:left="431"/>
        <w:jc w:val="both"/>
        <w:rPr>
          <w:rFonts w:ascii="Arial" w:hAnsi="Arial" w:cs="Arial"/>
          <w:sz w:val="18"/>
          <w:szCs w:val="18"/>
        </w:rPr>
      </w:pPr>
    </w:p>
    <w:p w:rsidR="006A257E" w:rsidRPr="00057E8A" w:rsidRDefault="006A257E" w:rsidP="006A257E">
      <w:pPr>
        <w:autoSpaceDE w:val="0"/>
        <w:autoSpaceDN w:val="0"/>
        <w:adjustRightInd w:val="0"/>
        <w:spacing w:after="60"/>
        <w:ind w:left="432"/>
        <w:jc w:val="both"/>
        <w:rPr>
          <w:rFonts w:ascii="Arial" w:hAnsi="Arial" w:cs="Arial"/>
          <w:i/>
          <w:sz w:val="18"/>
          <w:szCs w:val="18"/>
        </w:rPr>
      </w:pPr>
      <w:r w:rsidRPr="00057E8A">
        <w:rPr>
          <w:rFonts w:ascii="Arial" w:hAnsi="Arial" w:cs="Arial"/>
          <w:i/>
          <w:sz w:val="18"/>
          <w:szCs w:val="18"/>
        </w:rPr>
        <w:t xml:space="preserve">Financial assets </w:t>
      </w:r>
    </w:p>
    <w:p w:rsidR="006A257E" w:rsidRPr="00057E8A" w:rsidRDefault="006A257E" w:rsidP="006A257E">
      <w:pPr>
        <w:autoSpaceDE w:val="0"/>
        <w:autoSpaceDN w:val="0"/>
        <w:adjustRightInd w:val="0"/>
        <w:ind w:left="432"/>
        <w:jc w:val="both"/>
        <w:rPr>
          <w:rFonts w:ascii="Arial" w:hAnsi="Arial" w:cs="Arial"/>
          <w:sz w:val="18"/>
          <w:szCs w:val="18"/>
        </w:rPr>
      </w:pPr>
      <w:r w:rsidRPr="00057E8A">
        <w:rPr>
          <w:rFonts w:ascii="Arial" w:hAnsi="Arial" w:cs="Arial"/>
          <w:sz w:val="18"/>
          <w:szCs w:val="18"/>
        </w:rPr>
        <w:t>Financial assets at fair value through profit or loss (“FVTPL”)</w:t>
      </w:r>
    </w:p>
    <w:p w:rsidR="006A257E" w:rsidRPr="00057E8A" w:rsidRDefault="006A257E" w:rsidP="006A257E">
      <w:pPr>
        <w:autoSpaceDE w:val="0"/>
        <w:autoSpaceDN w:val="0"/>
        <w:adjustRightInd w:val="0"/>
        <w:ind w:left="432"/>
        <w:jc w:val="both"/>
        <w:rPr>
          <w:rFonts w:ascii="Arial" w:hAnsi="Arial" w:cs="Arial"/>
          <w:sz w:val="18"/>
          <w:szCs w:val="18"/>
          <w:lang w:val="en-GB"/>
        </w:rPr>
      </w:pPr>
      <w:r w:rsidRPr="00057E8A">
        <w:rPr>
          <w:rFonts w:ascii="Arial" w:hAnsi="Arial" w:cs="Arial"/>
          <w:sz w:val="18"/>
          <w:szCs w:val="18"/>
          <w:lang w:val="en-GB"/>
        </w:rPr>
        <w:t>Financial assets are classified as FVTPL when the financial asset is held for trading or it is designated as FVTPL.  Financial assets classified as FVTPL are stated at fair value with any resultant gain or loss recognized in profit or loss. The Company has classified cash and cash equivalents as FVTPL.</w:t>
      </w:r>
    </w:p>
    <w:p w:rsidR="006A257E" w:rsidRDefault="006A257E" w:rsidP="006A257E">
      <w:pPr>
        <w:autoSpaceDE w:val="0"/>
        <w:autoSpaceDN w:val="0"/>
        <w:adjustRightInd w:val="0"/>
        <w:jc w:val="both"/>
        <w:rPr>
          <w:rFonts w:ascii="Arial" w:hAnsi="Arial" w:cs="Arial"/>
          <w:b/>
          <w:bCs/>
          <w:sz w:val="18"/>
          <w:szCs w:val="18"/>
        </w:rPr>
      </w:pPr>
    </w:p>
    <w:p w:rsidR="006A257E" w:rsidRPr="00057E8A" w:rsidRDefault="006A257E" w:rsidP="006A257E">
      <w:pPr>
        <w:autoSpaceDE w:val="0"/>
        <w:autoSpaceDN w:val="0"/>
        <w:adjustRightInd w:val="0"/>
        <w:spacing w:after="60"/>
        <w:ind w:left="432"/>
        <w:jc w:val="both"/>
        <w:rPr>
          <w:rFonts w:ascii="Arial" w:hAnsi="Arial" w:cs="Arial"/>
          <w:i/>
          <w:sz w:val="18"/>
          <w:szCs w:val="18"/>
          <w:lang w:val="en-GB"/>
        </w:rPr>
      </w:pPr>
      <w:r w:rsidRPr="00057E8A">
        <w:rPr>
          <w:rFonts w:ascii="Arial" w:hAnsi="Arial" w:cs="Arial"/>
          <w:i/>
          <w:sz w:val="18"/>
          <w:szCs w:val="18"/>
          <w:lang w:val="en-GB"/>
        </w:rPr>
        <w:t>Loans and receivables</w:t>
      </w:r>
    </w:p>
    <w:p w:rsidR="006A257E" w:rsidRPr="00057E8A" w:rsidRDefault="006A257E" w:rsidP="006A257E">
      <w:pPr>
        <w:tabs>
          <w:tab w:val="left" w:pos="1080"/>
        </w:tabs>
        <w:autoSpaceDE w:val="0"/>
        <w:autoSpaceDN w:val="0"/>
        <w:adjustRightInd w:val="0"/>
        <w:ind w:left="432"/>
        <w:jc w:val="both"/>
        <w:rPr>
          <w:rFonts w:ascii="Arial" w:hAnsi="Arial" w:cs="Arial"/>
          <w:sz w:val="18"/>
          <w:szCs w:val="18"/>
          <w:lang w:val="en-GB"/>
        </w:rPr>
      </w:pPr>
      <w:r w:rsidRPr="00057E8A">
        <w:rPr>
          <w:rFonts w:ascii="Arial" w:hAnsi="Arial" w:cs="Arial"/>
          <w:sz w:val="18"/>
          <w:szCs w:val="18"/>
          <w:lang w:val="en-GB"/>
        </w:rPr>
        <w:t xml:space="preserve">Accounts receivable that have fixed or determinable payments that are not quoted in an active market are classified as loans and receivables.  Such assets are initially recognized at fair value plus transaction costs and subsequently carried at amortized cost less impairment losses. The impairment loss of receivables is based on a review of all outstanding amounts at year end.  Bad debts are written off during the period in which they are identified. </w:t>
      </w:r>
    </w:p>
    <w:p w:rsidR="006A257E" w:rsidRPr="00057E8A" w:rsidRDefault="006A257E" w:rsidP="006A257E">
      <w:pPr>
        <w:tabs>
          <w:tab w:val="left" w:pos="1080"/>
        </w:tabs>
        <w:autoSpaceDE w:val="0"/>
        <w:autoSpaceDN w:val="0"/>
        <w:adjustRightInd w:val="0"/>
        <w:ind w:left="432"/>
        <w:jc w:val="both"/>
        <w:rPr>
          <w:rFonts w:ascii="Arial" w:hAnsi="Arial" w:cs="Arial"/>
          <w:sz w:val="18"/>
          <w:szCs w:val="18"/>
          <w:lang w:val="en-GB"/>
        </w:rPr>
      </w:pPr>
    </w:p>
    <w:p w:rsidR="006A257E" w:rsidRPr="00057E8A" w:rsidRDefault="006A257E" w:rsidP="006A257E">
      <w:pPr>
        <w:tabs>
          <w:tab w:val="left" w:pos="720"/>
        </w:tabs>
        <w:ind w:left="432"/>
        <w:jc w:val="both"/>
        <w:rPr>
          <w:rFonts w:ascii="Arial" w:hAnsi="Arial" w:cs="Arial"/>
          <w:sz w:val="18"/>
          <w:szCs w:val="18"/>
        </w:rPr>
      </w:pPr>
      <w:r w:rsidRPr="00057E8A">
        <w:rPr>
          <w:rFonts w:ascii="Arial" w:hAnsi="Arial" w:cs="Arial"/>
          <w:sz w:val="18"/>
          <w:szCs w:val="18"/>
        </w:rPr>
        <w:t>The Company has classified accounts receivable as loans and receivables.</w:t>
      </w:r>
    </w:p>
    <w:p w:rsidR="006A257E" w:rsidRPr="00057E8A" w:rsidRDefault="006A257E" w:rsidP="006A257E">
      <w:pPr>
        <w:tabs>
          <w:tab w:val="left" w:pos="720"/>
        </w:tabs>
        <w:ind w:left="431"/>
        <w:jc w:val="both"/>
        <w:rPr>
          <w:rFonts w:ascii="Arial" w:hAnsi="Arial" w:cs="Arial"/>
          <w:sz w:val="18"/>
          <w:szCs w:val="18"/>
        </w:rPr>
      </w:pPr>
    </w:p>
    <w:p w:rsidR="006A257E" w:rsidRPr="00057E8A" w:rsidRDefault="006A257E" w:rsidP="006A257E">
      <w:pPr>
        <w:tabs>
          <w:tab w:val="left" w:pos="720"/>
        </w:tabs>
        <w:autoSpaceDE w:val="0"/>
        <w:autoSpaceDN w:val="0"/>
        <w:adjustRightInd w:val="0"/>
        <w:ind w:left="432"/>
        <w:jc w:val="both"/>
        <w:rPr>
          <w:rFonts w:ascii="Arial" w:hAnsi="Arial" w:cs="Arial"/>
          <w:sz w:val="18"/>
          <w:szCs w:val="18"/>
        </w:rPr>
      </w:pPr>
      <w:r w:rsidRPr="00057E8A">
        <w:rPr>
          <w:rFonts w:ascii="Arial" w:hAnsi="Arial" w:cs="Arial"/>
          <w:sz w:val="18"/>
          <w:szCs w:val="18"/>
        </w:rPr>
        <w:t>Transaction costs associated with FVTPL and available-for-sale financial assets are expensed as incurred, while transaction costs associated with all other financial assets are included in the initial carrying amount of the asset.</w:t>
      </w:r>
    </w:p>
    <w:p w:rsidR="006A257E" w:rsidRPr="00A5112F" w:rsidRDefault="006A257E" w:rsidP="006A257E">
      <w:pPr>
        <w:tabs>
          <w:tab w:val="left" w:pos="720"/>
        </w:tabs>
        <w:autoSpaceDE w:val="0"/>
        <w:autoSpaceDN w:val="0"/>
        <w:adjustRightInd w:val="0"/>
        <w:ind w:left="431"/>
        <w:jc w:val="both"/>
        <w:rPr>
          <w:rFonts w:ascii="Arial" w:hAnsi="Arial" w:cs="Arial"/>
          <w:sz w:val="18"/>
          <w:szCs w:val="18"/>
          <w:lang w:val="en-GB"/>
        </w:rPr>
      </w:pPr>
    </w:p>
    <w:p w:rsidR="006A257E" w:rsidRPr="00D63066" w:rsidRDefault="006A257E" w:rsidP="006A257E">
      <w:pPr>
        <w:tabs>
          <w:tab w:val="left" w:pos="720"/>
        </w:tabs>
        <w:autoSpaceDE w:val="0"/>
        <w:autoSpaceDN w:val="0"/>
        <w:adjustRightInd w:val="0"/>
        <w:spacing w:after="60"/>
        <w:ind w:left="432"/>
        <w:jc w:val="both"/>
        <w:rPr>
          <w:rFonts w:ascii="Arial" w:hAnsi="Arial" w:cs="Arial"/>
          <w:i/>
          <w:sz w:val="18"/>
          <w:szCs w:val="18"/>
          <w:lang w:val="en-GB"/>
        </w:rPr>
      </w:pPr>
      <w:r w:rsidRPr="00D63066">
        <w:rPr>
          <w:rFonts w:ascii="Arial" w:hAnsi="Arial" w:cs="Arial"/>
          <w:i/>
          <w:sz w:val="18"/>
          <w:szCs w:val="18"/>
          <w:lang w:val="en-GB"/>
        </w:rPr>
        <w:t>Financial liabilities</w:t>
      </w:r>
    </w:p>
    <w:p w:rsidR="006A257E" w:rsidRPr="00057E8A" w:rsidRDefault="006A257E" w:rsidP="006A257E">
      <w:pPr>
        <w:tabs>
          <w:tab w:val="left" w:pos="720"/>
        </w:tabs>
        <w:autoSpaceDE w:val="0"/>
        <w:autoSpaceDN w:val="0"/>
        <w:adjustRightInd w:val="0"/>
        <w:ind w:left="432"/>
        <w:jc w:val="both"/>
        <w:rPr>
          <w:rFonts w:ascii="Arial" w:hAnsi="Arial" w:cs="Arial"/>
          <w:sz w:val="18"/>
          <w:szCs w:val="18"/>
        </w:rPr>
      </w:pPr>
      <w:r>
        <w:rPr>
          <w:rFonts w:ascii="Arial" w:hAnsi="Arial" w:cs="Arial"/>
          <w:sz w:val="18"/>
          <w:szCs w:val="18"/>
        </w:rPr>
        <w:t xml:space="preserve">Financial liabilities classified as other-financial-liabilities are initially recognized at fair value less directly attributable transaction costs. After initial recognition, other-financial-liabilities are subsequently measured at amortized cost using the effective interest method. The effective interest method is a method of calculating the amortized cost of a financial liability and of allocating interest expense over the relevant period. The effective interest rate is the rate that exactly discounts estimated future cash payments through the expected life of the financial liability, or, where appropriate, a shorter period. </w:t>
      </w:r>
      <w:r w:rsidRPr="00057E8A">
        <w:rPr>
          <w:rFonts w:ascii="Arial" w:hAnsi="Arial" w:cs="Arial"/>
          <w:sz w:val="18"/>
          <w:szCs w:val="18"/>
        </w:rPr>
        <w:t>The Company’s accounts payable and accrued liabilities are classified as other-financial-liabilities.</w:t>
      </w:r>
    </w:p>
    <w:p w:rsidR="006A257E" w:rsidRDefault="006A257E" w:rsidP="006A257E">
      <w:pPr>
        <w:tabs>
          <w:tab w:val="left" w:pos="720"/>
        </w:tabs>
        <w:autoSpaceDE w:val="0"/>
        <w:autoSpaceDN w:val="0"/>
        <w:adjustRightInd w:val="0"/>
        <w:ind w:left="432"/>
        <w:jc w:val="both"/>
        <w:rPr>
          <w:rFonts w:ascii="Arial" w:hAnsi="Arial" w:cs="Arial"/>
          <w:sz w:val="18"/>
          <w:szCs w:val="18"/>
        </w:rPr>
      </w:pPr>
    </w:p>
    <w:p w:rsidR="006A257E" w:rsidRDefault="006A257E" w:rsidP="006A257E">
      <w:pPr>
        <w:tabs>
          <w:tab w:val="left" w:pos="720"/>
        </w:tabs>
        <w:ind w:left="431"/>
        <w:jc w:val="both"/>
        <w:rPr>
          <w:rFonts w:ascii="Arial" w:hAnsi="Arial" w:cs="Arial"/>
          <w:sz w:val="18"/>
          <w:szCs w:val="18"/>
        </w:rPr>
      </w:pPr>
      <w:r>
        <w:rPr>
          <w:rFonts w:ascii="Arial" w:hAnsi="Arial" w:cs="Arial"/>
          <w:sz w:val="18"/>
          <w:szCs w:val="18"/>
        </w:rPr>
        <w:t xml:space="preserve">Unless otherwise indicated, it is management's opinion that the  Company  is  not  exposed  to  significant  interest, currency  or  credit  risks arising from any financial instruments. The carrying values of financial instruments approximate their fair values, unless otherwise noted. </w:t>
      </w:r>
    </w:p>
    <w:p w:rsidR="006A257E" w:rsidRDefault="006A257E" w:rsidP="006A257E">
      <w:pPr>
        <w:jc w:val="both"/>
        <w:rPr>
          <w:rFonts w:ascii="Arial" w:hAnsi="Arial" w:cs="Arial"/>
          <w:sz w:val="18"/>
          <w:szCs w:val="18"/>
          <w:lang w:val="en-GB"/>
        </w:rPr>
      </w:pPr>
    </w:p>
    <w:p w:rsidR="006A257E" w:rsidRPr="00DB194C" w:rsidRDefault="006A257E" w:rsidP="00444A4B">
      <w:pPr>
        <w:widowControl w:val="0"/>
        <w:numPr>
          <w:ilvl w:val="0"/>
          <w:numId w:val="7"/>
        </w:numPr>
        <w:autoSpaceDE w:val="0"/>
        <w:autoSpaceDN w:val="0"/>
        <w:adjustRightInd w:val="0"/>
        <w:ind w:left="289" w:hanging="289"/>
        <w:jc w:val="both"/>
        <w:rPr>
          <w:rFonts w:ascii="Arial" w:hAnsi="Arial" w:cs="Arial"/>
          <w:sz w:val="18"/>
          <w:szCs w:val="18"/>
          <w:lang w:val="en-GB"/>
        </w:rPr>
      </w:pPr>
      <w:r>
        <w:rPr>
          <w:rFonts w:ascii="Arial" w:hAnsi="Arial" w:cs="Arial"/>
          <w:sz w:val="18"/>
          <w:szCs w:val="18"/>
          <w:u w:val="single"/>
        </w:rPr>
        <w:t>Exploration and evaluation assets</w:t>
      </w:r>
    </w:p>
    <w:p w:rsidR="006A257E" w:rsidRPr="00DB194C" w:rsidRDefault="006A257E" w:rsidP="006A257E">
      <w:pPr>
        <w:tabs>
          <w:tab w:val="left" w:pos="720"/>
        </w:tabs>
        <w:ind w:left="432"/>
        <w:jc w:val="both"/>
        <w:rPr>
          <w:rFonts w:ascii="Arial" w:hAnsi="Arial" w:cs="Arial"/>
          <w:i/>
          <w:sz w:val="18"/>
          <w:szCs w:val="18"/>
        </w:rPr>
      </w:pPr>
      <w:r w:rsidRPr="00DB194C">
        <w:rPr>
          <w:rFonts w:ascii="Arial" w:hAnsi="Arial" w:cs="Arial"/>
          <w:i/>
          <w:sz w:val="18"/>
          <w:szCs w:val="18"/>
        </w:rPr>
        <w:t>Pre-exploration costs</w:t>
      </w:r>
    </w:p>
    <w:p w:rsidR="006A257E" w:rsidRDefault="006A257E" w:rsidP="006A257E">
      <w:pPr>
        <w:tabs>
          <w:tab w:val="left" w:pos="720"/>
        </w:tabs>
        <w:ind w:left="432"/>
        <w:jc w:val="both"/>
        <w:rPr>
          <w:rFonts w:ascii="Arial" w:hAnsi="Arial" w:cs="Arial"/>
          <w:sz w:val="18"/>
          <w:szCs w:val="18"/>
        </w:rPr>
      </w:pPr>
      <w:r>
        <w:rPr>
          <w:rFonts w:ascii="Arial" w:hAnsi="Arial" w:cs="Arial"/>
          <w:sz w:val="18"/>
          <w:szCs w:val="18"/>
        </w:rPr>
        <w:t>Pre-exploration costs are expensed in the period in which they are incurred.</w:t>
      </w:r>
    </w:p>
    <w:p w:rsidR="006A257E" w:rsidRPr="00816CC6" w:rsidRDefault="006A257E" w:rsidP="006A257E">
      <w:pPr>
        <w:tabs>
          <w:tab w:val="left" w:pos="720"/>
        </w:tabs>
        <w:ind w:left="432"/>
        <w:jc w:val="both"/>
        <w:rPr>
          <w:rFonts w:ascii="Arial" w:hAnsi="Arial" w:cs="Arial"/>
          <w:sz w:val="18"/>
          <w:szCs w:val="18"/>
        </w:rPr>
      </w:pPr>
    </w:p>
    <w:p w:rsidR="006A257E" w:rsidRPr="00DB194C" w:rsidRDefault="006A257E" w:rsidP="006A257E">
      <w:pPr>
        <w:tabs>
          <w:tab w:val="left" w:pos="720"/>
        </w:tabs>
        <w:spacing w:after="60"/>
        <w:ind w:left="432"/>
        <w:jc w:val="both"/>
        <w:rPr>
          <w:rFonts w:ascii="Arial" w:hAnsi="Arial" w:cs="Arial"/>
          <w:i/>
          <w:sz w:val="18"/>
          <w:szCs w:val="18"/>
        </w:rPr>
      </w:pPr>
      <w:r w:rsidRPr="00DB194C">
        <w:rPr>
          <w:rFonts w:ascii="Arial" w:hAnsi="Arial" w:cs="Arial"/>
          <w:i/>
          <w:sz w:val="18"/>
          <w:szCs w:val="18"/>
        </w:rPr>
        <w:t>Exploration and evaluation expenditures</w:t>
      </w:r>
    </w:p>
    <w:p w:rsidR="006A257E" w:rsidRPr="00816CC6"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Once the legal right to explore a property has been acquired, costs directly related to exploration and evaluation expenditures (“E&amp;E”) are recognized and capitalized, in addition to the acquisition costs. These direct</w:t>
      </w:r>
      <w:r>
        <w:rPr>
          <w:rFonts w:ascii="Arial" w:hAnsi="Arial" w:cs="Arial"/>
          <w:sz w:val="18"/>
          <w:szCs w:val="18"/>
        </w:rPr>
        <w:t xml:space="preserve"> expenditures </w:t>
      </w:r>
      <w:r w:rsidRPr="00816CC6">
        <w:rPr>
          <w:rFonts w:ascii="Arial" w:hAnsi="Arial" w:cs="Arial"/>
          <w:sz w:val="18"/>
          <w:szCs w:val="18"/>
        </w:rPr>
        <w:t>include</w:t>
      </w:r>
      <w:r>
        <w:rPr>
          <w:rFonts w:ascii="Arial" w:hAnsi="Arial" w:cs="Arial"/>
          <w:sz w:val="18"/>
          <w:szCs w:val="18"/>
        </w:rPr>
        <w:t xml:space="preserve"> </w:t>
      </w:r>
      <w:r w:rsidRPr="00816CC6">
        <w:rPr>
          <w:rFonts w:ascii="Arial" w:hAnsi="Arial" w:cs="Arial"/>
          <w:sz w:val="18"/>
          <w:szCs w:val="18"/>
        </w:rPr>
        <w:t>such</w:t>
      </w:r>
      <w:r>
        <w:rPr>
          <w:rFonts w:ascii="Arial" w:hAnsi="Arial" w:cs="Arial"/>
          <w:sz w:val="18"/>
          <w:szCs w:val="18"/>
        </w:rPr>
        <w:t xml:space="preserve"> </w:t>
      </w:r>
      <w:r w:rsidRPr="00816CC6">
        <w:rPr>
          <w:rFonts w:ascii="Arial" w:hAnsi="Arial" w:cs="Arial"/>
          <w:sz w:val="18"/>
          <w:szCs w:val="18"/>
        </w:rPr>
        <w:t>costs</w:t>
      </w:r>
      <w:r>
        <w:rPr>
          <w:rFonts w:ascii="Arial" w:hAnsi="Arial" w:cs="Arial"/>
          <w:sz w:val="18"/>
          <w:szCs w:val="18"/>
        </w:rPr>
        <w:t xml:space="preserve"> </w:t>
      </w:r>
      <w:r w:rsidRPr="00816CC6">
        <w:rPr>
          <w:rFonts w:ascii="Arial" w:hAnsi="Arial" w:cs="Arial"/>
          <w:sz w:val="18"/>
          <w:szCs w:val="18"/>
        </w:rPr>
        <w:t>as</w:t>
      </w:r>
      <w:r>
        <w:rPr>
          <w:rFonts w:ascii="Arial" w:hAnsi="Arial" w:cs="Arial"/>
          <w:sz w:val="18"/>
          <w:szCs w:val="18"/>
        </w:rPr>
        <w:t xml:space="preserve"> </w:t>
      </w:r>
      <w:r w:rsidRPr="00816CC6">
        <w:rPr>
          <w:rFonts w:ascii="Arial" w:hAnsi="Arial" w:cs="Arial"/>
          <w:sz w:val="18"/>
          <w:szCs w:val="18"/>
        </w:rPr>
        <w:t>materials</w:t>
      </w:r>
      <w:r>
        <w:rPr>
          <w:rFonts w:ascii="Arial" w:hAnsi="Arial" w:cs="Arial"/>
          <w:sz w:val="18"/>
          <w:szCs w:val="18"/>
        </w:rPr>
        <w:t xml:space="preserve"> </w:t>
      </w:r>
      <w:r w:rsidRPr="00816CC6">
        <w:rPr>
          <w:rFonts w:ascii="Arial" w:hAnsi="Arial" w:cs="Arial"/>
          <w:sz w:val="18"/>
          <w:szCs w:val="18"/>
        </w:rPr>
        <w:t xml:space="preserve">used, </w:t>
      </w:r>
      <w:r>
        <w:rPr>
          <w:rFonts w:ascii="Arial" w:hAnsi="Arial" w:cs="Arial"/>
          <w:sz w:val="18"/>
          <w:szCs w:val="18"/>
        </w:rPr>
        <w:t xml:space="preserve">surveying </w:t>
      </w:r>
      <w:r w:rsidRPr="00816CC6">
        <w:rPr>
          <w:rFonts w:ascii="Arial" w:hAnsi="Arial" w:cs="Arial"/>
          <w:sz w:val="18"/>
          <w:szCs w:val="18"/>
        </w:rPr>
        <w:t xml:space="preserve">costs, </w:t>
      </w:r>
      <w:r>
        <w:rPr>
          <w:rFonts w:ascii="Arial" w:hAnsi="Arial" w:cs="Arial"/>
          <w:sz w:val="18"/>
          <w:szCs w:val="18"/>
        </w:rPr>
        <w:t xml:space="preserve">drilling </w:t>
      </w:r>
      <w:r w:rsidRPr="00816CC6">
        <w:rPr>
          <w:rFonts w:ascii="Arial" w:hAnsi="Arial" w:cs="Arial"/>
          <w:sz w:val="18"/>
          <w:szCs w:val="18"/>
        </w:rPr>
        <w:t>costs, payments</w:t>
      </w:r>
      <w:r>
        <w:rPr>
          <w:rFonts w:ascii="Arial" w:hAnsi="Arial" w:cs="Arial"/>
          <w:sz w:val="18"/>
          <w:szCs w:val="18"/>
        </w:rPr>
        <w:t xml:space="preserve"> </w:t>
      </w:r>
      <w:r w:rsidRPr="00816CC6">
        <w:rPr>
          <w:rFonts w:ascii="Arial" w:hAnsi="Arial" w:cs="Arial"/>
          <w:sz w:val="18"/>
          <w:szCs w:val="18"/>
        </w:rPr>
        <w:t>made</w:t>
      </w:r>
      <w:r>
        <w:rPr>
          <w:rFonts w:ascii="Arial" w:hAnsi="Arial" w:cs="Arial"/>
          <w:sz w:val="18"/>
          <w:szCs w:val="18"/>
        </w:rPr>
        <w:t xml:space="preserve"> </w:t>
      </w:r>
      <w:r w:rsidRPr="00816CC6">
        <w:rPr>
          <w:rFonts w:ascii="Arial" w:hAnsi="Arial" w:cs="Arial"/>
          <w:sz w:val="18"/>
          <w:szCs w:val="18"/>
        </w:rPr>
        <w:t>to</w:t>
      </w:r>
      <w:r>
        <w:rPr>
          <w:rFonts w:ascii="Arial" w:hAnsi="Arial" w:cs="Arial"/>
          <w:sz w:val="18"/>
          <w:szCs w:val="18"/>
        </w:rPr>
        <w:t xml:space="preserve"> </w:t>
      </w:r>
      <w:r w:rsidRPr="00816CC6">
        <w:rPr>
          <w:rFonts w:ascii="Arial" w:hAnsi="Arial" w:cs="Arial"/>
          <w:sz w:val="18"/>
          <w:szCs w:val="18"/>
        </w:rPr>
        <w:t>contractors and depreciation on plant and equipment during the exploration phase. Costs not directly attributable to exploration and evaluation activities, including general administrative overhead costs, are</w:t>
      </w:r>
      <w:r>
        <w:rPr>
          <w:rFonts w:ascii="Arial" w:hAnsi="Arial" w:cs="Arial"/>
          <w:sz w:val="18"/>
          <w:szCs w:val="18"/>
        </w:rPr>
        <w:t xml:space="preserve"> </w:t>
      </w:r>
      <w:r w:rsidRPr="00816CC6">
        <w:rPr>
          <w:rFonts w:ascii="Arial" w:hAnsi="Arial" w:cs="Arial"/>
          <w:sz w:val="18"/>
          <w:szCs w:val="18"/>
        </w:rPr>
        <w:t>expensed in the period in which they occur.</w:t>
      </w:r>
    </w:p>
    <w:p w:rsidR="006A257E" w:rsidRPr="00816CC6" w:rsidRDefault="006A257E" w:rsidP="006A257E">
      <w:pPr>
        <w:tabs>
          <w:tab w:val="left" w:pos="720"/>
        </w:tabs>
        <w:ind w:left="720"/>
        <w:jc w:val="both"/>
        <w:rPr>
          <w:rFonts w:ascii="Arial" w:hAnsi="Arial" w:cs="Arial"/>
          <w:sz w:val="18"/>
          <w:szCs w:val="18"/>
        </w:rPr>
      </w:pPr>
    </w:p>
    <w:p w:rsidR="006A257E"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 xml:space="preserve">The </w:t>
      </w:r>
      <w:r>
        <w:rPr>
          <w:rFonts w:ascii="Arial" w:hAnsi="Arial" w:cs="Arial"/>
          <w:sz w:val="18"/>
          <w:szCs w:val="18"/>
        </w:rPr>
        <w:t>Company e</w:t>
      </w:r>
      <w:r w:rsidRPr="00816CC6">
        <w:rPr>
          <w:rFonts w:ascii="Arial" w:hAnsi="Arial" w:cs="Arial"/>
          <w:sz w:val="18"/>
          <w:szCs w:val="18"/>
        </w:rPr>
        <w:t>nter</w:t>
      </w:r>
      <w:r>
        <w:rPr>
          <w:rFonts w:ascii="Arial" w:hAnsi="Arial" w:cs="Arial"/>
          <w:sz w:val="18"/>
          <w:szCs w:val="18"/>
        </w:rPr>
        <w:t>s</w:t>
      </w:r>
      <w:r w:rsidRPr="00816CC6">
        <w:rPr>
          <w:rFonts w:ascii="Arial" w:hAnsi="Arial" w:cs="Arial"/>
          <w:sz w:val="18"/>
          <w:szCs w:val="18"/>
        </w:rPr>
        <w:t xml:space="preserve"> into farm-out arrangements, whereby the </w:t>
      </w:r>
      <w:r>
        <w:rPr>
          <w:rFonts w:ascii="Arial" w:hAnsi="Arial" w:cs="Arial"/>
          <w:sz w:val="18"/>
          <w:szCs w:val="18"/>
        </w:rPr>
        <w:t>Company</w:t>
      </w:r>
      <w:r w:rsidRPr="00816CC6">
        <w:rPr>
          <w:rFonts w:ascii="Arial" w:hAnsi="Arial" w:cs="Arial"/>
          <w:sz w:val="18"/>
          <w:szCs w:val="18"/>
        </w:rPr>
        <w:t xml:space="preserve"> will transfer part of a mineral interest, as consideration, for an agreement by the transferee to meet certain exploration and evaluation expenditures which would have otherwise been undertaken by the </w:t>
      </w:r>
      <w:r>
        <w:rPr>
          <w:rFonts w:ascii="Arial" w:hAnsi="Arial" w:cs="Arial"/>
          <w:sz w:val="18"/>
          <w:szCs w:val="18"/>
        </w:rPr>
        <w:t>Company</w:t>
      </w:r>
      <w:r w:rsidRPr="00816CC6">
        <w:rPr>
          <w:rFonts w:ascii="Arial" w:hAnsi="Arial" w:cs="Arial"/>
          <w:sz w:val="18"/>
          <w:szCs w:val="18"/>
        </w:rPr>
        <w:t xml:space="preserve">. The </w:t>
      </w:r>
      <w:r>
        <w:rPr>
          <w:rFonts w:ascii="Arial" w:hAnsi="Arial" w:cs="Arial"/>
          <w:sz w:val="18"/>
          <w:szCs w:val="18"/>
        </w:rPr>
        <w:t>Company</w:t>
      </w:r>
      <w:r w:rsidRPr="00816CC6">
        <w:rPr>
          <w:rFonts w:ascii="Arial" w:hAnsi="Arial" w:cs="Arial"/>
          <w:sz w:val="18"/>
          <w:szCs w:val="18"/>
        </w:rPr>
        <w:t xml:space="preserve"> does not record any expenditures made by the </w:t>
      </w:r>
      <w:proofErr w:type="spellStart"/>
      <w:r w:rsidRPr="00816CC6">
        <w:rPr>
          <w:rFonts w:ascii="Arial" w:hAnsi="Arial" w:cs="Arial"/>
          <w:sz w:val="18"/>
          <w:szCs w:val="18"/>
        </w:rPr>
        <w:t>farmee</w:t>
      </w:r>
      <w:proofErr w:type="spellEnd"/>
      <w:r w:rsidRPr="00816CC6">
        <w:rPr>
          <w:rFonts w:ascii="Arial" w:hAnsi="Arial" w:cs="Arial"/>
          <w:sz w:val="18"/>
          <w:szCs w:val="18"/>
        </w:rPr>
        <w:t xml:space="preserve"> on its behalf. Any cash or other consideration received from the agreement is credited against the costs previously capitalized to the mineral interest given up by the </w:t>
      </w:r>
      <w:r>
        <w:rPr>
          <w:rFonts w:ascii="Arial" w:hAnsi="Arial" w:cs="Arial"/>
          <w:sz w:val="18"/>
          <w:szCs w:val="18"/>
        </w:rPr>
        <w:t>Company</w:t>
      </w:r>
      <w:r w:rsidRPr="00816CC6">
        <w:rPr>
          <w:rFonts w:ascii="Arial" w:hAnsi="Arial" w:cs="Arial"/>
          <w:sz w:val="18"/>
          <w:szCs w:val="18"/>
        </w:rPr>
        <w:t>, with any excess consideration accounted for as a gain on disposal.</w:t>
      </w:r>
    </w:p>
    <w:p w:rsidR="006A257E" w:rsidRDefault="006A257E" w:rsidP="006A257E">
      <w:pPr>
        <w:tabs>
          <w:tab w:val="left" w:pos="720"/>
        </w:tabs>
        <w:ind w:left="432"/>
        <w:jc w:val="both"/>
        <w:rPr>
          <w:rFonts w:ascii="Arial" w:hAnsi="Arial" w:cs="Arial"/>
          <w:sz w:val="18"/>
          <w:szCs w:val="18"/>
        </w:rPr>
      </w:pPr>
    </w:p>
    <w:p w:rsidR="006A257E" w:rsidRDefault="006A257E" w:rsidP="006A257E">
      <w:pPr>
        <w:tabs>
          <w:tab w:val="left" w:pos="720"/>
        </w:tabs>
        <w:ind w:left="432"/>
        <w:jc w:val="both"/>
        <w:rPr>
          <w:rFonts w:ascii="Arial" w:hAnsi="Arial" w:cs="Arial"/>
          <w:sz w:val="18"/>
          <w:szCs w:val="18"/>
        </w:rPr>
      </w:pPr>
    </w:p>
    <w:p w:rsidR="006A257E" w:rsidRPr="00816CC6" w:rsidRDefault="006A257E" w:rsidP="006A257E">
      <w:pPr>
        <w:tabs>
          <w:tab w:val="left" w:pos="720"/>
        </w:tabs>
        <w:ind w:left="432"/>
        <w:jc w:val="both"/>
        <w:rPr>
          <w:rFonts w:ascii="Arial" w:hAnsi="Arial" w:cs="Arial"/>
          <w:sz w:val="18"/>
          <w:szCs w:val="18"/>
        </w:rPr>
      </w:pPr>
    </w:p>
    <w:p w:rsidR="006A257E" w:rsidRPr="0014469A"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w:t>
      </w:r>
      <w:r w:rsidRPr="0014469A">
        <w:rPr>
          <w:rFonts w:ascii="Arial" w:hAnsi="Arial" w:cs="Arial"/>
          <w:b/>
          <w:bCs/>
          <w:sz w:val="18"/>
          <w:szCs w:val="18"/>
        </w:rPr>
        <w:t>.     Significant Accounting Policies - continued</w:t>
      </w:r>
    </w:p>
    <w:p w:rsidR="006A257E" w:rsidRPr="0014469A" w:rsidRDefault="006A257E" w:rsidP="006A257E">
      <w:pPr>
        <w:pBdr>
          <w:bottom w:val="single" w:sz="8" w:space="1" w:color="auto"/>
        </w:pBdr>
        <w:jc w:val="both"/>
        <w:rPr>
          <w:rFonts w:ascii="Arial" w:hAnsi="Arial" w:cs="Arial"/>
          <w:bCs/>
          <w:sz w:val="18"/>
          <w:szCs w:val="18"/>
        </w:rPr>
      </w:pPr>
    </w:p>
    <w:p w:rsidR="006A257E" w:rsidRPr="0014469A" w:rsidRDefault="006A257E" w:rsidP="006A257E">
      <w:pPr>
        <w:jc w:val="both"/>
        <w:rPr>
          <w:rFonts w:ascii="Arial" w:hAnsi="Arial" w:cs="Arial"/>
          <w:bCs/>
          <w:sz w:val="18"/>
          <w:szCs w:val="18"/>
        </w:rPr>
      </w:pPr>
    </w:p>
    <w:p w:rsidR="006A257E" w:rsidRPr="00DB194C" w:rsidRDefault="006A257E" w:rsidP="00444A4B">
      <w:pPr>
        <w:widowControl w:val="0"/>
        <w:numPr>
          <w:ilvl w:val="0"/>
          <w:numId w:val="13"/>
        </w:numPr>
        <w:autoSpaceDE w:val="0"/>
        <w:autoSpaceDN w:val="0"/>
        <w:adjustRightInd w:val="0"/>
        <w:ind w:left="289" w:hanging="289"/>
        <w:jc w:val="both"/>
        <w:rPr>
          <w:rFonts w:ascii="Arial" w:hAnsi="Arial" w:cs="Arial"/>
          <w:sz w:val="18"/>
          <w:szCs w:val="18"/>
          <w:lang w:val="en-GB"/>
        </w:rPr>
      </w:pPr>
      <w:r>
        <w:rPr>
          <w:rFonts w:ascii="Arial" w:hAnsi="Arial" w:cs="Arial"/>
          <w:sz w:val="18"/>
          <w:szCs w:val="18"/>
          <w:u w:val="single"/>
        </w:rPr>
        <w:t>Exploration and evaluation assets - continued</w:t>
      </w:r>
    </w:p>
    <w:p w:rsidR="006A257E" w:rsidRDefault="006A257E" w:rsidP="006A257E">
      <w:pPr>
        <w:tabs>
          <w:tab w:val="left" w:pos="720"/>
        </w:tabs>
        <w:ind w:left="432"/>
        <w:jc w:val="both"/>
        <w:rPr>
          <w:rFonts w:ascii="Arial" w:hAnsi="Arial" w:cs="Arial"/>
          <w:sz w:val="18"/>
          <w:szCs w:val="18"/>
        </w:rPr>
      </w:pPr>
    </w:p>
    <w:p w:rsidR="006A257E" w:rsidRPr="00816CC6"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 xml:space="preserve">The </w:t>
      </w:r>
      <w:r>
        <w:rPr>
          <w:rFonts w:ascii="Arial" w:hAnsi="Arial" w:cs="Arial"/>
          <w:sz w:val="18"/>
          <w:szCs w:val="18"/>
        </w:rPr>
        <w:t>Company</w:t>
      </w:r>
      <w:r w:rsidRPr="00816CC6">
        <w:rPr>
          <w:rFonts w:ascii="Arial" w:hAnsi="Arial" w:cs="Arial"/>
          <w:sz w:val="18"/>
          <w:szCs w:val="18"/>
        </w:rPr>
        <w:t xml:space="preserve"> assesses exploration and evaluation assets for impairment when facts and circumstances suggest that the carrying amount of an asset may exceed its recoverable amount.</w:t>
      </w:r>
    </w:p>
    <w:p w:rsidR="006A257E" w:rsidRPr="006862CB" w:rsidRDefault="006A257E" w:rsidP="006A257E">
      <w:pPr>
        <w:tabs>
          <w:tab w:val="left" w:pos="720"/>
        </w:tabs>
        <w:ind w:left="432"/>
        <w:jc w:val="both"/>
        <w:rPr>
          <w:rFonts w:ascii="Arial" w:hAnsi="Arial" w:cs="Arial"/>
          <w:sz w:val="18"/>
          <w:szCs w:val="18"/>
        </w:rPr>
      </w:pPr>
    </w:p>
    <w:p w:rsidR="006A257E"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 xml:space="preserve">When a project is deemed to no longer have commercially viable prospects to the </w:t>
      </w:r>
      <w:r>
        <w:rPr>
          <w:rFonts w:ascii="Arial" w:hAnsi="Arial" w:cs="Arial"/>
          <w:sz w:val="18"/>
          <w:szCs w:val="18"/>
        </w:rPr>
        <w:t>Company</w:t>
      </w:r>
      <w:r w:rsidRPr="00816CC6">
        <w:rPr>
          <w:rFonts w:ascii="Arial" w:hAnsi="Arial" w:cs="Arial"/>
          <w:sz w:val="18"/>
          <w:szCs w:val="18"/>
        </w:rPr>
        <w:t>, exploration and evaluation expenditures in respect of that project are deemed to be impaired. As a result, those exploration and evaluation expenditure costs, in excess of estimated recoveries, are written off to</w:t>
      </w:r>
      <w:r>
        <w:rPr>
          <w:rFonts w:ascii="Arial" w:hAnsi="Arial" w:cs="Arial"/>
          <w:sz w:val="18"/>
          <w:szCs w:val="18"/>
        </w:rPr>
        <w:t xml:space="preserve"> profit or loss.</w:t>
      </w:r>
    </w:p>
    <w:p w:rsidR="006A257E"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 xml:space="preserve"> </w:t>
      </w:r>
    </w:p>
    <w:p w:rsidR="006A257E" w:rsidRDefault="006A257E" w:rsidP="006A257E">
      <w:pPr>
        <w:widowControl w:val="0"/>
        <w:tabs>
          <w:tab w:val="left" w:pos="720"/>
        </w:tabs>
        <w:ind w:left="432"/>
        <w:jc w:val="both"/>
        <w:rPr>
          <w:rFonts w:ascii="Arial" w:hAnsi="Arial" w:cs="Arial"/>
          <w:sz w:val="18"/>
          <w:szCs w:val="18"/>
        </w:rPr>
      </w:pPr>
      <w:r>
        <w:rPr>
          <w:rFonts w:ascii="Arial" w:hAnsi="Arial" w:cs="Arial"/>
          <w:sz w:val="18"/>
          <w:szCs w:val="18"/>
        </w:rPr>
        <w:t>Under IFRS 6 Exploration for and Evaluation of Mineral Resources, one or more of the following facts and circumstances indicate that an entity should test exploration and evaluation assets for impairment:</w:t>
      </w:r>
    </w:p>
    <w:p w:rsidR="006A257E" w:rsidRPr="00730BF9" w:rsidRDefault="006A257E" w:rsidP="00444A4B">
      <w:pPr>
        <w:widowControl w:val="0"/>
        <w:numPr>
          <w:ilvl w:val="0"/>
          <w:numId w:val="9"/>
        </w:numPr>
        <w:tabs>
          <w:tab w:val="left" w:pos="720"/>
        </w:tabs>
        <w:spacing w:before="120"/>
        <w:ind w:left="1224"/>
        <w:jc w:val="both"/>
        <w:rPr>
          <w:rFonts w:ascii="Arial" w:hAnsi="Arial" w:cs="Arial"/>
          <w:sz w:val="18"/>
          <w:szCs w:val="18"/>
        </w:rPr>
      </w:pPr>
      <w:r>
        <w:rPr>
          <w:rFonts w:ascii="Arial" w:hAnsi="Arial" w:cs="Arial"/>
          <w:sz w:val="18"/>
          <w:szCs w:val="18"/>
        </w:rPr>
        <w:t>The period for which the entity has the right to explore in the specific area has expired during the period or will expire in the near future, and is not expected to be renewed.</w:t>
      </w:r>
    </w:p>
    <w:p w:rsidR="006A257E" w:rsidRDefault="006A257E" w:rsidP="00444A4B">
      <w:pPr>
        <w:widowControl w:val="0"/>
        <w:numPr>
          <w:ilvl w:val="0"/>
          <w:numId w:val="9"/>
        </w:numPr>
        <w:tabs>
          <w:tab w:val="left" w:pos="720"/>
        </w:tabs>
        <w:spacing w:before="120"/>
        <w:ind w:left="1224"/>
        <w:jc w:val="both"/>
        <w:rPr>
          <w:rFonts w:ascii="Arial" w:hAnsi="Arial" w:cs="Arial"/>
          <w:sz w:val="18"/>
          <w:szCs w:val="18"/>
        </w:rPr>
      </w:pPr>
      <w:r>
        <w:rPr>
          <w:rFonts w:ascii="Arial" w:hAnsi="Arial" w:cs="Arial"/>
          <w:sz w:val="18"/>
          <w:szCs w:val="18"/>
        </w:rPr>
        <w:t>Substantive expenditure on further exploration for and evaluation of mineral resources in the specific area is neither budgeted nor planned.</w:t>
      </w:r>
    </w:p>
    <w:p w:rsidR="006A257E" w:rsidRDefault="006A257E" w:rsidP="00444A4B">
      <w:pPr>
        <w:widowControl w:val="0"/>
        <w:numPr>
          <w:ilvl w:val="0"/>
          <w:numId w:val="9"/>
        </w:numPr>
        <w:tabs>
          <w:tab w:val="left" w:pos="720"/>
        </w:tabs>
        <w:spacing w:before="120"/>
        <w:ind w:left="1224"/>
        <w:jc w:val="both"/>
        <w:rPr>
          <w:rFonts w:ascii="Arial" w:hAnsi="Arial" w:cs="Arial"/>
          <w:sz w:val="18"/>
          <w:szCs w:val="18"/>
        </w:rPr>
      </w:pPr>
      <w:r>
        <w:rPr>
          <w:rFonts w:ascii="Arial" w:hAnsi="Arial" w:cs="Arial"/>
          <w:sz w:val="18"/>
          <w:szCs w:val="18"/>
        </w:rPr>
        <w:t>Exploration for and evaluation of mineral resources in the specific area have not led to the discovery of commercially viable quantities of mineral resources and the entity has decided to discontinue such activities in the specific area.</w:t>
      </w:r>
    </w:p>
    <w:p w:rsidR="006A257E" w:rsidRDefault="006A257E" w:rsidP="00444A4B">
      <w:pPr>
        <w:widowControl w:val="0"/>
        <w:numPr>
          <w:ilvl w:val="0"/>
          <w:numId w:val="9"/>
        </w:numPr>
        <w:tabs>
          <w:tab w:val="left" w:pos="1260"/>
        </w:tabs>
        <w:spacing w:before="120"/>
        <w:ind w:left="1260"/>
        <w:jc w:val="both"/>
        <w:rPr>
          <w:rFonts w:ascii="Arial" w:hAnsi="Arial" w:cs="Arial"/>
          <w:sz w:val="18"/>
          <w:szCs w:val="18"/>
        </w:rPr>
      </w:pPr>
      <w:r>
        <w:rPr>
          <w:rFonts w:ascii="Arial" w:hAnsi="Arial" w:cs="Arial"/>
          <w:sz w:val="18"/>
          <w:szCs w:val="18"/>
        </w:rPr>
        <w:t>Sufficient data exist to indicate that, although a development in the specific area is likely to proceed, the carrying amount of the exploration and evaluation asset is unlikely to be recovered in full from successful development or by sale.</w:t>
      </w:r>
    </w:p>
    <w:p w:rsidR="006A257E" w:rsidRDefault="006A257E" w:rsidP="006A257E">
      <w:pPr>
        <w:tabs>
          <w:tab w:val="left" w:pos="720"/>
        </w:tabs>
        <w:ind w:left="432"/>
        <w:jc w:val="both"/>
        <w:rPr>
          <w:rFonts w:ascii="Arial" w:hAnsi="Arial" w:cs="Arial"/>
          <w:sz w:val="18"/>
          <w:szCs w:val="18"/>
        </w:rPr>
      </w:pPr>
    </w:p>
    <w:p w:rsidR="006A257E" w:rsidRPr="00816CC6" w:rsidRDefault="006A257E" w:rsidP="006A257E">
      <w:pPr>
        <w:tabs>
          <w:tab w:val="left" w:pos="720"/>
        </w:tabs>
        <w:ind w:left="432"/>
        <w:jc w:val="both"/>
        <w:rPr>
          <w:rFonts w:ascii="Arial" w:hAnsi="Arial" w:cs="Arial"/>
          <w:sz w:val="18"/>
          <w:szCs w:val="18"/>
        </w:rPr>
      </w:pPr>
      <w:r w:rsidRPr="00816CC6">
        <w:rPr>
          <w:rFonts w:ascii="Arial" w:hAnsi="Arial" w:cs="Arial"/>
          <w:sz w:val="18"/>
          <w:szCs w:val="18"/>
        </w:rPr>
        <w:t>Once the technical feasibility and commercial viability of extracting the mineral resource has been determined, the property is considered to be a mine under development and is classified as ‘mines under construction’. Exploration and evaluation assets are also tested for impairment before the assets are transferred to development properties.</w:t>
      </w:r>
      <w:r>
        <w:rPr>
          <w:rFonts w:ascii="Arial" w:hAnsi="Arial" w:cs="Arial"/>
          <w:sz w:val="18"/>
          <w:szCs w:val="18"/>
        </w:rPr>
        <w:t xml:space="preserve"> A</w:t>
      </w:r>
      <w:r w:rsidRPr="00816CC6">
        <w:rPr>
          <w:rFonts w:ascii="Arial" w:hAnsi="Arial" w:cs="Arial"/>
          <w:sz w:val="18"/>
          <w:szCs w:val="18"/>
        </w:rPr>
        <w:t>ny incidental revenues earned in connection with exploration activities are applied as a reduction to capitalized exploration costs.</w:t>
      </w:r>
    </w:p>
    <w:p w:rsidR="006A257E" w:rsidRDefault="006A257E" w:rsidP="006A257E">
      <w:pPr>
        <w:tabs>
          <w:tab w:val="left" w:pos="720"/>
        </w:tabs>
        <w:ind w:left="432"/>
        <w:jc w:val="both"/>
        <w:rPr>
          <w:rFonts w:ascii="Arial" w:hAnsi="Arial" w:cs="Arial"/>
          <w:sz w:val="18"/>
          <w:szCs w:val="18"/>
        </w:rPr>
      </w:pPr>
    </w:p>
    <w:p w:rsidR="006A257E" w:rsidRDefault="006A257E" w:rsidP="006A257E">
      <w:pPr>
        <w:tabs>
          <w:tab w:val="left" w:pos="720"/>
        </w:tabs>
        <w:ind w:left="432"/>
        <w:jc w:val="both"/>
        <w:rPr>
          <w:rFonts w:ascii="Arial" w:hAnsi="Arial" w:cs="Arial"/>
          <w:sz w:val="18"/>
          <w:szCs w:val="18"/>
        </w:rPr>
      </w:pPr>
      <w:r>
        <w:rPr>
          <w:rFonts w:ascii="Arial" w:hAnsi="Arial" w:cs="Arial"/>
          <w:sz w:val="18"/>
          <w:szCs w:val="18"/>
        </w:rPr>
        <w:t>E</w:t>
      </w:r>
      <w:r w:rsidRPr="00816CC6">
        <w:rPr>
          <w:rFonts w:ascii="Arial" w:hAnsi="Arial" w:cs="Arial"/>
          <w:sz w:val="18"/>
          <w:szCs w:val="18"/>
        </w:rPr>
        <w:t xml:space="preserve">xploration and evaluation </w:t>
      </w:r>
      <w:r>
        <w:rPr>
          <w:rFonts w:ascii="Arial" w:hAnsi="Arial" w:cs="Arial"/>
          <w:sz w:val="18"/>
          <w:szCs w:val="18"/>
        </w:rPr>
        <w:t>assets</w:t>
      </w:r>
      <w:r w:rsidRPr="00816CC6">
        <w:rPr>
          <w:rFonts w:ascii="Arial" w:hAnsi="Arial" w:cs="Arial"/>
          <w:sz w:val="18"/>
          <w:szCs w:val="18"/>
        </w:rPr>
        <w:t xml:space="preserve"> are classified as intangible assets</w:t>
      </w:r>
      <w:r>
        <w:rPr>
          <w:rFonts w:ascii="Arial" w:hAnsi="Arial" w:cs="Arial"/>
          <w:sz w:val="18"/>
          <w:szCs w:val="18"/>
        </w:rPr>
        <w:t>.</w:t>
      </w:r>
    </w:p>
    <w:p w:rsidR="006A257E" w:rsidRDefault="006A257E" w:rsidP="006A257E">
      <w:pPr>
        <w:tabs>
          <w:tab w:val="left" w:pos="720"/>
        </w:tabs>
        <w:ind w:left="720"/>
        <w:jc w:val="both"/>
        <w:rPr>
          <w:rFonts w:ascii="Arial" w:hAnsi="Arial" w:cs="Arial"/>
          <w:sz w:val="18"/>
          <w:szCs w:val="18"/>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Mineral tax credit</w:t>
      </w:r>
    </w:p>
    <w:p w:rsidR="006A257E" w:rsidRDefault="006A257E" w:rsidP="006A257E">
      <w:pPr>
        <w:ind w:left="425"/>
        <w:jc w:val="both"/>
        <w:rPr>
          <w:rFonts w:ascii="Arial" w:hAnsi="Arial" w:cs="Arial"/>
          <w:sz w:val="18"/>
          <w:szCs w:val="18"/>
        </w:rPr>
      </w:pPr>
      <w:r w:rsidRPr="0014469A">
        <w:rPr>
          <w:rFonts w:ascii="Arial" w:hAnsi="Arial" w:cs="Arial"/>
          <w:sz w:val="18"/>
          <w:szCs w:val="18"/>
        </w:rPr>
        <w:t xml:space="preserve">The Federal and Provincial taxation authorities provide companies with tax incentives for undertaking mineral exploration programs in certain areas.  The </w:t>
      </w:r>
      <w:r>
        <w:rPr>
          <w:rFonts w:ascii="Arial" w:hAnsi="Arial" w:cs="Arial"/>
          <w:sz w:val="18"/>
          <w:szCs w:val="18"/>
        </w:rPr>
        <w:t>Company</w:t>
      </w:r>
      <w:r w:rsidRPr="0014469A">
        <w:rPr>
          <w:rFonts w:ascii="Arial" w:hAnsi="Arial" w:cs="Arial"/>
          <w:sz w:val="18"/>
          <w:szCs w:val="18"/>
        </w:rPr>
        <w:t xml:space="preserve"> accrues these credits as a reduction of </w:t>
      </w:r>
      <w:r>
        <w:rPr>
          <w:rFonts w:ascii="Arial" w:hAnsi="Arial" w:cs="Arial"/>
          <w:sz w:val="18"/>
          <w:szCs w:val="18"/>
        </w:rPr>
        <w:t>exploration and evaluation</w:t>
      </w:r>
      <w:r w:rsidRPr="0014469A">
        <w:rPr>
          <w:rFonts w:ascii="Arial" w:hAnsi="Arial" w:cs="Arial"/>
          <w:sz w:val="18"/>
          <w:szCs w:val="18"/>
        </w:rPr>
        <w:t xml:space="preserve"> expenditures in the period that the related expenditures were incurred.  These</w:t>
      </w:r>
      <w:r>
        <w:rPr>
          <w:rFonts w:ascii="Arial" w:hAnsi="Arial" w:cs="Arial"/>
          <w:sz w:val="18"/>
          <w:szCs w:val="18"/>
        </w:rPr>
        <w:t xml:space="preserve"> </w:t>
      </w:r>
      <w:r w:rsidRPr="0014469A">
        <w:rPr>
          <w:rFonts w:ascii="Arial" w:hAnsi="Arial" w:cs="Arial"/>
          <w:sz w:val="18"/>
          <w:szCs w:val="18"/>
        </w:rPr>
        <w:t xml:space="preserve">accrued credits are subject to review by the relevant authorities </w:t>
      </w:r>
      <w:r>
        <w:rPr>
          <w:rFonts w:ascii="Arial" w:hAnsi="Arial" w:cs="Arial"/>
          <w:sz w:val="18"/>
          <w:szCs w:val="18"/>
        </w:rPr>
        <w:t>and a</w:t>
      </w:r>
      <w:r w:rsidRPr="0014469A">
        <w:rPr>
          <w:rFonts w:ascii="Arial" w:hAnsi="Arial" w:cs="Arial"/>
          <w:sz w:val="18"/>
          <w:szCs w:val="18"/>
        </w:rPr>
        <w:t>djustments</w:t>
      </w:r>
      <w:r>
        <w:rPr>
          <w:rFonts w:ascii="Arial" w:hAnsi="Arial" w:cs="Arial"/>
          <w:sz w:val="18"/>
          <w:szCs w:val="18"/>
        </w:rPr>
        <w:t>,</w:t>
      </w:r>
      <w:r w:rsidRPr="0014469A">
        <w:rPr>
          <w:rFonts w:ascii="Arial" w:hAnsi="Arial" w:cs="Arial"/>
          <w:sz w:val="18"/>
          <w:szCs w:val="18"/>
        </w:rPr>
        <w:t xml:space="preserve"> if any, resulting from such a review are recorded in the period that the tax filings are amended.</w:t>
      </w:r>
    </w:p>
    <w:p w:rsidR="006A257E" w:rsidRDefault="006A257E" w:rsidP="006A257E">
      <w:pPr>
        <w:autoSpaceDE w:val="0"/>
        <w:autoSpaceDN w:val="0"/>
        <w:adjustRightInd w:val="0"/>
        <w:jc w:val="both"/>
        <w:rPr>
          <w:rFonts w:ascii="Arial" w:hAnsi="Arial" w:cs="Arial"/>
          <w:b/>
          <w:bCs/>
          <w:sz w:val="18"/>
          <w:szCs w:val="18"/>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Pr>
          <w:rFonts w:ascii="Arial" w:hAnsi="Arial" w:cs="Arial"/>
          <w:sz w:val="18"/>
          <w:szCs w:val="18"/>
          <w:u w:val="single"/>
        </w:rPr>
        <w:t>Option agreements</w:t>
      </w:r>
    </w:p>
    <w:p w:rsidR="006A257E" w:rsidRPr="00B81284" w:rsidRDefault="006A257E" w:rsidP="006A257E">
      <w:pPr>
        <w:autoSpaceDE w:val="0"/>
        <w:autoSpaceDN w:val="0"/>
        <w:ind w:left="432"/>
        <w:jc w:val="both"/>
        <w:rPr>
          <w:sz w:val="18"/>
          <w:szCs w:val="18"/>
        </w:rPr>
      </w:pPr>
      <w:r w:rsidRPr="00B81284">
        <w:rPr>
          <w:rFonts w:ascii="Arial" w:hAnsi="Arial" w:cs="Arial"/>
          <w:sz w:val="18"/>
          <w:szCs w:val="18"/>
        </w:rPr>
        <w:t xml:space="preserve">Certain of the </w:t>
      </w:r>
      <w:r>
        <w:rPr>
          <w:rFonts w:ascii="Arial" w:hAnsi="Arial" w:cs="Arial"/>
          <w:sz w:val="18"/>
          <w:szCs w:val="18"/>
        </w:rPr>
        <w:t>Company</w:t>
      </w:r>
      <w:r w:rsidRPr="00B81284">
        <w:rPr>
          <w:rFonts w:ascii="Arial" w:hAnsi="Arial" w:cs="Arial"/>
          <w:sz w:val="18"/>
          <w:szCs w:val="18"/>
        </w:rPr>
        <w:t xml:space="preserve">’s activities are conducted through joint arrangements in which two or more parties have joint control. A joint arrangement is classified as either a joint operation or a joint venture, depending on the rights and obligations of the parties to the arrangement. </w:t>
      </w:r>
    </w:p>
    <w:p w:rsidR="006A257E" w:rsidRDefault="006A257E" w:rsidP="006A257E">
      <w:pPr>
        <w:autoSpaceDE w:val="0"/>
        <w:autoSpaceDN w:val="0"/>
        <w:ind w:left="432"/>
        <w:jc w:val="both"/>
        <w:rPr>
          <w:rFonts w:ascii="Arial" w:hAnsi="Arial" w:cs="Arial"/>
          <w:sz w:val="18"/>
          <w:szCs w:val="18"/>
        </w:rPr>
      </w:pPr>
    </w:p>
    <w:p w:rsidR="006A257E" w:rsidRPr="00B81284" w:rsidRDefault="006A257E" w:rsidP="006A257E">
      <w:pPr>
        <w:autoSpaceDE w:val="0"/>
        <w:autoSpaceDN w:val="0"/>
        <w:ind w:left="432"/>
        <w:jc w:val="both"/>
        <w:rPr>
          <w:sz w:val="18"/>
          <w:szCs w:val="18"/>
        </w:rPr>
      </w:pPr>
      <w:r w:rsidRPr="00B81284">
        <w:rPr>
          <w:rFonts w:ascii="Arial" w:hAnsi="Arial" w:cs="Arial"/>
          <w:sz w:val="18"/>
          <w:szCs w:val="18"/>
        </w:rPr>
        <w:t xml:space="preserve">Joint operations arise when the </w:t>
      </w:r>
      <w:r>
        <w:rPr>
          <w:rFonts w:ascii="Arial" w:hAnsi="Arial" w:cs="Arial"/>
          <w:sz w:val="18"/>
          <w:szCs w:val="18"/>
        </w:rPr>
        <w:t>Company</w:t>
      </w:r>
      <w:r w:rsidRPr="00B81284">
        <w:rPr>
          <w:rFonts w:ascii="Arial" w:hAnsi="Arial" w:cs="Arial"/>
          <w:sz w:val="18"/>
          <w:szCs w:val="18"/>
        </w:rPr>
        <w:t xml:space="preserve"> has a direct ownership interest in jointly controlled assets and obligations for liabilities. The financial statements include the </w:t>
      </w:r>
      <w:r>
        <w:rPr>
          <w:rFonts w:ascii="Arial" w:hAnsi="Arial" w:cs="Arial"/>
          <w:sz w:val="18"/>
          <w:szCs w:val="18"/>
        </w:rPr>
        <w:t>Company</w:t>
      </w:r>
      <w:r w:rsidRPr="00B81284">
        <w:rPr>
          <w:rFonts w:ascii="Arial" w:hAnsi="Arial" w:cs="Arial"/>
          <w:sz w:val="18"/>
          <w:szCs w:val="18"/>
        </w:rPr>
        <w:t xml:space="preserve">’s </w:t>
      </w:r>
      <w:r>
        <w:rPr>
          <w:rFonts w:ascii="Arial" w:hAnsi="Arial" w:cs="Arial"/>
          <w:sz w:val="18"/>
          <w:szCs w:val="18"/>
        </w:rPr>
        <w:t>interest in</w:t>
      </w:r>
      <w:r w:rsidRPr="00B81284">
        <w:rPr>
          <w:rFonts w:ascii="Arial" w:hAnsi="Arial" w:cs="Arial"/>
          <w:sz w:val="18"/>
          <w:szCs w:val="18"/>
        </w:rPr>
        <w:t xml:space="preserve"> the assets, liabilities, revenues, expenses, and cash flows of this type of arrangement. </w:t>
      </w:r>
    </w:p>
    <w:p w:rsidR="006A257E" w:rsidRDefault="006A257E" w:rsidP="006A257E">
      <w:pPr>
        <w:autoSpaceDE w:val="0"/>
        <w:autoSpaceDN w:val="0"/>
        <w:ind w:left="432"/>
        <w:jc w:val="both"/>
        <w:rPr>
          <w:rFonts w:ascii="Arial" w:hAnsi="Arial" w:cs="Arial"/>
          <w:sz w:val="18"/>
          <w:szCs w:val="18"/>
        </w:rPr>
      </w:pPr>
    </w:p>
    <w:p w:rsidR="006A257E" w:rsidRDefault="006A257E" w:rsidP="006A257E">
      <w:pPr>
        <w:autoSpaceDE w:val="0"/>
        <w:autoSpaceDN w:val="0"/>
        <w:ind w:left="432"/>
        <w:jc w:val="both"/>
        <w:rPr>
          <w:rFonts w:ascii="Arial" w:hAnsi="Arial" w:cs="Arial"/>
          <w:sz w:val="18"/>
          <w:szCs w:val="18"/>
        </w:rPr>
      </w:pPr>
      <w:r w:rsidRPr="00B81284">
        <w:rPr>
          <w:rFonts w:ascii="Arial" w:hAnsi="Arial" w:cs="Arial"/>
          <w:sz w:val="18"/>
          <w:szCs w:val="18"/>
        </w:rPr>
        <w:t xml:space="preserve">Joint ventures arise when the </w:t>
      </w:r>
      <w:r>
        <w:rPr>
          <w:rFonts w:ascii="Arial" w:hAnsi="Arial" w:cs="Arial"/>
          <w:sz w:val="18"/>
          <w:szCs w:val="18"/>
        </w:rPr>
        <w:t>Company</w:t>
      </w:r>
      <w:r w:rsidRPr="00B81284">
        <w:rPr>
          <w:rFonts w:ascii="Arial" w:hAnsi="Arial" w:cs="Arial"/>
          <w:sz w:val="18"/>
          <w:szCs w:val="18"/>
        </w:rPr>
        <w:t xml:space="preserve"> has rights to the net assets of the arrangement. For these arrangements the </w:t>
      </w:r>
      <w:r>
        <w:rPr>
          <w:rFonts w:ascii="Arial" w:hAnsi="Arial" w:cs="Arial"/>
          <w:sz w:val="18"/>
          <w:szCs w:val="18"/>
        </w:rPr>
        <w:t>Company</w:t>
      </w:r>
      <w:r w:rsidRPr="00B81284">
        <w:rPr>
          <w:rFonts w:ascii="Arial" w:hAnsi="Arial" w:cs="Arial"/>
          <w:sz w:val="18"/>
          <w:szCs w:val="18"/>
        </w:rPr>
        <w:t xml:space="preserve"> uses the equity method of accounting and recognizes initial and subsequent investments at cost, adjusting for the </w:t>
      </w:r>
      <w:r>
        <w:rPr>
          <w:rFonts w:ascii="Arial" w:hAnsi="Arial" w:cs="Arial"/>
          <w:sz w:val="18"/>
          <w:szCs w:val="18"/>
        </w:rPr>
        <w:t>Company</w:t>
      </w:r>
      <w:r w:rsidRPr="00B81284">
        <w:rPr>
          <w:rFonts w:ascii="Arial" w:hAnsi="Arial" w:cs="Arial"/>
          <w:sz w:val="18"/>
          <w:szCs w:val="18"/>
        </w:rPr>
        <w:t xml:space="preserve">’s share of the joint venture’s income or loss, </w:t>
      </w:r>
      <w:proofErr w:type="gramStart"/>
      <w:r w:rsidRPr="00B81284">
        <w:rPr>
          <w:rFonts w:ascii="Arial" w:hAnsi="Arial" w:cs="Arial"/>
          <w:sz w:val="18"/>
          <w:szCs w:val="18"/>
        </w:rPr>
        <w:t>less</w:t>
      </w:r>
      <w:proofErr w:type="gramEnd"/>
      <w:r w:rsidRPr="00B81284">
        <w:rPr>
          <w:rFonts w:ascii="Arial" w:hAnsi="Arial" w:cs="Arial"/>
          <w:sz w:val="18"/>
          <w:szCs w:val="18"/>
        </w:rPr>
        <w:t xml:space="preserve"> dividends received thereafter. Joint ventures are tested for impairment whenever objective evidence indicates that the carrying amount of the investment may not be recoverable under the equity method of accounting.  The impairment amount is measured as the difference between the carrying amount of the investment and the higher of its fair value less costs of disposal and its value in use. Impairment losses are reversed in subsequent </w:t>
      </w:r>
    </w:p>
    <w:p w:rsidR="006A257E" w:rsidRDefault="006A257E" w:rsidP="006A257E">
      <w:pPr>
        <w:autoSpaceDE w:val="0"/>
        <w:autoSpaceDN w:val="0"/>
        <w:ind w:left="432"/>
        <w:jc w:val="both"/>
        <w:rPr>
          <w:rFonts w:ascii="Arial" w:hAnsi="Arial" w:cs="Arial"/>
          <w:sz w:val="18"/>
          <w:szCs w:val="18"/>
        </w:rPr>
      </w:pPr>
    </w:p>
    <w:p w:rsidR="006A257E" w:rsidRDefault="006A257E" w:rsidP="006A257E">
      <w:pPr>
        <w:autoSpaceDE w:val="0"/>
        <w:autoSpaceDN w:val="0"/>
        <w:adjustRightInd w:val="0"/>
        <w:jc w:val="both"/>
        <w:rPr>
          <w:rFonts w:ascii="Arial" w:hAnsi="Arial" w:cs="Arial"/>
          <w:b/>
          <w:bCs/>
          <w:sz w:val="18"/>
          <w:szCs w:val="18"/>
        </w:rPr>
      </w:pPr>
    </w:p>
    <w:p w:rsidR="006A257E" w:rsidRPr="0014469A"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w:t>
      </w:r>
      <w:r w:rsidRPr="0014469A">
        <w:rPr>
          <w:rFonts w:ascii="Arial" w:hAnsi="Arial" w:cs="Arial"/>
          <w:b/>
          <w:bCs/>
          <w:sz w:val="18"/>
          <w:szCs w:val="18"/>
        </w:rPr>
        <w:t>.     Significant Accounting Policies - continued</w:t>
      </w:r>
    </w:p>
    <w:p w:rsidR="006A257E" w:rsidRPr="0014469A" w:rsidRDefault="006A257E" w:rsidP="006A257E">
      <w:pPr>
        <w:pBdr>
          <w:bottom w:val="single" w:sz="8" w:space="1" w:color="auto"/>
        </w:pBdr>
        <w:jc w:val="both"/>
        <w:rPr>
          <w:rFonts w:ascii="Arial" w:hAnsi="Arial" w:cs="Arial"/>
          <w:bCs/>
          <w:sz w:val="18"/>
          <w:szCs w:val="18"/>
        </w:rPr>
      </w:pPr>
    </w:p>
    <w:p w:rsidR="006A257E" w:rsidRDefault="006A257E" w:rsidP="006A257E">
      <w:pPr>
        <w:autoSpaceDE w:val="0"/>
        <w:autoSpaceDN w:val="0"/>
        <w:adjustRightInd w:val="0"/>
        <w:jc w:val="both"/>
        <w:rPr>
          <w:rFonts w:ascii="Arial" w:hAnsi="Arial" w:cs="Arial"/>
          <w:b/>
          <w:bCs/>
          <w:sz w:val="18"/>
          <w:szCs w:val="18"/>
        </w:rPr>
      </w:pPr>
    </w:p>
    <w:p w:rsidR="006A257E" w:rsidRDefault="006A257E" w:rsidP="006A257E">
      <w:pPr>
        <w:autoSpaceDE w:val="0"/>
        <w:autoSpaceDN w:val="0"/>
        <w:ind w:left="432"/>
        <w:jc w:val="both"/>
        <w:rPr>
          <w:rFonts w:ascii="Arial" w:hAnsi="Arial" w:cs="Arial"/>
        </w:rPr>
      </w:pPr>
      <w:proofErr w:type="gramStart"/>
      <w:r>
        <w:rPr>
          <w:rFonts w:ascii="Arial" w:hAnsi="Arial" w:cs="Arial"/>
          <w:sz w:val="18"/>
          <w:szCs w:val="18"/>
        </w:rPr>
        <w:t>periods</w:t>
      </w:r>
      <w:proofErr w:type="gramEnd"/>
      <w:r w:rsidRPr="00B81284">
        <w:rPr>
          <w:rFonts w:ascii="Arial" w:hAnsi="Arial" w:cs="Arial"/>
          <w:sz w:val="18"/>
          <w:szCs w:val="18"/>
        </w:rPr>
        <w:t xml:space="preserve"> if the amount of the loss decreases and the decrease can be related objectively to an event occurring after the impairment was recognized</w:t>
      </w:r>
      <w:r>
        <w:rPr>
          <w:rFonts w:ascii="Arial" w:hAnsi="Arial" w:cs="Arial"/>
        </w:rPr>
        <w:t xml:space="preserve">. </w:t>
      </w:r>
    </w:p>
    <w:p w:rsidR="006A257E" w:rsidRPr="00FE4B21" w:rsidRDefault="006A257E" w:rsidP="006A257E">
      <w:pPr>
        <w:widowControl w:val="0"/>
        <w:autoSpaceDE w:val="0"/>
        <w:autoSpaceDN w:val="0"/>
        <w:adjustRightInd w:val="0"/>
        <w:ind w:left="289"/>
        <w:jc w:val="both"/>
        <w:rPr>
          <w:rFonts w:ascii="Arial" w:hAnsi="Arial" w:cs="Arial"/>
          <w:sz w:val="18"/>
          <w:szCs w:val="18"/>
          <w:u w:val="single"/>
          <w:lang w:val="en-GB"/>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Impairment of non-financial assets</w:t>
      </w:r>
    </w:p>
    <w:p w:rsidR="006A257E" w:rsidRDefault="006A257E" w:rsidP="006A257E">
      <w:pPr>
        <w:tabs>
          <w:tab w:val="left" w:pos="3870"/>
          <w:tab w:val="right" w:pos="6480"/>
        </w:tabs>
        <w:ind w:left="432"/>
        <w:jc w:val="both"/>
        <w:rPr>
          <w:rFonts w:ascii="Arial" w:hAnsi="Arial" w:cs="Arial"/>
          <w:sz w:val="18"/>
          <w:szCs w:val="18"/>
        </w:rPr>
      </w:pPr>
      <w:r>
        <w:rPr>
          <w:rFonts w:ascii="Arial" w:hAnsi="Arial" w:cs="Arial"/>
          <w:sz w:val="18"/>
          <w:szCs w:val="18"/>
        </w:rPr>
        <w:t>At the end of each reporting period the carrying amounts of the assets are reviewed to determine whether there is any indication that those assets are impaired.  Impairment is recognized when the carrying amount of an asset exceeds its recoverable amount. The recoverable amount is the greater of the asset’s fair value less costs of disposal and value in use. Fair value is determined as the amount that would be obtained from the sale of the asset in an arm’s length transaction between knowledgeable and willing parties. The impairment loss is recognized in profit or loss in the condensed interim statement of comprehensive income (loss) for the period.</w:t>
      </w:r>
    </w:p>
    <w:p w:rsidR="006A257E" w:rsidRDefault="006A257E" w:rsidP="006A257E">
      <w:pPr>
        <w:tabs>
          <w:tab w:val="left" w:pos="3870"/>
          <w:tab w:val="right" w:pos="6480"/>
        </w:tabs>
        <w:ind w:left="432"/>
        <w:jc w:val="both"/>
        <w:rPr>
          <w:rFonts w:ascii="Arial" w:hAnsi="Arial" w:cs="Arial"/>
          <w:sz w:val="18"/>
          <w:szCs w:val="18"/>
        </w:rPr>
      </w:pPr>
    </w:p>
    <w:p w:rsidR="006A257E" w:rsidRDefault="006A257E" w:rsidP="006A257E">
      <w:pPr>
        <w:widowControl w:val="0"/>
        <w:tabs>
          <w:tab w:val="left" w:pos="3870"/>
          <w:tab w:val="right" w:pos="6480"/>
        </w:tabs>
        <w:ind w:left="432"/>
        <w:jc w:val="both"/>
        <w:rPr>
          <w:rFonts w:ascii="Arial" w:hAnsi="Arial" w:cs="Arial"/>
          <w:sz w:val="18"/>
          <w:szCs w:val="18"/>
        </w:rPr>
      </w:pPr>
      <w:r>
        <w:rPr>
          <w:rFonts w:ascii="Arial" w:hAnsi="Arial" w:cs="Arial"/>
          <w:sz w:val="18"/>
          <w:szCs w:val="18"/>
        </w:rPr>
        <w:t>Where an impairment loss subsequently reverses, the carrying amount of the asset is increased to the revised estimate of its recoverable amount, but to an amount that does not exceed the carrying amount had no impairment loss been recognized.  A reversal of an impairment loss is recognized immediately in profit or loss.</w:t>
      </w:r>
    </w:p>
    <w:p w:rsidR="006A257E" w:rsidRDefault="006A257E" w:rsidP="006A257E">
      <w:pPr>
        <w:autoSpaceDE w:val="0"/>
        <w:autoSpaceDN w:val="0"/>
        <w:adjustRightInd w:val="0"/>
        <w:jc w:val="both"/>
        <w:rPr>
          <w:rFonts w:ascii="Arial" w:hAnsi="Arial" w:cs="Arial"/>
          <w:b/>
          <w:bCs/>
          <w:sz w:val="18"/>
          <w:szCs w:val="18"/>
        </w:rPr>
      </w:pPr>
    </w:p>
    <w:p w:rsidR="006A257E" w:rsidRPr="007F3D46" w:rsidRDefault="006A257E" w:rsidP="00444A4B">
      <w:pPr>
        <w:widowControl w:val="0"/>
        <w:numPr>
          <w:ilvl w:val="0"/>
          <w:numId w:val="12"/>
        </w:numPr>
        <w:autoSpaceDE w:val="0"/>
        <w:autoSpaceDN w:val="0"/>
        <w:adjustRightInd w:val="0"/>
        <w:ind w:left="289" w:hanging="289"/>
        <w:jc w:val="both"/>
        <w:rPr>
          <w:rFonts w:ascii="Arial" w:hAnsi="Arial" w:cs="Arial"/>
          <w:sz w:val="18"/>
          <w:szCs w:val="18"/>
          <w:u w:val="single"/>
          <w:lang w:val="en-GB"/>
        </w:rPr>
      </w:pPr>
      <w:r>
        <w:rPr>
          <w:rFonts w:ascii="Arial" w:hAnsi="Arial" w:cs="Arial"/>
          <w:sz w:val="18"/>
          <w:szCs w:val="18"/>
        </w:rPr>
        <w:t xml:space="preserve"> </w:t>
      </w:r>
      <w:r>
        <w:rPr>
          <w:rFonts w:ascii="Arial" w:hAnsi="Arial" w:cs="Arial"/>
          <w:sz w:val="18"/>
          <w:szCs w:val="18"/>
          <w:u w:val="single"/>
        </w:rPr>
        <w:t>Rehabilitation obligations</w:t>
      </w:r>
    </w:p>
    <w:p w:rsidR="006A257E" w:rsidRPr="0014469A" w:rsidRDefault="006A257E" w:rsidP="006A257E">
      <w:pPr>
        <w:ind w:left="425"/>
        <w:jc w:val="both"/>
        <w:rPr>
          <w:rFonts w:ascii="Arial" w:hAnsi="Arial" w:cs="Arial"/>
          <w:sz w:val="18"/>
          <w:szCs w:val="18"/>
        </w:rPr>
      </w:pPr>
      <w:r>
        <w:rPr>
          <w:rFonts w:ascii="Arial" w:hAnsi="Arial" w:cs="Arial"/>
          <w:sz w:val="18"/>
          <w:szCs w:val="18"/>
        </w:rPr>
        <w:t>T</w:t>
      </w:r>
      <w:r w:rsidRPr="0014469A">
        <w:rPr>
          <w:rFonts w:ascii="Arial" w:hAnsi="Arial" w:cs="Arial"/>
          <w:sz w:val="18"/>
          <w:szCs w:val="18"/>
        </w:rPr>
        <w:t xml:space="preserve">he </w:t>
      </w:r>
      <w:r>
        <w:rPr>
          <w:rFonts w:ascii="Arial" w:hAnsi="Arial" w:cs="Arial"/>
          <w:sz w:val="18"/>
          <w:szCs w:val="18"/>
        </w:rPr>
        <w:t>Company</w:t>
      </w:r>
      <w:r w:rsidRPr="0014469A">
        <w:rPr>
          <w:rFonts w:ascii="Arial" w:hAnsi="Arial" w:cs="Arial"/>
          <w:sz w:val="18"/>
          <w:szCs w:val="18"/>
        </w:rPr>
        <w:t xml:space="preserve"> recognizes the fair value of a legal </w:t>
      </w:r>
      <w:r>
        <w:rPr>
          <w:rFonts w:ascii="Arial" w:hAnsi="Arial" w:cs="Arial"/>
          <w:sz w:val="18"/>
          <w:szCs w:val="18"/>
        </w:rPr>
        <w:t xml:space="preserve">or constructive </w:t>
      </w:r>
      <w:r w:rsidRPr="0014469A">
        <w:rPr>
          <w:rFonts w:ascii="Arial" w:hAnsi="Arial" w:cs="Arial"/>
          <w:sz w:val="18"/>
          <w:szCs w:val="18"/>
        </w:rPr>
        <w:t xml:space="preserve">liability for a </w:t>
      </w:r>
      <w:r>
        <w:rPr>
          <w:rFonts w:ascii="Arial" w:hAnsi="Arial" w:cs="Arial"/>
          <w:sz w:val="18"/>
          <w:szCs w:val="18"/>
        </w:rPr>
        <w:t>rehabilitation</w:t>
      </w:r>
      <w:r w:rsidRPr="0014469A">
        <w:rPr>
          <w:rFonts w:ascii="Arial" w:hAnsi="Arial" w:cs="Arial"/>
          <w:sz w:val="18"/>
          <w:szCs w:val="18"/>
        </w:rPr>
        <w:t xml:space="preserve"> obligation in the </w:t>
      </w:r>
      <w:r>
        <w:rPr>
          <w:rFonts w:ascii="Arial" w:hAnsi="Arial" w:cs="Arial"/>
          <w:sz w:val="18"/>
          <w:szCs w:val="18"/>
        </w:rPr>
        <w:t>year</w:t>
      </w:r>
      <w:r w:rsidRPr="0014469A">
        <w:rPr>
          <w:rFonts w:ascii="Arial" w:hAnsi="Arial" w:cs="Arial"/>
          <w:sz w:val="18"/>
          <w:szCs w:val="18"/>
        </w:rPr>
        <w:t xml:space="preserve"> in which it is incurred and when a reasonable estimate of fair value can be made. The carrying amount of the related long-lived asset is increased by the same amount as the liability. Changes in the</w:t>
      </w:r>
      <w:r>
        <w:rPr>
          <w:rFonts w:ascii="Arial" w:hAnsi="Arial" w:cs="Arial"/>
          <w:sz w:val="18"/>
          <w:szCs w:val="18"/>
        </w:rPr>
        <w:t xml:space="preserve"> </w:t>
      </w:r>
      <w:r w:rsidRPr="0014469A">
        <w:rPr>
          <w:rFonts w:ascii="Arial" w:hAnsi="Arial" w:cs="Arial"/>
          <w:sz w:val="18"/>
          <w:szCs w:val="18"/>
        </w:rPr>
        <w:t>liability for an asset retirement obligation due to the passage of time will be measured by applying an interes</w:t>
      </w:r>
      <w:r>
        <w:rPr>
          <w:rFonts w:ascii="Arial" w:hAnsi="Arial" w:cs="Arial"/>
          <w:sz w:val="18"/>
          <w:szCs w:val="18"/>
        </w:rPr>
        <w:t xml:space="preserve">t </w:t>
      </w:r>
      <w:r w:rsidRPr="0014469A">
        <w:rPr>
          <w:rFonts w:ascii="Arial" w:hAnsi="Arial" w:cs="Arial"/>
          <w:sz w:val="18"/>
          <w:szCs w:val="18"/>
        </w:rPr>
        <w:t xml:space="preserve">method of allocation. The amount will be recognized as an increase in the liability and an accretion expense in </w:t>
      </w:r>
      <w:r>
        <w:rPr>
          <w:rFonts w:ascii="Arial" w:hAnsi="Arial" w:cs="Arial"/>
          <w:sz w:val="18"/>
          <w:szCs w:val="18"/>
        </w:rPr>
        <w:t>profit or loss</w:t>
      </w:r>
      <w:r w:rsidRPr="0014469A">
        <w:rPr>
          <w:rFonts w:ascii="Arial" w:hAnsi="Arial" w:cs="Arial"/>
          <w:sz w:val="18"/>
          <w:szCs w:val="18"/>
        </w:rPr>
        <w:t>. Changes resulting from revisions to the timing or the amount of the original</w:t>
      </w:r>
      <w:r>
        <w:rPr>
          <w:rFonts w:ascii="Arial" w:hAnsi="Arial" w:cs="Arial"/>
          <w:sz w:val="18"/>
          <w:szCs w:val="18"/>
        </w:rPr>
        <w:t xml:space="preserve"> </w:t>
      </w:r>
      <w:r w:rsidRPr="0014469A">
        <w:rPr>
          <w:rFonts w:ascii="Arial" w:hAnsi="Arial" w:cs="Arial"/>
          <w:sz w:val="18"/>
          <w:szCs w:val="18"/>
        </w:rPr>
        <w:t xml:space="preserve">estimate of undiscounted cash flows are recognized as an increase or a decrease to the carrying amount of the liability and the related long-lived asset. The </w:t>
      </w:r>
      <w:r>
        <w:rPr>
          <w:rFonts w:ascii="Arial" w:hAnsi="Arial" w:cs="Arial"/>
          <w:sz w:val="18"/>
          <w:szCs w:val="18"/>
        </w:rPr>
        <w:t>Company</w:t>
      </w:r>
      <w:r w:rsidRPr="0014469A">
        <w:rPr>
          <w:rFonts w:ascii="Arial" w:hAnsi="Arial" w:cs="Arial"/>
          <w:sz w:val="18"/>
          <w:szCs w:val="18"/>
        </w:rPr>
        <w:t xml:space="preserve"> does not have significant </w:t>
      </w:r>
      <w:r>
        <w:rPr>
          <w:rFonts w:ascii="Arial" w:hAnsi="Arial" w:cs="Arial"/>
          <w:sz w:val="18"/>
          <w:szCs w:val="18"/>
        </w:rPr>
        <w:t>rehabilitation</w:t>
      </w:r>
      <w:r w:rsidRPr="0014469A">
        <w:rPr>
          <w:rFonts w:ascii="Arial" w:hAnsi="Arial" w:cs="Arial"/>
          <w:sz w:val="18"/>
          <w:szCs w:val="18"/>
        </w:rPr>
        <w:t xml:space="preserve"> obligations.</w:t>
      </w:r>
    </w:p>
    <w:p w:rsidR="006A257E" w:rsidRDefault="006A257E" w:rsidP="006A257E">
      <w:pPr>
        <w:autoSpaceDE w:val="0"/>
        <w:autoSpaceDN w:val="0"/>
        <w:adjustRightInd w:val="0"/>
        <w:ind w:left="720"/>
        <w:jc w:val="both"/>
        <w:rPr>
          <w:rFonts w:ascii="Arial" w:hAnsi="Arial" w:cs="Arial"/>
          <w:sz w:val="18"/>
          <w:szCs w:val="18"/>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Income taxes</w:t>
      </w:r>
    </w:p>
    <w:p w:rsidR="006A257E" w:rsidRPr="00CF4B9C" w:rsidRDefault="006A257E" w:rsidP="006A257E">
      <w:pPr>
        <w:widowControl w:val="0"/>
        <w:autoSpaceDE w:val="0"/>
        <w:autoSpaceDN w:val="0"/>
        <w:adjustRightInd w:val="0"/>
        <w:ind w:left="432"/>
        <w:jc w:val="both"/>
        <w:rPr>
          <w:rFonts w:ascii="Arial" w:hAnsi="Arial" w:cs="Arial"/>
          <w:snapToGrid w:val="0"/>
          <w:color w:val="000000"/>
          <w:sz w:val="18"/>
          <w:szCs w:val="18"/>
        </w:rPr>
      </w:pPr>
      <w:r w:rsidRPr="00CF4B9C">
        <w:rPr>
          <w:rFonts w:ascii="Arial" w:hAnsi="Arial" w:cs="Arial"/>
          <w:snapToGrid w:val="0"/>
          <w:color w:val="000000"/>
          <w:sz w:val="18"/>
          <w:szCs w:val="18"/>
        </w:rPr>
        <w:t>Income tax expense comprises of current and deferred tax. Current tax and deferred tax are recognized in net income</w:t>
      </w:r>
      <w:r>
        <w:rPr>
          <w:rFonts w:ascii="Arial" w:hAnsi="Arial" w:cs="Arial"/>
          <w:snapToGrid w:val="0"/>
          <w:color w:val="000000"/>
          <w:sz w:val="18"/>
          <w:szCs w:val="18"/>
        </w:rPr>
        <w:t xml:space="preserve"> or loss</w:t>
      </w:r>
      <w:r w:rsidRPr="00CF4B9C">
        <w:rPr>
          <w:rFonts w:ascii="Arial" w:hAnsi="Arial" w:cs="Arial"/>
          <w:snapToGrid w:val="0"/>
          <w:color w:val="000000"/>
          <w:sz w:val="18"/>
          <w:szCs w:val="18"/>
        </w:rPr>
        <w:t xml:space="preserve"> except to the extent that it relates to a </w:t>
      </w:r>
      <w:r>
        <w:rPr>
          <w:rFonts w:ascii="Arial" w:hAnsi="Arial" w:cs="Arial"/>
          <w:snapToGrid w:val="0"/>
          <w:color w:val="000000"/>
          <w:sz w:val="18"/>
          <w:szCs w:val="18"/>
        </w:rPr>
        <w:t xml:space="preserve">business </w:t>
      </w:r>
      <w:r w:rsidRPr="00CF4B9C">
        <w:rPr>
          <w:rFonts w:ascii="Arial" w:hAnsi="Arial" w:cs="Arial"/>
          <w:snapToGrid w:val="0"/>
          <w:color w:val="000000"/>
          <w:sz w:val="18"/>
          <w:szCs w:val="18"/>
        </w:rPr>
        <w:t xml:space="preserve">combination or items recognized directly in equity or in other comprehensive </w:t>
      </w:r>
      <w:r>
        <w:rPr>
          <w:rFonts w:ascii="Arial" w:hAnsi="Arial" w:cs="Arial"/>
          <w:snapToGrid w:val="0"/>
          <w:color w:val="000000"/>
          <w:sz w:val="18"/>
          <w:szCs w:val="18"/>
        </w:rPr>
        <w:t>income (loss)</w:t>
      </w:r>
      <w:r w:rsidRPr="00CF4B9C">
        <w:rPr>
          <w:rFonts w:ascii="Arial" w:hAnsi="Arial" w:cs="Arial"/>
          <w:snapToGrid w:val="0"/>
          <w:color w:val="000000"/>
          <w:sz w:val="18"/>
          <w:szCs w:val="18"/>
        </w:rPr>
        <w:t>.</w:t>
      </w:r>
    </w:p>
    <w:p w:rsidR="006A257E" w:rsidRDefault="006A257E" w:rsidP="006A257E">
      <w:pPr>
        <w:autoSpaceDE w:val="0"/>
        <w:autoSpaceDN w:val="0"/>
        <w:adjustRightInd w:val="0"/>
        <w:ind w:left="432"/>
        <w:jc w:val="both"/>
        <w:rPr>
          <w:rFonts w:ascii="Arial" w:hAnsi="Arial" w:cs="Arial"/>
          <w:snapToGrid w:val="0"/>
          <w:color w:val="000000"/>
          <w:sz w:val="18"/>
          <w:szCs w:val="18"/>
        </w:rPr>
      </w:pPr>
    </w:p>
    <w:p w:rsidR="006A257E" w:rsidRPr="00CF4B9C" w:rsidRDefault="006A257E" w:rsidP="006A257E">
      <w:pPr>
        <w:autoSpaceDE w:val="0"/>
        <w:autoSpaceDN w:val="0"/>
        <w:adjustRightInd w:val="0"/>
        <w:ind w:left="432"/>
        <w:jc w:val="both"/>
        <w:rPr>
          <w:rFonts w:ascii="Arial" w:hAnsi="Arial" w:cs="Arial"/>
          <w:snapToGrid w:val="0"/>
          <w:color w:val="000000"/>
          <w:sz w:val="18"/>
          <w:szCs w:val="18"/>
        </w:rPr>
      </w:pPr>
      <w:r w:rsidRPr="00CF4B9C">
        <w:rPr>
          <w:rFonts w:ascii="Arial" w:hAnsi="Arial" w:cs="Arial"/>
          <w:snapToGrid w:val="0"/>
          <w:color w:val="000000"/>
          <w:sz w:val="18"/>
          <w:szCs w:val="18"/>
        </w:rPr>
        <w:t xml:space="preserve">Current income taxes are recognized for the estimated income taxes payable or receivable on taxable income or loss for the current year and any adjustment to income taxes payable in respect of previous </w:t>
      </w:r>
      <w:r>
        <w:rPr>
          <w:rFonts w:ascii="Arial" w:hAnsi="Arial" w:cs="Arial"/>
          <w:snapToGrid w:val="0"/>
          <w:color w:val="000000"/>
          <w:sz w:val="18"/>
          <w:szCs w:val="18"/>
        </w:rPr>
        <w:t>periods</w:t>
      </w:r>
      <w:r w:rsidRPr="00CF4B9C">
        <w:rPr>
          <w:rFonts w:ascii="Arial" w:hAnsi="Arial" w:cs="Arial"/>
          <w:snapToGrid w:val="0"/>
          <w:color w:val="000000"/>
          <w:sz w:val="18"/>
          <w:szCs w:val="18"/>
        </w:rPr>
        <w:t>. Current</w:t>
      </w:r>
      <w:r>
        <w:rPr>
          <w:rFonts w:ascii="Arial" w:hAnsi="Arial" w:cs="Arial"/>
          <w:snapToGrid w:val="0"/>
          <w:color w:val="000000"/>
          <w:sz w:val="18"/>
          <w:szCs w:val="18"/>
        </w:rPr>
        <w:t xml:space="preserve"> </w:t>
      </w:r>
      <w:r w:rsidRPr="00CF4B9C">
        <w:rPr>
          <w:rFonts w:ascii="Arial" w:hAnsi="Arial" w:cs="Arial"/>
          <w:snapToGrid w:val="0"/>
          <w:color w:val="000000"/>
          <w:sz w:val="18"/>
          <w:szCs w:val="18"/>
        </w:rPr>
        <w:t>income taxes are determined using tax rates and tax laws that have been enacted or substantively enacted by the year-end date.</w:t>
      </w:r>
    </w:p>
    <w:p w:rsidR="006A257E" w:rsidRPr="00426AF0" w:rsidRDefault="006A257E" w:rsidP="006A257E">
      <w:pPr>
        <w:autoSpaceDE w:val="0"/>
        <w:autoSpaceDN w:val="0"/>
        <w:adjustRightInd w:val="0"/>
        <w:ind w:left="432"/>
        <w:jc w:val="both"/>
        <w:rPr>
          <w:rFonts w:ascii="Arial" w:hAnsi="Arial" w:cs="Arial"/>
          <w:snapToGrid w:val="0"/>
          <w:color w:val="000000"/>
          <w:sz w:val="18"/>
          <w:szCs w:val="18"/>
        </w:rPr>
      </w:pPr>
    </w:p>
    <w:p w:rsidR="006A257E" w:rsidRPr="00CF4B9C" w:rsidRDefault="006A257E" w:rsidP="006A257E">
      <w:pPr>
        <w:autoSpaceDE w:val="0"/>
        <w:autoSpaceDN w:val="0"/>
        <w:adjustRightInd w:val="0"/>
        <w:ind w:left="432"/>
        <w:jc w:val="both"/>
        <w:rPr>
          <w:rFonts w:ascii="Arial" w:hAnsi="Arial" w:cs="Arial"/>
          <w:snapToGrid w:val="0"/>
          <w:color w:val="000000"/>
          <w:sz w:val="18"/>
          <w:szCs w:val="18"/>
        </w:rPr>
      </w:pPr>
      <w:r w:rsidRPr="00CF4B9C">
        <w:rPr>
          <w:rFonts w:ascii="Arial" w:hAnsi="Arial" w:cs="Arial"/>
          <w:snapToGrid w:val="0"/>
          <w:color w:val="000000"/>
          <w:sz w:val="18"/>
          <w:szCs w:val="18"/>
        </w:rPr>
        <w:t>Deferred tax assets and liabilities are recognized where the carrying amount of an asset or liability differs from its tax base, except for taxable temporary differences arising on the initial recognition of goodwill and temporary differences arising on the initial recognition of an asset or liability in a transaction which is not a business combination and at the time of the transaction affects neither accounting nor taxable profit or loss.</w:t>
      </w:r>
    </w:p>
    <w:p w:rsidR="006A257E" w:rsidRPr="00426AF0" w:rsidRDefault="006A257E" w:rsidP="006A257E">
      <w:pPr>
        <w:autoSpaceDE w:val="0"/>
        <w:autoSpaceDN w:val="0"/>
        <w:adjustRightInd w:val="0"/>
        <w:ind w:left="432"/>
        <w:jc w:val="both"/>
        <w:rPr>
          <w:rFonts w:ascii="Arial" w:hAnsi="Arial" w:cs="Arial"/>
          <w:snapToGrid w:val="0"/>
          <w:color w:val="000000"/>
          <w:sz w:val="18"/>
          <w:szCs w:val="18"/>
        </w:rPr>
      </w:pPr>
    </w:p>
    <w:p w:rsidR="006A257E" w:rsidRDefault="006A257E" w:rsidP="006A257E">
      <w:pPr>
        <w:autoSpaceDE w:val="0"/>
        <w:autoSpaceDN w:val="0"/>
        <w:adjustRightInd w:val="0"/>
        <w:ind w:left="432"/>
        <w:jc w:val="both"/>
        <w:rPr>
          <w:rFonts w:ascii="Arial" w:hAnsi="Arial" w:cs="Arial"/>
          <w:snapToGrid w:val="0"/>
          <w:color w:val="000000"/>
          <w:sz w:val="18"/>
          <w:szCs w:val="18"/>
        </w:rPr>
      </w:pPr>
      <w:r w:rsidRPr="00CF4B9C">
        <w:rPr>
          <w:rFonts w:ascii="Arial" w:hAnsi="Arial" w:cs="Arial"/>
          <w:snapToGrid w:val="0"/>
          <w:color w:val="000000"/>
          <w:sz w:val="18"/>
          <w:szCs w:val="18"/>
        </w:rPr>
        <w:t xml:space="preserve">Recognition of deferred tax assets for unused tax losses, tax credits and deductible temporary differences is restricted to those instances where it is probable that future taxable profit will be available against which the deferred tax asset can be utilized. At the end of each reporting period the </w:t>
      </w:r>
      <w:r>
        <w:rPr>
          <w:rFonts w:ascii="Arial" w:hAnsi="Arial" w:cs="Arial"/>
          <w:snapToGrid w:val="0"/>
          <w:color w:val="000000"/>
          <w:sz w:val="18"/>
          <w:szCs w:val="18"/>
        </w:rPr>
        <w:t>Company</w:t>
      </w:r>
      <w:r w:rsidRPr="00CF4B9C">
        <w:rPr>
          <w:rFonts w:ascii="Arial" w:hAnsi="Arial" w:cs="Arial"/>
          <w:snapToGrid w:val="0"/>
          <w:color w:val="000000"/>
          <w:sz w:val="18"/>
          <w:szCs w:val="18"/>
        </w:rPr>
        <w:t xml:space="preserve"> reassesses unrecognized</w:t>
      </w:r>
      <w:r>
        <w:rPr>
          <w:rFonts w:ascii="Arial" w:hAnsi="Arial" w:cs="Arial"/>
          <w:snapToGrid w:val="0"/>
          <w:color w:val="000000"/>
          <w:sz w:val="18"/>
          <w:szCs w:val="18"/>
        </w:rPr>
        <w:t xml:space="preserve"> </w:t>
      </w:r>
      <w:r w:rsidRPr="00CF4B9C">
        <w:rPr>
          <w:rFonts w:ascii="Arial" w:hAnsi="Arial" w:cs="Arial"/>
          <w:snapToGrid w:val="0"/>
          <w:color w:val="000000"/>
          <w:sz w:val="18"/>
          <w:szCs w:val="18"/>
        </w:rPr>
        <w:t xml:space="preserve">deferred tax assets. The </w:t>
      </w:r>
      <w:r>
        <w:rPr>
          <w:rFonts w:ascii="Arial" w:hAnsi="Arial" w:cs="Arial"/>
          <w:snapToGrid w:val="0"/>
          <w:color w:val="000000"/>
          <w:sz w:val="18"/>
          <w:szCs w:val="18"/>
        </w:rPr>
        <w:t>Company</w:t>
      </w:r>
      <w:r w:rsidRPr="00CF4B9C">
        <w:rPr>
          <w:rFonts w:ascii="Arial" w:hAnsi="Arial" w:cs="Arial"/>
          <w:snapToGrid w:val="0"/>
          <w:color w:val="000000"/>
          <w:sz w:val="18"/>
          <w:szCs w:val="18"/>
        </w:rPr>
        <w:t xml:space="preserve"> recognizes a previously unrecognized deferred tax asset to the extent that it has become probable that future taxable profit will allow the deferred tax asset to be recovered.</w:t>
      </w:r>
    </w:p>
    <w:p w:rsidR="006A257E" w:rsidRPr="00CF4B9C" w:rsidRDefault="006A257E" w:rsidP="006A257E">
      <w:pPr>
        <w:autoSpaceDE w:val="0"/>
        <w:autoSpaceDN w:val="0"/>
        <w:adjustRightInd w:val="0"/>
        <w:ind w:left="720"/>
        <w:jc w:val="both"/>
        <w:rPr>
          <w:rFonts w:ascii="Arial" w:hAnsi="Arial" w:cs="Arial"/>
          <w:snapToGrid w:val="0"/>
          <w:color w:val="000000"/>
          <w:sz w:val="18"/>
          <w:szCs w:val="18"/>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Share capital</w:t>
      </w:r>
    </w:p>
    <w:p w:rsidR="006A257E" w:rsidRPr="009E2B9D" w:rsidRDefault="006A257E" w:rsidP="006A257E">
      <w:pPr>
        <w:autoSpaceDE w:val="0"/>
        <w:autoSpaceDN w:val="0"/>
        <w:adjustRightInd w:val="0"/>
        <w:ind w:left="432"/>
        <w:jc w:val="both"/>
        <w:rPr>
          <w:rFonts w:ascii="Arial" w:hAnsi="Arial" w:cs="Arial"/>
          <w:sz w:val="18"/>
          <w:szCs w:val="18"/>
        </w:rPr>
      </w:pPr>
      <w:r w:rsidRPr="009E2B9D">
        <w:rPr>
          <w:rFonts w:ascii="Arial" w:hAnsi="Arial" w:cs="Arial"/>
          <w:sz w:val="18"/>
          <w:szCs w:val="18"/>
        </w:rPr>
        <w:t xml:space="preserve">Financial instruments issued by the </w:t>
      </w:r>
      <w:r>
        <w:rPr>
          <w:rFonts w:ascii="Arial" w:hAnsi="Arial" w:cs="Arial"/>
          <w:sz w:val="18"/>
          <w:szCs w:val="18"/>
        </w:rPr>
        <w:t>Company</w:t>
      </w:r>
      <w:r w:rsidRPr="009E2B9D">
        <w:rPr>
          <w:rFonts w:ascii="Arial" w:hAnsi="Arial" w:cs="Arial"/>
          <w:sz w:val="18"/>
          <w:szCs w:val="18"/>
        </w:rPr>
        <w:t xml:space="preserve"> are classified as equity only to the extent that they do not meet the definition of a financial liability or financial asset. The </w:t>
      </w:r>
      <w:r>
        <w:rPr>
          <w:rFonts w:ascii="Arial" w:hAnsi="Arial" w:cs="Arial"/>
          <w:sz w:val="18"/>
          <w:szCs w:val="18"/>
        </w:rPr>
        <w:t>Company</w:t>
      </w:r>
      <w:r w:rsidRPr="009E2B9D">
        <w:rPr>
          <w:rFonts w:ascii="Arial" w:hAnsi="Arial" w:cs="Arial"/>
          <w:sz w:val="18"/>
          <w:szCs w:val="18"/>
        </w:rPr>
        <w:t>’s common shares, share warrants, options and flow-through shares are classified as equity instruments.</w:t>
      </w:r>
    </w:p>
    <w:p w:rsidR="006A257E" w:rsidRDefault="006A257E" w:rsidP="006A257E">
      <w:pPr>
        <w:autoSpaceDE w:val="0"/>
        <w:autoSpaceDN w:val="0"/>
        <w:adjustRightInd w:val="0"/>
        <w:jc w:val="both"/>
        <w:rPr>
          <w:rFonts w:ascii="Arial" w:hAnsi="Arial" w:cs="Arial"/>
          <w:b/>
          <w:bCs/>
          <w:sz w:val="18"/>
          <w:szCs w:val="18"/>
        </w:rPr>
      </w:pPr>
    </w:p>
    <w:p w:rsidR="006A257E" w:rsidRPr="009E2B9D" w:rsidRDefault="006A257E" w:rsidP="006A257E">
      <w:pPr>
        <w:autoSpaceDE w:val="0"/>
        <w:autoSpaceDN w:val="0"/>
        <w:adjustRightInd w:val="0"/>
        <w:ind w:left="431"/>
        <w:jc w:val="both"/>
        <w:rPr>
          <w:rFonts w:ascii="Arial" w:hAnsi="Arial" w:cs="Arial"/>
          <w:sz w:val="18"/>
          <w:szCs w:val="18"/>
        </w:rPr>
      </w:pPr>
      <w:r w:rsidRPr="009E2B9D">
        <w:rPr>
          <w:rFonts w:ascii="Arial" w:hAnsi="Arial" w:cs="Arial"/>
          <w:sz w:val="18"/>
          <w:szCs w:val="18"/>
        </w:rPr>
        <w:t xml:space="preserve">Incremental costs directly attributable to the issue of new shares or options are recognized as a deduction from equity, net of tax. </w:t>
      </w:r>
    </w:p>
    <w:p w:rsidR="006A257E" w:rsidRDefault="006A257E" w:rsidP="006A257E">
      <w:pPr>
        <w:autoSpaceDE w:val="0"/>
        <w:autoSpaceDN w:val="0"/>
        <w:adjustRightInd w:val="0"/>
        <w:jc w:val="both"/>
        <w:rPr>
          <w:rFonts w:ascii="Arial" w:hAnsi="Arial" w:cs="Arial"/>
          <w:b/>
          <w:bCs/>
          <w:sz w:val="18"/>
          <w:szCs w:val="18"/>
        </w:rPr>
      </w:pPr>
    </w:p>
    <w:p w:rsidR="006A257E" w:rsidRPr="001E0B0F" w:rsidRDefault="006A257E" w:rsidP="006A257E">
      <w:pPr>
        <w:autoSpaceDE w:val="0"/>
        <w:autoSpaceDN w:val="0"/>
        <w:adjustRightInd w:val="0"/>
        <w:ind w:left="432"/>
        <w:jc w:val="both"/>
        <w:rPr>
          <w:rFonts w:ascii="Arial" w:hAnsi="Arial" w:cs="Arial"/>
          <w:i/>
          <w:sz w:val="18"/>
          <w:szCs w:val="18"/>
        </w:rPr>
      </w:pPr>
      <w:r w:rsidRPr="001E0B0F">
        <w:rPr>
          <w:rFonts w:ascii="Arial" w:hAnsi="Arial" w:cs="Arial"/>
          <w:i/>
          <w:sz w:val="18"/>
          <w:szCs w:val="18"/>
        </w:rPr>
        <w:t>Valuation of equity units issued in private placements</w:t>
      </w:r>
    </w:p>
    <w:p w:rsidR="006A257E" w:rsidRDefault="006A257E" w:rsidP="006A257E">
      <w:pPr>
        <w:widowControl w:val="0"/>
        <w:autoSpaceDE w:val="0"/>
        <w:autoSpaceDN w:val="0"/>
        <w:adjustRightInd w:val="0"/>
        <w:ind w:left="431"/>
        <w:jc w:val="both"/>
        <w:rPr>
          <w:rFonts w:ascii="Arial" w:hAnsi="Arial" w:cs="Arial"/>
          <w:bCs/>
          <w:iCs/>
          <w:sz w:val="18"/>
          <w:szCs w:val="18"/>
        </w:rPr>
      </w:pPr>
      <w:r w:rsidRPr="0014469A">
        <w:rPr>
          <w:rFonts w:ascii="Arial" w:hAnsi="Arial" w:cs="Arial"/>
          <w:bCs/>
          <w:iCs/>
          <w:sz w:val="18"/>
          <w:szCs w:val="18"/>
        </w:rPr>
        <w:t xml:space="preserve">The </w:t>
      </w:r>
      <w:r>
        <w:rPr>
          <w:rFonts w:ascii="Arial" w:hAnsi="Arial" w:cs="Arial"/>
          <w:bCs/>
          <w:iCs/>
          <w:sz w:val="18"/>
          <w:szCs w:val="18"/>
        </w:rPr>
        <w:t>Company</w:t>
      </w:r>
      <w:r w:rsidRPr="0014469A">
        <w:rPr>
          <w:rFonts w:ascii="Arial" w:hAnsi="Arial" w:cs="Arial"/>
          <w:bCs/>
          <w:iCs/>
          <w:sz w:val="18"/>
          <w:szCs w:val="18"/>
        </w:rPr>
        <w:t xml:space="preserve"> has adopted a residual value method with respect to the measurement of shares and warrants issued as private placement units. The residual value method first allocates value to the more easily measurable </w:t>
      </w:r>
    </w:p>
    <w:p w:rsidR="006A257E" w:rsidRDefault="006A257E" w:rsidP="006A257E">
      <w:pPr>
        <w:autoSpaceDE w:val="0"/>
        <w:autoSpaceDN w:val="0"/>
        <w:adjustRightInd w:val="0"/>
        <w:jc w:val="both"/>
        <w:rPr>
          <w:rFonts w:ascii="Arial" w:hAnsi="Arial" w:cs="Arial"/>
          <w:b/>
          <w:bCs/>
          <w:sz w:val="18"/>
          <w:szCs w:val="18"/>
        </w:rPr>
      </w:pPr>
    </w:p>
    <w:p w:rsidR="006A257E"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w:t>
      </w:r>
      <w:r w:rsidRPr="0014469A">
        <w:rPr>
          <w:rFonts w:ascii="Arial" w:hAnsi="Arial" w:cs="Arial"/>
          <w:b/>
          <w:bCs/>
          <w:sz w:val="18"/>
          <w:szCs w:val="18"/>
        </w:rPr>
        <w:t xml:space="preserve">.     Significant Accounting Policies </w:t>
      </w:r>
      <w:r>
        <w:rPr>
          <w:rFonts w:ascii="Arial" w:hAnsi="Arial" w:cs="Arial"/>
          <w:b/>
          <w:bCs/>
          <w:sz w:val="18"/>
          <w:szCs w:val="18"/>
        </w:rPr>
        <w:t>–</w:t>
      </w:r>
      <w:r w:rsidRPr="0014469A">
        <w:rPr>
          <w:rFonts w:ascii="Arial" w:hAnsi="Arial" w:cs="Arial"/>
          <w:b/>
          <w:bCs/>
          <w:sz w:val="18"/>
          <w:szCs w:val="18"/>
        </w:rPr>
        <w:t xml:space="preserve"> continued</w:t>
      </w:r>
    </w:p>
    <w:p w:rsidR="006A257E" w:rsidRPr="0014469A" w:rsidRDefault="006A257E" w:rsidP="006A257E">
      <w:pPr>
        <w:pBdr>
          <w:bottom w:val="single" w:sz="8" w:space="1" w:color="auto"/>
        </w:pBdr>
        <w:jc w:val="both"/>
        <w:rPr>
          <w:rFonts w:ascii="Arial" w:hAnsi="Arial" w:cs="Arial"/>
          <w:bCs/>
          <w:sz w:val="18"/>
          <w:szCs w:val="18"/>
        </w:rPr>
      </w:pPr>
    </w:p>
    <w:p w:rsidR="006A257E" w:rsidRDefault="006A257E" w:rsidP="006A257E">
      <w:pPr>
        <w:autoSpaceDE w:val="0"/>
        <w:autoSpaceDN w:val="0"/>
        <w:adjustRightInd w:val="0"/>
        <w:jc w:val="both"/>
        <w:rPr>
          <w:rFonts w:ascii="Arial" w:hAnsi="Arial" w:cs="Arial"/>
          <w:b/>
          <w:bCs/>
          <w:sz w:val="18"/>
          <w:szCs w:val="18"/>
        </w:rPr>
      </w:pPr>
    </w:p>
    <w:p w:rsidR="006A257E" w:rsidRDefault="006A257E" w:rsidP="006A257E">
      <w:pPr>
        <w:widowControl w:val="0"/>
        <w:autoSpaceDE w:val="0"/>
        <w:autoSpaceDN w:val="0"/>
        <w:adjustRightInd w:val="0"/>
        <w:ind w:left="431"/>
        <w:jc w:val="both"/>
        <w:rPr>
          <w:rFonts w:ascii="Arial" w:hAnsi="Arial" w:cs="Arial"/>
          <w:bCs/>
          <w:iCs/>
          <w:sz w:val="18"/>
          <w:szCs w:val="18"/>
        </w:rPr>
      </w:pPr>
      <w:proofErr w:type="gramStart"/>
      <w:r w:rsidRPr="0014469A">
        <w:rPr>
          <w:rFonts w:ascii="Arial" w:hAnsi="Arial" w:cs="Arial"/>
          <w:bCs/>
          <w:iCs/>
          <w:sz w:val="18"/>
          <w:szCs w:val="18"/>
        </w:rPr>
        <w:t>component</w:t>
      </w:r>
      <w:proofErr w:type="gramEnd"/>
      <w:r w:rsidRPr="0014469A">
        <w:rPr>
          <w:rFonts w:ascii="Arial" w:hAnsi="Arial" w:cs="Arial"/>
          <w:bCs/>
          <w:iCs/>
          <w:sz w:val="18"/>
          <w:szCs w:val="18"/>
        </w:rPr>
        <w:t xml:space="preserve"> based on fair value and then the residual value, if any, to the less easily measurable component.  </w:t>
      </w:r>
    </w:p>
    <w:p w:rsidR="006A257E" w:rsidRDefault="006A257E" w:rsidP="006A257E">
      <w:pPr>
        <w:autoSpaceDE w:val="0"/>
        <w:autoSpaceDN w:val="0"/>
        <w:adjustRightInd w:val="0"/>
        <w:ind w:left="432"/>
        <w:jc w:val="both"/>
        <w:rPr>
          <w:rFonts w:ascii="Arial" w:hAnsi="Arial" w:cs="Arial"/>
          <w:bCs/>
          <w:iCs/>
          <w:sz w:val="18"/>
          <w:szCs w:val="18"/>
        </w:rPr>
      </w:pPr>
    </w:p>
    <w:p w:rsidR="006A257E" w:rsidRPr="006642D9" w:rsidRDefault="006A257E" w:rsidP="006A257E">
      <w:pPr>
        <w:ind w:left="432"/>
        <w:jc w:val="both"/>
        <w:rPr>
          <w:rFonts w:ascii="Arial" w:hAnsi="Arial" w:cs="Arial"/>
          <w:sz w:val="18"/>
          <w:szCs w:val="18"/>
        </w:rPr>
      </w:pPr>
      <w:r w:rsidRPr="006642D9">
        <w:rPr>
          <w:rFonts w:ascii="Arial" w:hAnsi="Arial" w:cs="Arial"/>
          <w:sz w:val="18"/>
          <w:szCs w:val="18"/>
        </w:rPr>
        <w:t xml:space="preserve">The fair value of the common shares issued in the private placements was determined to be the more easily measurable </w:t>
      </w:r>
      <w:r>
        <w:rPr>
          <w:rFonts w:ascii="Arial" w:hAnsi="Arial" w:cs="Arial"/>
          <w:sz w:val="18"/>
          <w:szCs w:val="18"/>
        </w:rPr>
        <w:t xml:space="preserve">component </w:t>
      </w:r>
      <w:r w:rsidRPr="006642D9">
        <w:rPr>
          <w:rFonts w:ascii="Arial" w:hAnsi="Arial" w:cs="Arial"/>
          <w:sz w:val="18"/>
          <w:szCs w:val="18"/>
        </w:rPr>
        <w:t>and were valued at their fair value, as determined by the closing quoted bid price on the announcement date.  The balance, if any, was allocated to the attached warrants.  Any fair value</w:t>
      </w:r>
      <w:r>
        <w:rPr>
          <w:rFonts w:ascii="Arial" w:hAnsi="Arial" w:cs="Arial"/>
          <w:sz w:val="18"/>
          <w:szCs w:val="18"/>
        </w:rPr>
        <w:t xml:space="preserve"> </w:t>
      </w:r>
      <w:r w:rsidRPr="006642D9">
        <w:rPr>
          <w:rFonts w:ascii="Arial" w:hAnsi="Arial" w:cs="Arial"/>
          <w:sz w:val="18"/>
          <w:szCs w:val="18"/>
        </w:rPr>
        <w:t xml:space="preserve">attributed to the warrants is recorded </w:t>
      </w:r>
      <w:r>
        <w:rPr>
          <w:rFonts w:ascii="Arial" w:hAnsi="Arial" w:cs="Arial"/>
          <w:sz w:val="18"/>
          <w:szCs w:val="18"/>
        </w:rPr>
        <w:t>to</w:t>
      </w:r>
      <w:r w:rsidRPr="006642D9">
        <w:rPr>
          <w:rFonts w:ascii="Arial" w:hAnsi="Arial" w:cs="Arial"/>
          <w:sz w:val="18"/>
          <w:szCs w:val="18"/>
        </w:rPr>
        <w:t xml:space="preserve"> </w:t>
      </w:r>
      <w:proofErr w:type="gramStart"/>
      <w:r w:rsidRPr="006642D9">
        <w:rPr>
          <w:rFonts w:ascii="Arial" w:hAnsi="Arial" w:cs="Arial"/>
          <w:sz w:val="18"/>
          <w:szCs w:val="18"/>
        </w:rPr>
        <w:t>contributed</w:t>
      </w:r>
      <w:proofErr w:type="gramEnd"/>
      <w:r w:rsidRPr="006642D9">
        <w:rPr>
          <w:rFonts w:ascii="Arial" w:hAnsi="Arial" w:cs="Arial"/>
          <w:sz w:val="18"/>
          <w:szCs w:val="18"/>
        </w:rPr>
        <w:t xml:space="preserve"> surplus.</w:t>
      </w:r>
      <w:r>
        <w:rPr>
          <w:rFonts w:ascii="Arial" w:hAnsi="Arial" w:cs="Arial"/>
          <w:sz w:val="18"/>
          <w:szCs w:val="18"/>
        </w:rPr>
        <w:t xml:space="preserve">  </w:t>
      </w:r>
    </w:p>
    <w:p w:rsidR="006A257E" w:rsidRDefault="006A257E" w:rsidP="006A257E">
      <w:pPr>
        <w:autoSpaceDE w:val="0"/>
        <w:autoSpaceDN w:val="0"/>
        <w:adjustRightInd w:val="0"/>
        <w:jc w:val="both"/>
        <w:rPr>
          <w:rFonts w:ascii="Arial" w:hAnsi="Arial" w:cs="Arial"/>
          <w:i/>
          <w:sz w:val="18"/>
          <w:szCs w:val="18"/>
        </w:rPr>
      </w:pPr>
    </w:p>
    <w:p w:rsidR="006A257E" w:rsidRPr="001E0B0F" w:rsidRDefault="006A257E" w:rsidP="006A257E">
      <w:pPr>
        <w:autoSpaceDE w:val="0"/>
        <w:autoSpaceDN w:val="0"/>
        <w:adjustRightInd w:val="0"/>
        <w:ind w:left="432"/>
        <w:jc w:val="both"/>
        <w:rPr>
          <w:rFonts w:ascii="Arial" w:hAnsi="Arial" w:cs="Arial"/>
          <w:i/>
          <w:sz w:val="18"/>
          <w:szCs w:val="18"/>
        </w:rPr>
      </w:pPr>
      <w:r w:rsidRPr="001E0B0F">
        <w:rPr>
          <w:rFonts w:ascii="Arial" w:hAnsi="Arial" w:cs="Arial"/>
          <w:i/>
          <w:sz w:val="18"/>
          <w:szCs w:val="18"/>
        </w:rPr>
        <w:t>Flow-through shares</w:t>
      </w:r>
    </w:p>
    <w:p w:rsidR="006A257E" w:rsidRPr="0085201C" w:rsidRDefault="006A257E" w:rsidP="006A257E">
      <w:pPr>
        <w:autoSpaceDE w:val="0"/>
        <w:autoSpaceDN w:val="0"/>
        <w:adjustRightInd w:val="0"/>
        <w:ind w:left="432"/>
        <w:jc w:val="both"/>
        <w:rPr>
          <w:rFonts w:ascii="Arial" w:hAnsi="Arial" w:cs="Arial"/>
          <w:sz w:val="18"/>
          <w:szCs w:val="18"/>
        </w:rPr>
      </w:pPr>
      <w:r w:rsidRPr="0085201C">
        <w:rPr>
          <w:rFonts w:ascii="Arial" w:hAnsi="Arial" w:cs="Arial"/>
          <w:bCs/>
          <w:sz w:val="18"/>
          <w:szCs w:val="18"/>
          <w:lang w:val="en-GB"/>
        </w:rPr>
        <w:t>Resource expenditure deductions for income tax purposes related to exploratory activities funded by flow-through share arrangements are renounced to investors in accordance with income tax legislation.</w:t>
      </w:r>
      <w:r w:rsidRPr="0085201C">
        <w:rPr>
          <w:rFonts w:ascii="Arial" w:hAnsi="Arial" w:cs="Arial"/>
          <w:b/>
          <w:bCs/>
          <w:sz w:val="18"/>
          <w:szCs w:val="18"/>
          <w:lang w:val="en-GB"/>
        </w:rPr>
        <w:t xml:space="preserve"> </w:t>
      </w:r>
      <w:r w:rsidRPr="0085201C">
        <w:rPr>
          <w:rFonts w:ascii="Arial" w:hAnsi="Arial" w:cs="Arial"/>
          <w:sz w:val="18"/>
          <w:szCs w:val="18"/>
        </w:rPr>
        <w:t>Pursuant</w:t>
      </w:r>
      <w:r>
        <w:rPr>
          <w:rFonts w:ascii="Arial" w:hAnsi="Arial" w:cs="Arial"/>
          <w:sz w:val="18"/>
          <w:szCs w:val="18"/>
        </w:rPr>
        <w:t xml:space="preserve"> </w:t>
      </w:r>
      <w:r w:rsidRPr="0085201C">
        <w:rPr>
          <w:rFonts w:ascii="Arial" w:hAnsi="Arial" w:cs="Arial"/>
          <w:sz w:val="18"/>
          <w:szCs w:val="18"/>
        </w:rPr>
        <w:t>to</w:t>
      </w:r>
      <w:r>
        <w:rPr>
          <w:rFonts w:ascii="Arial" w:hAnsi="Arial" w:cs="Arial"/>
          <w:sz w:val="18"/>
          <w:szCs w:val="18"/>
        </w:rPr>
        <w:t xml:space="preserve"> </w:t>
      </w:r>
      <w:r w:rsidRPr="0085201C">
        <w:rPr>
          <w:rFonts w:ascii="Arial" w:hAnsi="Arial" w:cs="Arial"/>
          <w:sz w:val="18"/>
          <w:szCs w:val="18"/>
        </w:rPr>
        <w:t xml:space="preserve">the terms of the flow-through share agreements, these shares transfer the tax deductibility of qualifying resource expenditures to investors. On issuance, the </w:t>
      </w:r>
      <w:r>
        <w:rPr>
          <w:rFonts w:ascii="Arial" w:hAnsi="Arial" w:cs="Arial"/>
          <w:sz w:val="18"/>
          <w:szCs w:val="18"/>
        </w:rPr>
        <w:t>Company</w:t>
      </w:r>
      <w:r w:rsidRPr="0085201C">
        <w:rPr>
          <w:rFonts w:ascii="Arial" w:hAnsi="Arial" w:cs="Arial"/>
          <w:sz w:val="18"/>
          <w:szCs w:val="18"/>
        </w:rPr>
        <w:t xml:space="preserve"> bifurcates the flow-through share into </w:t>
      </w:r>
      <w:proofErr w:type="spellStart"/>
      <w:r w:rsidRPr="0085201C">
        <w:rPr>
          <w:rFonts w:ascii="Arial" w:hAnsi="Arial" w:cs="Arial"/>
          <w:sz w:val="18"/>
          <w:szCs w:val="18"/>
        </w:rPr>
        <w:t>i</w:t>
      </w:r>
      <w:proofErr w:type="spellEnd"/>
      <w:r w:rsidRPr="0085201C">
        <w:rPr>
          <w:rFonts w:ascii="Arial" w:hAnsi="Arial" w:cs="Arial"/>
          <w:sz w:val="18"/>
          <w:szCs w:val="18"/>
        </w:rPr>
        <w:t>) a flow-through share premium, equal to the estimated premium, if any, investors pay for the flow-through feature, which is recognized as a</w:t>
      </w:r>
      <w:r>
        <w:rPr>
          <w:rFonts w:ascii="Arial" w:hAnsi="Arial" w:cs="Arial"/>
          <w:sz w:val="18"/>
          <w:szCs w:val="18"/>
        </w:rPr>
        <w:t>n other</w:t>
      </w:r>
      <w:r w:rsidRPr="0085201C">
        <w:rPr>
          <w:rFonts w:ascii="Arial" w:hAnsi="Arial" w:cs="Arial"/>
          <w:sz w:val="18"/>
          <w:szCs w:val="18"/>
        </w:rPr>
        <w:t xml:space="preserve"> liability, and ii) share capital. Upon expenses being incurred, the </w:t>
      </w:r>
      <w:r>
        <w:rPr>
          <w:rFonts w:ascii="Arial" w:hAnsi="Arial" w:cs="Arial"/>
          <w:sz w:val="18"/>
          <w:szCs w:val="18"/>
        </w:rPr>
        <w:t>Company</w:t>
      </w:r>
      <w:r w:rsidRPr="0085201C">
        <w:rPr>
          <w:rFonts w:ascii="Arial" w:hAnsi="Arial" w:cs="Arial"/>
          <w:sz w:val="18"/>
          <w:szCs w:val="18"/>
        </w:rPr>
        <w:t xml:space="preserve"> derecognizes</w:t>
      </w:r>
      <w:r>
        <w:rPr>
          <w:rFonts w:ascii="Arial" w:hAnsi="Arial" w:cs="Arial"/>
          <w:sz w:val="18"/>
          <w:szCs w:val="18"/>
        </w:rPr>
        <w:t xml:space="preserve"> </w:t>
      </w:r>
      <w:r w:rsidRPr="0085201C">
        <w:rPr>
          <w:rFonts w:ascii="Arial" w:hAnsi="Arial" w:cs="Arial"/>
          <w:sz w:val="18"/>
          <w:szCs w:val="18"/>
        </w:rPr>
        <w:t xml:space="preserve">the </w:t>
      </w:r>
      <w:r>
        <w:rPr>
          <w:rFonts w:ascii="Arial" w:hAnsi="Arial" w:cs="Arial"/>
          <w:sz w:val="18"/>
          <w:szCs w:val="18"/>
        </w:rPr>
        <w:t xml:space="preserve">other </w:t>
      </w:r>
      <w:r w:rsidRPr="0085201C">
        <w:rPr>
          <w:rFonts w:ascii="Arial" w:hAnsi="Arial" w:cs="Arial"/>
          <w:sz w:val="18"/>
          <w:szCs w:val="18"/>
        </w:rPr>
        <w:t xml:space="preserve">liability and recognizes a deferred tax liability for the amount of tax reduction renounced to the shareholders. The premium is recognized as other income and the related deferred tax is recognized as a tax provision.  </w:t>
      </w:r>
    </w:p>
    <w:p w:rsidR="006A257E" w:rsidRPr="00426AF0" w:rsidRDefault="006A257E" w:rsidP="006A257E">
      <w:pPr>
        <w:autoSpaceDE w:val="0"/>
        <w:autoSpaceDN w:val="0"/>
        <w:adjustRightInd w:val="0"/>
        <w:jc w:val="both"/>
        <w:rPr>
          <w:rFonts w:ascii="Arial" w:hAnsi="Arial" w:cs="Arial"/>
          <w:b/>
          <w:bCs/>
          <w:sz w:val="18"/>
          <w:szCs w:val="18"/>
        </w:rPr>
      </w:pPr>
    </w:p>
    <w:p w:rsidR="006A257E" w:rsidRPr="0085201C"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 xml:space="preserve">Proceeds  received  from  the  issuance  of  flow-through  shares  are  restricted  to  be  used  only  for  Canadian resource property exploration expenditures within a two-year period. The portion of the proceeds received but not yet expended at the end of the </w:t>
      </w:r>
      <w:r>
        <w:rPr>
          <w:rFonts w:ascii="Arial" w:hAnsi="Arial" w:cs="Arial"/>
          <w:sz w:val="18"/>
          <w:szCs w:val="18"/>
        </w:rPr>
        <w:t>Company</w:t>
      </w:r>
      <w:r w:rsidRPr="0085201C">
        <w:rPr>
          <w:rFonts w:ascii="Arial" w:hAnsi="Arial" w:cs="Arial"/>
          <w:sz w:val="18"/>
          <w:szCs w:val="18"/>
        </w:rPr>
        <w:t xml:space="preserve">’s </w:t>
      </w:r>
      <w:r>
        <w:rPr>
          <w:rFonts w:ascii="Arial" w:hAnsi="Arial" w:cs="Arial"/>
          <w:sz w:val="18"/>
          <w:szCs w:val="18"/>
        </w:rPr>
        <w:t xml:space="preserve">reporting </w:t>
      </w:r>
      <w:r w:rsidRPr="0085201C">
        <w:rPr>
          <w:rFonts w:ascii="Arial" w:hAnsi="Arial" w:cs="Arial"/>
          <w:sz w:val="18"/>
          <w:szCs w:val="18"/>
        </w:rPr>
        <w:t xml:space="preserve">period is disclosed separately as flow-through share proceeds in Note </w:t>
      </w:r>
      <w:r>
        <w:rPr>
          <w:rFonts w:ascii="Arial" w:hAnsi="Arial" w:cs="Arial"/>
          <w:sz w:val="18"/>
          <w:szCs w:val="18"/>
        </w:rPr>
        <w:t>8, if any</w:t>
      </w:r>
      <w:r w:rsidRPr="0085201C">
        <w:rPr>
          <w:rFonts w:ascii="Arial" w:hAnsi="Arial" w:cs="Arial"/>
          <w:sz w:val="18"/>
          <w:szCs w:val="18"/>
        </w:rPr>
        <w:t xml:space="preserve">. </w:t>
      </w:r>
    </w:p>
    <w:p w:rsidR="006A257E" w:rsidRPr="00426AF0" w:rsidRDefault="006A257E" w:rsidP="006A257E">
      <w:pPr>
        <w:widowControl w:val="0"/>
        <w:autoSpaceDE w:val="0"/>
        <w:autoSpaceDN w:val="0"/>
        <w:adjustRightInd w:val="0"/>
        <w:ind w:left="432"/>
        <w:jc w:val="both"/>
        <w:rPr>
          <w:rFonts w:ascii="Arial" w:hAnsi="Arial" w:cs="Arial"/>
          <w:sz w:val="18"/>
          <w:szCs w:val="18"/>
        </w:rPr>
      </w:pPr>
    </w:p>
    <w:p w:rsidR="006A257E" w:rsidRPr="0085201C" w:rsidRDefault="006A257E" w:rsidP="006A257E">
      <w:pPr>
        <w:widowControl w:val="0"/>
        <w:autoSpaceDE w:val="0"/>
        <w:autoSpaceDN w:val="0"/>
        <w:adjustRightInd w:val="0"/>
        <w:ind w:left="432"/>
        <w:jc w:val="both"/>
        <w:rPr>
          <w:rFonts w:ascii="Arial" w:hAnsi="Arial" w:cs="Arial"/>
          <w:sz w:val="18"/>
          <w:szCs w:val="18"/>
        </w:rPr>
      </w:pPr>
      <w:r w:rsidRPr="0085201C">
        <w:rPr>
          <w:rFonts w:ascii="Arial" w:hAnsi="Arial" w:cs="Arial"/>
          <w:sz w:val="18"/>
          <w:szCs w:val="18"/>
        </w:rPr>
        <w:t xml:space="preserve">The </w:t>
      </w:r>
      <w:r>
        <w:rPr>
          <w:rFonts w:ascii="Arial" w:hAnsi="Arial" w:cs="Arial"/>
          <w:sz w:val="18"/>
          <w:szCs w:val="18"/>
        </w:rPr>
        <w:t>Company</w:t>
      </w:r>
      <w:r w:rsidRPr="0085201C">
        <w:rPr>
          <w:rFonts w:ascii="Arial" w:hAnsi="Arial" w:cs="Arial"/>
          <w:sz w:val="18"/>
          <w:szCs w:val="18"/>
        </w:rPr>
        <w:t xml:space="preserve"> may also be subject to Part XII.6 tax on flow-through proceeds renounced under the Look-back Rule, in accordance with Government of Canada flow-through regulations. When applicable, this tax is accrued</w:t>
      </w:r>
      <w:r>
        <w:rPr>
          <w:rFonts w:ascii="Arial" w:hAnsi="Arial" w:cs="Arial"/>
          <w:sz w:val="18"/>
          <w:szCs w:val="18"/>
        </w:rPr>
        <w:t xml:space="preserve"> </w:t>
      </w:r>
      <w:r w:rsidRPr="0085201C">
        <w:rPr>
          <w:rFonts w:ascii="Arial" w:hAnsi="Arial" w:cs="Arial"/>
          <w:sz w:val="18"/>
          <w:szCs w:val="18"/>
        </w:rPr>
        <w:t>as a finan</w:t>
      </w:r>
      <w:r>
        <w:rPr>
          <w:rFonts w:ascii="Arial" w:hAnsi="Arial" w:cs="Arial"/>
          <w:sz w:val="18"/>
          <w:szCs w:val="18"/>
        </w:rPr>
        <w:t>cing</w:t>
      </w:r>
      <w:r w:rsidRPr="0085201C">
        <w:rPr>
          <w:rFonts w:ascii="Arial" w:hAnsi="Arial" w:cs="Arial"/>
          <w:sz w:val="18"/>
          <w:szCs w:val="18"/>
        </w:rPr>
        <w:t xml:space="preserve"> expense until qualifying expenditures are incurred.</w:t>
      </w:r>
    </w:p>
    <w:p w:rsidR="006A257E" w:rsidRDefault="006A257E" w:rsidP="006A257E">
      <w:pPr>
        <w:autoSpaceDE w:val="0"/>
        <w:autoSpaceDN w:val="0"/>
        <w:adjustRightInd w:val="0"/>
        <w:jc w:val="both"/>
        <w:rPr>
          <w:rFonts w:ascii="Arial" w:hAnsi="Arial" w:cs="Arial"/>
          <w:b/>
          <w:bCs/>
          <w:sz w:val="18"/>
          <w:szCs w:val="18"/>
        </w:rPr>
      </w:pPr>
    </w:p>
    <w:p w:rsidR="006A257E" w:rsidRPr="00DB194C" w:rsidRDefault="006A257E" w:rsidP="00444A4B">
      <w:pPr>
        <w:widowControl w:val="0"/>
        <w:numPr>
          <w:ilvl w:val="0"/>
          <w:numId w:val="12"/>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Share-based payments</w:t>
      </w:r>
    </w:p>
    <w:p w:rsidR="006A257E" w:rsidRPr="0085201C"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Where equity-settled share options are awarded to employees, the fair value of the options at the date of grant is charged to</w:t>
      </w:r>
      <w:r>
        <w:rPr>
          <w:rFonts w:ascii="Arial" w:hAnsi="Arial" w:cs="Arial"/>
          <w:sz w:val="18"/>
          <w:szCs w:val="18"/>
        </w:rPr>
        <w:t xml:space="preserve"> profit or loss in</w:t>
      </w:r>
      <w:r w:rsidRPr="0085201C">
        <w:rPr>
          <w:rFonts w:ascii="Arial" w:hAnsi="Arial" w:cs="Arial"/>
          <w:sz w:val="18"/>
          <w:szCs w:val="18"/>
        </w:rPr>
        <w:t xml:space="preserve"> the </w:t>
      </w:r>
      <w:r>
        <w:rPr>
          <w:rFonts w:ascii="Arial" w:hAnsi="Arial" w:cs="Arial"/>
          <w:sz w:val="18"/>
          <w:szCs w:val="18"/>
        </w:rPr>
        <w:t xml:space="preserve">condensed interim </w:t>
      </w:r>
      <w:r w:rsidRPr="0085201C">
        <w:rPr>
          <w:rFonts w:ascii="Arial" w:hAnsi="Arial" w:cs="Arial"/>
          <w:sz w:val="18"/>
          <w:szCs w:val="18"/>
        </w:rPr>
        <w:t xml:space="preserve">statement of comprehensive </w:t>
      </w:r>
      <w:r>
        <w:rPr>
          <w:rFonts w:ascii="Arial" w:hAnsi="Arial" w:cs="Arial"/>
          <w:sz w:val="18"/>
          <w:szCs w:val="18"/>
        </w:rPr>
        <w:t>income (loss)</w:t>
      </w:r>
      <w:r w:rsidRPr="0085201C">
        <w:rPr>
          <w:rFonts w:ascii="Arial" w:hAnsi="Arial" w:cs="Arial"/>
          <w:sz w:val="18"/>
          <w:szCs w:val="18"/>
        </w:rPr>
        <w:t xml:space="preserve"> over the vesting period. Performance vesting conditions are taken into account by adjusting the number of equity instruments expected to vest at each reporting date so that, ultimately, the cumulative amount recognized over the vesting period is based on the number of options that eventually vest. Non-vesting conditions and market vesting conditions are factored into</w:t>
      </w:r>
      <w:r>
        <w:rPr>
          <w:rFonts w:ascii="Arial" w:hAnsi="Arial" w:cs="Arial"/>
          <w:sz w:val="18"/>
          <w:szCs w:val="18"/>
        </w:rPr>
        <w:t xml:space="preserve"> </w:t>
      </w:r>
      <w:r w:rsidRPr="0085201C">
        <w:rPr>
          <w:rFonts w:ascii="Arial" w:hAnsi="Arial" w:cs="Arial"/>
          <w:sz w:val="18"/>
          <w:szCs w:val="18"/>
        </w:rPr>
        <w:t>the fair value of the options granted. As long as all other vesting conditions are satisfied, a charge is made irrespective of whether these vesting conditions are satisfied. The cumulative expense is not adjusted for failure to achieve a market vesting condition or where a non-vesting condition is not satisfied.</w:t>
      </w:r>
    </w:p>
    <w:p w:rsidR="006A257E" w:rsidRDefault="006A257E" w:rsidP="006A257E">
      <w:pPr>
        <w:autoSpaceDE w:val="0"/>
        <w:autoSpaceDN w:val="0"/>
        <w:adjustRightInd w:val="0"/>
        <w:ind w:left="431"/>
        <w:jc w:val="both"/>
        <w:rPr>
          <w:rFonts w:ascii="Arial" w:hAnsi="Arial" w:cs="Arial"/>
          <w:sz w:val="18"/>
          <w:szCs w:val="18"/>
        </w:rPr>
      </w:pPr>
    </w:p>
    <w:p w:rsidR="006A257E" w:rsidRPr="0085201C" w:rsidRDefault="006A257E" w:rsidP="006A257E">
      <w:pPr>
        <w:autoSpaceDE w:val="0"/>
        <w:autoSpaceDN w:val="0"/>
        <w:adjustRightInd w:val="0"/>
        <w:ind w:left="431"/>
        <w:jc w:val="both"/>
        <w:rPr>
          <w:rFonts w:ascii="Arial" w:hAnsi="Arial" w:cs="Arial"/>
          <w:sz w:val="18"/>
          <w:szCs w:val="18"/>
        </w:rPr>
      </w:pPr>
      <w:r w:rsidRPr="0085201C">
        <w:rPr>
          <w:rFonts w:ascii="Arial" w:hAnsi="Arial" w:cs="Arial"/>
          <w:sz w:val="18"/>
          <w:szCs w:val="18"/>
        </w:rPr>
        <w:t>Where the terms and conditions of options are modified before they vest, the increase in the fair value of the options, measured immediately before and after the modification, is also charged to</w:t>
      </w:r>
      <w:r>
        <w:rPr>
          <w:rFonts w:ascii="Arial" w:hAnsi="Arial" w:cs="Arial"/>
          <w:sz w:val="18"/>
          <w:szCs w:val="18"/>
        </w:rPr>
        <w:t xml:space="preserve"> profit or loss in</w:t>
      </w:r>
      <w:r w:rsidRPr="0085201C">
        <w:rPr>
          <w:rFonts w:ascii="Arial" w:hAnsi="Arial" w:cs="Arial"/>
          <w:sz w:val="18"/>
          <w:szCs w:val="18"/>
        </w:rPr>
        <w:t xml:space="preserve"> the </w:t>
      </w:r>
      <w:r>
        <w:rPr>
          <w:rFonts w:ascii="Arial" w:hAnsi="Arial" w:cs="Arial"/>
          <w:sz w:val="18"/>
          <w:szCs w:val="18"/>
        </w:rPr>
        <w:t xml:space="preserve">carve out </w:t>
      </w:r>
      <w:r w:rsidRPr="0085201C">
        <w:rPr>
          <w:rFonts w:ascii="Arial" w:hAnsi="Arial" w:cs="Arial"/>
          <w:sz w:val="18"/>
          <w:szCs w:val="18"/>
        </w:rPr>
        <w:t xml:space="preserve">statement of comprehensive </w:t>
      </w:r>
      <w:r>
        <w:rPr>
          <w:rFonts w:ascii="Arial" w:hAnsi="Arial" w:cs="Arial"/>
          <w:sz w:val="18"/>
          <w:szCs w:val="18"/>
        </w:rPr>
        <w:t>income (loss)</w:t>
      </w:r>
      <w:r w:rsidRPr="0085201C">
        <w:rPr>
          <w:rFonts w:ascii="Arial" w:hAnsi="Arial" w:cs="Arial"/>
          <w:sz w:val="18"/>
          <w:szCs w:val="18"/>
        </w:rPr>
        <w:t xml:space="preserve"> over the remaining vesting period.</w:t>
      </w:r>
    </w:p>
    <w:p w:rsidR="006A257E" w:rsidRPr="0085201C" w:rsidRDefault="006A257E" w:rsidP="006A257E">
      <w:pPr>
        <w:autoSpaceDE w:val="0"/>
        <w:autoSpaceDN w:val="0"/>
        <w:adjustRightInd w:val="0"/>
        <w:ind w:left="432"/>
        <w:jc w:val="both"/>
        <w:rPr>
          <w:rFonts w:ascii="Arial" w:hAnsi="Arial" w:cs="Arial"/>
          <w:sz w:val="18"/>
          <w:szCs w:val="18"/>
        </w:rPr>
      </w:pPr>
    </w:p>
    <w:p w:rsidR="006A257E" w:rsidRPr="0085201C"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Where equity instruments are granted to non-employees, they are recorded at the fair value of the goods or services received in</w:t>
      </w:r>
      <w:r>
        <w:rPr>
          <w:rFonts w:ascii="Arial" w:hAnsi="Arial" w:cs="Arial"/>
          <w:sz w:val="18"/>
          <w:szCs w:val="18"/>
        </w:rPr>
        <w:t xml:space="preserve"> profit or loss in </w:t>
      </w:r>
      <w:r w:rsidRPr="0085201C">
        <w:rPr>
          <w:rFonts w:ascii="Arial" w:hAnsi="Arial" w:cs="Arial"/>
          <w:sz w:val="18"/>
          <w:szCs w:val="18"/>
        </w:rPr>
        <w:t xml:space="preserve">the </w:t>
      </w:r>
      <w:r>
        <w:rPr>
          <w:rFonts w:ascii="Arial" w:hAnsi="Arial" w:cs="Arial"/>
          <w:sz w:val="18"/>
          <w:szCs w:val="18"/>
        </w:rPr>
        <w:t xml:space="preserve">condensed interim </w:t>
      </w:r>
      <w:r w:rsidRPr="0085201C">
        <w:rPr>
          <w:rFonts w:ascii="Arial" w:hAnsi="Arial" w:cs="Arial"/>
          <w:sz w:val="18"/>
          <w:szCs w:val="18"/>
        </w:rPr>
        <w:t xml:space="preserve">statement of comprehensive </w:t>
      </w:r>
      <w:r>
        <w:rPr>
          <w:rFonts w:ascii="Arial" w:hAnsi="Arial" w:cs="Arial"/>
          <w:sz w:val="18"/>
          <w:szCs w:val="18"/>
        </w:rPr>
        <w:t>income (loss)</w:t>
      </w:r>
      <w:r w:rsidRPr="0085201C">
        <w:rPr>
          <w:rFonts w:ascii="Arial" w:hAnsi="Arial" w:cs="Arial"/>
          <w:sz w:val="18"/>
          <w:szCs w:val="18"/>
        </w:rPr>
        <w:t>, unless they are related to the issuance of shares. Amounts related to the issuance of shares are recorded as a reduction of share capital.</w:t>
      </w:r>
    </w:p>
    <w:p w:rsidR="006A257E" w:rsidRPr="0085201C" w:rsidRDefault="006A257E" w:rsidP="006A257E">
      <w:pPr>
        <w:autoSpaceDE w:val="0"/>
        <w:autoSpaceDN w:val="0"/>
        <w:adjustRightInd w:val="0"/>
        <w:ind w:left="432"/>
        <w:jc w:val="both"/>
        <w:rPr>
          <w:rFonts w:ascii="Arial" w:hAnsi="Arial" w:cs="Arial"/>
          <w:sz w:val="18"/>
          <w:szCs w:val="18"/>
        </w:rPr>
      </w:pPr>
    </w:p>
    <w:p w:rsidR="006A257E" w:rsidRPr="0085201C"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 xml:space="preserve">When the value of goods or services received in exchange for the share-based payment cannot be reliably estimated, </w:t>
      </w:r>
      <w:r>
        <w:rPr>
          <w:rFonts w:ascii="Arial" w:hAnsi="Arial" w:cs="Arial"/>
          <w:sz w:val="18"/>
          <w:szCs w:val="18"/>
        </w:rPr>
        <w:t xml:space="preserve"> </w:t>
      </w:r>
      <w:r w:rsidRPr="0085201C">
        <w:rPr>
          <w:rFonts w:ascii="Arial" w:hAnsi="Arial" w:cs="Arial"/>
          <w:sz w:val="18"/>
          <w:szCs w:val="18"/>
        </w:rPr>
        <w:t>the</w:t>
      </w:r>
      <w:r>
        <w:rPr>
          <w:rFonts w:ascii="Arial" w:hAnsi="Arial" w:cs="Arial"/>
          <w:sz w:val="18"/>
          <w:szCs w:val="18"/>
        </w:rPr>
        <w:t xml:space="preserve"> </w:t>
      </w:r>
      <w:r w:rsidRPr="0085201C">
        <w:rPr>
          <w:rFonts w:ascii="Arial" w:hAnsi="Arial" w:cs="Arial"/>
          <w:sz w:val="18"/>
          <w:szCs w:val="18"/>
        </w:rPr>
        <w:t xml:space="preserve"> fair</w:t>
      </w:r>
      <w:r>
        <w:rPr>
          <w:rFonts w:ascii="Arial" w:hAnsi="Arial" w:cs="Arial"/>
          <w:sz w:val="18"/>
          <w:szCs w:val="18"/>
        </w:rPr>
        <w:t xml:space="preserve"> </w:t>
      </w:r>
      <w:r w:rsidRPr="0085201C">
        <w:rPr>
          <w:rFonts w:ascii="Arial" w:hAnsi="Arial" w:cs="Arial"/>
          <w:sz w:val="18"/>
          <w:szCs w:val="18"/>
        </w:rPr>
        <w:t xml:space="preserve"> value</w:t>
      </w:r>
      <w:r>
        <w:rPr>
          <w:rFonts w:ascii="Arial" w:hAnsi="Arial" w:cs="Arial"/>
          <w:sz w:val="18"/>
          <w:szCs w:val="18"/>
        </w:rPr>
        <w:t xml:space="preserve"> </w:t>
      </w:r>
      <w:r w:rsidRPr="0085201C">
        <w:rPr>
          <w:rFonts w:ascii="Arial" w:hAnsi="Arial" w:cs="Arial"/>
          <w:sz w:val="18"/>
          <w:szCs w:val="18"/>
        </w:rPr>
        <w:t xml:space="preserve"> is</w:t>
      </w:r>
      <w:r>
        <w:rPr>
          <w:rFonts w:ascii="Arial" w:hAnsi="Arial" w:cs="Arial"/>
          <w:sz w:val="18"/>
          <w:szCs w:val="18"/>
        </w:rPr>
        <w:t xml:space="preserve"> </w:t>
      </w:r>
      <w:r w:rsidRPr="0085201C">
        <w:rPr>
          <w:rFonts w:ascii="Arial" w:hAnsi="Arial" w:cs="Arial"/>
          <w:sz w:val="18"/>
          <w:szCs w:val="18"/>
        </w:rPr>
        <w:t xml:space="preserve"> measured </w:t>
      </w:r>
      <w:r>
        <w:rPr>
          <w:rFonts w:ascii="Arial" w:hAnsi="Arial" w:cs="Arial"/>
          <w:sz w:val="18"/>
          <w:szCs w:val="18"/>
        </w:rPr>
        <w:t xml:space="preserve"> </w:t>
      </w:r>
      <w:r w:rsidRPr="0085201C">
        <w:rPr>
          <w:rFonts w:ascii="Arial" w:hAnsi="Arial" w:cs="Arial"/>
          <w:sz w:val="18"/>
          <w:szCs w:val="18"/>
        </w:rPr>
        <w:t>by</w:t>
      </w:r>
      <w:r>
        <w:rPr>
          <w:rFonts w:ascii="Arial" w:hAnsi="Arial" w:cs="Arial"/>
          <w:sz w:val="18"/>
          <w:szCs w:val="18"/>
        </w:rPr>
        <w:t xml:space="preserve"> </w:t>
      </w:r>
      <w:r w:rsidRPr="0085201C">
        <w:rPr>
          <w:rFonts w:ascii="Arial" w:hAnsi="Arial" w:cs="Arial"/>
          <w:sz w:val="18"/>
          <w:szCs w:val="18"/>
        </w:rPr>
        <w:t xml:space="preserve"> use </w:t>
      </w:r>
      <w:r>
        <w:rPr>
          <w:rFonts w:ascii="Arial" w:hAnsi="Arial" w:cs="Arial"/>
          <w:sz w:val="18"/>
          <w:szCs w:val="18"/>
        </w:rPr>
        <w:t xml:space="preserve"> </w:t>
      </w:r>
      <w:r w:rsidRPr="0085201C">
        <w:rPr>
          <w:rFonts w:ascii="Arial" w:hAnsi="Arial" w:cs="Arial"/>
          <w:sz w:val="18"/>
          <w:szCs w:val="18"/>
        </w:rPr>
        <w:t xml:space="preserve">of </w:t>
      </w:r>
      <w:r>
        <w:rPr>
          <w:rFonts w:ascii="Arial" w:hAnsi="Arial" w:cs="Arial"/>
          <w:sz w:val="18"/>
          <w:szCs w:val="18"/>
        </w:rPr>
        <w:t xml:space="preserve"> </w:t>
      </w:r>
      <w:r w:rsidRPr="0085201C">
        <w:rPr>
          <w:rFonts w:ascii="Arial" w:hAnsi="Arial" w:cs="Arial"/>
          <w:sz w:val="18"/>
          <w:szCs w:val="18"/>
        </w:rPr>
        <w:t xml:space="preserve">a </w:t>
      </w:r>
      <w:r>
        <w:rPr>
          <w:rFonts w:ascii="Arial" w:hAnsi="Arial" w:cs="Arial"/>
          <w:sz w:val="18"/>
          <w:szCs w:val="18"/>
        </w:rPr>
        <w:t xml:space="preserve"> </w:t>
      </w:r>
      <w:r w:rsidRPr="0085201C">
        <w:rPr>
          <w:rFonts w:ascii="Arial" w:hAnsi="Arial" w:cs="Arial"/>
          <w:sz w:val="18"/>
          <w:szCs w:val="18"/>
        </w:rPr>
        <w:t>valuation</w:t>
      </w:r>
      <w:r>
        <w:rPr>
          <w:rFonts w:ascii="Arial" w:hAnsi="Arial" w:cs="Arial"/>
          <w:sz w:val="18"/>
          <w:szCs w:val="18"/>
        </w:rPr>
        <w:t xml:space="preserve"> </w:t>
      </w:r>
      <w:r w:rsidRPr="0085201C">
        <w:rPr>
          <w:rFonts w:ascii="Arial" w:hAnsi="Arial" w:cs="Arial"/>
          <w:sz w:val="18"/>
          <w:szCs w:val="18"/>
        </w:rPr>
        <w:t xml:space="preserve"> model. </w:t>
      </w:r>
      <w:r>
        <w:rPr>
          <w:rFonts w:ascii="Arial" w:hAnsi="Arial" w:cs="Arial"/>
          <w:sz w:val="18"/>
          <w:szCs w:val="18"/>
        </w:rPr>
        <w:t xml:space="preserve"> </w:t>
      </w:r>
      <w:r w:rsidRPr="0085201C">
        <w:rPr>
          <w:rFonts w:ascii="Arial" w:hAnsi="Arial" w:cs="Arial"/>
          <w:sz w:val="18"/>
          <w:szCs w:val="18"/>
        </w:rPr>
        <w:t>The expected life used in the model is</w:t>
      </w:r>
      <w:r>
        <w:rPr>
          <w:rFonts w:ascii="Arial" w:hAnsi="Arial" w:cs="Arial"/>
          <w:sz w:val="18"/>
          <w:szCs w:val="18"/>
        </w:rPr>
        <w:t xml:space="preserve"> </w:t>
      </w:r>
      <w:r w:rsidRPr="0085201C">
        <w:rPr>
          <w:rFonts w:ascii="Arial" w:hAnsi="Arial" w:cs="Arial"/>
          <w:sz w:val="18"/>
          <w:szCs w:val="18"/>
        </w:rPr>
        <w:t>adjusted, based on management’s best estimate, for the effects of non-transferability, exercise restrictions, and behavioral considerations.</w:t>
      </w:r>
    </w:p>
    <w:p w:rsidR="006A257E" w:rsidRDefault="006A257E" w:rsidP="006A257E">
      <w:pPr>
        <w:autoSpaceDE w:val="0"/>
        <w:autoSpaceDN w:val="0"/>
        <w:adjustRightInd w:val="0"/>
        <w:jc w:val="both"/>
        <w:rPr>
          <w:rFonts w:ascii="Arial" w:hAnsi="Arial" w:cs="Arial"/>
          <w:b/>
          <w:bCs/>
          <w:sz w:val="18"/>
          <w:szCs w:val="18"/>
        </w:rPr>
      </w:pPr>
    </w:p>
    <w:p w:rsidR="006A257E"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All equity-settled share-based payments are reflected in contributed surplus, until exercised. Upon exercise, shares are issued from treasury and the amount reflected in contributed surplus is credited to share capital, adjusted for any consideration paid.</w:t>
      </w:r>
    </w:p>
    <w:p w:rsidR="006A257E" w:rsidRPr="007A68AC" w:rsidRDefault="006A257E" w:rsidP="006A257E">
      <w:pPr>
        <w:autoSpaceDE w:val="0"/>
        <w:autoSpaceDN w:val="0"/>
        <w:adjustRightInd w:val="0"/>
        <w:ind w:left="432"/>
        <w:jc w:val="both"/>
        <w:rPr>
          <w:rFonts w:ascii="Arial" w:hAnsi="Arial" w:cs="Arial"/>
          <w:sz w:val="12"/>
          <w:szCs w:val="12"/>
        </w:rPr>
      </w:pPr>
    </w:p>
    <w:p w:rsidR="006A257E" w:rsidRDefault="006A257E" w:rsidP="006A257E">
      <w:pPr>
        <w:autoSpaceDE w:val="0"/>
        <w:autoSpaceDN w:val="0"/>
        <w:adjustRightInd w:val="0"/>
        <w:ind w:left="432"/>
        <w:jc w:val="both"/>
        <w:rPr>
          <w:rFonts w:ascii="Arial" w:hAnsi="Arial" w:cs="Arial"/>
          <w:sz w:val="18"/>
          <w:szCs w:val="18"/>
        </w:rPr>
      </w:pPr>
    </w:p>
    <w:p w:rsidR="006A257E" w:rsidRDefault="006A257E" w:rsidP="006A257E">
      <w:pPr>
        <w:autoSpaceDE w:val="0"/>
        <w:autoSpaceDN w:val="0"/>
        <w:adjustRightInd w:val="0"/>
        <w:ind w:left="432"/>
        <w:jc w:val="both"/>
        <w:rPr>
          <w:rFonts w:ascii="Arial" w:hAnsi="Arial" w:cs="Arial"/>
          <w:sz w:val="18"/>
          <w:szCs w:val="18"/>
        </w:rPr>
      </w:pPr>
    </w:p>
    <w:p w:rsidR="006A257E"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     Significant Accounting Policies - continued</w:t>
      </w:r>
    </w:p>
    <w:p w:rsidR="006A257E" w:rsidRDefault="006A257E" w:rsidP="006A257E">
      <w:pPr>
        <w:pBdr>
          <w:bottom w:val="single" w:sz="8" w:space="1" w:color="auto"/>
        </w:pBdr>
        <w:jc w:val="both"/>
        <w:rPr>
          <w:rFonts w:ascii="Arial" w:hAnsi="Arial" w:cs="Arial"/>
          <w:bCs/>
          <w:sz w:val="18"/>
          <w:szCs w:val="18"/>
        </w:rPr>
      </w:pPr>
    </w:p>
    <w:p w:rsidR="006A257E" w:rsidRDefault="006A257E" w:rsidP="006A257E">
      <w:pPr>
        <w:widowControl w:val="0"/>
        <w:autoSpaceDE w:val="0"/>
        <w:autoSpaceDN w:val="0"/>
        <w:adjustRightInd w:val="0"/>
        <w:ind w:left="432"/>
        <w:jc w:val="both"/>
        <w:rPr>
          <w:rFonts w:ascii="Arial" w:hAnsi="Arial" w:cs="Arial"/>
          <w:sz w:val="18"/>
          <w:szCs w:val="18"/>
        </w:rPr>
      </w:pPr>
    </w:p>
    <w:p w:rsidR="006A257E" w:rsidRPr="00DB194C" w:rsidRDefault="006A257E" w:rsidP="00444A4B">
      <w:pPr>
        <w:widowControl w:val="0"/>
        <w:numPr>
          <w:ilvl w:val="0"/>
          <w:numId w:val="14"/>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u w:val="single"/>
        </w:rPr>
        <w:t>Share-based payments - continued</w:t>
      </w:r>
    </w:p>
    <w:p w:rsidR="006A257E" w:rsidRDefault="006A257E" w:rsidP="006A257E">
      <w:pPr>
        <w:autoSpaceDE w:val="0"/>
        <w:autoSpaceDN w:val="0"/>
        <w:adjustRightInd w:val="0"/>
        <w:ind w:left="432"/>
        <w:jc w:val="both"/>
        <w:rPr>
          <w:rFonts w:ascii="Arial" w:hAnsi="Arial" w:cs="Arial"/>
          <w:sz w:val="18"/>
          <w:szCs w:val="18"/>
        </w:rPr>
      </w:pPr>
    </w:p>
    <w:p w:rsidR="006A257E" w:rsidRDefault="006A257E" w:rsidP="006A257E">
      <w:pPr>
        <w:autoSpaceDE w:val="0"/>
        <w:autoSpaceDN w:val="0"/>
        <w:adjustRightInd w:val="0"/>
        <w:ind w:left="432"/>
        <w:jc w:val="both"/>
        <w:rPr>
          <w:rFonts w:ascii="Arial" w:hAnsi="Arial" w:cs="Arial"/>
          <w:sz w:val="18"/>
          <w:szCs w:val="18"/>
        </w:rPr>
      </w:pPr>
      <w:r w:rsidRPr="0085201C">
        <w:rPr>
          <w:rFonts w:ascii="Arial" w:hAnsi="Arial" w:cs="Arial"/>
          <w:sz w:val="18"/>
          <w:szCs w:val="18"/>
        </w:rPr>
        <w:t xml:space="preserve">Where a grant of options is cancelled or settled during the vesting period, excluding forfeitures when vesting conditions are not satisfied, the </w:t>
      </w:r>
      <w:r>
        <w:rPr>
          <w:rFonts w:ascii="Arial" w:hAnsi="Arial" w:cs="Arial"/>
          <w:sz w:val="18"/>
          <w:szCs w:val="18"/>
        </w:rPr>
        <w:t>Company</w:t>
      </w:r>
      <w:r w:rsidRPr="0085201C">
        <w:rPr>
          <w:rFonts w:ascii="Arial" w:hAnsi="Arial" w:cs="Arial"/>
          <w:sz w:val="18"/>
          <w:szCs w:val="18"/>
        </w:rPr>
        <w:t xml:space="preserve"> immediately accounts for the cancellation as an acceleration of</w:t>
      </w:r>
      <w:r>
        <w:rPr>
          <w:rFonts w:ascii="Arial" w:hAnsi="Arial" w:cs="Arial"/>
          <w:sz w:val="18"/>
          <w:szCs w:val="18"/>
        </w:rPr>
        <w:t xml:space="preserve"> </w:t>
      </w:r>
      <w:r w:rsidRPr="0085201C">
        <w:rPr>
          <w:rFonts w:ascii="Arial" w:hAnsi="Arial" w:cs="Arial"/>
          <w:sz w:val="18"/>
          <w:szCs w:val="18"/>
        </w:rPr>
        <w:t>vesting and recognizes the amount that otherwise would have been recognized for services received over the remainder of the vesting period. Any payment made to the employee on the cancellation is accounted for as the repurchase of an equity interest except to the extent the payment exceeds the fair value of the equity instrument granted, measured at the repurchase date. Any such excess is recognized as an expense.</w:t>
      </w:r>
    </w:p>
    <w:p w:rsidR="006A257E" w:rsidRDefault="006A257E" w:rsidP="006A257E">
      <w:pPr>
        <w:autoSpaceDE w:val="0"/>
        <w:autoSpaceDN w:val="0"/>
        <w:adjustRightInd w:val="0"/>
        <w:ind w:left="432"/>
        <w:jc w:val="both"/>
        <w:rPr>
          <w:rFonts w:ascii="Arial" w:hAnsi="Arial" w:cs="Arial"/>
          <w:sz w:val="18"/>
          <w:szCs w:val="18"/>
        </w:rPr>
      </w:pPr>
    </w:p>
    <w:p w:rsidR="006A257E" w:rsidRPr="00DB194C" w:rsidRDefault="006A257E" w:rsidP="00444A4B">
      <w:pPr>
        <w:widowControl w:val="0"/>
        <w:numPr>
          <w:ilvl w:val="0"/>
          <w:numId w:val="14"/>
        </w:numPr>
        <w:autoSpaceDE w:val="0"/>
        <w:autoSpaceDN w:val="0"/>
        <w:adjustRightInd w:val="0"/>
        <w:ind w:left="289" w:hanging="289"/>
        <w:jc w:val="both"/>
        <w:rPr>
          <w:rFonts w:ascii="Arial" w:hAnsi="Arial" w:cs="Arial"/>
          <w:sz w:val="18"/>
          <w:szCs w:val="18"/>
          <w:lang w:val="en-GB"/>
        </w:rPr>
      </w:pPr>
      <w:r>
        <w:rPr>
          <w:rFonts w:ascii="Arial" w:hAnsi="Arial" w:cs="Arial"/>
          <w:sz w:val="18"/>
          <w:szCs w:val="18"/>
        </w:rPr>
        <w:t xml:space="preserve"> </w:t>
      </w:r>
      <w:r w:rsidRPr="007A68AC">
        <w:rPr>
          <w:rFonts w:ascii="Arial" w:hAnsi="Arial" w:cs="Arial"/>
          <w:sz w:val="18"/>
          <w:szCs w:val="18"/>
        </w:rPr>
        <w:t xml:space="preserve"> </w:t>
      </w:r>
      <w:r>
        <w:rPr>
          <w:rFonts w:ascii="Arial" w:hAnsi="Arial" w:cs="Arial"/>
          <w:sz w:val="18"/>
          <w:szCs w:val="18"/>
          <w:u w:val="single"/>
        </w:rPr>
        <w:t>Assumptions used to allocate G&amp;A expenses</w:t>
      </w:r>
    </w:p>
    <w:p w:rsidR="006A257E" w:rsidRDefault="006A257E" w:rsidP="006A257E">
      <w:pPr>
        <w:autoSpaceDE w:val="0"/>
        <w:autoSpaceDN w:val="0"/>
        <w:adjustRightInd w:val="0"/>
        <w:ind w:left="431"/>
        <w:jc w:val="both"/>
        <w:rPr>
          <w:rFonts w:ascii="Arial" w:hAnsi="Arial" w:cs="Arial"/>
          <w:sz w:val="18"/>
          <w:szCs w:val="18"/>
        </w:rPr>
      </w:pPr>
      <w:r w:rsidRPr="009B010A">
        <w:rPr>
          <w:rFonts w:ascii="Arial" w:hAnsi="Arial" w:cs="Arial"/>
          <w:sz w:val="18"/>
          <w:szCs w:val="18"/>
        </w:rPr>
        <w:t>The allocation of general and administrative expense was calculated on the basis of the ratio of expenditures incurred on the Spin-</w:t>
      </w:r>
      <w:r>
        <w:rPr>
          <w:rFonts w:ascii="Arial" w:hAnsi="Arial" w:cs="Arial"/>
          <w:sz w:val="18"/>
          <w:szCs w:val="18"/>
        </w:rPr>
        <w:t>out</w:t>
      </w:r>
      <w:r w:rsidRPr="009B010A">
        <w:rPr>
          <w:rFonts w:ascii="Arial" w:hAnsi="Arial" w:cs="Arial"/>
          <w:sz w:val="18"/>
          <w:szCs w:val="18"/>
        </w:rPr>
        <w:t xml:space="preserve"> Properties as compared to the total expenditures incurred on all of </w:t>
      </w:r>
      <w:r>
        <w:rPr>
          <w:rFonts w:ascii="Arial" w:hAnsi="Arial" w:cs="Arial"/>
          <w:sz w:val="18"/>
          <w:szCs w:val="18"/>
        </w:rPr>
        <w:t>Eagle Plains’</w:t>
      </w:r>
      <w:r w:rsidRPr="009B010A">
        <w:rPr>
          <w:rFonts w:ascii="Arial" w:hAnsi="Arial" w:cs="Arial"/>
          <w:sz w:val="18"/>
          <w:szCs w:val="18"/>
        </w:rPr>
        <w:t xml:space="preserve"> mineral properties in each of the </w:t>
      </w:r>
      <w:r>
        <w:rPr>
          <w:rFonts w:ascii="Arial" w:hAnsi="Arial" w:cs="Arial"/>
          <w:sz w:val="18"/>
          <w:szCs w:val="18"/>
        </w:rPr>
        <w:t>periods.</w:t>
      </w:r>
    </w:p>
    <w:p w:rsidR="006A257E" w:rsidRDefault="006A257E" w:rsidP="006A257E">
      <w:pPr>
        <w:autoSpaceDE w:val="0"/>
        <w:autoSpaceDN w:val="0"/>
        <w:adjustRightInd w:val="0"/>
        <w:ind w:left="432"/>
        <w:jc w:val="both"/>
        <w:rPr>
          <w:rFonts w:ascii="Arial" w:hAnsi="Arial" w:cs="Arial"/>
          <w:sz w:val="18"/>
          <w:szCs w:val="18"/>
        </w:rPr>
      </w:pPr>
    </w:p>
    <w:p w:rsidR="006A257E" w:rsidRPr="00AB5489" w:rsidRDefault="006A257E" w:rsidP="00444A4B">
      <w:pPr>
        <w:widowControl w:val="0"/>
        <w:numPr>
          <w:ilvl w:val="0"/>
          <w:numId w:val="14"/>
        </w:numPr>
        <w:autoSpaceDE w:val="0"/>
        <w:autoSpaceDN w:val="0"/>
        <w:adjustRightInd w:val="0"/>
        <w:ind w:left="289" w:hanging="289"/>
        <w:jc w:val="both"/>
        <w:rPr>
          <w:rFonts w:ascii="Arial" w:hAnsi="Arial" w:cs="Arial"/>
          <w:sz w:val="18"/>
          <w:szCs w:val="18"/>
          <w:lang w:val="en-GB"/>
        </w:rPr>
      </w:pPr>
      <w:r w:rsidRPr="007A68AC">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u w:val="single"/>
        </w:rPr>
        <w:t>Per share cost</w:t>
      </w:r>
    </w:p>
    <w:p w:rsidR="006A257E" w:rsidRPr="00F149E4" w:rsidRDefault="006A257E" w:rsidP="006A257E">
      <w:pPr>
        <w:autoSpaceDE w:val="0"/>
        <w:autoSpaceDN w:val="0"/>
        <w:adjustRightInd w:val="0"/>
        <w:ind w:left="431"/>
        <w:jc w:val="both"/>
        <w:rPr>
          <w:rFonts w:ascii="Arial" w:hAnsi="Arial" w:cs="Arial"/>
          <w:sz w:val="18"/>
          <w:szCs w:val="18"/>
        </w:rPr>
      </w:pPr>
      <w:r w:rsidRPr="00F149E4">
        <w:rPr>
          <w:rFonts w:ascii="Arial" w:hAnsi="Arial" w:cs="Arial"/>
          <w:sz w:val="18"/>
          <w:szCs w:val="18"/>
        </w:rPr>
        <w:t>The basic loss per share is computed by dividing the net loss by the weighted average number of</w:t>
      </w:r>
      <w:r>
        <w:rPr>
          <w:rFonts w:ascii="Arial" w:hAnsi="Arial" w:cs="Arial"/>
          <w:sz w:val="18"/>
          <w:szCs w:val="18"/>
        </w:rPr>
        <w:t xml:space="preserve"> </w:t>
      </w:r>
      <w:r w:rsidRPr="00F149E4">
        <w:rPr>
          <w:rFonts w:ascii="Arial" w:hAnsi="Arial" w:cs="Arial"/>
          <w:sz w:val="18"/>
          <w:szCs w:val="18"/>
        </w:rPr>
        <w:t>common shares outstanding during the period. The diluted loss per share reflects the potential</w:t>
      </w:r>
      <w:r>
        <w:rPr>
          <w:rFonts w:ascii="Arial" w:hAnsi="Arial" w:cs="Arial"/>
          <w:sz w:val="18"/>
          <w:szCs w:val="18"/>
        </w:rPr>
        <w:t xml:space="preserve"> </w:t>
      </w:r>
      <w:r w:rsidRPr="00F149E4">
        <w:rPr>
          <w:rFonts w:ascii="Arial" w:hAnsi="Arial" w:cs="Arial"/>
          <w:sz w:val="18"/>
          <w:szCs w:val="18"/>
        </w:rPr>
        <w:t>dilution of common share equivalents such as outstanding stock options and share purchase</w:t>
      </w:r>
      <w:r>
        <w:rPr>
          <w:rFonts w:ascii="Arial" w:hAnsi="Arial" w:cs="Arial"/>
          <w:sz w:val="18"/>
          <w:szCs w:val="18"/>
        </w:rPr>
        <w:t xml:space="preserve"> </w:t>
      </w:r>
      <w:r w:rsidRPr="00F149E4">
        <w:rPr>
          <w:rFonts w:ascii="Arial" w:hAnsi="Arial" w:cs="Arial"/>
          <w:sz w:val="18"/>
          <w:szCs w:val="18"/>
        </w:rPr>
        <w:t>warrants, in the weighted average number of common shares outstanding during the period if</w:t>
      </w:r>
      <w:r>
        <w:rPr>
          <w:rFonts w:ascii="Arial" w:hAnsi="Arial" w:cs="Arial"/>
          <w:sz w:val="18"/>
          <w:szCs w:val="18"/>
        </w:rPr>
        <w:t xml:space="preserve"> </w:t>
      </w:r>
      <w:r w:rsidRPr="00F149E4">
        <w:rPr>
          <w:rFonts w:ascii="Arial" w:hAnsi="Arial" w:cs="Arial"/>
          <w:sz w:val="18"/>
          <w:szCs w:val="18"/>
        </w:rPr>
        <w:t>dilutive. The Company uses the treasury stock method of calculating fully diluted per share amounts</w:t>
      </w:r>
      <w:r>
        <w:rPr>
          <w:rFonts w:ascii="Arial" w:hAnsi="Arial" w:cs="Arial"/>
          <w:sz w:val="18"/>
          <w:szCs w:val="18"/>
        </w:rPr>
        <w:t xml:space="preserve"> </w:t>
      </w:r>
      <w:r w:rsidRPr="00F149E4">
        <w:rPr>
          <w:rFonts w:ascii="Arial" w:hAnsi="Arial" w:cs="Arial"/>
          <w:sz w:val="18"/>
          <w:szCs w:val="18"/>
        </w:rPr>
        <w:t>whereby any proceeds from the exercise of stock options or other dilutive instruments are assumed</w:t>
      </w:r>
      <w:r>
        <w:rPr>
          <w:rFonts w:ascii="Arial" w:hAnsi="Arial" w:cs="Arial"/>
          <w:sz w:val="18"/>
          <w:szCs w:val="18"/>
        </w:rPr>
        <w:t xml:space="preserve"> </w:t>
      </w:r>
      <w:r w:rsidRPr="00F149E4">
        <w:rPr>
          <w:rFonts w:ascii="Arial" w:hAnsi="Arial" w:cs="Arial"/>
          <w:sz w:val="18"/>
          <w:szCs w:val="18"/>
        </w:rPr>
        <w:t>to be used to purchase common shares at the average market price during the year. Diluted loss per</w:t>
      </w:r>
      <w:r>
        <w:rPr>
          <w:rFonts w:ascii="Arial" w:hAnsi="Arial" w:cs="Arial"/>
          <w:sz w:val="18"/>
          <w:szCs w:val="18"/>
        </w:rPr>
        <w:t xml:space="preserve"> </w:t>
      </w:r>
      <w:r w:rsidRPr="00F149E4">
        <w:rPr>
          <w:rFonts w:ascii="Arial" w:hAnsi="Arial" w:cs="Arial"/>
          <w:sz w:val="18"/>
          <w:szCs w:val="18"/>
        </w:rPr>
        <w:t>share has not been presented separately as the outstanding options are anti-dilutive for each period</w:t>
      </w:r>
      <w:r>
        <w:rPr>
          <w:rFonts w:ascii="Arial" w:hAnsi="Arial" w:cs="Arial"/>
          <w:sz w:val="18"/>
          <w:szCs w:val="18"/>
        </w:rPr>
        <w:t xml:space="preserve"> </w:t>
      </w:r>
      <w:r w:rsidRPr="00F149E4">
        <w:rPr>
          <w:rFonts w:ascii="Arial" w:hAnsi="Arial" w:cs="Arial"/>
          <w:sz w:val="18"/>
          <w:szCs w:val="18"/>
        </w:rPr>
        <w:t>presented.</w:t>
      </w:r>
    </w:p>
    <w:p w:rsidR="006A257E" w:rsidRDefault="006A257E" w:rsidP="006A257E">
      <w:pPr>
        <w:ind w:left="431"/>
        <w:jc w:val="both"/>
        <w:rPr>
          <w:rFonts w:ascii="Arial" w:hAnsi="Arial" w:cs="Arial"/>
          <w:sz w:val="18"/>
          <w:szCs w:val="18"/>
        </w:rPr>
      </w:pPr>
    </w:p>
    <w:p w:rsidR="006A257E" w:rsidRDefault="006A257E" w:rsidP="006A257E">
      <w:pPr>
        <w:ind w:left="431"/>
        <w:jc w:val="both"/>
        <w:rPr>
          <w:rFonts w:ascii="Arial" w:hAnsi="Arial" w:cs="Arial"/>
          <w:sz w:val="18"/>
          <w:szCs w:val="18"/>
        </w:rPr>
      </w:pPr>
      <w:r>
        <w:rPr>
          <w:rFonts w:ascii="Arial" w:hAnsi="Arial" w:cs="Arial"/>
          <w:sz w:val="18"/>
          <w:szCs w:val="18"/>
        </w:rPr>
        <w:t>For comparative periods before the successful listing of the Company on the CSE, the b</w:t>
      </w:r>
      <w:r w:rsidRPr="00AB5489">
        <w:rPr>
          <w:rFonts w:ascii="Arial" w:hAnsi="Arial" w:cs="Arial"/>
          <w:sz w:val="18"/>
          <w:szCs w:val="18"/>
        </w:rPr>
        <w:t xml:space="preserve">asic loss per share is calculated using the weighted average number of </w:t>
      </w:r>
      <w:r>
        <w:rPr>
          <w:rFonts w:ascii="Arial" w:hAnsi="Arial" w:cs="Arial"/>
          <w:sz w:val="18"/>
          <w:szCs w:val="18"/>
        </w:rPr>
        <w:t xml:space="preserve">EPL </w:t>
      </w:r>
      <w:r w:rsidRPr="00AB5489">
        <w:rPr>
          <w:rFonts w:ascii="Arial" w:hAnsi="Arial" w:cs="Arial"/>
          <w:sz w:val="18"/>
          <w:szCs w:val="18"/>
        </w:rPr>
        <w:t xml:space="preserve">shares outstanding during the </w:t>
      </w:r>
      <w:r>
        <w:rPr>
          <w:rFonts w:ascii="Arial" w:hAnsi="Arial" w:cs="Arial"/>
          <w:sz w:val="18"/>
          <w:szCs w:val="18"/>
        </w:rPr>
        <w:t>period.</w:t>
      </w:r>
      <w:r w:rsidRPr="00AB5489">
        <w:rPr>
          <w:rFonts w:ascii="Arial" w:hAnsi="Arial" w:cs="Arial"/>
          <w:sz w:val="18"/>
          <w:szCs w:val="18"/>
        </w:rPr>
        <w:t xml:space="preserve"> The shareholders of Eagle Plains will receive 1 common share of Taiga for 2 common shares of Eagle Plains. Accordingly, the weighted average number of shares used is one-half of the weighted average number of shares of Eagle Plains for the respective </w:t>
      </w:r>
      <w:r>
        <w:rPr>
          <w:rFonts w:ascii="Arial" w:hAnsi="Arial" w:cs="Arial"/>
          <w:sz w:val="18"/>
          <w:szCs w:val="18"/>
        </w:rPr>
        <w:t>periods</w:t>
      </w:r>
      <w:r w:rsidRPr="00AB5489">
        <w:rPr>
          <w:rFonts w:ascii="Arial" w:hAnsi="Arial" w:cs="Arial"/>
          <w:sz w:val="18"/>
          <w:szCs w:val="18"/>
        </w:rPr>
        <w:t xml:space="preserve">. </w:t>
      </w:r>
    </w:p>
    <w:p w:rsidR="006A257E" w:rsidRDefault="006A257E" w:rsidP="006A257E">
      <w:pPr>
        <w:ind w:left="431"/>
        <w:jc w:val="both"/>
        <w:rPr>
          <w:rFonts w:ascii="Arial" w:hAnsi="Arial" w:cs="Arial"/>
          <w:sz w:val="18"/>
          <w:szCs w:val="18"/>
        </w:rPr>
      </w:pPr>
    </w:p>
    <w:p w:rsidR="006A257E" w:rsidRPr="00057E8A" w:rsidRDefault="006A257E" w:rsidP="00444A4B">
      <w:pPr>
        <w:widowControl w:val="0"/>
        <w:numPr>
          <w:ilvl w:val="0"/>
          <w:numId w:val="14"/>
        </w:numPr>
        <w:autoSpaceDE w:val="0"/>
        <w:autoSpaceDN w:val="0"/>
        <w:adjustRightInd w:val="0"/>
        <w:ind w:left="289" w:hanging="289"/>
        <w:jc w:val="both"/>
        <w:rPr>
          <w:rFonts w:ascii="Arial" w:hAnsi="Arial" w:cs="Arial"/>
          <w:sz w:val="18"/>
          <w:szCs w:val="18"/>
          <w:lang w:val="en-GB"/>
        </w:rPr>
      </w:pPr>
      <w:r w:rsidRPr="00F149E4">
        <w:rPr>
          <w:rFonts w:ascii="Arial" w:hAnsi="Arial" w:cs="Arial"/>
          <w:sz w:val="18"/>
          <w:szCs w:val="18"/>
        </w:rPr>
        <w:t xml:space="preserve">  </w:t>
      </w:r>
      <w:r w:rsidRPr="00057E8A">
        <w:rPr>
          <w:rFonts w:ascii="Arial" w:hAnsi="Arial" w:cs="Arial"/>
          <w:sz w:val="18"/>
          <w:szCs w:val="18"/>
          <w:u w:val="single"/>
        </w:rPr>
        <w:t>New accounting pronouncements</w:t>
      </w:r>
    </w:p>
    <w:p w:rsidR="006A257E" w:rsidRPr="00057E8A" w:rsidRDefault="006A257E" w:rsidP="006A257E">
      <w:pPr>
        <w:autoSpaceDE w:val="0"/>
        <w:autoSpaceDN w:val="0"/>
        <w:adjustRightInd w:val="0"/>
        <w:ind w:left="432"/>
        <w:jc w:val="both"/>
        <w:rPr>
          <w:rFonts w:ascii="Arial" w:hAnsi="Arial" w:cs="Arial"/>
          <w:sz w:val="18"/>
          <w:szCs w:val="18"/>
        </w:rPr>
      </w:pPr>
      <w:r w:rsidRPr="00057E8A">
        <w:rPr>
          <w:rFonts w:ascii="Arial" w:hAnsi="Arial" w:cs="Arial"/>
          <w:sz w:val="18"/>
          <w:szCs w:val="18"/>
        </w:rPr>
        <w:t xml:space="preserve">Certain new accounting standards and interpretations have been published that are mandatory for the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reporting period. The adoption of the following standards effective January 1, 201</w:t>
      </w:r>
      <w:r>
        <w:rPr>
          <w:rFonts w:ascii="Arial" w:hAnsi="Arial" w:cs="Arial"/>
          <w:sz w:val="18"/>
          <w:szCs w:val="18"/>
        </w:rPr>
        <w:t>8</w:t>
      </w:r>
      <w:r w:rsidRPr="00057E8A">
        <w:rPr>
          <w:rFonts w:ascii="Arial" w:hAnsi="Arial" w:cs="Arial"/>
          <w:sz w:val="18"/>
          <w:szCs w:val="18"/>
        </w:rPr>
        <w:t xml:space="preserve"> had no impact on the Company’s </w:t>
      </w:r>
      <w:r>
        <w:rPr>
          <w:rFonts w:ascii="Arial" w:hAnsi="Arial" w:cs="Arial"/>
          <w:bCs/>
          <w:iCs/>
          <w:spacing w:val="-2"/>
          <w:sz w:val="18"/>
          <w:szCs w:val="18"/>
        </w:rPr>
        <w:t>condensed consolidated interim</w:t>
      </w:r>
      <w:r w:rsidRPr="00057E8A">
        <w:rPr>
          <w:rFonts w:ascii="Arial" w:hAnsi="Arial" w:cs="Arial"/>
          <w:sz w:val="18"/>
          <w:szCs w:val="18"/>
        </w:rPr>
        <w:t xml:space="preserve"> financial statements.</w:t>
      </w:r>
    </w:p>
    <w:p w:rsidR="006A257E" w:rsidRPr="00057E8A" w:rsidRDefault="006A257E" w:rsidP="006A257E">
      <w:pPr>
        <w:autoSpaceDE w:val="0"/>
        <w:autoSpaceDN w:val="0"/>
        <w:adjustRightInd w:val="0"/>
        <w:jc w:val="both"/>
        <w:rPr>
          <w:rFonts w:ascii="Arial" w:hAnsi="Arial" w:cs="Arial"/>
          <w:sz w:val="18"/>
          <w:szCs w:val="18"/>
        </w:rPr>
      </w:pPr>
    </w:p>
    <w:p w:rsidR="006A257E" w:rsidRPr="00057E8A" w:rsidRDefault="006A257E" w:rsidP="006A257E">
      <w:pPr>
        <w:autoSpaceDE w:val="0"/>
        <w:autoSpaceDN w:val="0"/>
        <w:adjustRightInd w:val="0"/>
        <w:spacing w:after="60"/>
        <w:ind w:left="720"/>
        <w:jc w:val="both"/>
        <w:rPr>
          <w:rFonts w:ascii="Arial" w:hAnsi="Arial" w:cs="Arial"/>
          <w:sz w:val="18"/>
          <w:szCs w:val="18"/>
        </w:rPr>
      </w:pPr>
      <w:r w:rsidRPr="00057E8A">
        <w:rPr>
          <w:rFonts w:ascii="Arial" w:hAnsi="Arial" w:cs="Arial"/>
          <w:sz w:val="18"/>
          <w:szCs w:val="18"/>
        </w:rPr>
        <w:t>IFRS 9 – Financial instruments</w:t>
      </w:r>
    </w:p>
    <w:p w:rsidR="006A257E" w:rsidRPr="00057E8A" w:rsidRDefault="006A257E" w:rsidP="006A257E">
      <w:pPr>
        <w:autoSpaceDE w:val="0"/>
        <w:autoSpaceDN w:val="0"/>
        <w:adjustRightInd w:val="0"/>
        <w:ind w:left="864"/>
        <w:jc w:val="both"/>
        <w:rPr>
          <w:rFonts w:ascii="Helvetica" w:hAnsi="Helvetica" w:cs="Helvetica"/>
          <w:sz w:val="18"/>
          <w:szCs w:val="18"/>
        </w:rPr>
      </w:pPr>
      <w:r w:rsidRPr="00057E8A">
        <w:rPr>
          <w:rFonts w:ascii="Helvetica" w:hAnsi="Helvetica" w:cs="Helvetica"/>
          <w:sz w:val="18"/>
          <w:szCs w:val="18"/>
        </w:rPr>
        <w:t>IFRS 9 addresses classification and measurement of financial assets and replaces the multiple category and measurement models in IAS 39 for debt instruments with a new mixed measurement model having only two categories: amortized cost and fair value through profit and loss. IFRS 9 also replaces the models for measuring equity instruments and such instruments are either recognized at fair value through profit and loss or at fair value through other comprehensive income.  The application of this standard is effective for annual periods beginning on or after January 1, 2018.</w:t>
      </w:r>
    </w:p>
    <w:p w:rsidR="006A257E" w:rsidRPr="00057E8A" w:rsidRDefault="006A257E" w:rsidP="006A257E">
      <w:pPr>
        <w:autoSpaceDE w:val="0"/>
        <w:autoSpaceDN w:val="0"/>
        <w:adjustRightInd w:val="0"/>
        <w:ind w:left="360"/>
        <w:jc w:val="both"/>
        <w:rPr>
          <w:rFonts w:ascii="Arial" w:hAnsi="Arial" w:cs="Arial"/>
          <w:sz w:val="18"/>
          <w:szCs w:val="18"/>
        </w:rPr>
      </w:pPr>
    </w:p>
    <w:p w:rsidR="006A257E" w:rsidRPr="00057E8A" w:rsidRDefault="006A257E" w:rsidP="006A257E">
      <w:pPr>
        <w:autoSpaceDE w:val="0"/>
        <w:autoSpaceDN w:val="0"/>
        <w:adjustRightInd w:val="0"/>
        <w:spacing w:after="60"/>
        <w:ind w:left="720"/>
        <w:jc w:val="both"/>
        <w:rPr>
          <w:rFonts w:ascii="Helvetica" w:hAnsi="Helvetica" w:cs="Helvetica"/>
          <w:sz w:val="18"/>
          <w:szCs w:val="18"/>
        </w:rPr>
      </w:pPr>
      <w:r w:rsidRPr="00057E8A">
        <w:rPr>
          <w:rFonts w:ascii="Helvetica" w:hAnsi="Helvetica" w:cs="Helvetica"/>
          <w:sz w:val="18"/>
          <w:szCs w:val="18"/>
        </w:rPr>
        <w:t>Amendments to IFRS 2 Share-based Payment</w:t>
      </w:r>
    </w:p>
    <w:p w:rsidR="006A257E" w:rsidRPr="00057E8A" w:rsidRDefault="006A257E" w:rsidP="006A257E">
      <w:pPr>
        <w:autoSpaceDE w:val="0"/>
        <w:autoSpaceDN w:val="0"/>
        <w:adjustRightInd w:val="0"/>
        <w:ind w:left="864"/>
        <w:jc w:val="both"/>
        <w:rPr>
          <w:rFonts w:ascii="Helvetica" w:hAnsi="Helvetica" w:cs="Helvetica"/>
          <w:sz w:val="18"/>
          <w:szCs w:val="18"/>
        </w:rPr>
      </w:pPr>
      <w:proofErr w:type="gramStart"/>
      <w:r w:rsidRPr="00057E8A">
        <w:rPr>
          <w:rFonts w:ascii="Helvetica" w:hAnsi="Helvetica" w:cs="Helvetica"/>
          <w:sz w:val="18"/>
          <w:szCs w:val="18"/>
        </w:rPr>
        <w:t>These amendments added guidance that introduces accounting requirements for cash-settled share-based payments that follow the same approach as used for equity-settled share-based payments.</w:t>
      </w:r>
      <w:proofErr w:type="gramEnd"/>
      <w:r w:rsidRPr="00057E8A">
        <w:rPr>
          <w:rFonts w:ascii="Helvetica" w:hAnsi="Helvetica" w:cs="Helvetica"/>
          <w:sz w:val="18"/>
          <w:szCs w:val="18"/>
        </w:rPr>
        <w:t xml:space="preserve">  They introduced an exception into IFRS 2 so that a share-based payment where the entity settles the share-based payment arrangement net is classified as equity-settled in its entirety, provided the share-based payment would have been classified as equity-settled had it not included the net settlement feature.  Finally, they clarify the accounting treatment in situations where a cash-settled share-based payment changes to an equity-settled share-based payment because of modifications of the terms and conditions.</w:t>
      </w:r>
    </w:p>
    <w:p w:rsidR="006A257E" w:rsidRPr="00057E8A" w:rsidRDefault="006A257E" w:rsidP="006A257E">
      <w:pPr>
        <w:autoSpaceDE w:val="0"/>
        <w:autoSpaceDN w:val="0"/>
        <w:adjustRightInd w:val="0"/>
        <w:ind w:left="864"/>
        <w:jc w:val="both"/>
        <w:rPr>
          <w:rFonts w:ascii="Helvetica" w:hAnsi="Helvetica" w:cs="Helvetica"/>
          <w:sz w:val="18"/>
          <w:szCs w:val="18"/>
        </w:rPr>
      </w:pPr>
    </w:p>
    <w:p w:rsidR="006A257E" w:rsidRPr="00057E8A" w:rsidRDefault="006A257E" w:rsidP="006A257E">
      <w:pPr>
        <w:autoSpaceDE w:val="0"/>
        <w:autoSpaceDN w:val="0"/>
        <w:adjustRightInd w:val="0"/>
        <w:ind w:left="864"/>
        <w:jc w:val="both"/>
        <w:rPr>
          <w:rFonts w:ascii="Helvetica" w:hAnsi="Helvetica" w:cs="Helvetica"/>
          <w:sz w:val="18"/>
          <w:szCs w:val="18"/>
        </w:rPr>
      </w:pPr>
      <w:r w:rsidRPr="00057E8A">
        <w:rPr>
          <w:rFonts w:ascii="Helvetica" w:hAnsi="Helvetica" w:cs="Helvetica"/>
          <w:sz w:val="18"/>
          <w:szCs w:val="18"/>
        </w:rPr>
        <w:t>These amendments are effective for reporting periods beginning on or after January 1, 2018.</w:t>
      </w:r>
    </w:p>
    <w:p w:rsidR="006A257E" w:rsidRDefault="006A257E" w:rsidP="006A257E">
      <w:pPr>
        <w:autoSpaceDE w:val="0"/>
        <w:autoSpaceDN w:val="0"/>
        <w:adjustRightInd w:val="0"/>
        <w:ind w:left="576"/>
        <w:jc w:val="both"/>
        <w:rPr>
          <w:rFonts w:ascii="Arial" w:hAnsi="Arial" w:cs="Arial"/>
          <w:sz w:val="18"/>
          <w:szCs w:val="18"/>
        </w:rPr>
      </w:pPr>
    </w:p>
    <w:p w:rsidR="006A257E" w:rsidRDefault="006A257E" w:rsidP="006A257E">
      <w:pPr>
        <w:autoSpaceDE w:val="0"/>
        <w:autoSpaceDN w:val="0"/>
        <w:adjustRightInd w:val="0"/>
        <w:ind w:left="576"/>
        <w:jc w:val="both"/>
        <w:rPr>
          <w:rFonts w:ascii="Arial" w:hAnsi="Arial" w:cs="Arial"/>
          <w:sz w:val="18"/>
          <w:szCs w:val="18"/>
        </w:rPr>
      </w:pPr>
    </w:p>
    <w:p w:rsidR="006A257E" w:rsidRDefault="006A257E" w:rsidP="006A257E">
      <w:pPr>
        <w:autoSpaceDE w:val="0"/>
        <w:autoSpaceDN w:val="0"/>
        <w:adjustRightInd w:val="0"/>
        <w:ind w:left="576"/>
        <w:jc w:val="both"/>
        <w:rPr>
          <w:rFonts w:ascii="Arial" w:hAnsi="Arial" w:cs="Arial"/>
          <w:sz w:val="18"/>
          <w:szCs w:val="18"/>
        </w:rPr>
      </w:pPr>
    </w:p>
    <w:p w:rsidR="006A257E" w:rsidRDefault="006A257E" w:rsidP="006A257E">
      <w:pPr>
        <w:autoSpaceDE w:val="0"/>
        <w:autoSpaceDN w:val="0"/>
        <w:adjustRightInd w:val="0"/>
        <w:jc w:val="both"/>
        <w:rPr>
          <w:rFonts w:ascii="Arial" w:hAnsi="Arial" w:cs="Arial"/>
          <w:b/>
          <w:bCs/>
          <w:sz w:val="18"/>
          <w:szCs w:val="18"/>
        </w:rPr>
      </w:pPr>
    </w:p>
    <w:p w:rsidR="006A257E" w:rsidRDefault="006A257E" w:rsidP="006A257E">
      <w:pPr>
        <w:autoSpaceDE w:val="0"/>
        <w:autoSpaceDN w:val="0"/>
        <w:adjustRightInd w:val="0"/>
        <w:jc w:val="both"/>
        <w:rPr>
          <w:rFonts w:ascii="Arial" w:hAnsi="Arial" w:cs="Arial"/>
          <w:b/>
          <w:bCs/>
          <w:sz w:val="18"/>
          <w:szCs w:val="18"/>
        </w:rPr>
      </w:pPr>
      <w:r>
        <w:rPr>
          <w:rFonts w:ascii="Arial" w:hAnsi="Arial" w:cs="Arial"/>
          <w:b/>
          <w:bCs/>
          <w:sz w:val="18"/>
          <w:szCs w:val="18"/>
        </w:rPr>
        <w:t>4.     Significant Accounting Policies - continued</w:t>
      </w:r>
    </w:p>
    <w:p w:rsidR="006A257E" w:rsidRDefault="006A257E" w:rsidP="006A257E">
      <w:pPr>
        <w:pBdr>
          <w:bottom w:val="single" w:sz="8" w:space="1" w:color="auto"/>
        </w:pBdr>
        <w:jc w:val="both"/>
        <w:rPr>
          <w:rFonts w:ascii="Arial" w:hAnsi="Arial" w:cs="Arial"/>
          <w:bCs/>
          <w:sz w:val="18"/>
          <w:szCs w:val="18"/>
        </w:rPr>
      </w:pPr>
    </w:p>
    <w:p w:rsidR="006A257E" w:rsidRPr="00057E8A" w:rsidRDefault="006A257E" w:rsidP="006A257E">
      <w:pPr>
        <w:autoSpaceDE w:val="0"/>
        <w:autoSpaceDN w:val="0"/>
        <w:adjustRightInd w:val="0"/>
        <w:ind w:left="576"/>
        <w:jc w:val="both"/>
        <w:rPr>
          <w:rFonts w:ascii="Arial" w:hAnsi="Arial" w:cs="Arial"/>
          <w:sz w:val="18"/>
          <w:szCs w:val="18"/>
        </w:rPr>
      </w:pPr>
    </w:p>
    <w:p w:rsidR="006A257E" w:rsidRPr="00057E8A" w:rsidRDefault="006A257E" w:rsidP="006A257E">
      <w:pPr>
        <w:autoSpaceDE w:val="0"/>
        <w:autoSpaceDN w:val="0"/>
        <w:adjustRightInd w:val="0"/>
        <w:spacing w:after="60"/>
        <w:ind w:left="720"/>
        <w:jc w:val="both"/>
        <w:rPr>
          <w:rFonts w:ascii="Helvetica" w:hAnsi="Helvetica" w:cs="Helvetica"/>
          <w:sz w:val="18"/>
          <w:szCs w:val="18"/>
        </w:rPr>
      </w:pPr>
      <w:r w:rsidRPr="00057E8A">
        <w:rPr>
          <w:rFonts w:ascii="Helvetica" w:hAnsi="Helvetica" w:cs="Helvetica"/>
          <w:sz w:val="18"/>
          <w:szCs w:val="18"/>
        </w:rPr>
        <w:t>IFRS 15 – Revenue from contracts with customers</w:t>
      </w:r>
    </w:p>
    <w:p w:rsidR="006A257E" w:rsidRPr="00057E8A" w:rsidRDefault="006A257E" w:rsidP="006A257E">
      <w:pPr>
        <w:autoSpaceDE w:val="0"/>
        <w:autoSpaceDN w:val="0"/>
        <w:adjustRightInd w:val="0"/>
        <w:ind w:left="864"/>
        <w:jc w:val="both"/>
        <w:rPr>
          <w:rFonts w:ascii="Helvetica" w:hAnsi="Helvetica" w:cs="Helvetica"/>
          <w:sz w:val="18"/>
          <w:szCs w:val="18"/>
        </w:rPr>
      </w:pPr>
      <w:r w:rsidRPr="00057E8A">
        <w:rPr>
          <w:rFonts w:ascii="Helvetica" w:hAnsi="Helvetica" w:cs="Helvetica"/>
          <w:sz w:val="18"/>
          <w:szCs w:val="18"/>
        </w:rPr>
        <w:t>IFRS 15 clarifies the principles for recognizing revenue from contracts with customers. The application of this standard is effective for annual periods beginning on or after January 1, 2018.</w:t>
      </w:r>
    </w:p>
    <w:p w:rsidR="006A257E" w:rsidRPr="00057E8A" w:rsidRDefault="006A257E" w:rsidP="006A257E">
      <w:pPr>
        <w:autoSpaceDE w:val="0"/>
        <w:autoSpaceDN w:val="0"/>
        <w:adjustRightInd w:val="0"/>
        <w:jc w:val="both"/>
        <w:rPr>
          <w:rFonts w:ascii="Arial" w:hAnsi="Arial" w:cs="Arial"/>
          <w:b/>
          <w:bCs/>
          <w:sz w:val="18"/>
          <w:szCs w:val="18"/>
        </w:rPr>
      </w:pPr>
    </w:p>
    <w:p w:rsidR="006A257E" w:rsidRPr="00057E8A" w:rsidRDefault="006A257E" w:rsidP="006A257E">
      <w:pPr>
        <w:autoSpaceDE w:val="0"/>
        <w:autoSpaceDN w:val="0"/>
        <w:adjustRightInd w:val="0"/>
        <w:ind w:left="432"/>
        <w:jc w:val="both"/>
        <w:rPr>
          <w:rFonts w:ascii="Arial" w:hAnsi="Arial" w:cs="Arial"/>
          <w:sz w:val="18"/>
          <w:szCs w:val="18"/>
        </w:rPr>
      </w:pPr>
      <w:r w:rsidRPr="00057E8A">
        <w:rPr>
          <w:rFonts w:ascii="Arial" w:hAnsi="Arial" w:cs="Arial"/>
          <w:sz w:val="18"/>
          <w:szCs w:val="18"/>
        </w:rPr>
        <w:t xml:space="preserve">Certain new accounting standards and interpretations have been published that are not mandatory for the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reporting period.  The Company has not yet begun the process of assessing the impact that the new and amended standards will have on its </w:t>
      </w:r>
      <w:r>
        <w:rPr>
          <w:rFonts w:ascii="Arial" w:hAnsi="Arial" w:cs="Arial"/>
          <w:bCs/>
          <w:iCs/>
          <w:spacing w:val="-2"/>
          <w:sz w:val="18"/>
          <w:szCs w:val="18"/>
        </w:rPr>
        <w:t>condensed consolidated interim</w:t>
      </w:r>
      <w:r w:rsidRPr="00057E8A">
        <w:rPr>
          <w:rFonts w:ascii="Arial" w:hAnsi="Arial" w:cs="Arial"/>
          <w:bCs/>
          <w:iCs/>
          <w:spacing w:val="-2"/>
          <w:sz w:val="18"/>
          <w:szCs w:val="18"/>
        </w:rPr>
        <w:t xml:space="preserve"> </w:t>
      </w:r>
      <w:r w:rsidRPr="00057E8A">
        <w:rPr>
          <w:rFonts w:ascii="Arial" w:hAnsi="Arial" w:cs="Arial"/>
          <w:sz w:val="18"/>
          <w:szCs w:val="18"/>
        </w:rPr>
        <w:t>financial statements or whether to early adopt any of the new requirements. The following is a brief summary of the new standards:</w:t>
      </w:r>
    </w:p>
    <w:p w:rsidR="006A257E" w:rsidRPr="00057E8A" w:rsidRDefault="006A257E" w:rsidP="006A257E">
      <w:pPr>
        <w:jc w:val="both"/>
        <w:rPr>
          <w:rStyle w:val="NormalArialChar"/>
          <w:rFonts w:eastAsia="Arial Unicode MS"/>
          <w:sz w:val="18"/>
          <w:szCs w:val="18"/>
          <w:lang w:val="en-CA" w:eastAsia="en-CA"/>
        </w:rPr>
      </w:pPr>
    </w:p>
    <w:p w:rsidR="006A257E" w:rsidRPr="00057E8A" w:rsidRDefault="006A257E" w:rsidP="006A257E">
      <w:pPr>
        <w:autoSpaceDE w:val="0"/>
        <w:autoSpaceDN w:val="0"/>
        <w:adjustRightInd w:val="0"/>
        <w:spacing w:after="60"/>
        <w:ind w:left="720"/>
        <w:jc w:val="both"/>
        <w:rPr>
          <w:rFonts w:eastAsia="Arial Unicode MS"/>
          <w:sz w:val="18"/>
          <w:szCs w:val="18"/>
        </w:rPr>
      </w:pPr>
      <w:r w:rsidRPr="00057E8A">
        <w:rPr>
          <w:rFonts w:ascii="Arial" w:hAnsi="Arial" w:cs="Arial"/>
          <w:sz w:val="18"/>
          <w:szCs w:val="18"/>
        </w:rPr>
        <w:t>IFRS 16 – Leases</w:t>
      </w:r>
    </w:p>
    <w:p w:rsidR="006A257E" w:rsidRPr="00057E8A" w:rsidRDefault="006A257E" w:rsidP="006A257E">
      <w:pPr>
        <w:autoSpaceDE w:val="0"/>
        <w:autoSpaceDN w:val="0"/>
        <w:adjustRightInd w:val="0"/>
        <w:ind w:left="864"/>
        <w:jc w:val="both"/>
        <w:rPr>
          <w:rFonts w:ascii="Arial" w:hAnsi="Arial" w:cs="Arial"/>
          <w:sz w:val="18"/>
          <w:szCs w:val="18"/>
        </w:rPr>
      </w:pPr>
      <w:r w:rsidRPr="00057E8A">
        <w:rPr>
          <w:rFonts w:ascii="Arial" w:hAnsi="Arial" w:cs="Arial"/>
          <w:sz w:val="18"/>
          <w:szCs w:val="18"/>
        </w:rPr>
        <w:t>The new standard recognizes most leases for lessees under a single model, eliminating the distinction between operating and finance leases. The application of this standard is effective for annual periods beginning on or after January 1, 2019.</w:t>
      </w:r>
    </w:p>
    <w:p w:rsidR="006A257E" w:rsidRPr="00AB5489" w:rsidRDefault="006A257E" w:rsidP="006A257E">
      <w:pPr>
        <w:ind w:left="431"/>
        <w:jc w:val="both"/>
        <w:rPr>
          <w:rFonts w:ascii="Arial" w:hAnsi="Arial" w:cs="Arial"/>
          <w:sz w:val="18"/>
          <w:szCs w:val="18"/>
        </w:rPr>
      </w:pPr>
    </w:p>
    <w:p w:rsidR="006A257E" w:rsidRPr="00FE7FD1" w:rsidRDefault="006A257E" w:rsidP="006A257E">
      <w:pPr>
        <w:pBdr>
          <w:bottom w:val="single" w:sz="4" w:space="1" w:color="auto"/>
        </w:pBdr>
        <w:jc w:val="both"/>
        <w:rPr>
          <w:rFonts w:ascii="Arial" w:hAnsi="Arial" w:cs="Arial"/>
          <w:bCs/>
          <w:sz w:val="18"/>
          <w:szCs w:val="18"/>
        </w:rPr>
      </w:pPr>
    </w:p>
    <w:p w:rsidR="006A257E" w:rsidRPr="00FE4B21" w:rsidRDefault="006A257E" w:rsidP="006A257E">
      <w:pPr>
        <w:ind w:left="432"/>
        <w:jc w:val="both"/>
        <w:rPr>
          <w:rFonts w:ascii="Arial" w:hAnsi="Arial" w:cs="Arial"/>
          <w:sz w:val="18"/>
          <w:szCs w:val="18"/>
        </w:rPr>
      </w:pPr>
    </w:p>
    <w:p w:rsidR="006A257E" w:rsidRPr="0073292A" w:rsidRDefault="006A257E" w:rsidP="006A257E">
      <w:pPr>
        <w:jc w:val="both"/>
        <w:rPr>
          <w:rStyle w:val="NormalArialChar"/>
          <w:b/>
          <w:sz w:val="18"/>
          <w:szCs w:val="18"/>
        </w:rPr>
      </w:pPr>
      <w:r>
        <w:rPr>
          <w:rStyle w:val="NormalArialChar"/>
          <w:b/>
          <w:sz w:val="18"/>
          <w:szCs w:val="18"/>
        </w:rPr>
        <w:t>5</w:t>
      </w:r>
      <w:r w:rsidRPr="0073292A">
        <w:rPr>
          <w:rStyle w:val="NormalArialChar"/>
          <w:b/>
          <w:sz w:val="18"/>
          <w:szCs w:val="18"/>
        </w:rPr>
        <w:t>.     Exploration and Evaluation Assets</w:t>
      </w:r>
    </w:p>
    <w:p w:rsidR="006A257E" w:rsidRPr="00FE7FD1" w:rsidRDefault="006A257E" w:rsidP="006A257E">
      <w:pPr>
        <w:pBdr>
          <w:bottom w:val="single" w:sz="8" w:space="1" w:color="auto"/>
        </w:pBdr>
        <w:jc w:val="both"/>
        <w:rPr>
          <w:rStyle w:val="NormalArialChar"/>
          <w:rFonts w:cs="Arial"/>
          <w:sz w:val="18"/>
          <w:szCs w:val="18"/>
        </w:rPr>
      </w:pPr>
    </w:p>
    <w:p w:rsidR="006A257E" w:rsidRDefault="006A257E" w:rsidP="006A257E">
      <w:pPr>
        <w:tabs>
          <w:tab w:val="left" w:pos="630"/>
        </w:tabs>
        <w:jc w:val="both"/>
        <w:rPr>
          <w:rFonts w:ascii="Arial" w:hAnsi="Arial" w:cs="Arial"/>
          <w:sz w:val="18"/>
          <w:szCs w:val="18"/>
        </w:rPr>
      </w:pPr>
    </w:p>
    <w:p w:rsidR="006A257E" w:rsidRDefault="006A257E" w:rsidP="006A257E">
      <w:pPr>
        <w:tabs>
          <w:tab w:val="left" w:pos="630"/>
        </w:tabs>
        <w:jc w:val="both"/>
        <w:rPr>
          <w:rFonts w:ascii="Arial" w:hAnsi="Arial" w:cs="Arial"/>
          <w:sz w:val="18"/>
          <w:szCs w:val="18"/>
        </w:rPr>
      </w:pPr>
      <w:r w:rsidRPr="0014469A">
        <w:rPr>
          <w:rFonts w:ascii="Arial" w:hAnsi="Arial" w:cs="Arial"/>
          <w:sz w:val="18"/>
          <w:szCs w:val="18"/>
        </w:rPr>
        <w:t xml:space="preserve">During </w:t>
      </w:r>
      <w:r>
        <w:rPr>
          <w:rFonts w:ascii="Arial" w:hAnsi="Arial" w:cs="Arial"/>
          <w:sz w:val="18"/>
          <w:szCs w:val="18"/>
        </w:rPr>
        <w:t xml:space="preserve">the period ended June 30, 2018, the Company made </w:t>
      </w:r>
      <w:r w:rsidRPr="0014469A">
        <w:rPr>
          <w:rFonts w:ascii="Arial" w:hAnsi="Arial" w:cs="Arial"/>
          <w:sz w:val="18"/>
          <w:szCs w:val="18"/>
        </w:rPr>
        <w:t xml:space="preserve">acquisition and exploration expenditures </w:t>
      </w:r>
      <w:r>
        <w:rPr>
          <w:rFonts w:ascii="Arial" w:hAnsi="Arial" w:cs="Arial"/>
          <w:sz w:val="18"/>
          <w:szCs w:val="18"/>
        </w:rPr>
        <w:t>of</w:t>
      </w:r>
      <w:r w:rsidRPr="0014469A">
        <w:rPr>
          <w:rFonts w:ascii="Arial" w:hAnsi="Arial" w:cs="Arial"/>
          <w:sz w:val="18"/>
          <w:szCs w:val="18"/>
        </w:rPr>
        <w:t xml:space="preserve"> $</w:t>
      </w:r>
      <w:r>
        <w:rPr>
          <w:rFonts w:ascii="Arial" w:hAnsi="Arial" w:cs="Arial"/>
          <w:sz w:val="18"/>
          <w:szCs w:val="18"/>
        </w:rPr>
        <w:t xml:space="preserve">29,077 (2017 - $114,566) </w:t>
      </w:r>
      <w:r w:rsidRPr="0014469A">
        <w:rPr>
          <w:rFonts w:ascii="Arial" w:hAnsi="Arial" w:cs="Arial"/>
          <w:sz w:val="18"/>
          <w:szCs w:val="18"/>
        </w:rPr>
        <w:t xml:space="preserve">and </w:t>
      </w:r>
      <w:r>
        <w:rPr>
          <w:rFonts w:ascii="Arial" w:hAnsi="Arial" w:cs="Arial"/>
          <w:sz w:val="18"/>
          <w:szCs w:val="18"/>
        </w:rPr>
        <w:t xml:space="preserve">received properties valued at $400,585 pursuant to the Plan of Arrangement (note 2).  As a result of the foregoing, exploration and evaluation assets totaled $411,947 at June 30, 2018, up from $237,556 at December 31, 2017. </w:t>
      </w:r>
    </w:p>
    <w:p w:rsidR="006A257E" w:rsidRDefault="006A257E" w:rsidP="006A257E">
      <w:pPr>
        <w:tabs>
          <w:tab w:val="left" w:pos="630"/>
        </w:tabs>
        <w:jc w:val="both"/>
        <w:rPr>
          <w:rFonts w:ascii="Arial" w:hAnsi="Arial" w:cs="Arial"/>
          <w:sz w:val="18"/>
          <w:szCs w:val="18"/>
        </w:rPr>
      </w:pPr>
    </w:p>
    <w:tbl>
      <w:tblPr>
        <w:tblW w:w="0" w:type="auto"/>
        <w:tblInd w:w="93" w:type="dxa"/>
        <w:tblLayout w:type="fixed"/>
        <w:tblLook w:val="04A0" w:firstRow="1" w:lastRow="0" w:firstColumn="1" w:lastColumn="0" w:noHBand="0" w:noVBand="1"/>
      </w:tblPr>
      <w:tblGrid>
        <w:gridCol w:w="960"/>
        <w:gridCol w:w="1418"/>
        <w:gridCol w:w="1220"/>
        <w:gridCol w:w="1520"/>
        <w:gridCol w:w="1017"/>
        <w:gridCol w:w="1160"/>
        <w:tblGridChange w:id="8">
          <w:tblGrid>
            <w:gridCol w:w="960"/>
            <w:gridCol w:w="1418"/>
            <w:gridCol w:w="1220"/>
            <w:gridCol w:w="1520"/>
            <w:gridCol w:w="1017"/>
            <w:gridCol w:w="1160"/>
          </w:tblGrid>
        </w:tblGridChange>
      </w:tblGrid>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31</w:t>
            </w:r>
          </w:p>
        </w:tc>
        <w:tc>
          <w:tcPr>
            <w:tcW w:w="12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Adjustments</w:t>
            </w:r>
          </w:p>
        </w:tc>
        <w:tc>
          <w:tcPr>
            <w:tcW w:w="15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Acquisition and</w:t>
            </w:r>
          </w:p>
        </w:tc>
        <w:tc>
          <w:tcPr>
            <w:tcW w:w="1017" w:type="dxa"/>
            <w:tcBorders>
              <w:top w:val="nil"/>
              <w:left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Option</w:t>
            </w:r>
          </w:p>
        </w:tc>
        <w:tc>
          <w:tcPr>
            <w:tcW w:w="1160" w:type="dxa"/>
            <w:tcBorders>
              <w:top w:val="nil"/>
              <w:left w:val="nil"/>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Jun 30</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201</w:t>
            </w:r>
            <w:r>
              <w:rPr>
                <w:rFonts w:ascii="Arial" w:hAnsi="Arial" w:cs="Arial"/>
                <w:color w:val="000000"/>
                <w:sz w:val="18"/>
                <w:szCs w:val="18"/>
              </w:rPr>
              <w:t>7</w:t>
            </w:r>
          </w:p>
        </w:tc>
        <w:tc>
          <w:tcPr>
            <w:tcW w:w="12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for POA</w:t>
            </w:r>
          </w:p>
        </w:tc>
        <w:tc>
          <w:tcPr>
            <w:tcW w:w="15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Exploration</w:t>
            </w:r>
          </w:p>
        </w:tc>
        <w:tc>
          <w:tcPr>
            <w:tcW w:w="1017" w:type="dxa"/>
            <w:tcBorders>
              <w:top w:val="nil"/>
              <w:left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Payments</w:t>
            </w:r>
          </w:p>
        </w:tc>
        <w:tc>
          <w:tcPr>
            <w:tcW w:w="116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2018</w:t>
            </w:r>
          </w:p>
        </w:tc>
      </w:tr>
      <w:tr w:rsidR="006A257E" w:rsidRPr="007A68AC" w:rsidTr="00186ED6">
        <w:trPr>
          <w:trHeight w:val="68"/>
        </w:trPr>
        <w:tc>
          <w:tcPr>
            <w:tcW w:w="960"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418"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c>
          <w:tcPr>
            <w:tcW w:w="122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c>
          <w:tcPr>
            <w:tcW w:w="152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c>
          <w:tcPr>
            <w:tcW w:w="1017" w:type="dxa"/>
            <w:tcBorders>
              <w:left w:val="nil"/>
              <w:bottom w:val="single" w:sz="12" w:space="0" w:color="auto"/>
              <w:right w:val="nil"/>
            </w:tcBorders>
            <w:vAlign w:val="bottom"/>
          </w:tcPr>
          <w:p w:rsidR="006A257E" w:rsidRPr="007A68AC" w:rsidRDefault="006A257E" w:rsidP="00186ED6">
            <w:pPr>
              <w:jc w:val="right"/>
              <w:rPr>
                <w:rFonts w:ascii="Arial" w:hAnsi="Arial" w:cs="Arial"/>
                <w:color w:val="000000"/>
                <w:sz w:val="18"/>
                <w:szCs w:val="18"/>
              </w:rPr>
            </w:pPr>
          </w:p>
        </w:tc>
        <w:tc>
          <w:tcPr>
            <w:tcW w:w="116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Chico</w:t>
            </w:r>
          </w:p>
        </w:tc>
        <w:tc>
          <w:tcPr>
            <w:tcW w:w="1418"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$33,815</w:t>
            </w:r>
          </w:p>
        </w:tc>
        <w:tc>
          <w:tcPr>
            <w:tcW w:w="122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$60,743 </w:t>
            </w:r>
          </w:p>
        </w:tc>
        <w:tc>
          <w:tcPr>
            <w:tcW w:w="152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4,669</w:t>
            </w:r>
            <w:r w:rsidRPr="007A68AC">
              <w:rPr>
                <w:rFonts w:ascii="Arial" w:hAnsi="Arial" w:cs="Arial"/>
                <w:color w:val="000000"/>
                <w:sz w:val="18"/>
                <w:szCs w:val="18"/>
              </w:rPr>
              <w:t xml:space="preserve"> </w:t>
            </w:r>
          </w:p>
        </w:tc>
        <w:tc>
          <w:tcPr>
            <w:tcW w:w="1017" w:type="dxa"/>
            <w:tcBorders>
              <w:top w:val="single" w:sz="12" w:space="0" w:color="auto"/>
              <w:left w:val="nil"/>
              <w:bottom w:val="nil"/>
              <w:right w:val="nil"/>
            </w:tcBorders>
            <w:vAlign w:val="bottom"/>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(61,250)</w:t>
            </w:r>
            <w:r w:rsidRPr="007A68AC">
              <w:rPr>
                <w:rFonts w:ascii="Arial" w:hAnsi="Arial" w:cs="Arial"/>
                <w:color w:val="000000"/>
                <w:sz w:val="18"/>
                <w:szCs w:val="18"/>
              </w:rPr>
              <w:t xml:space="preserve"> </w:t>
            </w:r>
          </w:p>
        </w:tc>
        <w:tc>
          <w:tcPr>
            <w:tcW w:w="116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$37,977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Fisher</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66,145</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168,682 </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2,364</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237,191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Leland</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39,561</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(3,721)</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4,315</w:t>
            </w:r>
            <w:r w:rsidRPr="007A68AC">
              <w:rPr>
                <w:rFonts w:ascii="Arial" w:hAnsi="Arial" w:cs="Arial"/>
                <w:color w:val="000000"/>
                <w:sz w:val="18"/>
                <w:szCs w:val="18"/>
              </w:rPr>
              <w:t xml:space="preserve"> </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40,15</w:t>
            </w:r>
            <w:r>
              <w:rPr>
                <w:rFonts w:ascii="Arial" w:hAnsi="Arial" w:cs="Arial"/>
                <w:color w:val="000000"/>
                <w:sz w:val="18"/>
                <w:szCs w:val="18"/>
              </w:rPr>
              <w:t>5</w:t>
            </w:r>
            <w:r w:rsidRPr="007A68AC">
              <w:rPr>
                <w:rFonts w:ascii="Arial" w:hAnsi="Arial" w:cs="Arial"/>
                <w:color w:val="000000"/>
                <w:sz w:val="18"/>
                <w:szCs w:val="18"/>
              </w:rPr>
              <w:t xml:space="preserve">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Orchid</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92,060</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(11,695)</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5,615</w:t>
            </w:r>
            <w:r w:rsidRPr="007A68AC">
              <w:rPr>
                <w:rFonts w:ascii="Arial" w:hAnsi="Arial" w:cs="Arial"/>
                <w:color w:val="000000"/>
                <w:sz w:val="18"/>
                <w:szCs w:val="18"/>
              </w:rPr>
              <w:t xml:space="preserve"> </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85,9</w:t>
            </w:r>
            <w:r>
              <w:rPr>
                <w:rFonts w:ascii="Arial" w:hAnsi="Arial" w:cs="Arial"/>
                <w:color w:val="000000"/>
                <w:sz w:val="18"/>
                <w:szCs w:val="18"/>
              </w:rPr>
              <w:t>80</w:t>
            </w:r>
            <w:r w:rsidRPr="007A68AC">
              <w:rPr>
                <w:rFonts w:ascii="Arial" w:hAnsi="Arial" w:cs="Arial"/>
                <w:color w:val="000000"/>
                <w:sz w:val="18"/>
                <w:szCs w:val="18"/>
              </w:rPr>
              <w:t xml:space="preserve">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SAM</w:t>
            </w:r>
          </w:p>
        </w:tc>
        <w:tc>
          <w:tcPr>
            <w:tcW w:w="1418"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5,975</w:t>
            </w:r>
            <w:r w:rsidRPr="007A68AC">
              <w:rPr>
                <w:rFonts w:ascii="Arial" w:hAnsi="Arial" w:cs="Arial"/>
                <w:color w:val="000000"/>
                <w:sz w:val="18"/>
                <w:szCs w:val="18"/>
              </w:rPr>
              <w:t xml:space="preserve"> </w:t>
            </w:r>
          </w:p>
        </w:tc>
        <w:tc>
          <w:tcPr>
            <w:tcW w:w="122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(7,445)</w:t>
            </w:r>
          </w:p>
        </w:tc>
        <w:tc>
          <w:tcPr>
            <w:tcW w:w="152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12,114</w:t>
            </w:r>
            <w:r w:rsidRPr="007A68AC">
              <w:rPr>
                <w:rFonts w:ascii="Arial" w:hAnsi="Arial" w:cs="Arial"/>
                <w:color w:val="000000"/>
                <w:sz w:val="18"/>
                <w:szCs w:val="18"/>
              </w:rPr>
              <w:t xml:space="preserve"> </w:t>
            </w:r>
          </w:p>
        </w:tc>
        <w:tc>
          <w:tcPr>
            <w:tcW w:w="1017" w:type="dxa"/>
            <w:tcBorders>
              <w:top w:val="nil"/>
              <w:left w:val="nil"/>
              <w:bottom w:val="single" w:sz="4" w:space="0" w:color="auto"/>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10,64</w:t>
            </w:r>
            <w:r>
              <w:rPr>
                <w:rFonts w:ascii="Arial" w:hAnsi="Arial" w:cs="Arial"/>
                <w:color w:val="000000"/>
                <w:sz w:val="18"/>
                <w:szCs w:val="18"/>
              </w:rPr>
              <w:t>4</w:t>
            </w:r>
            <w:r w:rsidRPr="007A68AC">
              <w:rPr>
                <w:rFonts w:ascii="Arial" w:hAnsi="Arial" w:cs="Arial"/>
                <w:color w:val="000000"/>
                <w:sz w:val="18"/>
                <w:szCs w:val="18"/>
              </w:rPr>
              <w:t xml:space="preserve"> </w:t>
            </w:r>
          </w:p>
        </w:tc>
      </w:tr>
      <w:tr w:rsidR="006A257E" w:rsidRPr="007A68AC" w:rsidTr="00186ED6">
        <w:trPr>
          <w:trHeight w:val="372"/>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237,556</w:t>
            </w:r>
            <w:r w:rsidRPr="007A68AC">
              <w:rPr>
                <w:rFonts w:ascii="Arial" w:hAnsi="Arial" w:cs="Arial"/>
                <w:color w:val="000000"/>
                <w:sz w:val="18"/>
                <w:szCs w:val="18"/>
              </w:rPr>
              <w:t xml:space="preserve"> </w:t>
            </w:r>
          </w:p>
        </w:tc>
        <w:tc>
          <w:tcPr>
            <w:tcW w:w="122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$206,564 </w:t>
            </w:r>
          </w:p>
        </w:tc>
        <w:tc>
          <w:tcPr>
            <w:tcW w:w="152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29,077</w:t>
            </w:r>
            <w:r w:rsidRPr="007A68AC">
              <w:rPr>
                <w:rFonts w:ascii="Arial" w:hAnsi="Arial" w:cs="Arial"/>
                <w:color w:val="000000"/>
                <w:sz w:val="18"/>
                <w:szCs w:val="18"/>
              </w:rPr>
              <w:t xml:space="preserve"> </w:t>
            </w:r>
          </w:p>
        </w:tc>
        <w:tc>
          <w:tcPr>
            <w:tcW w:w="1017" w:type="dxa"/>
            <w:tcBorders>
              <w:top w:val="single" w:sz="4" w:space="0" w:color="auto"/>
              <w:left w:val="nil"/>
              <w:bottom w:val="single" w:sz="12" w:space="0" w:color="auto"/>
              <w:right w:val="nil"/>
            </w:tcBorders>
            <w:vAlign w:val="bottom"/>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(61,250)</w:t>
            </w:r>
            <w:r w:rsidRPr="007A68AC">
              <w:rPr>
                <w:rFonts w:ascii="Arial" w:hAnsi="Arial" w:cs="Arial"/>
                <w:color w:val="000000"/>
                <w:sz w:val="18"/>
                <w:szCs w:val="18"/>
              </w:rPr>
              <w:t xml:space="preserve"> </w:t>
            </w:r>
          </w:p>
        </w:tc>
        <w:tc>
          <w:tcPr>
            <w:tcW w:w="116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$411,947 </w:t>
            </w:r>
          </w:p>
        </w:tc>
      </w:tr>
      <w:tr w:rsidR="006A257E" w:rsidRPr="007A68AC" w:rsidTr="00186ED6">
        <w:trPr>
          <w:trHeight w:val="68"/>
        </w:trPr>
        <w:tc>
          <w:tcPr>
            <w:tcW w:w="960"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418" w:type="dxa"/>
            <w:tcBorders>
              <w:top w:val="single" w:sz="12" w:space="0" w:color="auto"/>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220" w:type="dxa"/>
            <w:tcBorders>
              <w:top w:val="single" w:sz="12" w:space="0" w:color="auto"/>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520" w:type="dxa"/>
            <w:tcBorders>
              <w:top w:val="single" w:sz="12" w:space="0" w:color="auto"/>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017" w:type="dxa"/>
            <w:tcBorders>
              <w:top w:val="single" w:sz="12" w:space="0" w:color="auto"/>
              <w:left w:val="nil"/>
              <w:bottom w:val="nil"/>
              <w:right w:val="nil"/>
            </w:tcBorders>
          </w:tcPr>
          <w:p w:rsidR="006A257E" w:rsidRPr="007A68AC" w:rsidRDefault="006A257E" w:rsidP="00186ED6">
            <w:pPr>
              <w:rPr>
                <w:rFonts w:ascii="Arial" w:hAnsi="Arial" w:cs="Arial"/>
                <w:color w:val="000000"/>
                <w:sz w:val="18"/>
                <w:szCs w:val="18"/>
              </w:rPr>
            </w:pPr>
          </w:p>
        </w:tc>
        <w:tc>
          <w:tcPr>
            <w:tcW w:w="1160" w:type="dxa"/>
            <w:tcBorders>
              <w:top w:val="single" w:sz="12" w:space="0" w:color="auto"/>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31</w:t>
            </w:r>
          </w:p>
        </w:tc>
        <w:tc>
          <w:tcPr>
            <w:tcW w:w="12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p>
        </w:tc>
        <w:tc>
          <w:tcPr>
            <w:tcW w:w="15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Acquisition and</w:t>
            </w:r>
          </w:p>
        </w:tc>
        <w:tc>
          <w:tcPr>
            <w:tcW w:w="1017" w:type="dxa"/>
            <w:tcBorders>
              <w:top w:val="nil"/>
              <w:left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Option</w:t>
            </w:r>
          </w:p>
        </w:tc>
        <w:tc>
          <w:tcPr>
            <w:tcW w:w="116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Dec</w:t>
            </w:r>
            <w:r w:rsidRPr="007A68AC">
              <w:rPr>
                <w:rFonts w:ascii="Arial" w:hAnsi="Arial" w:cs="Arial"/>
                <w:color w:val="000000"/>
                <w:sz w:val="18"/>
                <w:szCs w:val="18"/>
              </w:rPr>
              <w:t xml:space="preserve"> 3</w:t>
            </w:r>
            <w:r>
              <w:rPr>
                <w:rFonts w:ascii="Arial" w:hAnsi="Arial" w:cs="Arial"/>
                <w:color w:val="000000"/>
                <w:sz w:val="18"/>
                <w:szCs w:val="18"/>
              </w:rPr>
              <w:t>1</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20</w:t>
            </w:r>
            <w:r>
              <w:rPr>
                <w:rFonts w:ascii="Arial" w:hAnsi="Arial" w:cs="Arial"/>
                <w:color w:val="000000"/>
                <w:sz w:val="18"/>
                <w:szCs w:val="18"/>
              </w:rPr>
              <w:t>6</w:t>
            </w:r>
            <w:r w:rsidRPr="007A68AC">
              <w:rPr>
                <w:rFonts w:ascii="Arial" w:hAnsi="Arial" w:cs="Arial"/>
                <w:color w:val="000000"/>
                <w:sz w:val="18"/>
                <w:szCs w:val="18"/>
              </w:rPr>
              <w:t>7</w:t>
            </w:r>
          </w:p>
        </w:tc>
        <w:tc>
          <w:tcPr>
            <w:tcW w:w="12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w:t>
            </w:r>
          </w:p>
        </w:tc>
        <w:tc>
          <w:tcPr>
            <w:tcW w:w="152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Exploration</w:t>
            </w:r>
          </w:p>
        </w:tc>
        <w:tc>
          <w:tcPr>
            <w:tcW w:w="1017" w:type="dxa"/>
            <w:tcBorders>
              <w:top w:val="nil"/>
              <w:left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Payments</w:t>
            </w:r>
          </w:p>
        </w:tc>
        <w:tc>
          <w:tcPr>
            <w:tcW w:w="1160" w:type="dxa"/>
            <w:tcBorders>
              <w:top w:val="nil"/>
              <w:left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2017</w:t>
            </w:r>
          </w:p>
        </w:tc>
      </w:tr>
      <w:tr w:rsidR="006A257E" w:rsidRPr="007A68AC" w:rsidTr="00186ED6">
        <w:trPr>
          <w:trHeight w:val="68"/>
        </w:trPr>
        <w:tc>
          <w:tcPr>
            <w:tcW w:w="960" w:type="dxa"/>
            <w:tcBorders>
              <w:top w:val="nil"/>
              <w:left w:val="nil"/>
              <w:bottom w:val="nil"/>
              <w:right w:val="nil"/>
            </w:tcBorders>
            <w:shd w:val="clear" w:color="auto" w:fill="auto"/>
            <w:noWrap/>
            <w:vAlign w:val="bottom"/>
          </w:tcPr>
          <w:p w:rsidR="006A257E" w:rsidRPr="007A68AC" w:rsidRDefault="006A257E" w:rsidP="00186ED6">
            <w:pPr>
              <w:rPr>
                <w:rFonts w:ascii="Arial" w:hAnsi="Arial" w:cs="Arial"/>
                <w:color w:val="000000"/>
                <w:sz w:val="18"/>
                <w:szCs w:val="18"/>
              </w:rPr>
            </w:pPr>
          </w:p>
        </w:tc>
        <w:tc>
          <w:tcPr>
            <w:tcW w:w="1418"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(note 4j)</w:t>
            </w:r>
          </w:p>
        </w:tc>
        <w:tc>
          <w:tcPr>
            <w:tcW w:w="122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c>
          <w:tcPr>
            <w:tcW w:w="152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p>
        </w:tc>
        <w:tc>
          <w:tcPr>
            <w:tcW w:w="1017" w:type="dxa"/>
            <w:tcBorders>
              <w:left w:val="nil"/>
              <w:bottom w:val="single" w:sz="12" w:space="0" w:color="auto"/>
              <w:right w:val="nil"/>
            </w:tcBorders>
            <w:vAlign w:val="bottom"/>
          </w:tcPr>
          <w:p w:rsidR="006A257E" w:rsidRDefault="006A257E" w:rsidP="00186ED6">
            <w:pPr>
              <w:jc w:val="right"/>
              <w:rPr>
                <w:rFonts w:ascii="Arial" w:hAnsi="Arial" w:cs="Arial"/>
                <w:color w:val="000000"/>
                <w:sz w:val="18"/>
                <w:szCs w:val="18"/>
              </w:rPr>
            </w:pPr>
          </w:p>
        </w:tc>
        <w:tc>
          <w:tcPr>
            <w:tcW w:w="1160" w:type="dxa"/>
            <w:tcBorders>
              <w:left w:val="nil"/>
              <w:bottom w:val="single" w:sz="12" w:space="0" w:color="auto"/>
              <w:right w:val="nil"/>
            </w:tcBorders>
            <w:shd w:val="clear" w:color="auto" w:fill="auto"/>
            <w:noWrap/>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(note 4(j)</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Chico</w:t>
            </w:r>
          </w:p>
        </w:tc>
        <w:tc>
          <w:tcPr>
            <w:tcW w:w="1418"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81,604</w:t>
            </w:r>
            <w:r w:rsidRPr="007A68AC">
              <w:rPr>
                <w:rFonts w:ascii="Arial" w:hAnsi="Arial" w:cs="Arial"/>
                <w:color w:val="000000"/>
                <w:sz w:val="18"/>
                <w:szCs w:val="18"/>
              </w:rPr>
              <w:t xml:space="preserve"> </w:t>
            </w:r>
          </w:p>
        </w:tc>
        <w:tc>
          <w:tcPr>
            <w:tcW w:w="122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 xml:space="preserve">$           </w:t>
            </w:r>
            <w:r w:rsidRPr="007A68AC">
              <w:rPr>
                <w:rFonts w:ascii="Arial" w:hAnsi="Arial" w:cs="Arial"/>
                <w:color w:val="000000"/>
                <w:sz w:val="18"/>
                <w:szCs w:val="18"/>
              </w:rPr>
              <w:t>-</w:t>
            </w:r>
          </w:p>
        </w:tc>
        <w:tc>
          <w:tcPr>
            <w:tcW w:w="152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 xml:space="preserve">    4,711</w:t>
            </w:r>
            <w:r w:rsidRPr="007A68AC">
              <w:rPr>
                <w:rFonts w:ascii="Arial" w:hAnsi="Arial" w:cs="Arial"/>
                <w:color w:val="000000"/>
                <w:sz w:val="18"/>
                <w:szCs w:val="18"/>
              </w:rPr>
              <w:t xml:space="preserve"> </w:t>
            </w:r>
          </w:p>
        </w:tc>
        <w:tc>
          <w:tcPr>
            <w:tcW w:w="1017" w:type="dxa"/>
            <w:tcBorders>
              <w:top w:val="single" w:sz="12" w:space="0" w:color="auto"/>
              <w:left w:val="nil"/>
              <w:bottom w:val="nil"/>
              <w:right w:val="nil"/>
            </w:tcBorders>
            <w:vAlign w:val="bottom"/>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(52,500)</w:t>
            </w:r>
            <w:r w:rsidRPr="007A68AC">
              <w:rPr>
                <w:rFonts w:ascii="Arial" w:hAnsi="Arial" w:cs="Arial"/>
                <w:color w:val="000000"/>
                <w:sz w:val="18"/>
                <w:szCs w:val="18"/>
              </w:rPr>
              <w:t xml:space="preserve"> </w:t>
            </w:r>
          </w:p>
        </w:tc>
        <w:tc>
          <w:tcPr>
            <w:tcW w:w="1160" w:type="dxa"/>
            <w:tcBorders>
              <w:top w:val="single" w:sz="12" w:space="0" w:color="auto"/>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33,815</w:t>
            </w:r>
            <w:r w:rsidRPr="007A68AC">
              <w:rPr>
                <w:rFonts w:ascii="Arial" w:hAnsi="Arial" w:cs="Arial"/>
                <w:color w:val="000000"/>
                <w:sz w:val="18"/>
                <w:szCs w:val="18"/>
              </w:rPr>
              <w:t xml:space="preserve">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Fisher</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133,1</w:t>
            </w:r>
            <w:r>
              <w:rPr>
                <w:rFonts w:ascii="Arial" w:hAnsi="Arial" w:cs="Arial"/>
                <w:color w:val="000000"/>
                <w:sz w:val="18"/>
                <w:szCs w:val="18"/>
              </w:rPr>
              <w:t>61</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7,984</w:t>
            </w:r>
            <w:r w:rsidRPr="007A68AC">
              <w:rPr>
                <w:rFonts w:ascii="Arial" w:hAnsi="Arial" w:cs="Arial"/>
                <w:color w:val="000000"/>
                <w:sz w:val="18"/>
                <w:szCs w:val="18"/>
              </w:rPr>
              <w:t xml:space="preserve"> </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(75,000)</w:t>
            </w:r>
            <w:r w:rsidRPr="007A68AC">
              <w:rPr>
                <w:rFonts w:ascii="Arial" w:hAnsi="Arial" w:cs="Arial"/>
                <w:color w:val="000000"/>
                <w:sz w:val="18"/>
                <w:szCs w:val="18"/>
              </w:rPr>
              <w:t xml:space="preserve"> </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66,145</w:t>
            </w:r>
            <w:r w:rsidRPr="007A68AC">
              <w:rPr>
                <w:rFonts w:ascii="Arial" w:hAnsi="Arial" w:cs="Arial"/>
                <w:color w:val="000000"/>
                <w:sz w:val="18"/>
                <w:szCs w:val="18"/>
              </w:rPr>
              <w:t xml:space="preserve">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Leland</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34,775 </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4,786</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39,561</w:t>
            </w:r>
            <w:r w:rsidRPr="007A68AC">
              <w:rPr>
                <w:rFonts w:ascii="Arial" w:hAnsi="Arial" w:cs="Arial"/>
                <w:color w:val="000000"/>
                <w:sz w:val="18"/>
                <w:szCs w:val="18"/>
              </w:rPr>
              <w:t xml:space="preserve"> </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Orchid</w:t>
            </w:r>
          </w:p>
        </w:tc>
        <w:tc>
          <w:tcPr>
            <w:tcW w:w="1418"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350</w:t>
            </w:r>
            <w:r w:rsidRPr="007A68AC">
              <w:rPr>
                <w:rFonts w:ascii="Arial" w:hAnsi="Arial" w:cs="Arial"/>
                <w:color w:val="000000"/>
                <w:sz w:val="18"/>
                <w:szCs w:val="18"/>
              </w:rPr>
              <w:t xml:space="preserve"> </w:t>
            </w:r>
          </w:p>
        </w:tc>
        <w:tc>
          <w:tcPr>
            <w:tcW w:w="12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91,710</w:t>
            </w:r>
            <w:r w:rsidRPr="007A68AC">
              <w:rPr>
                <w:rFonts w:ascii="Arial" w:hAnsi="Arial" w:cs="Arial"/>
                <w:color w:val="000000"/>
                <w:sz w:val="18"/>
                <w:szCs w:val="18"/>
              </w:rPr>
              <w:t xml:space="preserve"> </w:t>
            </w:r>
          </w:p>
        </w:tc>
        <w:tc>
          <w:tcPr>
            <w:tcW w:w="1017" w:type="dxa"/>
            <w:tcBorders>
              <w:top w:val="nil"/>
              <w:left w:val="nil"/>
              <w:bottom w:val="nil"/>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nil"/>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92,060</w:t>
            </w:r>
          </w:p>
        </w:tc>
      </w:tr>
      <w:tr w:rsidR="006A257E" w:rsidRPr="007A68AC" w:rsidTr="00186ED6">
        <w:trPr>
          <w:trHeight w:val="68"/>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r w:rsidRPr="007A68AC">
              <w:rPr>
                <w:rFonts w:ascii="Arial" w:hAnsi="Arial" w:cs="Arial"/>
                <w:color w:val="000000"/>
                <w:sz w:val="18"/>
                <w:szCs w:val="18"/>
              </w:rPr>
              <w:t>SAM</w:t>
            </w:r>
          </w:p>
        </w:tc>
        <w:tc>
          <w:tcPr>
            <w:tcW w:w="1418"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 xml:space="preserve">600 </w:t>
            </w:r>
          </w:p>
        </w:tc>
        <w:tc>
          <w:tcPr>
            <w:tcW w:w="122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p>
        </w:tc>
        <w:tc>
          <w:tcPr>
            <w:tcW w:w="152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5,375</w:t>
            </w:r>
          </w:p>
        </w:tc>
        <w:tc>
          <w:tcPr>
            <w:tcW w:w="1017" w:type="dxa"/>
            <w:tcBorders>
              <w:top w:val="nil"/>
              <w:left w:val="nil"/>
              <w:bottom w:val="single" w:sz="4" w:space="0" w:color="auto"/>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w:t>
            </w:r>
          </w:p>
        </w:tc>
        <w:tc>
          <w:tcPr>
            <w:tcW w:w="1160" w:type="dxa"/>
            <w:tcBorders>
              <w:top w:val="nil"/>
              <w:left w:val="nil"/>
              <w:bottom w:val="single" w:sz="4"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5,975</w:t>
            </w:r>
            <w:r w:rsidRPr="007A68AC">
              <w:rPr>
                <w:rFonts w:ascii="Arial" w:hAnsi="Arial" w:cs="Arial"/>
                <w:color w:val="000000"/>
                <w:sz w:val="18"/>
                <w:szCs w:val="18"/>
              </w:rPr>
              <w:t xml:space="preserve"> </w:t>
            </w:r>
          </w:p>
        </w:tc>
      </w:tr>
      <w:tr w:rsidR="006A257E" w:rsidRPr="007A68AC" w:rsidTr="00186ED6">
        <w:trPr>
          <w:trHeight w:val="330"/>
        </w:trPr>
        <w:tc>
          <w:tcPr>
            <w:tcW w:w="960" w:type="dxa"/>
            <w:tcBorders>
              <w:top w:val="nil"/>
              <w:left w:val="nil"/>
              <w:bottom w:val="nil"/>
              <w:right w:val="nil"/>
            </w:tcBorders>
            <w:shd w:val="clear" w:color="auto" w:fill="auto"/>
            <w:noWrap/>
            <w:vAlign w:val="bottom"/>
            <w:hideMark/>
          </w:tcPr>
          <w:p w:rsidR="006A257E" w:rsidRPr="007A68AC" w:rsidRDefault="006A257E" w:rsidP="00186ED6">
            <w:pPr>
              <w:rPr>
                <w:rFonts w:ascii="Arial" w:hAnsi="Arial" w:cs="Arial"/>
                <w:color w:val="000000"/>
                <w:sz w:val="18"/>
                <w:szCs w:val="18"/>
              </w:rPr>
            </w:pPr>
          </w:p>
        </w:tc>
        <w:tc>
          <w:tcPr>
            <w:tcW w:w="1418"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250,490</w:t>
            </w:r>
            <w:r w:rsidRPr="007A68AC">
              <w:rPr>
                <w:rFonts w:ascii="Arial" w:hAnsi="Arial" w:cs="Arial"/>
                <w:color w:val="000000"/>
                <w:sz w:val="18"/>
                <w:szCs w:val="18"/>
              </w:rPr>
              <w:t xml:space="preserve"> </w:t>
            </w:r>
          </w:p>
        </w:tc>
        <w:tc>
          <w:tcPr>
            <w:tcW w:w="122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 xml:space="preserve">$          </w:t>
            </w:r>
            <w:r w:rsidRPr="007A68AC">
              <w:rPr>
                <w:rFonts w:ascii="Arial" w:hAnsi="Arial" w:cs="Arial"/>
                <w:color w:val="000000"/>
                <w:sz w:val="18"/>
                <w:szCs w:val="18"/>
              </w:rPr>
              <w:t>-</w:t>
            </w:r>
          </w:p>
        </w:tc>
        <w:tc>
          <w:tcPr>
            <w:tcW w:w="152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114,566</w:t>
            </w:r>
            <w:r w:rsidRPr="007A68AC">
              <w:rPr>
                <w:rFonts w:ascii="Arial" w:hAnsi="Arial" w:cs="Arial"/>
                <w:color w:val="000000"/>
                <w:sz w:val="18"/>
                <w:szCs w:val="18"/>
              </w:rPr>
              <w:t xml:space="preserve"> </w:t>
            </w:r>
          </w:p>
        </w:tc>
        <w:tc>
          <w:tcPr>
            <w:tcW w:w="1017" w:type="dxa"/>
            <w:tcBorders>
              <w:top w:val="single" w:sz="4" w:space="0" w:color="auto"/>
              <w:left w:val="nil"/>
              <w:bottom w:val="single" w:sz="12" w:space="0" w:color="auto"/>
              <w:right w:val="nil"/>
            </w:tcBorders>
            <w:vAlign w:val="bottom"/>
          </w:tcPr>
          <w:p w:rsidR="006A257E" w:rsidRPr="007A68AC" w:rsidRDefault="006A257E" w:rsidP="00186ED6">
            <w:pPr>
              <w:jc w:val="right"/>
              <w:rPr>
                <w:rFonts w:ascii="Arial" w:hAnsi="Arial" w:cs="Arial"/>
                <w:color w:val="000000"/>
                <w:sz w:val="18"/>
                <w:szCs w:val="18"/>
              </w:rPr>
            </w:pPr>
            <w:r>
              <w:rPr>
                <w:rFonts w:ascii="Arial" w:hAnsi="Arial" w:cs="Arial"/>
                <w:color w:val="000000"/>
                <w:sz w:val="18"/>
                <w:szCs w:val="18"/>
              </w:rPr>
              <w:t>$(52,500)</w:t>
            </w:r>
          </w:p>
        </w:tc>
        <w:tc>
          <w:tcPr>
            <w:tcW w:w="1160" w:type="dxa"/>
            <w:tcBorders>
              <w:top w:val="single" w:sz="4" w:space="0" w:color="auto"/>
              <w:left w:val="nil"/>
              <w:bottom w:val="single" w:sz="12" w:space="0" w:color="auto"/>
              <w:right w:val="nil"/>
            </w:tcBorders>
            <w:shd w:val="clear" w:color="auto" w:fill="auto"/>
            <w:noWrap/>
            <w:vAlign w:val="bottom"/>
            <w:hideMark/>
          </w:tcPr>
          <w:p w:rsidR="006A257E" w:rsidRPr="007A68AC" w:rsidRDefault="006A257E" w:rsidP="00186ED6">
            <w:pPr>
              <w:jc w:val="right"/>
              <w:rPr>
                <w:rFonts w:ascii="Arial" w:hAnsi="Arial" w:cs="Arial"/>
                <w:color w:val="000000"/>
                <w:sz w:val="18"/>
                <w:szCs w:val="18"/>
              </w:rPr>
            </w:pPr>
            <w:r w:rsidRPr="007A68AC">
              <w:rPr>
                <w:rFonts w:ascii="Arial" w:hAnsi="Arial" w:cs="Arial"/>
                <w:color w:val="000000"/>
                <w:sz w:val="18"/>
                <w:szCs w:val="18"/>
              </w:rPr>
              <w:t>$</w:t>
            </w:r>
            <w:r>
              <w:rPr>
                <w:rFonts w:ascii="Arial" w:hAnsi="Arial" w:cs="Arial"/>
                <w:color w:val="000000"/>
                <w:sz w:val="18"/>
                <w:szCs w:val="18"/>
              </w:rPr>
              <w:t>237,556</w:t>
            </w:r>
            <w:r w:rsidRPr="007A68AC">
              <w:rPr>
                <w:rFonts w:ascii="Arial" w:hAnsi="Arial" w:cs="Arial"/>
                <w:color w:val="000000"/>
                <w:sz w:val="18"/>
                <w:szCs w:val="18"/>
              </w:rPr>
              <w:t xml:space="preserve"> </w:t>
            </w:r>
          </w:p>
        </w:tc>
      </w:tr>
    </w:tbl>
    <w:p w:rsidR="006A257E" w:rsidRDefault="006A257E" w:rsidP="006A257E">
      <w:pPr>
        <w:tabs>
          <w:tab w:val="left" w:pos="630"/>
        </w:tabs>
        <w:jc w:val="both"/>
        <w:rPr>
          <w:rFonts w:ascii="Arial" w:hAnsi="Arial" w:cs="Arial"/>
          <w:sz w:val="18"/>
          <w:szCs w:val="18"/>
        </w:rPr>
      </w:pPr>
    </w:p>
    <w:p w:rsidR="006A257E" w:rsidRPr="0014469A" w:rsidRDefault="006A257E" w:rsidP="006A257E">
      <w:pPr>
        <w:tabs>
          <w:tab w:val="left" w:pos="630"/>
        </w:tabs>
        <w:jc w:val="both"/>
        <w:rPr>
          <w:rFonts w:ascii="Arial" w:hAnsi="Arial" w:cs="Arial"/>
          <w:sz w:val="18"/>
          <w:szCs w:val="18"/>
        </w:rPr>
      </w:pPr>
      <w:r w:rsidRPr="0014469A">
        <w:rPr>
          <w:rFonts w:ascii="Arial" w:hAnsi="Arial" w:cs="Arial"/>
          <w:sz w:val="18"/>
          <w:szCs w:val="18"/>
        </w:rPr>
        <w:t>The Company has interests in a number of optioned exploration projects.  As at</w:t>
      </w:r>
      <w:r>
        <w:rPr>
          <w:rFonts w:ascii="Arial" w:hAnsi="Arial" w:cs="Arial"/>
          <w:sz w:val="18"/>
          <w:szCs w:val="18"/>
        </w:rPr>
        <w:t xml:space="preserve"> June 30</w:t>
      </w:r>
      <w:r w:rsidRPr="0014469A">
        <w:rPr>
          <w:rFonts w:ascii="Arial" w:hAnsi="Arial" w:cs="Arial"/>
          <w:sz w:val="18"/>
          <w:szCs w:val="18"/>
        </w:rPr>
        <w:t>, 20</w:t>
      </w:r>
      <w:r>
        <w:rPr>
          <w:rFonts w:ascii="Arial" w:hAnsi="Arial" w:cs="Arial"/>
          <w:sz w:val="18"/>
          <w:szCs w:val="18"/>
        </w:rPr>
        <w:t>18</w:t>
      </w:r>
      <w:r w:rsidRPr="0014469A">
        <w:rPr>
          <w:rFonts w:ascii="Arial" w:hAnsi="Arial" w:cs="Arial"/>
          <w:sz w:val="18"/>
          <w:szCs w:val="18"/>
        </w:rPr>
        <w:t>, the Company ha</w:t>
      </w:r>
      <w:r>
        <w:rPr>
          <w:rFonts w:ascii="Arial" w:hAnsi="Arial" w:cs="Arial"/>
          <w:sz w:val="18"/>
          <w:szCs w:val="18"/>
        </w:rPr>
        <w:t>s</w:t>
      </w:r>
      <w:r w:rsidRPr="0014469A">
        <w:rPr>
          <w:rFonts w:ascii="Arial" w:hAnsi="Arial" w:cs="Arial"/>
          <w:sz w:val="18"/>
          <w:szCs w:val="18"/>
        </w:rPr>
        <w:t xml:space="preserve"> executed option agreements with third parties on the following projects:</w:t>
      </w:r>
    </w:p>
    <w:p w:rsidR="006A257E" w:rsidRDefault="006A257E" w:rsidP="006A257E">
      <w:pPr>
        <w:widowControl w:val="0"/>
        <w:autoSpaceDE w:val="0"/>
        <w:autoSpaceDN w:val="0"/>
        <w:adjustRightInd w:val="0"/>
        <w:jc w:val="both"/>
        <w:rPr>
          <w:rFonts w:ascii="Arial" w:hAnsi="Arial" w:cs="Arial"/>
          <w:b/>
          <w:sz w:val="18"/>
          <w:szCs w:val="18"/>
          <w:u w:val="single"/>
        </w:rPr>
      </w:pPr>
    </w:p>
    <w:p w:rsidR="006A257E" w:rsidRDefault="006A257E" w:rsidP="006A257E">
      <w:pPr>
        <w:widowControl w:val="0"/>
        <w:autoSpaceDE w:val="0"/>
        <w:autoSpaceDN w:val="0"/>
        <w:adjustRightInd w:val="0"/>
        <w:jc w:val="both"/>
        <w:rPr>
          <w:rFonts w:ascii="Arial" w:hAnsi="Arial" w:cs="Arial"/>
          <w:b/>
          <w:sz w:val="18"/>
          <w:szCs w:val="18"/>
          <w:u w:val="single"/>
        </w:rPr>
      </w:pPr>
      <w:r w:rsidRPr="00D072D2">
        <w:rPr>
          <w:rFonts w:ascii="Arial" w:hAnsi="Arial" w:cs="Arial"/>
          <w:b/>
          <w:sz w:val="18"/>
          <w:szCs w:val="18"/>
          <w:u w:val="single"/>
        </w:rPr>
        <w:t>Saskatchewan</w:t>
      </w:r>
    </w:p>
    <w:p w:rsidR="006A257E" w:rsidRDefault="006A257E" w:rsidP="006A257E">
      <w:pPr>
        <w:widowControl w:val="0"/>
        <w:autoSpaceDE w:val="0"/>
        <w:autoSpaceDN w:val="0"/>
        <w:adjustRightInd w:val="0"/>
        <w:jc w:val="both"/>
        <w:rPr>
          <w:rFonts w:ascii="Arial" w:hAnsi="Arial" w:cs="Arial"/>
          <w:b/>
          <w:sz w:val="18"/>
          <w:szCs w:val="18"/>
          <w:u w:val="single"/>
        </w:rPr>
      </w:pPr>
    </w:p>
    <w:p w:rsidR="006A257E" w:rsidRDefault="006A257E" w:rsidP="00444A4B">
      <w:pPr>
        <w:widowControl w:val="0"/>
        <w:numPr>
          <w:ilvl w:val="0"/>
          <w:numId w:val="10"/>
        </w:numPr>
        <w:autoSpaceDE w:val="0"/>
        <w:autoSpaceDN w:val="0"/>
        <w:adjustRightInd w:val="0"/>
        <w:ind w:left="357" w:hanging="357"/>
        <w:jc w:val="both"/>
        <w:rPr>
          <w:rFonts w:ascii="Arial" w:hAnsi="Arial" w:cs="Arial"/>
          <w:sz w:val="18"/>
          <w:szCs w:val="18"/>
        </w:rPr>
      </w:pPr>
      <w:r>
        <w:rPr>
          <w:rFonts w:ascii="Arial" w:hAnsi="Arial" w:cs="Arial"/>
          <w:b/>
          <w:sz w:val="18"/>
          <w:szCs w:val="18"/>
        </w:rPr>
        <w:t xml:space="preserve">Chico Project: </w:t>
      </w:r>
      <w:r>
        <w:rPr>
          <w:rFonts w:ascii="Arial" w:hAnsi="Arial" w:cs="Arial"/>
          <w:sz w:val="18"/>
          <w:szCs w:val="18"/>
        </w:rPr>
        <w:t xml:space="preserve">On </w:t>
      </w:r>
      <w:r w:rsidRPr="002E6342">
        <w:rPr>
          <w:rStyle w:val="Strong"/>
          <w:rFonts w:ascii="Arial" w:hAnsi="Arial" w:cs="Arial"/>
          <w:b w:val="0"/>
          <w:sz w:val="18"/>
          <w:szCs w:val="18"/>
          <w:bdr w:val="none" w:sz="0" w:space="0" w:color="auto" w:frame="1"/>
        </w:rPr>
        <w:t xml:space="preserve">December </w:t>
      </w:r>
      <w:r>
        <w:rPr>
          <w:rStyle w:val="Strong"/>
          <w:rFonts w:ascii="Arial" w:hAnsi="Arial" w:cs="Arial"/>
          <w:b w:val="0"/>
          <w:sz w:val="18"/>
          <w:szCs w:val="18"/>
          <w:bdr w:val="none" w:sz="0" w:space="0" w:color="auto" w:frame="1"/>
        </w:rPr>
        <w:t>9</w:t>
      </w:r>
      <w:r w:rsidRPr="002E6342">
        <w:rPr>
          <w:rStyle w:val="Strong"/>
          <w:rFonts w:ascii="Arial" w:hAnsi="Arial" w:cs="Arial"/>
          <w:b w:val="0"/>
          <w:sz w:val="18"/>
          <w:szCs w:val="18"/>
          <w:bdr w:val="none" w:sz="0" w:space="0" w:color="auto" w:frame="1"/>
        </w:rPr>
        <w:t>, 2016</w:t>
      </w:r>
      <w:r>
        <w:rPr>
          <w:rStyle w:val="Strong"/>
          <w:rFonts w:ascii="Arial" w:hAnsi="Arial" w:cs="Arial"/>
          <w:b w:val="0"/>
          <w:sz w:val="18"/>
          <w:szCs w:val="18"/>
          <w:bdr w:val="none" w:sz="0" w:space="0" w:color="auto" w:frame="1"/>
        </w:rPr>
        <w:t>,</w:t>
      </w:r>
      <w:r w:rsidRPr="002E6342">
        <w:rPr>
          <w:rStyle w:val="Strong"/>
          <w:rFonts w:ascii="Arial" w:hAnsi="Arial" w:cs="Arial"/>
          <w:sz w:val="18"/>
          <w:szCs w:val="18"/>
          <w:bdr w:val="none" w:sz="0" w:space="0" w:color="auto" w:frame="1"/>
        </w:rPr>
        <w:t xml:space="preserve"> </w:t>
      </w:r>
      <w:r>
        <w:rPr>
          <w:rStyle w:val="Strong"/>
          <w:rFonts w:ascii="Arial" w:hAnsi="Arial" w:cs="Arial"/>
          <w:b w:val="0"/>
          <w:sz w:val="18"/>
          <w:szCs w:val="18"/>
          <w:bdr w:val="none" w:sz="0" w:space="0" w:color="auto" w:frame="1"/>
        </w:rPr>
        <w:t>the Company entered into an option agreement with</w:t>
      </w:r>
      <w:r w:rsidRPr="002E6342">
        <w:rPr>
          <w:rStyle w:val="Strong"/>
          <w:rFonts w:ascii="Arial" w:hAnsi="Arial" w:cs="Arial"/>
          <w:sz w:val="18"/>
          <w:szCs w:val="18"/>
          <w:bdr w:val="none" w:sz="0" w:space="0" w:color="auto" w:frame="1"/>
        </w:rPr>
        <w:t xml:space="preserve"> </w:t>
      </w:r>
      <w:r w:rsidRPr="002E6342">
        <w:rPr>
          <w:rStyle w:val="Strong"/>
          <w:rFonts w:ascii="Arial" w:hAnsi="Arial" w:cs="Arial"/>
          <w:b w:val="0"/>
          <w:sz w:val="18"/>
          <w:szCs w:val="18"/>
          <w:bdr w:val="none" w:sz="0" w:space="0" w:color="auto" w:frame="1"/>
        </w:rPr>
        <w:t xml:space="preserve">Aben Resources Ltd. </w:t>
      </w:r>
      <w:r>
        <w:rPr>
          <w:rStyle w:val="Strong"/>
          <w:rFonts w:ascii="Arial" w:hAnsi="Arial" w:cs="Arial"/>
          <w:b w:val="0"/>
          <w:sz w:val="18"/>
          <w:szCs w:val="18"/>
          <w:bdr w:val="none" w:sz="0" w:space="0" w:color="auto" w:frame="1"/>
        </w:rPr>
        <w:t xml:space="preserve">(“Aben”) </w:t>
      </w:r>
      <w:r w:rsidRPr="002E6342">
        <w:rPr>
          <w:rFonts w:ascii="Arial" w:hAnsi="Arial" w:cs="Arial"/>
          <w:sz w:val="18"/>
          <w:szCs w:val="18"/>
        </w:rPr>
        <w:t>whereby Aben has the exclusive right to earn an undivided 80% interest in the</w:t>
      </w:r>
      <w:r w:rsidRPr="002E6342">
        <w:rPr>
          <w:rStyle w:val="apple-converted-space"/>
          <w:rFonts w:ascii="Arial" w:hAnsi="Arial" w:cs="Arial"/>
          <w:sz w:val="18"/>
          <w:szCs w:val="18"/>
        </w:rPr>
        <w:t> </w:t>
      </w:r>
      <w:r w:rsidRPr="002E6342">
        <w:rPr>
          <w:rStyle w:val="Strong"/>
          <w:rFonts w:ascii="Arial" w:hAnsi="Arial" w:cs="Arial"/>
          <w:b w:val="0"/>
          <w:sz w:val="18"/>
          <w:szCs w:val="18"/>
          <w:bdr w:val="none" w:sz="0" w:space="0" w:color="auto" w:frame="1"/>
        </w:rPr>
        <w:t>Chico</w:t>
      </w:r>
      <w:r w:rsidRPr="002E6342">
        <w:rPr>
          <w:rStyle w:val="apple-converted-space"/>
          <w:rFonts w:ascii="Arial" w:hAnsi="Arial" w:cs="Arial"/>
          <w:sz w:val="18"/>
          <w:szCs w:val="18"/>
        </w:rPr>
        <w:t> </w:t>
      </w:r>
      <w:r w:rsidRPr="002E6342">
        <w:rPr>
          <w:rFonts w:ascii="Arial" w:hAnsi="Arial" w:cs="Arial"/>
          <w:sz w:val="18"/>
          <w:szCs w:val="18"/>
        </w:rPr>
        <w:t xml:space="preserve">Gold Project located </w:t>
      </w:r>
      <w:r>
        <w:rPr>
          <w:rFonts w:ascii="Arial" w:hAnsi="Arial" w:cs="Arial"/>
          <w:sz w:val="18"/>
          <w:szCs w:val="18"/>
        </w:rPr>
        <w:t>in</w:t>
      </w:r>
      <w:r w:rsidRPr="002E6342">
        <w:rPr>
          <w:rFonts w:ascii="Arial" w:hAnsi="Arial" w:cs="Arial"/>
          <w:sz w:val="18"/>
          <w:szCs w:val="18"/>
        </w:rPr>
        <w:t xml:space="preserve"> Saskatchewan and south of Silver Standard Resources’ Seabee/</w:t>
      </w:r>
      <w:proofErr w:type="spellStart"/>
      <w:r w:rsidRPr="002E6342">
        <w:rPr>
          <w:rFonts w:ascii="Arial" w:hAnsi="Arial" w:cs="Arial"/>
          <w:sz w:val="18"/>
          <w:szCs w:val="18"/>
        </w:rPr>
        <w:t>Santoy</w:t>
      </w:r>
      <w:proofErr w:type="spellEnd"/>
      <w:r w:rsidRPr="002E6342">
        <w:rPr>
          <w:rFonts w:ascii="Arial" w:hAnsi="Arial" w:cs="Arial"/>
          <w:sz w:val="18"/>
          <w:szCs w:val="18"/>
        </w:rPr>
        <w:t xml:space="preserve"> mine complex. Aben may earn an initial 60% interest by incurring $1,500,000 in exploration expenditures, issuing 1,500,000 common shares and making cash payments </w:t>
      </w:r>
      <w:proofErr w:type="spellStart"/>
      <w:r w:rsidRPr="002E6342">
        <w:rPr>
          <w:rFonts w:ascii="Arial" w:hAnsi="Arial" w:cs="Arial"/>
          <w:sz w:val="18"/>
          <w:szCs w:val="18"/>
        </w:rPr>
        <w:t>totalling</w:t>
      </w:r>
      <w:proofErr w:type="spellEnd"/>
      <w:r w:rsidRPr="002E6342">
        <w:rPr>
          <w:rFonts w:ascii="Arial" w:hAnsi="Arial" w:cs="Arial"/>
          <w:sz w:val="18"/>
          <w:szCs w:val="18"/>
        </w:rPr>
        <w:t xml:space="preserve"> $100,000 over 4 years.  Upon earning this 60% interest, Aben may </w:t>
      </w:r>
    </w:p>
    <w:p w:rsidR="006A257E" w:rsidRDefault="006A257E" w:rsidP="006A257E">
      <w:pPr>
        <w:widowControl w:val="0"/>
        <w:autoSpaceDE w:val="0"/>
        <w:autoSpaceDN w:val="0"/>
        <w:adjustRightInd w:val="0"/>
        <w:jc w:val="both"/>
        <w:rPr>
          <w:rFonts w:ascii="Arial" w:hAnsi="Arial" w:cs="Arial"/>
          <w:sz w:val="18"/>
          <w:szCs w:val="18"/>
        </w:rPr>
      </w:pPr>
    </w:p>
    <w:p w:rsidR="006A257E" w:rsidRPr="0073292A" w:rsidRDefault="006A257E" w:rsidP="006A257E">
      <w:pPr>
        <w:jc w:val="both"/>
        <w:rPr>
          <w:rStyle w:val="NormalArialChar"/>
          <w:b/>
          <w:sz w:val="18"/>
          <w:szCs w:val="18"/>
        </w:rPr>
      </w:pPr>
      <w:r>
        <w:rPr>
          <w:rStyle w:val="NormalArialChar"/>
          <w:b/>
          <w:sz w:val="18"/>
          <w:szCs w:val="18"/>
        </w:rPr>
        <w:t>5</w:t>
      </w:r>
      <w:r w:rsidRPr="0073292A">
        <w:rPr>
          <w:rStyle w:val="NormalArialChar"/>
          <w:b/>
          <w:sz w:val="18"/>
          <w:szCs w:val="18"/>
        </w:rPr>
        <w:t>.     Exploration and Evaluation Assets</w:t>
      </w:r>
      <w:r>
        <w:rPr>
          <w:rStyle w:val="NormalArialChar"/>
          <w:b/>
          <w:sz w:val="18"/>
          <w:szCs w:val="18"/>
        </w:rPr>
        <w:t xml:space="preserve"> - continued</w:t>
      </w:r>
    </w:p>
    <w:p w:rsidR="006A257E" w:rsidRPr="00FE7FD1" w:rsidRDefault="006A257E" w:rsidP="006A257E">
      <w:pPr>
        <w:pBdr>
          <w:bottom w:val="single" w:sz="8" w:space="1" w:color="auto"/>
        </w:pBdr>
        <w:jc w:val="both"/>
        <w:rPr>
          <w:rStyle w:val="NormalArialChar"/>
          <w:rFonts w:cs="Arial"/>
          <w:sz w:val="18"/>
          <w:szCs w:val="18"/>
        </w:rPr>
      </w:pPr>
    </w:p>
    <w:p w:rsidR="006A257E" w:rsidRDefault="006A257E" w:rsidP="006A257E">
      <w:pPr>
        <w:widowControl w:val="0"/>
        <w:autoSpaceDE w:val="0"/>
        <w:autoSpaceDN w:val="0"/>
        <w:adjustRightInd w:val="0"/>
        <w:jc w:val="both"/>
        <w:rPr>
          <w:rFonts w:ascii="Arial" w:hAnsi="Arial" w:cs="Arial"/>
          <w:sz w:val="18"/>
          <w:szCs w:val="18"/>
        </w:rPr>
      </w:pPr>
    </w:p>
    <w:p w:rsidR="006A257E" w:rsidRDefault="006A257E" w:rsidP="00444A4B">
      <w:pPr>
        <w:widowControl w:val="0"/>
        <w:numPr>
          <w:ilvl w:val="0"/>
          <w:numId w:val="18"/>
        </w:numPr>
        <w:autoSpaceDE w:val="0"/>
        <w:autoSpaceDN w:val="0"/>
        <w:adjustRightInd w:val="0"/>
        <w:ind w:left="357" w:hanging="357"/>
        <w:jc w:val="both"/>
        <w:rPr>
          <w:rFonts w:ascii="Arial" w:hAnsi="Arial" w:cs="Arial"/>
          <w:sz w:val="18"/>
          <w:szCs w:val="18"/>
        </w:rPr>
      </w:pPr>
      <w:r w:rsidRPr="00F149E4">
        <w:rPr>
          <w:rFonts w:ascii="Arial" w:hAnsi="Arial" w:cs="Arial"/>
          <w:b/>
          <w:sz w:val="18"/>
          <w:szCs w:val="18"/>
        </w:rPr>
        <w:t>Chico Project</w:t>
      </w:r>
      <w:r>
        <w:rPr>
          <w:rFonts w:ascii="Arial" w:hAnsi="Arial" w:cs="Arial"/>
          <w:sz w:val="18"/>
          <w:szCs w:val="18"/>
        </w:rPr>
        <w:t xml:space="preserve"> – continued: </w:t>
      </w:r>
    </w:p>
    <w:p w:rsidR="006A257E" w:rsidRDefault="006A257E" w:rsidP="006A257E">
      <w:pPr>
        <w:widowControl w:val="0"/>
        <w:autoSpaceDE w:val="0"/>
        <w:autoSpaceDN w:val="0"/>
        <w:adjustRightInd w:val="0"/>
        <w:ind w:left="357"/>
        <w:jc w:val="both"/>
        <w:rPr>
          <w:rFonts w:ascii="Arial" w:hAnsi="Arial" w:cs="Arial"/>
          <w:sz w:val="18"/>
          <w:szCs w:val="18"/>
        </w:rPr>
      </w:pPr>
      <w:proofErr w:type="gramStart"/>
      <w:r w:rsidRPr="002E6342">
        <w:rPr>
          <w:rFonts w:ascii="Arial" w:hAnsi="Arial" w:cs="Arial"/>
          <w:sz w:val="18"/>
          <w:szCs w:val="18"/>
        </w:rPr>
        <w:t>elect</w:t>
      </w:r>
      <w:proofErr w:type="gramEnd"/>
      <w:r w:rsidRPr="002E6342">
        <w:rPr>
          <w:rFonts w:ascii="Arial" w:hAnsi="Arial" w:cs="Arial"/>
          <w:sz w:val="18"/>
          <w:szCs w:val="18"/>
        </w:rPr>
        <w:t xml:space="preserve"> to exercise a second option to earn a further 20% interest by incurring an additional $2,000,000 in exploration expenditures, issuing 1,000,000 common shares, and making $50,000 cash payments within two years of the date of election.</w:t>
      </w:r>
      <w:r>
        <w:rPr>
          <w:rFonts w:ascii="Arial" w:hAnsi="Arial" w:cs="Arial"/>
          <w:sz w:val="18"/>
          <w:szCs w:val="18"/>
        </w:rPr>
        <w:t xml:space="preserve">  Payments are due as follows:</w:t>
      </w:r>
    </w:p>
    <w:tbl>
      <w:tblPr>
        <w:tblW w:w="7920" w:type="dxa"/>
        <w:tblInd w:w="828" w:type="dxa"/>
        <w:tblLook w:val="04A0" w:firstRow="1" w:lastRow="0" w:firstColumn="1" w:lastColumn="0" w:noHBand="0" w:noVBand="1"/>
      </w:tblPr>
      <w:tblGrid>
        <w:gridCol w:w="1106"/>
        <w:gridCol w:w="1120"/>
        <w:gridCol w:w="1384"/>
        <w:gridCol w:w="4310"/>
      </w:tblGrid>
      <w:tr w:rsidR="006A257E" w:rsidRPr="00DA284E" w:rsidTr="00186ED6">
        <w:trPr>
          <w:trHeight w:val="259"/>
        </w:trPr>
        <w:tc>
          <w:tcPr>
            <w:tcW w:w="1106" w:type="dxa"/>
            <w:noWrap/>
            <w:vAlign w:val="bottom"/>
          </w:tcPr>
          <w:p w:rsidR="006A257E" w:rsidRPr="00DA284E" w:rsidRDefault="006A257E" w:rsidP="00186ED6">
            <w:pPr>
              <w:jc w:val="right"/>
              <w:rPr>
                <w:rFonts w:ascii="Arial" w:hAnsi="Arial" w:cs="Arial"/>
                <w:sz w:val="18"/>
                <w:szCs w:val="18"/>
              </w:rPr>
            </w:pPr>
            <w:r w:rsidRPr="00DA284E">
              <w:rPr>
                <w:rFonts w:ascii="Arial" w:hAnsi="Arial" w:cs="Arial"/>
                <w:sz w:val="18"/>
                <w:szCs w:val="18"/>
              </w:rPr>
              <w:t>Cash</w:t>
            </w:r>
          </w:p>
        </w:tc>
        <w:tc>
          <w:tcPr>
            <w:tcW w:w="1120" w:type="dxa"/>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Share</w:t>
            </w:r>
          </w:p>
        </w:tc>
        <w:tc>
          <w:tcPr>
            <w:tcW w:w="1384" w:type="dxa"/>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Exploration</w:t>
            </w:r>
          </w:p>
        </w:tc>
        <w:tc>
          <w:tcPr>
            <w:tcW w:w="4310" w:type="dxa"/>
            <w:noWrap/>
            <w:vAlign w:val="bottom"/>
          </w:tcPr>
          <w:p w:rsidR="006A257E" w:rsidRPr="00DA284E" w:rsidRDefault="006A257E" w:rsidP="00186ED6">
            <w:pPr>
              <w:rPr>
                <w:rFonts w:ascii="Arial" w:hAnsi="Arial" w:cs="Arial"/>
                <w:sz w:val="18"/>
                <w:szCs w:val="18"/>
              </w:rPr>
            </w:pPr>
          </w:p>
        </w:tc>
      </w:tr>
      <w:tr w:rsidR="006A257E" w:rsidRPr="00DA284E" w:rsidTr="00186ED6">
        <w:trPr>
          <w:trHeight w:val="259"/>
        </w:trPr>
        <w:tc>
          <w:tcPr>
            <w:tcW w:w="1106" w:type="dxa"/>
            <w:tcBorders>
              <w:top w:val="nil"/>
              <w:left w:val="nil"/>
              <w:bottom w:val="single" w:sz="4"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Payments</w:t>
            </w:r>
          </w:p>
        </w:tc>
        <w:tc>
          <w:tcPr>
            <w:tcW w:w="1120" w:type="dxa"/>
            <w:tcBorders>
              <w:top w:val="nil"/>
              <w:left w:val="nil"/>
              <w:bottom w:val="single" w:sz="4"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Payments</w:t>
            </w:r>
          </w:p>
        </w:tc>
        <w:tc>
          <w:tcPr>
            <w:tcW w:w="1384" w:type="dxa"/>
            <w:tcBorders>
              <w:top w:val="nil"/>
              <w:left w:val="nil"/>
              <w:bottom w:val="single" w:sz="4"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Expenditures</w:t>
            </w:r>
          </w:p>
        </w:tc>
        <w:tc>
          <w:tcPr>
            <w:tcW w:w="4310" w:type="dxa"/>
            <w:noWrap/>
            <w:vAlign w:val="bottom"/>
            <w:hideMark/>
          </w:tcPr>
          <w:p w:rsidR="006A257E" w:rsidRPr="00DA284E" w:rsidRDefault="006A257E" w:rsidP="00186ED6">
            <w:pPr>
              <w:rPr>
                <w:rFonts w:ascii="Arial" w:hAnsi="Arial" w:cs="Arial"/>
                <w:sz w:val="18"/>
                <w:szCs w:val="18"/>
                <w:u w:val="single"/>
              </w:rPr>
            </w:pPr>
            <w:r w:rsidRPr="00DA284E">
              <w:rPr>
                <w:rFonts w:ascii="Arial" w:hAnsi="Arial" w:cs="Arial"/>
                <w:sz w:val="18"/>
                <w:szCs w:val="18"/>
                <w:u w:val="single"/>
              </w:rPr>
              <w:t>Due Date</w:t>
            </w:r>
          </w:p>
        </w:tc>
      </w:tr>
      <w:tr w:rsidR="006A257E" w:rsidRPr="00DA284E" w:rsidTr="00186ED6">
        <w:trPr>
          <w:trHeight w:val="259"/>
        </w:trPr>
        <w:tc>
          <w:tcPr>
            <w:tcW w:w="1106" w:type="dxa"/>
            <w:tcBorders>
              <w:top w:val="single" w:sz="4" w:space="0" w:color="auto"/>
              <w:left w:val="nil"/>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25</w:t>
            </w:r>
            <w:r w:rsidRPr="00DA284E">
              <w:rPr>
                <w:rFonts w:ascii="Arial" w:hAnsi="Arial" w:cs="Arial"/>
                <w:sz w:val="18"/>
                <w:szCs w:val="18"/>
              </w:rPr>
              <w:t xml:space="preserve">,000 </w:t>
            </w:r>
          </w:p>
        </w:tc>
        <w:tc>
          <w:tcPr>
            <w:tcW w:w="1120" w:type="dxa"/>
            <w:tcBorders>
              <w:top w:val="single" w:sz="4" w:space="0" w:color="auto"/>
              <w:left w:val="nil"/>
              <w:right w:val="nil"/>
            </w:tcBorders>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w:t>
            </w:r>
          </w:p>
        </w:tc>
        <w:tc>
          <w:tcPr>
            <w:tcW w:w="1384" w:type="dxa"/>
            <w:tcBorders>
              <w:top w:val="single" w:sz="4" w:space="0" w:color="auto"/>
              <w:left w:val="nil"/>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 xml:space="preserve">$                  - </w:t>
            </w:r>
          </w:p>
        </w:tc>
        <w:tc>
          <w:tcPr>
            <w:tcW w:w="4310" w:type="dxa"/>
            <w:noWrap/>
            <w:vAlign w:val="bottom"/>
            <w:hideMark/>
          </w:tcPr>
          <w:p w:rsidR="006A257E" w:rsidRPr="00DA284E" w:rsidRDefault="006A257E" w:rsidP="00186ED6">
            <w:pPr>
              <w:rPr>
                <w:rFonts w:ascii="Arial" w:hAnsi="Arial" w:cs="Arial"/>
                <w:sz w:val="18"/>
                <w:szCs w:val="18"/>
              </w:rPr>
            </w:pPr>
            <w:r>
              <w:rPr>
                <w:rFonts w:ascii="Arial" w:hAnsi="Arial" w:cs="Arial"/>
                <w:sz w:val="18"/>
                <w:szCs w:val="18"/>
              </w:rPr>
              <w:t>December 9, 2016</w:t>
            </w:r>
            <w:r w:rsidRPr="00DA284E">
              <w:rPr>
                <w:rFonts w:ascii="Arial" w:hAnsi="Arial" w:cs="Arial"/>
                <w:sz w:val="18"/>
                <w:szCs w:val="18"/>
              </w:rPr>
              <w:t xml:space="preserve">  (received)</w:t>
            </w:r>
          </w:p>
        </w:tc>
      </w:tr>
      <w:tr w:rsidR="006A257E" w:rsidRPr="00DA284E" w:rsidTr="00186ED6">
        <w:trPr>
          <w:trHeight w:val="259"/>
        </w:trPr>
        <w:tc>
          <w:tcPr>
            <w:tcW w:w="1106" w:type="dxa"/>
            <w:tcBorders>
              <w:left w:val="nil"/>
              <w:bottom w:val="nil"/>
              <w:right w:val="nil"/>
            </w:tcBorders>
            <w:noWrap/>
            <w:vAlign w:val="bottom"/>
          </w:tcPr>
          <w:p w:rsidR="006A257E" w:rsidRPr="00DA284E" w:rsidRDefault="006A257E" w:rsidP="00186ED6">
            <w:pPr>
              <w:jc w:val="right"/>
              <w:rPr>
                <w:rFonts w:ascii="Arial" w:hAnsi="Arial" w:cs="Arial"/>
                <w:sz w:val="18"/>
                <w:szCs w:val="18"/>
              </w:rPr>
            </w:pPr>
            <w:r>
              <w:rPr>
                <w:rFonts w:ascii="Arial" w:hAnsi="Arial" w:cs="Arial"/>
                <w:sz w:val="18"/>
                <w:szCs w:val="18"/>
              </w:rPr>
              <w:t>-</w:t>
            </w:r>
          </w:p>
        </w:tc>
        <w:tc>
          <w:tcPr>
            <w:tcW w:w="1120" w:type="dxa"/>
            <w:tcBorders>
              <w:left w:val="nil"/>
              <w:bottom w:val="nil"/>
              <w:right w:val="nil"/>
            </w:tcBorders>
            <w:noWrap/>
            <w:vAlign w:val="bottom"/>
          </w:tcPr>
          <w:p w:rsidR="006A257E" w:rsidRDefault="006A257E" w:rsidP="00186ED6">
            <w:pPr>
              <w:jc w:val="right"/>
              <w:rPr>
                <w:rFonts w:ascii="Arial" w:hAnsi="Arial" w:cs="Arial"/>
                <w:sz w:val="18"/>
                <w:szCs w:val="18"/>
              </w:rPr>
            </w:pPr>
            <w:r>
              <w:rPr>
                <w:rFonts w:ascii="Arial" w:hAnsi="Arial" w:cs="Arial"/>
                <w:sz w:val="18"/>
                <w:szCs w:val="18"/>
              </w:rPr>
              <w:t>250,000</w:t>
            </w:r>
          </w:p>
        </w:tc>
        <w:tc>
          <w:tcPr>
            <w:tcW w:w="1384" w:type="dxa"/>
            <w:tcBorders>
              <w:left w:val="nil"/>
              <w:bottom w:val="nil"/>
              <w:right w:val="nil"/>
            </w:tcBorders>
            <w:noWrap/>
            <w:vAlign w:val="bottom"/>
          </w:tcPr>
          <w:p w:rsidR="006A257E" w:rsidRPr="00DA284E" w:rsidRDefault="006A257E" w:rsidP="00186ED6">
            <w:pPr>
              <w:jc w:val="right"/>
              <w:rPr>
                <w:rFonts w:ascii="Arial" w:hAnsi="Arial" w:cs="Arial"/>
                <w:sz w:val="18"/>
                <w:szCs w:val="18"/>
              </w:rPr>
            </w:pPr>
            <w:r>
              <w:rPr>
                <w:rFonts w:ascii="Arial" w:hAnsi="Arial" w:cs="Arial"/>
                <w:sz w:val="18"/>
                <w:szCs w:val="18"/>
              </w:rPr>
              <w:t>-</w:t>
            </w:r>
          </w:p>
        </w:tc>
        <w:tc>
          <w:tcPr>
            <w:tcW w:w="4310" w:type="dxa"/>
            <w:noWrap/>
            <w:vAlign w:val="bottom"/>
          </w:tcPr>
          <w:p w:rsidR="006A257E" w:rsidRDefault="006A257E" w:rsidP="00186ED6">
            <w:pPr>
              <w:rPr>
                <w:rFonts w:ascii="Arial" w:hAnsi="Arial" w:cs="Arial"/>
                <w:sz w:val="18"/>
                <w:szCs w:val="18"/>
              </w:rPr>
            </w:pPr>
            <w:r>
              <w:rPr>
                <w:rFonts w:ascii="Arial" w:hAnsi="Arial" w:cs="Arial"/>
                <w:sz w:val="18"/>
                <w:szCs w:val="18"/>
              </w:rPr>
              <w:t>January 6, 2017 (received)</w:t>
            </w:r>
          </w:p>
        </w:tc>
      </w:tr>
      <w:tr w:rsidR="006A257E" w:rsidRPr="00DA284E" w:rsidTr="00186ED6">
        <w:trPr>
          <w:trHeight w:val="259"/>
        </w:trPr>
        <w:tc>
          <w:tcPr>
            <w:tcW w:w="1106" w:type="dxa"/>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 xml:space="preserve">     25,000</w:t>
            </w:r>
          </w:p>
        </w:tc>
        <w:tc>
          <w:tcPr>
            <w:tcW w:w="1120"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250</w:t>
            </w:r>
            <w:r w:rsidRPr="00DA284E">
              <w:rPr>
                <w:rFonts w:ascii="Arial" w:hAnsi="Arial" w:cs="Arial"/>
                <w:sz w:val="18"/>
                <w:szCs w:val="18"/>
              </w:rPr>
              <w:t>,000</w:t>
            </w:r>
          </w:p>
        </w:tc>
        <w:tc>
          <w:tcPr>
            <w:tcW w:w="1384"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150,000</w:t>
            </w:r>
          </w:p>
        </w:tc>
        <w:tc>
          <w:tcPr>
            <w:tcW w:w="4310" w:type="dxa"/>
            <w:noWrap/>
            <w:vAlign w:val="bottom"/>
            <w:hideMark/>
          </w:tcPr>
          <w:p w:rsidR="006A257E" w:rsidRPr="00DA284E" w:rsidRDefault="006A257E" w:rsidP="00186ED6">
            <w:pPr>
              <w:rPr>
                <w:rFonts w:ascii="Arial" w:hAnsi="Arial" w:cs="Arial"/>
                <w:sz w:val="18"/>
                <w:szCs w:val="18"/>
              </w:rPr>
            </w:pPr>
            <w:r>
              <w:rPr>
                <w:rFonts w:ascii="Arial" w:hAnsi="Arial" w:cs="Arial"/>
                <w:sz w:val="18"/>
                <w:szCs w:val="18"/>
              </w:rPr>
              <w:t>January 6, 2018 (received)</w:t>
            </w:r>
          </w:p>
        </w:tc>
      </w:tr>
      <w:tr w:rsidR="006A257E" w:rsidRPr="00DA284E" w:rsidTr="00186ED6">
        <w:trPr>
          <w:trHeight w:val="259"/>
        </w:trPr>
        <w:tc>
          <w:tcPr>
            <w:tcW w:w="1106"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25</w:t>
            </w:r>
            <w:r w:rsidRPr="00DA284E">
              <w:rPr>
                <w:rFonts w:ascii="Arial" w:hAnsi="Arial" w:cs="Arial"/>
                <w:sz w:val="18"/>
                <w:szCs w:val="18"/>
              </w:rPr>
              <w:t>,000</w:t>
            </w:r>
          </w:p>
        </w:tc>
        <w:tc>
          <w:tcPr>
            <w:tcW w:w="1120"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50</w:t>
            </w:r>
            <w:r w:rsidRPr="00DA284E">
              <w:rPr>
                <w:rFonts w:ascii="Arial" w:hAnsi="Arial" w:cs="Arial"/>
                <w:sz w:val="18"/>
                <w:szCs w:val="18"/>
              </w:rPr>
              <w:t>0,000</w:t>
            </w:r>
          </w:p>
        </w:tc>
        <w:tc>
          <w:tcPr>
            <w:tcW w:w="1384" w:type="dxa"/>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2</w:t>
            </w:r>
            <w:r>
              <w:rPr>
                <w:rFonts w:ascii="Arial" w:hAnsi="Arial" w:cs="Arial"/>
                <w:sz w:val="18"/>
                <w:szCs w:val="18"/>
              </w:rPr>
              <w:t>5</w:t>
            </w:r>
            <w:r w:rsidRPr="00DA284E">
              <w:rPr>
                <w:rFonts w:ascii="Arial" w:hAnsi="Arial" w:cs="Arial"/>
                <w:sz w:val="18"/>
                <w:szCs w:val="18"/>
              </w:rPr>
              <w:t>0,000</w:t>
            </w:r>
          </w:p>
        </w:tc>
        <w:tc>
          <w:tcPr>
            <w:tcW w:w="4310" w:type="dxa"/>
            <w:noWrap/>
            <w:vAlign w:val="bottom"/>
            <w:hideMark/>
          </w:tcPr>
          <w:p w:rsidR="006A257E" w:rsidRPr="00DA284E" w:rsidRDefault="006A257E" w:rsidP="00186ED6">
            <w:pPr>
              <w:rPr>
                <w:rFonts w:ascii="Arial" w:hAnsi="Arial" w:cs="Arial"/>
                <w:sz w:val="18"/>
                <w:szCs w:val="18"/>
              </w:rPr>
            </w:pPr>
            <w:r>
              <w:rPr>
                <w:rFonts w:ascii="Arial" w:hAnsi="Arial" w:cs="Arial"/>
                <w:sz w:val="18"/>
                <w:szCs w:val="18"/>
              </w:rPr>
              <w:t>January 6, 2019</w:t>
            </w:r>
          </w:p>
        </w:tc>
      </w:tr>
      <w:tr w:rsidR="006A257E" w:rsidRPr="00DA284E" w:rsidTr="00186ED6">
        <w:trPr>
          <w:trHeight w:val="259"/>
        </w:trPr>
        <w:tc>
          <w:tcPr>
            <w:tcW w:w="1106"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2</w:t>
            </w:r>
            <w:r w:rsidRPr="00DA284E">
              <w:rPr>
                <w:rFonts w:ascii="Arial" w:hAnsi="Arial" w:cs="Arial"/>
                <w:sz w:val="18"/>
                <w:szCs w:val="18"/>
              </w:rPr>
              <w:t>5,000</w:t>
            </w:r>
          </w:p>
        </w:tc>
        <w:tc>
          <w:tcPr>
            <w:tcW w:w="1120"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50</w:t>
            </w:r>
            <w:r w:rsidRPr="00DA284E">
              <w:rPr>
                <w:rFonts w:ascii="Arial" w:hAnsi="Arial" w:cs="Arial"/>
                <w:sz w:val="18"/>
                <w:szCs w:val="18"/>
              </w:rPr>
              <w:t>0,000</w:t>
            </w:r>
          </w:p>
        </w:tc>
        <w:tc>
          <w:tcPr>
            <w:tcW w:w="1384" w:type="dxa"/>
            <w:noWrap/>
            <w:vAlign w:val="bottom"/>
            <w:hideMark/>
          </w:tcPr>
          <w:p w:rsidR="006A257E" w:rsidRPr="00DA284E" w:rsidRDefault="006A257E" w:rsidP="00186ED6">
            <w:pPr>
              <w:jc w:val="right"/>
              <w:rPr>
                <w:rFonts w:ascii="Arial" w:hAnsi="Arial" w:cs="Arial"/>
                <w:sz w:val="18"/>
                <w:szCs w:val="18"/>
              </w:rPr>
            </w:pPr>
            <w:r>
              <w:rPr>
                <w:rFonts w:ascii="Arial" w:hAnsi="Arial" w:cs="Arial"/>
                <w:sz w:val="18"/>
                <w:szCs w:val="18"/>
              </w:rPr>
              <w:t>45</w:t>
            </w:r>
            <w:r w:rsidRPr="00DA284E">
              <w:rPr>
                <w:rFonts w:ascii="Arial" w:hAnsi="Arial" w:cs="Arial"/>
                <w:sz w:val="18"/>
                <w:szCs w:val="18"/>
              </w:rPr>
              <w:t>0,000</w:t>
            </w:r>
          </w:p>
        </w:tc>
        <w:tc>
          <w:tcPr>
            <w:tcW w:w="4310" w:type="dxa"/>
            <w:noWrap/>
            <w:vAlign w:val="bottom"/>
            <w:hideMark/>
          </w:tcPr>
          <w:p w:rsidR="006A257E" w:rsidRPr="00DA284E" w:rsidRDefault="006A257E" w:rsidP="00186ED6">
            <w:pPr>
              <w:rPr>
                <w:rFonts w:ascii="Arial" w:hAnsi="Arial" w:cs="Arial"/>
                <w:sz w:val="18"/>
                <w:szCs w:val="18"/>
              </w:rPr>
            </w:pPr>
            <w:r>
              <w:rPr>
                <w:rFonts w:ascii="Arial" w:hAnsi="Arial" w:cs="Arial"/>
                <w:sz w:val="18"/>
                <w:szCs w:val="18"/>
              </w:rPr>
              <w:t>January 6, 2020</w:t>
            </w:r>
          </w:p>
        </w:tc>
      </w:tr>
      <w:tr w:rsidR="006A257E" w:rsidRPr="00DA284E" w:rsidTr="00186ED6">
        <w:trPr>
          <w:trHeight w:val="259"/>
        </w:trPr>
        <w:tc>
          <w:tcPr>
            <w:tcW w:w="1106" w:type="dxa"/>
            <w:noWrap/>
            <w:vAlign w:val="bottom"/>
          </w:tcPr>
          <w:p w:rsidR="006A257E" w:rsidRDefault="006A257E" w:rsidP="00186ED6">
            <w:pPr>
              <w:jc w:val="right"/>
              <w:rPr>
                <w:rFonts w:ascii="Arial" w:hAnsi="Arial" w:cs="Arial"/>
                <w:sz w:val="18"/>
                <w:szCs w:val="18"/>
              </w:rPr>
            </w:pPr>
            <w:r>
              <w:rPr>
                <w:rFonts w:ascii="Arial" w:hAnsi="Arial" w:cs="Arial"/>
                <w:sz w:val="18"/>
                <w:szCs w:val="18"/>
              </w:rPr>
              <w:t>-</w:t>
            </w:r>
          </w:p>
        </w:tc>
        <w:tc>
          <w:tcPr>
            <w:tcW w:w="1120" w:type="dxa"/>
            <w:noWrap/>
            <w:vAlign w:val="bottom"/>
          </w:tcPr>
          <w:p w:rsidR="006A257E" w:rsidRDefault="006A257E" w:rsidP="00186ED6">
            <w:pPr>
              <w:jc w:val="right"/>
              <w:rPr>
                <w:rFonts w:ascii="Arial" w:hAnsi="Arial" w:cs="Arial"/>
                <w:sz w:val="18"/>
                <w:szCs w:val="18"/>
              </w:rPr>
            </w:pPr>
            <w:r>
              <w:rPr>
                <w:rFonts w:ascii="Arial" w:hAnsi="Arial" w:cs="Arial"/>
                <w:sz w:val="18"/>
                <w:szCs w:val="18"/>
              </w:rPr>
              <w:t>-</w:t>
            </w:r>
          </w:p>
        </w:tc>
        <w:tc>
          <w:tcPr>
            <w:tcW w:w="1384" w:type="dxa"/>
            <w:noWrap/>
            <w:vAlign w:val="bottom"/>
          </w:tcPr>
          <w:p w:rsidR="006A257E" w:rsidRDefault="006A257E" w:rsidP="00186ED6">
            <w:pPr>
              <w:jc w:val="right"/>
              <w:rPr>
                <w:rFonts w:ascii="Arial" w:hAnsi="Arial" w:cs="Arial"/>
                <w:sz w:val="18"/>
                <w:szCs w:val="18"/>
              </w:rPr>
            </w:pPr>
            <w:r>
              <w:rPr>
                <w:rFonts w:ascii="Arial" w:hAnsi="Arial" w:cs="Arial"/>
                <w:sz w:val="18"/>
                <w:szCs w:val="18"/>
              </w:rPr>
              <w:t>650,000</w:t>
            </w:r>
          </w:p>
        </w:tc>
        <w:tc>
          <w:tcPr>
            <w:tcW w:w="4310" w:type="dxa"/>
            <w:noWrap/>
            <w:vAlign w:val="bottom"/>
          </w:tcPr>
          <w:p w:rsidR="006A257E" w:rsidRDefault="006A257E" w:rsidP="00186ED6">
            <w:pPr>
              <w:rPr>
                <w:rFonts w:ascii="Arial" w:hAnsi="Arial" w:cs="Arial"/>
                <w:sz w:val="18"/>
                <w:szCs w:val="18"/>
              </w:rPr>
            </w:pPr>
            <w:r>
              <w:rPr>
                <w:rFonts w:ascii="Arial" w:hAnsi="Arial" w:cs="Arial"/>
                <w:sz w:val="18"/>
                <w:szCs w:val="18"/>
              </w:rPr>
              <w:t>January 6, 2021</w:t>
            </w:r>
          </w:p>
        </w:tc>
      </w:tr>
      <w:tr w:rsidR="006A257E" w:rsidRPr="00DA284E" w:rsidTr="00186ED6">
        <w:trPr>
          <w:trHeight w:val="259"/>
        </w:trPr>
        <w:tc>
          <w:tcPr>
            <w:tcW w:w="1106" w:type="dxa"/>
            <w:tcBorders>
              <w:top w:val="single" w:sz="4" w:space="0" w:color="auto"/>
              <w:left w:val="nil"/>
              <w:bottom w:val="single" w:sz="8"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1</w:t>
            </w:r>
            <w:r w:rsidRPr="00DA284E">
              <w:rPr>
                <w:rFonts w:ascii="Arial" w:hAnsi="Arial" w:cs="Arial"/>
                <w:sz w:val="18"/>
                <w:szCs w:val="18"/>
              </w:rPr>
              <w:t xml:space="preserve">00,000 </w:t>
            </w:r>
          </w:p>
        </w:tc>
        <w:tc>
          <w:tcPr>
            <w:tcW w:w="1120" w:type="dxa"/>
            <w:tcBorders>
              <w:top w:val="single" w:sz="4" w:space="0" w:color="auto"/>
              <w:left w:val="nil"/>
              <w:bottom w:val="single" w:sz="8"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1,</w:t>
            </w:r>
            <w:r>
              <w:rPr>
                <w:rFonts w:ascii="Arial" w:hAnsi="Arial" w:cs="Arial"/>
                <w:sz w:val="18"/>
                <w:szCs w:val="18"/>
              </w:rPr>
              <w:t>5</w:t>
            </w:r>
            <w:r w:rsidRPr="00DA284E">
              <w:rPr>
                <w:rFonts w:ascii="Arial" w:hAnsi="Arial" w:cs="Arial"/>
                <w:sz w:val="18"/>
                <w:szCs w:val="18"/>
              </w:rPr>
              <w:t>00,000</w:t>
            </w:r>
          </w:p>
        </w:tc>
        <w:tc>
          <w:tcPr>
            <w:tcW w:w="1384" w:type="dxa"/>
            <w:tcBorders>
              <w:top w:val="single" w:sz="4" w:space="0" w:color="auto"/>
              <w:left w:val="nil"/>
              <w:bottom w:val="single" w:sz="8" w:space="0" w:color="auto"/>
              <w:right w:val="nil"/>
            </w:tcBorders>
            <w:noWrap/>
            <w:vAlign w:val="bottom"/>
            <w:hideMark/>
          </w:tcPr>
          <w:p w:rsidR="006A257E" w:rsidRPr="00DA284E" w:rsidRDefault="006A257E" w:rsidP="00186ED6">
            <w:pPr>
              <w:jc w:val="right"/>
              <w:rPr>
                <w:rFonts w:ascii="Arial" w:hAnsi="Arial" w:cs="Arial"/>
                <w:sz w:val="18"/>
                <w:szCs w:val="18"/>
              </w:rPr>
            </w:pPr>
            <w:r w:rsidRPr="00DA284E">
              <w:rPr>
                <w:rFonts w:ascii="Arial" w:hAnsi="Arial" w:cs="Arial"/>
                <w:sz w:val="18"/>
                <w:szCs w:val="18"/>
              </w:rPr>
              <w:t xml:space="preserve">$    </w:t>
            </w:r>
            <w:r>
              <w:rPr>
                <w:rFonts w:ascii="Arial" w:hAnsi="Arial" w:cs="Arial"/>
                <w:sz w:val="18"/>
                <w:szCs w:val="18"/>
              </w:rPr>
              <w:t>1</w:t>
            </w:r>
            <w:r w:rsidRPr="00DA284E">
              <w:rPr>
                <w:rFonts w:ascii="Arial" w:hAnsi="Arial" w:cs="Arial"/>
                <w:sz w:val="18"/>
                <w:szCs w:val="18"/>
              </w:rPr>
              <w:t>,</w:t>
            </w:r>
            <w:r>
              <w:rPr>
                <w:rFonts w:ascii="Arial" w:hAnsi="Arial" w:cs="Arial"/>
                <w:sz w:val="18"/>
                <w:szCs w:val="18"/>
              </w:rPr>
              <w:t>5</w:t>
            </w:r>
            <w:r w:rsidRPr="00DA284E">
              <w:rPr>
                <w:rFonts w:ascii="Arial" w:hAnsi="Arial" w:cs="Arial"/>
                <w:sz w:val="18"/>
                <w:szCs w:val="18"/>
              </w:rPr>
              <w:t>00,000</w:t>
            </w:r>
          </w:p>
        </w:tc>
        <w:tc>
          <w:tcPr>
            <w:tcW w:w="4310" w:type="dxa"/>
            <w:noWrap/>
            <w:vAlign w:val="bottom"/>
          </w:tcPr>
          <w:p w:rsidR="006A257E" w:rsidRPr="00DA284E" w:rsidRDefault="006A257E" w:rsidP="00186ED6">
            <w:pPr>
              <w:rPr>
                <w:rFonts w:ascii="Arial" w:hAnsi="Arial" w:cs="Arial"/>
                <w:sz w:val="18"/>
                <w:szCs w:val="18"/>
              </w:rPr>
            </w:pPr>
          </w:p>
        </w:tc>
      </w:tr>
    </w:tbl>
    <w:p w:rsidR="006A257E" w:rsidRDefault="006A257E" w:rsidP="006A257E">
      <w:pPr>
        <w:widowControl w:val="0"/>
        <w:autoSpaceDE w:val="0"/>
        <w:autoSpaceDN w:val="0"/>
        <w:adjustRightInd w:val="0"/>
        <w:ind w:left="360"/>
        <w:jc w:val="both"/>
        <w:rPr>
          <w:rFonts w:ascii="Arial" w:hAnsi="Arial" w:cs="Arial"/>
          <w:b/>
          <w:sz w:val="18"/>
          <w:szCs w:val="18"/>
        </w:rPr>
      </w:pPr>
    </w:p>
    <w:p w:rsidR="006A257E" w:rsidRPr="00E81F3A" w:rsidRDefault="006A257E" w:rsidP="006A257E">
      <w:pPr>
        <w:widowControl w:val="0"/>
        <w:autoSpaceDE w:val="0"/>
        <w:autoSpaceDN w:val="0"/>
        <w:adjustRightInd w:val="0"/>
        <w:ind w:left="360"/>
        <w:jc w:val="both"/>
        <w:rPr>
          <w:rFonts w:ascii="Arial" w:hAnsi="Arial" w:cs="Arial"/>
          <w:sz w:val="18"/>
          <w:szCs w:val="18"/>
        </w:rPr>
      </w:pPr>
      <w:r w:rsidRPr="00E81F3A">
        <w:rPr>
          <w:rFonts w:ascii="Arial" w:hAnsi="Arial" w:cs="Arial"/>
          <w:sz w:val="18"/>
          <w:szCs w:val="18"/>
        </w:rPr>
        <w:t>On March 23, 2018, the Company and Aben made the decision to suspend the planned and permitted drill program as a result of a request by the citizens of the community of Pelican Narrows and members of the Peter Ballantyne Cree Nation. As a result, the option agreement has been placed in force majeure and all future payments are suspended. Aben may revisit plans to explore the property in the future, following meaningful consultation with the community and PBCN members.</w:t>
      </w:r>
    </w:p>
    <w:p w:rsidR="006A257E" w:rsidRPr="007A68AC" w:rsidRDefault="006A257E" w:rsidP="006A257E">
      <w:pPr>
        <w:widowControl w:val="0"/>
        <w:autoSpaceDE w:val="0"/>
        <w:autoSpaceDN w:val="0"/>
        <w:adjustRightInd w:val="0"/>
        <w:ind w:left="360"/>
        <w:jc w:val="both"/>
        <w:rPr>
          <w:rFonts w:ascii="Arial" w:hAnsi="Arial" w:cs="Arial"/>
          <w:sz w:val="18"/>
          <w:szCs w:val="18"/>
        </w:rPr>
      </w:pPr>
    </w:p>
    <w:p w:rsidR="006A257E" w:rsidRDefault="006A257E" w:rsidP="00444A4B">
      <w:pPr>
        <w:widowControl w:val="0"/>
        <w:numPr>
          <w:ilvl w:val="0"/>
          <w:numId w:val="18"/>
        </w:numPr>
        <w:autoSpaceDE w:val="0"/>
        <w:autoSpaceDN w:val="0"/>
        <w:adjustRightInd w:val="0"/>
        <w:ind w:left="357" w:hanging="357"/>
        <w:jc w:val="both"/>
        <w:rPr>
          <w:rFonts w:ascii="Arial" w:hAnsi="Arial" w:cs="Arial"/>
          <w:b/>
          <w:sz w:val="18"/>
          <w:szCs w:val="18"/>
        </w:rPr>
      </w:pPr>
      <w:r w:rsidRPr="00D8782A">
        <w:rPr>
          <w:rFonts w:ascii="Arial" w:hAnsi="Arial" w:cs="Arial"/>
          <w:b/>
          <w:sz w:val="18"/>
          <w:szCs w:val="18"/>
        </w:rPr>
        <w:t xml:space="preserve">Fisher Gold Project: </w:t>
      </w:r>
      <w:r w:rsidRPr="007E6DB0">
        <w:rPr>
          <w:rFonts w:ascii="Arial" w:hAnsi="Arial" w:cs="Arial"/>
          <w:sz w:val="18"/>
          <w:szCs w:val="18"/>
        </w:rPr>
        <w:t xml:space="preserve">On October 5, 2016, </w:t>
      </w:r>
      <w:r w:rsidRPr="00FE4B21">
        <w:rPr>
          <w:rFonts w:ascii="Arial" w:hAnsi="Arial" w:cs="Arial"/>
          <w:bCs/>
          <w:sz w:val="18"/>
          <w:szCs w:val="18"/>
        </w:rPr>
        <w:t xml:space="preserve">the Company entered into an option </w:t>
      </w:r>
      <w:r w:rsidRPr="00FE4B21">
        <w:rPr>
          <w:rFonts w:ascii="Arial" w:hAnsi="Arial" w:cs="Arial"/>
          <w:sz w:val="18"/>
          <w:szCs w:val="18"/>
        </w:rPr>
        <w:t xml:space="preserve">agreement with </w:t>
      </w:r>
      <w:r w:rsidRPr="00FE4B21">
        <w:rPr>
          <w:rFonts w:ascii="Arial" w:hAnsi="Arial" w:cs="Arial"/>
          <w:bCs/>
          <w:sz w:val="18"/>
          <w:szCs w:val="18"/>
        </w:rPr>
        <w:t>Silver Standard Resources Inc.</w:t>
      </w:r>
      <w:r>
        <w:rPr>
          <w:rFonts w:ascii="Arial" w:hAnsi="Arial" w:cs="Arial"/>
          <w:bCs/>
          <w:sz w:val="18"/>
          <w:szCs w:val="18"/>
        </w:rPr>
        <w:t>(subsequently renamed SSR Mining Inc.)</w:t>
      </w:r>
      <w:r w:rsidRPr="00D8782A">
        <w:rPr>
          <w:rFonts w:ascii="Arial" w:hAnsi="Arial" w:cs="Arial"/>
          <w:bCs/>
          <w:sz w:val="18"/>
          <w:szCs w:val="18"/>
        </w:rPr>
        <w:t xml:space="preserve"> (“SSO”)</w:t>
      </w:r>
      <w:r w:rsidRPr="007E6DB0">
        <w:rPr>
          <w:rFonts w:ascii="Arial" w:hAnsi="Arial" w:cs="Arial"/>
          <w:b/>
          <w:bCs/>
          <w:sz w:val="18"/>
          <w:szCs w:val="18"/>
        </w:rPr>
        <w:t xml:space="preserve"> </w:t>
      </w:r>
      <w:r w:rsidRPr="00FE4B21">
        <w:rPr>
          <w:rFonts w:ascii="Arial" w:hAnsi="Arial" w:cs="Arial"/>
          <w:sz w:val="18"/>
          <w:szCs w:val="18"/>
        </w:rPr>
        <w:t xml:space="preserve">whereby SSO could earn up to a 60% interest in the property, located in Saskatchewan. To earn a 60% interest over four years, SSO agreed to complete $4,000,000 in exploration expenditures, make an initial cash payment to Eagle Plains of $100,000 and make annual cash payments of $75,000. Once the 60% earn-in has been completed, </w:t>
      </w:r>
      <w:r>
        <w:rPr>
          <w:rFonts w:ascii="Arial" w:hAnsi="Arial" w:cs="Arial"/>
          <w:sz w:val="18"/>
          <w:szCs w:val="18"/>
        </w:rPr>
        <w:t>SSO</w:t>
      </w:r>
      <w:r w:rsidRPr="00D8782A">
        <w:rPr>
          <w:rFonts w:ascii="Arial" w:hAnsi="Arial" w:cs="Arial"/>
          <w:sz w:val="18"/>
          <w:szCs w:val="18"/>
        </w:rPr>
        <w:t xml:space="preserve"> has a 90-day, one-time option to earn an additional 20% interest (for a total of 80%) </w:t>
      </w:r>
      <w:r w:rsidRPr="002F15F9">
        <w:rPr>
          <w:rFonts w:ascii="Arial" w:hAnsi="Arial" w:cs="Arial"/>
          <w:sz w:val="18"/>
          <w:szCs w:val="18"/>
        </w:rPr>
        <w:t>by making a cash payment of $3,000,000 to Eagle Plains, at which time an 80/20 joint-venture will be formed to further advance the property. Eagle Plains will retain a Net Smelter Return (“NSR”)</w:t>
      </w:r>
      <w:r>
        <w:rPr>
          <w:rFonts w:ascii="Arial" w:hAnsi="Arial" w:cs="Arial"/>
          <w:sz w:val="18"/>
          <w:szCs w:val="18"/>
        </w:rPr>
        <w:t xml:space="preserve"> ranging from 0.5% to 2.5% depending on the locations of the claims as set out in the agreement</w:t>
      </w:r>
      <w:r w:rsidRPr="002F15F9">
        <w:rPr>
          <w:rFonts w:ascii="Arial" w:hAnsi="Arial" w:cs="Arial"/>
          <w:sz w:val="18"/>
          <w:szCs w:val="18"/>
        </w:rPr>
        <w:t>, subject to reduction on certain claims by underlying NSR agreements. Eagle Plains’ NSR may be reduced by 1% at any time upon payment of $1,000,000 by the joint venture. In addition, Eagle Plains will receive advance royalty payments of $100,000 annually from the joint venture until commencement of commercial production.</w:t>
      </w:r>
    </w:p>
    <w:p w:rsidR="006A257E" w:rsidRDefault="006A257E" w:rsidP="006A257E">
      <w:pPr>
        <w:pBdr>
          <w:bottom w:val="single" w:sz="4" w:space="1" w:color="auto"/>
        </w:pBdr>
        <w:rPr>
          <w:rFonts w:ascii="Arial" w:hAnsi="Arial" w:cs="Arial"/>
          <w:sz w:val="18"/>
          <w:szCs w:val="18"/>
          <w:u w:val="single"/>
        </w:rPr>
      </w:pPr>
    </w:p>
    <w:p w:rsidR="006A257E" w:rsidRPr="00FE7FD1" w:rsidRDefault="006A257E" w:rsidP="006A257E">
      <w:pPr>
        <w:rPr>
          <w:rFonts w:ascii="Arial" w:hAnsi="Arial" w:cs="Arial"/>
          <w:sz w:val="18"/>
          <w:szCs w:val="18"/>
          <w:u w:val="single"/>
        </w:rPr>
      </w:pPr>
    </w:p>
    <w:p w:rsidR="006A257E" w:rsidRPr="00FE7FD1" w:rsidRDefault="006A257E" w:rsidP="006A257E">
      <w:pPr>
        <w:jc w:val="both"/>
        <w:rPr>
          <w:rStyle w:val="NormalArialChar"/>
          <w:rFonts w:cs="Arial"/>
          <w:b/>
          <w:sz w:val="18"/>
          <w:szCs w:val="18"/>
        </w:rPr>
      </w:pPr>
      <w:r>
        <w:rPr>
          <w:rStyle w:val="NormalArialChar"/>
          <w:rFonts w:cs="Arial"/>
          <w:b/>
          <w:sz w:val="18"/>
          <w:szCs w:val="18"/>
        </w:rPr>
        <w:t>6</w:t>
      </w:r>
      <w:r w:rsidRPr="00FE7FD1">
        <w:rPr>
          <w:rStyle w:val="NormalArialChar"/>
          <w:rFonts w:cs="Arial"/>
          <w:b/>
          <w:sz w:val="18"/>
          <w:szCs w:val="18"/>
        </w:rPr>
        <w:t xml:space="preserve">.  </w:t>
      </w:r>
      <w:r>
        <w:rPr>
          <w:rStyle w:val="NormalArialChar"/>
          <w:rFonts w:cs="Arial"/>
          <w:b/>
          <w:sz w:val="18"/>
          <w:szCs w:val="18"/>
        </w:rPr>
        <w:t xml:space="preserve">   Share-based compensation</w:t>
      </w:r>
    </w:p>
    <w:p w:rsidR="006A257E" w:rsidRPr="008A4F07" w:rsidRDefault="006A257E" w:rsidP="006A257E">
      <w:pPr>
        <w:pBdr>
          <w:bottom w:val="single" w:sz="8" w:space="1" w:color="auto"/>
        </w:pBdr>
        <w:jc w:val="both"/>
        <w:rPr>
          <w:rStyle w:val="NormalArialChar"/>
          <w:rFonts w:cs="Arial"/>
          <w:sz w:val="18"/>
          <w:szCs w:val="18"/>
        </w:rPr>
      </w:pPr>
    </w:p>
    <w:p w:rsidR="006A257E" w:rsidRPr="00FE7FD1" w:rsidRDefault="006A257E" w:rsidP="006A257E">
      <w:pPr>
        <w:pStyle w:val="BodyTextIndent3"/>
        <w:ind w:left="720" w:firstLine="0"/>
        <w:rPr>
          <w:sz w:val="18"/>
          <w:szCs w:val="18"/>
        </w:rPr>
      </w:pPr>
    </w:p>
    <w:p w:rsidR="006A257E" w:rsidRDefault="006A257E" w:rsidP="006A257E">
      <w:pPr>
        <w:jc w:val="both"/>
        <w:rPr>
          <w:rFonts w:ascii="Arial" w:hAnsi="Arial" w:cs="Arial"/>
          <w:sz w:val="18"/>
          <w:szCs w:val="18"/>
        </w:rPr>
      </w:pPr>
      <w:r w:rsidRPr="009B010A">
        <w:rPr>
          <w:rFonts w:ascii="Arial" w:hAnsi="Arial" w:cs="Arial"/>
          <w:sz w:val="18"/>
          <w:szCs w:val="18"/>
        </w:rPr>
        <w:t xml:space="preserve">Stock options awarded to employees and non-employees by </w:t>
      </w:r>
      <w:r>
        <w:rPr>
          <w:rFonts w:ascii="Arial" w:hAnsi="Arial" w:cs="Arial"/>
          <w:sz w:val="18"/>
          <w:szCs w:val="18"/>
        </w:rPr>
        <w:t>Taiga</w:t>
      </w:r>
      <w:r w:rsidRPr="009B010A">
        <w:rPr>
          <w:rFonts w:ascii="Arial" w:hAnsi="Arial" w:cs="Arial"/>
          <w:sz w:val="18"/>
          <w:szCs w:val="18"/>
        </w:rPr>
        <w:t xml:space="preserve"> are measured and recognized in the statement of operations and deficit. The fair value of all forms of stock-based compensation is charged to operations over the vesting period of the options granted. Fair value is estimated using the Black-Scholes Option Pricing Model. </w:t>
      </w:r>
    </w:p>
    <w:p w:rsidR="006A257E" w:rsidRDefault="006A257E" w:rsidP="006A257E">
      <w:pPr>
        <w:jc w:val="both"/>
        <w:rPr>
          <w:rFonts w:ascii="Arial" w:hAnsi="Arial" w:cs="Arial"/>
          <w:sz w:val="18"/>
          <w:szCs w:val="18"/>
        </w:rPr>
      </w:pPr>
    </w:p>
    <w:p w:rsidR="006A257E" w:rsidRPr="009B010A" w:rsidRDefault="006A257E" w:rsidP="006A257E">
      <w:pPr>
        <w:jc w:val="both"/>
        <w:rPr>
          <w:rFonts w:ascii="Arial" w:hAnsi="Arial" w:cs="Arial"/>
          <w:sz w:val="18"/>
          <w:szCs w:val="18"/>
        </w:rPr>
      </w:pPr>
      <w:r>
        <w:rPr>
          <w:rFonts w:ascii="Arial" w:hAnsi="Arial" w:cs="Arial"/>
          <w:sz w:val="18"/>
          <w:szCs w:val="18"/>
        </w:rPr>
        <w:t>T</w:t>
      </w:r>
      <w:r w:rsidRPr="009B010A">
        <w:rPr>
          <w:rFonts w:ascii="Arial" w:hAnsi="Arial" w:cs="Arial"/>
          <w:sz w:val="18"/>
          <w:szCs w:val="18"/>
        </w:rPr>
        <w:t xml:space="preserve">here have been no stock options issued directly by the </w:t>
      </w:r>
      <w:r>
        <w:rPr>
          <w:rFonts w:ascii="Arial" w:hAnsi="Arial" w:cs="Arial"/>
          <w:sz w:val="18"/>
          <w:szCs w:val="18"/>
        </w:rPr>
        <w:t>Company</w:t>
      </w:r>
      <w:r w:rsidRPr="009B010A">
        <w:rPr>
          <w:rFonts w:ascii="Arial" w:hAnsi="Arial" w:cs="Arial"/>
          <w:sz w:val="18"/>
          <w:szCs w:val="18"/>
        </w:rPr>
        <w:t xml:space="preserve"> during the </w:t>
      </w:r>
      <w:r>
        <w:rPr>
          <w:rFonts w:ascii="Arial" w:hAnsi="Arial" w:cs="Arial"/>
          <w:sz w:val="18"/>
          <w:szCs w:val="18"/>
        </w:rPr>
        <w:t>periods</w:t>
      </w:r>
      <w:r w:rsidRPr="009B010A">
        <w:rPr>
          <w:rFonts w:ascii="Arial" w:hAnsi="Arial" w:cs="Arial"/>
          <w:sz w:val="18"/>
          <w:szCs w:val="18"/>
        </w:rPr>
        <w:t xml:space="preserve"> presented. Stock-based compensation amounts included in the financial statements represent an allocation of </w:t>
      </w:r>
      <w:r>
        <w:rPr>
          <w:rFonts w:ascii="Arial" w:hAnsi="Arial" w:cs="Arial"/>
          <w:sz w:val="18"/>
          <w:szCs w:val="18"/>
        </w:rPr>
        <w:t>Eagle Plains’</w:t>
      </w:r>
      <w:r w:rsidRPr="009B010A">
        <w:rPr>
          <w:rFonts w:ascii="Arial" w:hAnsi="Arial" w:cs="Arial"/>
          <w:sz w:val="18"/>
          <w:szCs w:val="18"/>
        </w:rPr>
        <w:t xml:space="preserve"> related stock-based compensation amounts on a pro rata basis as outlined in Note 1.</w:t>
      </w:r>
    </w:p>
    <w:p w:rsidR="006A257E" w:rsidRPr="005A5504" w:rsidRDefault="006A257E" w:rsidP="006A257E">
      <w:pPr>
        <w:pBdr>
          <w:bottom w:val="single" w:sz="8" w:space="1" w:color="auto"/>
        </w:pBdr>
        <w:tabs>
          <w:tab w:val="left" w:pos="432"/>
        </w:tabs>
        <w:rPr>
          <w:rFonts w:ascii="Arial" w:hAnsi="Arial" w:cs="Arial"/>
          <w:bCs/>
          <w:sz w:val="18"/>
          <w:szCs w:val="18"/>
        </w:rPr>
      </w:pPr>
    </w:p>
    <w:p w:rsidR="006A257E" w:rsidRPr="00FE7FD1" w:rsidRDefault="006A257E" w:rsidP="006A257E">
      <w:pPr>
        <w:tabs>
          <w:tab w:val="left" w:pos="432"/>
        </w:tabs>
        <w:rPr>
          <w:rFonts w:ascii="Arial" w:hAnsi="Arial" w:cs="Arial"/>
          <w:sz w:val="18"/>
          <w:szCs w:val="18"/>
        </w:rPr>
      </w:pPr>
    </w:p>
    <w:p w:rsidR="006A257E" w:rsidRPr="00FE7FD1" w:rsidRDefault="006A257E" w:rsidP="006A257E">
      <w:pPr>
        <w:tabs>
          <w:tab w:val="left" w:pos="432"/>
        </w:tabs>
        <w:rPr>
          <w:rFonts w:ascii="Arial" w:hAnsi="Arial" w:cs="Arial"/>
          <w:b/>
          <w:bCs/>
          <w:sz w:val="18"/>
          <w:szCs w:val="18"/>
        </w:rPr>
      </w:pPr>
      <w:r>
        <w:rPr>
          <w:rFonts w:ascii="Arial" w:hAnsi="Arial" w:cs="Arial"/>
          <w:b/>
          <w:bCs/>
          <w:sz w:val="18"/>
          <w:szCs w:val="18"/>
        </w:rPr>
        <w:t>7</w:t>
      </w:r>
      <w:r w:rsidRPr="00FE7FD1">
        <w:rPr>
          <w:rFonts w:ascii="Arial" w:hAnsi="Arial" w:cs="Arial"/>
          <w:b/>
          <w:bCs/>
          <w:sz w:val="18"/>
          <w:szCs w:val="18"/>
        </w:rPr>
        <w:t>.</w:t>
      </w:r>
      <w:r w:rsidRPr="00FE7FD1">
        <w:rPr>
          <w:rFonts w:ascii="Arial" w:hAnsi="Arial" w:cs="Arial"/>
          <w:b/>
          <w:bCs/>
          <w:sz w:val="18"/>
          <w:szCs w:val="18"/>
        </w:rPr>
        <w:tab/>
        <w:t>Related Party Transactions</w:t>
      </w:r>
    </w:p>
    <w:p w:rsidR="006A257E" w:rsidRPr="005A5504" w:rsidRDefault="006A257E" w:rsidP="006A257E">
      <w:pPr>
        <w:pBdr>
          <w:bottom w:val="single" w:sz="8" w:space="1" w:color="auto"/>
        </w:pBdr>
        <w:tabs>
          <w:tab w:val="left" w:pos="432"/>
        </w:tabs>
        <w:rPr>
          <w:rFonts w:ascii="Arial" w:hAnsi="Arial" w:cs="Arial"/>
          <w:bCs/>
          <w:sz w:val="18"/>
          <w:szCs w:val="18"/>
        </w:rPr>
      </w:pPr>
    </w:p>
    <w:p w:rsidR="006A257E" w:rsidRPr="00FE7FD1" w:rsidRDefault="006A257E" w:rsidP="006A257E">
      <w:pPr>
        <w:ind w:left="432"/>
        <w:jc w:val="both"/>
        <w:rPr>
          <w:rFonts w:ascii="Arial" w:hAnsi="Arial" w:cs="Arial"/>
          <w:sz w:val="18"/>
          <w:szCs w:val="18"/>
        </w:rPr>
      </w:pPr>
    </w:p>
    <w:p w:rsidR="006A257E" w:rsidRPr="00FE7FD1" w:rsidRDefault="006A257E" w:rsidP="006A257E">
      <w:pPr>
        <w:jc w:val="both"/>
        <w:rPr>
          <w:rFonts w:ascii="Arial" w:hAnsi="Arial" w:cs="Arial"/>
          <w:sz w:val="18"/>
          <w:szCs w:val="18"/>
        </w:rPr>
      </w:pPr>
      <w:r w:rsidRPr="00FE7FD1">
        <w:rPr>
          <w:rFonts w:ascii="Arial" w:hAnsi="Arial" w:cs="Arial"/>
          <w:sz w:val="18"/>
          <w:szCs w:val="18"/>
        </w:rPr>
        <w:t xml:space="preserve">The Company was involved in the following related party transactions during the </w:t>
      </w:r>
      <w:r>
        <w:rPr>
          <w:rFonts w:ascii="Arial" w:hAnsi="Arial" w:cs="Arial"/>
          <w:sz w:val="18"/>
          <w:szCs w:val="18"/>
        </w:rPr>
        <w:t>period</w:t>
      </w:r>
      <w:r w:rsidRPr="00FE7FD1">
        <w:rPr>
          <w:rFonts w:ascii="Arial" w:hAnsi="Arial" w:cs="Arial"/>
          <w:sz w:val="18"/>
          <w:szCs w:val="18"/>
        </w:rPr>
        <w:t>:</w:t>
      </w:r>
    </w:p>
    <w:p w:rsidR="006A257E" w:rsidRPr="00DB6FC7" w:rsidRDefault="006A257E" w:rsidP="006A257E">
      <w:pPr>
        <w:ind w:left="432"/>
        <w:jc w:val="both"/>
        <w:rPr>
          <w:rFonts w:ascii="Arial" w:hAnsi="Arial" w:cs="Arial"/>
          <w:sz w:val="12"/>
          <w:szCs w:val="12"/>
        </w:rPr>
      </w:pPr>
    </w:p>
    <w:p w:rsidR="006A257E" w:rsidRDefault="006A257E" w:rsidP="006A257E">
      <w:pPr>
        <w:tabs>
          <w:tab w:val="left" w:pos="432"/>
        </w:tabs>
        <w:ind w:left="432"/>
        <w:jc w:val="both"/>
        <w:rPr>
          <w:rFonts w:ascii="Arial" w:hAnsi="Arial" w:cs="Arial"/>
          <w:sz w:val="18"/>
          <w:szCs w:val="18"/>
        </w:rPr>
      </w:pPr>
      <w:r>
        <w:rPr>
          <w:rFonts w:ascii="Arial" w:hAnsi="Arial" w:cs="Arial"/>
          <w:sz w:val="18"/>
          <w:szCs w:val="18"/>
        </w:rPr>
        <w:t>T</w:t>
      </w:r>
      <w:r w:rsidRPr="00FE7FD1">
        <w:rPr>
          <w:rFonts w:ascii="Arial" w:hAnsi="Arial" w:cs="Arial"/>
          <w:sz w:val="18"/>
          <w:szCs w:val="18"/>
        </w:rPr>
        <w:t xml:space="preserve">he Company is related to </w:t>
      </w:r>
      <w:r>
        <w:rPr>
          <w:rFonts w:ascii="Arial" w:hAnsi="Arial" w:cs="Arial"/>
          <w:sz w:val="18"/>
          <w:szCs w:val="18"/>
        </w:rPr>
        <w:t>Eagle Plains Resources</w:t>
      </w:r>
      <w:r w:rsidRPr="00FE7FD1">
        <w:rPr>
          <w:rFonts w:ascii="Arial" w:hAnsi="Arial" w:cs="Arial"/>
          <w:sz w:val="18"/>
          <w:szCs w:val="18"/>
        </w:rPr>
        <w:t xml:space="preserve"> Ltd. (“</w:t>
      </w:r>
      <w:r>
        <w:rPr>
          <w:rFonts w:ascii="Arial" w:hAnsi="Arial" w:cs="Arial"/>
          <w:sz w:val="18"/>
          <w:szCs w:val="18"/>
        </w:rPr>
        <w:t>EPL</w:t>
      </w:r>
      <w:r w:rsidRPr="00FE7FD1">
        <w:rPr>
          <w:rFonts w:ascii="Arial" w:hAnsi="Arial" w:cs="Arial"/>
          <w:sz w:val="18"/>
          <w:szCs w:val="18"/>
        </w:rPr>
        <w:t xml:space="preserve">”) through common directors. During the </w:t>
      </w:r>
      <w:r>
        <w:rPr>
          <w:rFonts w:ascii="Arial" w:hAnsi="Arial" w:cs="Arial"/>
          <w:sz w:val="18"/>
          <w:szCs w:val="18"/>
        </w:rPr>
        <w:t>period</w:t>
      </w:r>
      <w:r w:rsidRPr="00FE7FD1">
        <w:rPr>
          <w:rFonts w:ascii="Arial" w:hAnsi="Arial" w:cs="Arial"/>
          <w:sz w:val="18"/>
          <w:szCs w:val="18"/>
        </w:rPr>
        <w:t xml:space="preserve"> the Company had the following transactions with the related company:</w:t>
      </w:r>
    </w:p>
    <w:p w:rsidR="006A257E" w:rsidRDefault="006A257E" w:rsidP="006A257E">
      <w:pPr>
        <w:tabs>
          <w:tab w:val="left" w:pos="432"/>
        </w:tabs>
        <w:jc w:val="both"/>
        <w:rPr>
          <w:rFonts w:ascii="Arial" w:hAnsi="Arial" w:cs="Arial"/>
          <w:sz w:val="18"/>
          <w:szCs w:val="18"/>
        </w:rPr>
      </w:pPr>
    </w:p>
    <w:p w:rsidR="006A257E" w:rsidRDefault="006A257E" w:rsidP="006A257E">
      <w:pPr>
        <w:tabs>
          <w:tab w:val="left" w:pos="432"/>
        </w:tabs>
        <w:rPr>
          <w:rFonts w:ascii="Arial" w:hAnsi="Arial" w:cs="Arial"/>
          <w:b/>
          <w:bCs/>
          <w:sz w:val="18"/>
          <w:szCs w:val="18"/>
        </w:rPr>
      </w:pPr>
    </w:p>
    <w:p w:rsidR="006A257E" w:rsidRPr="00FE7FD1" w:rsidRDefault="006A257E" w:rsidP="006A257E">
      <w:pPr>
        <w:tabs>
          <w:tab w:val="left" w:pos="432"/>
        </w:tabs>
        <w:rPr>
          <w:rFonts w:ascii="Arial" w:hAnsi="Arial" w:cs="Arial"/>
          <w:b/>
          <w:bCs/>
          <w:sz w:val="18"/>
          <w:szCs w:val="18"/>
        </w:rPr>
      </w:pPr>
      <w:r>
        <w:rPr>
          <w:rFonts w:ascii="Arial" w:hAnsi="Arial" w:cs="Arial"/>
          <w:b/>
          <w:bCs/>
          <w:sz w:val="18"/>
          <w:szCs w:val="18"/>
        </w:rPr>
        <w:t>7</w:t>
      </w:r>
      <w:r w:rsidRPr="00FE7FD1">
        <w:rPr>
          <w:rFonts w:ascii="Arial" w:hAnsi="Arial" w:cs="Arial"/>
          <w:b/>
          <w:bCs/>
          <w:sz w:val="18"/>
          <w:szCs w:val="18"/>
        </w:rPr>
        <w:t>.</w:t>
      </w:r>
      <w:r w:rsidRPr="00FE7FD1">
        <w:rPr>
          <w:rFonts w:ascii="Arial" w:hAnsi="Arial" w:cs="Arial"/>
          <w:b/>
          <w:bCs/>
          <w:sz w:val="18"/>
          <w:szCs w:val="18"/>
        </w:rPr>
        <w:tab/>
        <w:t>Related Party Transactions</w:t>
      </w:r>
      <w:r>
        <w:rPr>
          <w:rFonts w:ascii="Arial" w:hAnsi="Arial" w:cs="Arial"/>
          <w:b/>
          <w:bCs/>
          <w:sz w:val="18"/>
          <w:szCs w:val="18"/>
        </w:rPr>
        <w:t xml:space="preserve"> - continued</w:t>
      </w:r>
    </w:p>
    <w:p w:rsidR="006A257E" w:rsidRPr="005A5504" w:rsidRDefault="006A257E" w:rsidP="006A257E">
      <w:pPr>
        <w:pBdr>
          <w:bottom w:val="single" w:sz="8" w:space="1" w:color="auto"/>
        </w:pBdr>
        <w:tabs>
          <w:tab w:val="left" w:pos="432"/>
        </w:tabs>
        <w:rPr>
          <w:rFonts w:ascii="Arial" w:hAnsi="Arial" w:cs="Arial"/>
          <w:bCs/>
          <w:sz w:val="18"/>
          <w:szCs w:val="18"/>
        </w:rPr>
      </w:pPr>
    </w:p>
    <w:tbl>
      <w:tblPr>
        <w:tblW w:w="0" w:type="auto"/>
        <w:tblInd w:w="1134" w:type="dxa"/>
        <w:tblLayout w:type="fixed"/>
        <w:tblLook w:val="0000" w:firstRow="0" w:lastRow="0" w:firstColumn="0" w:lastColumn="0" w:noHBand="0" w:noVBand="0"/>
      </w:tblPr>
      <w:tblGrid>
        <w:gridCol w:w="4554"/>
        <w:gridCol w:w="1318"/>
        <w:gridCol w:w="1318"/>
      </w:tblGrid>
      <w:tr w:rsidR="006A257E" w:rsidRPr="00FE7FD1" w:rsidTr="00186ED6">
        <w:trPr>
          <w:trHeight w:val="288"/>
        </w:trPr>
        <w:tc>
          <w:tcPr>
            <w:tcW w:w="4554" w:type="dxa"/>
            <w:tcBorders>
              <w:top w:val="nil"/>
              <w:left w:val="nil"/>
              <w:bottom w:val="nil"/>
              <w:right w:val="nil"/>
            </w:tcBorders>
            <w:shd w:val="clear" w:color="auto" w:fill="auto"/>
            <w:noWrap/>
            <w:vAlign w:val="bottom"/>
          </w:tcPr>
          <w:p w:rsidR="006A257E" w:rsidRPr="00FE7FD1" w:rsidRDefault="006A257E" w:rsidP="00186ED6">
            <w:pPr>
              <w:rPr>
                <w:rFonts w:ascii="Arial" w:hAnsi="Arial" w:cs="Arial"/>
                <w:sz w:val="18"/>
                <w:szCs w:val="18"/>
              </w:rPr>
            </w:pPr>
          </w:p>
        </w:tc>
        <w:tc>
          <w:tcPr>
            <w:tcW w:w="1318" w:type="dxa"/>
            <w:tcBorders>
              <w:top w:val="nil"/>
              <w:left w:val="nil"/>
              <w:right w:val="nil"/>
            </w:tcBorders>
            <w:shd w:val="clear" w:color="auto" w:fill="auto"/>
            <w:noWrap/>
            <w:vAlign w:val="bottom"/>
          </w:tcPr>
          <w:p w:rsidR="006A257E" w:rsidRPr="00FE7FD1" w:rsidRDefault="006A257E" w:rsidP="00186ED6">
            <w:pPr>
              <w:jc w:val="right"/>
              <w:rPr>
                <w:rFonts w:ascii="Arial" w:hAnsi="Arial" w:cs="Arial"/>
                <w:b/>
                <w:sz w:val="18"/>
                <w:szCs w:val="18"/>
              </w:rPr>
            </w:pPr>
            <w:r w:rsidRPr="00FE7FD1">
              <w:rPr>
                <w:rFonts w:ascii="Arial" w:hAnsi="Arial" w:cs="Arial"/>
                <w:b/>
                <w:sz w:val="18"/>
                <w:szCs w:val="18"/>
              </w:rPr>
              <w:t>20</w:t>
            </w:r>
            <w:r>
              <w:rPr>
                <w:rFonts w:ascii="Arial" w:hAnsi="Arial" w:cs="Arial"/>
                <w:b/>
                <w:sz w:val="18"/>
                <w:szCs w:val="18"/>
              </w:rPr>
              <w:t>18</w:t>
            </w:r>
          </w:p>
        </w:tc>
        <w:tc>
          <w:tcPr>
            <w:tcW w:w="1318" w:type="dxa"/>
            <w:tcBorders>
              <w:top w:val="nil"/>
              <w:left w:val="nil"/>
              <w:right w:val="nil"/>
            </w:tcBorders>
            <w:vAlign w:val="bottom"/>
          </w:tcPr>
          <w:p w:rsidR="006A257E" w:rsidRPr="00FE1DDB" w:rsidRDefault="006A257E" w:rsidP="00186ED6">
            <w:pPr>
              <w:jc w:val="right"/>
              <w:rPr>
                <w:rFonts w:ascii="Arial" w:hAnsi="Arial" w:cs="Arial"/>
                <w:sz w:val="18"/>
                <w:szCs w:val="18"/>
              </w:rPr>
            </w:pPr>
            <w:r w:rsidRPr="00FE1DDB">
              <w:rPr>
                <w:rFonts w:ascii="Arial" w:hAnsi="Arial" w:cs="Arial"/>
                <w:sz w:val="18"/>
                <w:szCs w:val="18"/>
              </w:rPr>
              <w:t>201</w:t>
            </w:r>
            <w:r>
              <w:rPr>
                <w:rFonts w:ascii="Arial" w:hAnsi="Arial" w:cs="Arial"/>
                <w:sz w:val="18"/>
                <w:szCs w:val="18"/>
              </w:rPr>
              <w:t>7</w:t>
            </w:r>
          </w:p>
        </w:tc>
      </w:tr>
      <w:tr w:rsidR="006A257E" w:rsidRPr="00FE7FD1" w:rsidTr="00186ED6">
        <w:trPr>
          <w:trHeight w:val="288"/>
        </w:trPr>
        <w:tc>
          <w:tcPr>
            <w:tcW w:w="4554" w:type="dxa"/>
            <w:tcBorders>
              <w:top w:val="nil"/>
              <w:left w:val="nil"/>
              <w:bottom w:val="nil"/>
              <w:right w:val="nil"/>
            </w:tcBorders>
            <w:shd w:val="clear" w:color="auto" w:fill="auto"/>
            <w:noWrap/>
            <w:vAlign w:val="bottom"/>
          </w:tcPr>
          <w:p w:rsidR="006A257E" w:rsidRPr="00FE7FD1" w:rsidRDefault="006A257E" w:rsidP="00186ED6">
            <w:pPr>
              <w:rPr>
                <w:rFonts w:ascii="Arial" w:hAnsi="Arial" w:cs="Arial"/>
                <w:sz w:val="18"/>
                <w:szCs w:val="18"/>
              </w:rPr>
            </w:pPr>
          </w:p>
        </w:tc>
        <w:tc>
          <w:tcPr>
            <w:tcW w:w="1318" w:type="dxa"/>
            <w:tcBorders>
              <w:left w:val="nil"/>
              <w:bottom w:val="single" w:sz="4" w:space="0" w:color="auto"/>
              <w:right w:val="nil"/>
            </w:tcBorders>
            <w:shd w:val="clear" w:color="auto" w:fill="auto"/>
            <w:noWrap/>
            <w:vAlign w:val="bottom"/>
          </w:tcPr>
          <w:p w:rsidR="006A257E" w:rsidRPr="00FE7FD1" w:rsidRDefault="006A257E" w:rsidP="00186ED6">
            <w:pPr>
              <w:jc w:val="right"/>
              <w:rPr>
                <w:rFonts w:ascii="Arial" w:hAnsi="Arial" w:cs="Arial"/>
                <w:b/>
                <w:sz w:val="18"/>
                <w:szCs w:val="18"/>
              </w:rPr>
            </w:pPr>
          </w:p>
        </w:tc>
        <w:tc>
          <w:tcPr>
            <w:tcW w:w="1318" w:type="dxa"/>
            <w:tcBorders>
              <w:left w:val="nil"/>
              <w:bottom w:val="single" w:sz="4" w:space="0" w:color="auto"/>
              <w:right w:val="nil"/>
            </w:tcBorders>
            <w:vAlign w:val="bottom"/>
          </w:tcPr>
          <w:p w:rsidR="006A257E" w:rsidRPr="00FE1DDB" w:rsidRDefault="006A257E" w:rsidP="00186ED6">
            <w:pPr>
              <w:jc w:val="right"/>
              <w:rPr>
                <w:rFonts w:ascii="Arial" w:hAnsi="Arial" w:cs="Arial"/>
                <w:sz w:val="18"/>
                <w:szCs w:val="18"/>
              </w:rPr>
            </w:pPr>
            <w:r>
              <w:rPr>
                <w:rFonts w:ascii="Arial" w:hAnsi="Arial" w:cs="Arial"/>
                <w:sz w:val="18"/>
                <w:szCs w:val="18"/>
              </w:rPr>
              <w:t>(Note 4(j)</w:t>
            </w:r>
          </w:p>
        </w:tc>
      </w:tr>
      <w:tr w:rsidR="006A257E" w:rsidRPr="00FE7FD1" w:rsidTr="00186ED6">
        <w:trPr>
          <w:trHeight w:val="255"/>
        </w:trPr>
        <w:tc>
          <w:tcPr>
            <w:tcW w:w="4554" w:type="dxa"/>
            <w:tcBorders>
              <w:top w:val="nil"/>
              <w:left w:val="nil"/>
              <w:bottom w:val="nil"/>
              <w:right w:val="nil"/>
            </w:tcBorders>
            <w:shd w:val="clear" w:color="auto" w:fill="auto"/>
            <w:noWrap/>
            <w:vAlign w:val="bottom"/>
          </w:tcPr>
          <w:p w:rsidR="006A257E" w:rsidRPr="00FE7FD1" w:rsidRDefault="006A257E" w:rsidP="00186ED6">
            <w:pPr>
              <w:rPr>
                <w:rFonts w:ascii="Arial" w:hAnsi="Arial" w:cs="Arial"/>
                <w:sz w:val="18"/>
                <w:szCs w:val="18"/>
              </w:rPr>
            </w:pPr>
            <w:r>
              <w:rPr>
                <w:rFonts w:ascii="Arial" w:hAnsi="Arial" w:cs="Arial"/>
                <w:sz w:val="18"/>
                <w:szCs w:val="18"/>
              </w:rPr>
              <w:t>Expenses paid</w:t>
            </w:r>
            <w:r w:rsidRPr="00FE7FD1">
              <w:rPr>
                <w:rFonts w:ascii="Arial" w:hAnsi="Arial" w:cs="Arial"/>
                <w:sz w:val="18"/>
                <w:szCs w:val="18"/>
              </w:rPr>
              <w:t xml:space="preserve"> by EPL</w:t>
            </w:r>
          </w:p>
        </w:tc>
        <w:tc>
          <w:tcPr>
            <w:tcW w:w="1318" w:type="dxa"/>
            <w:tcBorders>
              <w:top w:val="nil"/>
              <w:left w:val="nil"/>
              <w:right w:val="nil"/>
            </w:tcBorders>
            <w:shd w:val="clear" w:color="auto" w:fill="auto"/>
            <w:noWrap/>
            <w:vAlign w:val="bottom"/>
          </w:tcPr>
          <w:p w:rsidR="006A257E" w:rsidRPr="00FE7FD1" w:rsidRDefault="006A257E" w:rsidP="00186ED6">
            <w:pPr>
              <w:jc w:val="right"/>
              <w:rPr>
                <w:rFonts w:ascii="Arial" w:hAnsi="Arial" w:cs="Arial"/>
                <w:b/>
                <w:sz w:val="18"/>
                <w:szCs w:val="18"/>
              </w:rPr>
            </w:pPr>
            <w:r>
              <w:rPr>
                <w:rFonts w:ascii="Arial" w:hAnsi="Arial" w:cs="Arial"/>
                <w:b/>
                <w:sz w:val="18"/>
                <w:szCs w:val="18"/>
              </w:rPr>
              <w:t>$ 37,936</w:t>
            </w:r>
          </w:p>
        </w:tc>
        <w:tc>
          <w:tcPr>
            <w:tcW w:w="1318" w:type="dxa"/>
            <w:tcBorders>
              <w:top w:val="nil"/>
              <w:left w:val="nil"/>
              <w:right w:val="nil"/>
            </w:tcBorders>
            <w:vAlign w:val="bottom"/>
          </w:tcPr>
          <w:p w:rsidR="006A257E" w:rsidRPr="00FE1DDB" w:rsidRDefault="006A257E" w:rsidP="00186ED6">
            <w:pPr>
              <w:jc w:val="right"/>
              <w:rPr>
                <w:rFonts w:ascii="Arial" w:hAnsi="Arial" w:cs="Arial"/>
                <w:sz w:val="18"/>
                <w:szCs w:val="18"/>
              </w:rPr>
            </w:pPr>
            <w:r w:rsidRPr="00FE1DDB">
              <w:rPr>
                <w:rFonts w:ascii="Arial" w:hAnsi="Arial" w:cs="Arial"/>
                <w:sz w:val="18"/>
                <w:szCs w:val="18"/>
              </w:rPr>
              <w:t xml:space="preserve">$   </w:t>
            </w:r>
            <w:r>
              <w:rPr>
                <w:rFonts w:ascii="Arial" w:hAnsi="Arial" w:cs="Arial"/>
                <w:sz w:val="18"/>
                <w:szCs w:val="18"/>
              </w:rPr>
              <w:t>77,382</w:t>
            </w:r>
          </w:p>
        </w:tc>
      </w:tr>
      <w:tr w:rsidR="006A257E" w:rsidRPr="00FE7FD1" w:rsidTr="00186ED6">
        <w:trPr>
          <w:trHeight w:val="255"/>
        </w:trPr>
        <w:tc>
          <w:tcPr>
            <w:tcW w:w="4554" w:type="dxa"/>
            <w:tcBorders>
              <w:top w:val="nil"/>
              <w:left w:val="nil"/>
              <w:bottom w:val="nil"/>
              <w:right w:val="nil"/>
            </w:tcBorders>
            <w:shd w:val="clear" w:color="auto" w:fill="auto"/>
            <w:noWrap/>
            <w:vAlign w:val="bottom"/>
          </w:tcPr>
          <w:p w:rsidR="006A257E" w:rsidRDefault="006A257E" w:rsidP="00186ED6">
            <w:pPr>
              <w:rPr>
                <w:rFonts w:ascii="Arial" w:hAnsi="Arial" w:cs="Arial"/>
                <w:sz w:val="18"/>
                <w:szCs w:val="18"/>
              </w:rPr>
            </w:pPr>
            <w:r>
              <w:rPr>
                <w:rFonts w:ascii="Arial" w:hAnsi="Arial" w:cs="Arial"/>
                <w:sz w:val="18"/>
                <w:szCs w:val="18"/>
              </w:rPr>
              <w:t>Exploration and evaluation asset costs paid by EPL</w:t>
            </w:r>
          </w:p>
        </w:tc>
        <w:tc>
          <w:tcPr>
            <w:tcW w:w="1318" w:type="dxa"/>
            <w:tcBorders>
              <w:top w:val="nil"/>
              <w:left w:val="nil"/>
              <w:right w:val="nil"/>
            </w:tcBorders>
            <w:shd w:val="clear" w:color="auto" w:fill="auto"/>
            <w:noWrap/>
            <w:vAlign w:val="bottom"/>
          </w:tcPr>
          <w:p w:rsidR="006A257E" w:rsidRDefault="006A257E" w:rsidP="00186ED6">
            <w:pPr>
              <w:jc w:val="right"/>
              <w:rPr>
                <w:rFonts w:ascii="Arial" w:hAnsi="Arial" w:cs="Arial"/>
                <w:b/>
                <w:sz w:val="18"/>
                <w:szCs w:val="18"/>
              </w:rPr>
            </w:pPr>
            <w:r>
              <w:rPr>
                <w:rFonts w:ascii="Arial" w:hAnsi="Arial" w:cs="Arial"/>
                <w:b/>
                <w:sz w:val="18"/>
                <w:szCs w:val="18"/>
              </w:rPr>
              <w:t>(43,535)</w:t>
            </w:r>
          </w:p>
        </w:tc>
        <w:tc>
          <w:tcPr>
            <w:tcW w:w="1318" w:type="dxa"/>
            <w:tcBorders>
              <w:top w:val="nil"/>
              <w:left w:val="nil"/>
              <w:right w:val="nil"/>
            </w:tcBorders>
            <w:vAlign w:val="bottom"/>
          </w:tcPr>
          <w:p w:rsidR="006A257E" w:rsidRDefault="006A257E" w:rsidP="00186ED6">
            <w:pPr>
              <w:jc w:val="right"/>
              <w:rPr>
                <w:rFonts w:ascii="Arial" w:hAnsi="Arial" w:cs="Arial"/>
                <w:sz w:val="18"/>
                <w:szCs w:val="18"/>
              </w:rPr>
            </w:pPr>
            <w:r>
              <w:rPr>
                <w:rFonts w:ascii="Arial" w:hAnsi="Arial" w:cs="Arial"/>
                <w:sz w:val="18"/>
                <w:szCs w:val="18"/>
              </w:rPr>
              <w:t>12,614</w:t>
            </w:r>
          </w:p>
        </w:tc>
      </w:tr>
      <w:tr w:rsidR="006A257E" w:rsidRPr="00FE7FD1" w:rsidTr="00186ED6">
        <w:trPr>
          <w:trHeight w:val="255"/>
        </w:trPr>
        <w:tc>
          <w:tcPr>
            <w:tcW w:w="4554" w:type="dxa"/>
            <w:tcBorders>
              <w:top w:val="nil"/>
              <w:left w:val="nil"/>
              <w:bottom w:val="nil"/>
              <w:right w:val="nil"/>
            </w:tcBorders>
            <w:shd w:val="clear" w:color="auto" w:fill="auto"/>
            <w:noWrap/>
            <w:vAlign w:val="bottom"/>
          </w:tcPr>
          <w:p w:rsidR="006A257E" w:rsidRDefault="006A257E" w:rsidP="00186ED6">
            <w:pPr>
              <w:rPr>
                <w:rFonts w:ascii="Arial" w:hAnsi="Arial" w:cs="Arial"/>
                <w:sz w:val="18"/>
                <w:szCs w:val="18"/>
              </w:rPr>
            </w:pPr>
            <w:r>
              <w:rPr>
                <w:rFonts w:ascii="Arial" w:hAnsi="Arial" w:cs="Arial"/>
                <w:sz w:val="18"/>
                <w:szCs w:val="18"/>
              </w:rPr>
              <w:t>Administrative services provided by EPL</w:t>
            </w:r>
          </w:p>
        </w:tc>
        <w:tc>
          <w:tcPr>
            <w:tcW w:w="1318" w:type="dxa"/>
            <w:tcBorders>
              <w:top w:val="nil"/>
              <w:left w:val="nil"/>
              <w:right w:val="nil"/>
            </w:tcBorders>
            <w:shd w:val="clear" w:color="auto" w:fill="auto"/>
            <w:noWrap/>
            <w:vAlign w:val="bottom"/>
          </w:tcPr>
          <w:p w:rsidR="006A257E" w:rsidRDefault="006A257E" w:rsidP="00186ED6">
            <w:pPr>
              <w:jc w:val="right"/>
              <w:rPr>
                <w:rFonts w:ascii="Arial" w:hAnsi="Arial" w:cs="Arial"/>
                <w:b/>
                <w:sz w:val="18"/>
                <w:szCs w:val="18"/>
              </w:rPr>
            </w:pPr>
            <w:r>
              <w:rPr>
                <w:rFonts w:ascii="Arial" w:hAnsi="Arial" w:cs="Arial"/>
                <w:b/>
                <w:sz w:val="18"/>
                <w:szCs w:val="18"/>
              </w:rPr>
              <w:t>6,200</w:t>
            </w:r>
          </w:p>
        </w:tc>
        <w:tc>
          <w:tcPr>
            <w:tcW w:w="1318" w:type="dxa"/>
            <w:tcBorders>
              <w:top w:val="nil"/>
              <w:left w:val="nil"/>
              <w:right w:val="nil"/>
            </w:tcBorders>
            <w:vAlign w:val="bottom"/>
          </w:tcPr>
          <w:p w:rsidR="006A257E" w:rsidRPr="00FE1DDB" w:rsidRDefault="006A257E" w:rsidP="00186ED6">
            <w:pPr>
              <w:jc w:val="right"/>
              <w:rPr>
                <w:rFonts w:ascii="Arial" w:hAnsi="Arial" w:cs="Arial"/>
                <w:sz w:val="18"/>
                <w:szCs w:val="18"/>
              </w:rPr>
            </w:pPr>
            <w:r>
              <w:rPr>
                <w:rFonts w:ascii="Arial" w:hAnsi="Arial" w:cs="Arial"/>
                <w:sz w:val="18"/>
                <w:szCs w:val="18"/>
              </w:rPr>
              <w:t>-</w:t>
            </w:r>
          </w:p>
        </w:tc>
      </w:tr>
      <w:tr w:rsidR="006A257E" w:rsidRPr="00FE7FD1" w:rsidTr="00186ED6">
        <w:trPr>
          <w:trHeight w:val="255"/>
        </w:trPr>
        <w:tc>
          <w:tcPr>
            <w:tcW w:w="4554" w:type="dxa"/>
            <w:tcBorders>
              <w:top w:val="nil"/>
              <w:left w:val="nil"/>
              <w:bottom w:val="nil"/>
              <w:right w:val="nil"/>
            </w:tcBorders>
            <w:shd w:val="clear" w:color="auto" w:fill="auto"/>
            <w:noWrap/>
            <w:vAlign w:val="bottom"/>
          </w:tcPr>
          <w:p w:rsidR="006A257E" w:rsidRDefault="006A257E" w:rsidP="00186ED6">
            <w:pPr>
              <w:rPr>
                <w:rFonts w:ascii="Arial" w:hAnsi="Arial" w:cs="Arial"/>
                <w:sz w:val="18"/>
                <w:szCs w:val="18"/>
              </w:rPr>
            </w:pPr>
            <w:r>
              <w:rPr>
                <w:rFonts w:ascii="Arial" w:hAnsi="Arial" w:cs="Arial"/>
                <w:sz w:val="18"/>
                <w:szCs w:val="18"/>
              </w:rPr>
              <w:t>Share of proceeds from EPL options exercised</w:t>
            </w:r>
          </w:p>
        </w:tc>
        <w:tc>
          <w:tcPr>
            <w:tcW w:w="1318" w:type="dxa"/>
            <w:tcBorders>
              <w:top w:val="nil"/>
              <w:left w:val="nil"/>
              <w:bottom w:val="single" w:sz="8" w:space="0" w:color="auto"/>
              <w:right w:val="nil"/>
            </w:tcBorders>
            <w:shd w:val="clear" w:color="auto" w:fill="auto"/>
            <w:noWrap/>
            <w:vAlign w:val="bottom"/>
          </w:tcPr>
          <w:p w:rsidR="006A257E" w:rsidRDefault="006A257E" w:rsidP="00186ED6">
            <w:pPr>
              <w:jc w:val="right"/>
              <w:rPr>
                <w:rFonts w:ascii="Arial" w:hAnsi="Arial" w:cs="Arial"/>
                <w:b/>
                <w:sz w:val="18"/>
                <w:szCs w:val="18"/>
              </w:rPr>
            </w:pPr>
            <w:r>
              <w:rPr>
                <w:rFonts w:ascii="Arial" w:hAnsi="Arial" w:cs="Arial"/>
                <w:b/>
                <w:sz w:val="18"/>
                <w:szCs w:val="18"/>
              </w:rPr>
              <w:t>(7,282)</w:t>
            </w:r>
          </w:p>
        </w:tc>
        <w:tc>
          <w:tcPr>
            <w:tcW w:w="1318" w:type="dxa"/>
            <w:tcBorders>
              <w:top w:val="nil"/>
              <w:left w:val="nil"/>
              <w:bottom w:val="single" w:sz="8" w:space="0" w:color="auto"/>
              <w:right w:val="nil"/>
            </w:tcBorders>
            <w:vAlign w:val="bottom"/>
          </w:tcPr>
          <w:p w:rsidR="006A257E" w:rsidRDefault="006A257E" w:rsidP="00186ED6">
            <w:pPr>
              <w:jc w:val="right"/>
              <w:rPr>
                <w:rFonts w:ascii="Arial" w:hAnsi="Arial" w:cs="Arial"/>
                <w:sz w:val="18"/>
                <w:szCs w:val="18"/>
              </w:rPr>
            </w:pPr>
            <w:r>
              <w:rPr>
                <w:rFonts w:ascii="Arial" w:hAnsi="Arial" w:cs="Arial"/>
                <w:sz w:val="18"/>
                <w:szCs w:val="18"/>
              </w:rPr>
              <w:t>-</w:t>
            </w:r>
          </w:p>
        </w:tc>
      </w:tr>
      <w:tr w:rsidR="006A257E" w:rsidRPr="00FE7FD1" w:rsidTr="00186ED6">
        <w:trPr>
          <w:trHeight w:val="255"/>
        </w:trPr>
        <w:tc>
          <w:tcPr>
            <w:tcW w:w="4554" w:type="dxa"/>
            <w:tcBorders>
              <w:top w:val="nil"/>
              <w:left w:val="nil"/>
              <w:bottom w:val="nil"/>
              <w:right w:val="nil"/>
            </w:tcBorders>
            <w:shd w:val="clear" w:color="auto" w:fill="auto"/>
            <w:noWrap/>
            <w:vAlign w:val="bottom"/>
          </w:tcPr>
          <w:p w:rsidR="006A257E" w:rsidRDefault="006A257E" w:rsidP="00186ED6">
            <w:pPr>
              <w:rPr>
                <w:rFonts w:ascii="Arial" w:hAnsi="Arial" w:cs="Arial"/>
                <w:sz w:val="18"/>
                <w:szCs w:val="18"/>
              </w:rPr>
            </w:pPr>
          </w:p>
        </w:tc>
        <w:tc>
          <w:tcPr>
            <w:tcW w:w="1318" w:type="dxa"/>
            <w:tcBorders>
              <w:top w:val="single" w:sz="8" w:space="0" w:color="auto"/>
              <w:left w:val="nil"/>
              <w:bottom w:val="single" w:sz="12" w:space="0" w:color="auto"/>
              <w:right w:val="nil"/>
            </w:tcBorders>
            <w:shd w:val="clear" w:color="auto" w:fill="auto"/>
            <w:noWrap/>
            <w:vAlign w:val="bottom"/>
          </w:tcPr>
          <w:p w:rsidR="006A257E" w:rsidRDefault="006A257E" w:rsidP="00186ED6">
            <w:pPr>
              <w:jc w:val="right"/>
              <w:rPr>
                <w:rFonts w:ascii="Arial" w:hAnsi="Arial" w:cs="Arial"/>
                <w:b/>
                <w:sz w:val="18"/>
                <w:szCs w:val="18"/>
              </w:rPr>
            </w:pPr>
            <w:r>
              <w:rPr>
                <w:rFonts w:ascii="Arial" w:hAnsi="Arial" w:cs="Arial"/>
                <w:b/>
                <w:sz w:val="18"/>
                <w:szCs w:val="18"/>
              </w:rPr>
              <w:t>$ (6,681)</w:t>
            </w:r>
          </w:p>
        </w:tc>
        <w:tc>
          <w:tcPr>
            <w:tcW w:w="1318" w:type="dxa"/>
            <w:tcBorders>
              <w:top w:val="single" w:sz="8" w:space="0" w:color="auto"/>
              <w:left w:val="nil"/>
              <w:bottom w:val="single" w:sz="12" w:space="0" w:color="auto"/>
              <w:right w:val="nil"/>
            </w:tcBorders>
            <w:vAlign w:val="bottom"/>
          </w:tcPr>
          <w:p w:rsidR="006A257E" w:rsidRPr="00FE1DDB" w:rsidRDefault="006A257E" w:rsidP="00186ED6">
            <w:pPr>
              <w:jc w:val="right"/>
              <w:rPr>
                <w:rFonts w:ascii="Arial" w:hAnsi="Arial" w:cs="Arial"/>
                <w:sz w:val="18"/>
                <w:szCs w:val="18"/>
              </w:rPr>
            </w:pPr>
            <w:r>
              <w:rPr>
                <w:rFonts w:ascii="Arial" w:hAnsi="Arial" w:cs="Arial"/>
                <w:sz w:val="18"/>
                <w:szCs w:val="18"/>
              </w:rPr>
              <w:t>$  89,996</w:t>
            </w:r>
          </w:p>
        </w:tc>
      </w:tr>
    </w:tbl>
    <w:p w:rsidR="006A257E" w:rsidRDefault="006A257E" w:rsidP="006A257E">
      <w:pPr>
        <w:ind w:left="432"/>
        <w:jc w:val="both"/>
        <w:rPr>
          <w:rFonts w:ascii="Arial" w:hAnsi="Arial" w:cs="Arial"/>
          <w:sz w:val="18"/>
          <w:szCs w:val="18"/>
        </w:rPr>
      </w:pPr>
    </w:p>
    <w:p w:rsidR="006A257E" w:rsidRPr="0012120E" w:rsidRDefault="006A257E" w:rsidP="006A257E">
      <w:pPr>
        <w:tabs>
          <w:tab w:val="left" w:pos="432"/>
        </w:tabs>
        <w:jc w:val="both"/>
        <w:rPr>
          <w:rFonts w:ascii="Arial" w:hAnsi="Arial" w:cs="Arial"/>
          <w:sz w:val="18"/>
          <w:szCs w:val="18"/>
          <w:u w:val="single"/>
        </w:rPr>
      </w:pPr>
      <w:r w:rsidRPr="0012120E">
        <w:rPr>
          <w:rFonts w:ascii="Arial" w:hAnsi="Arial" w:cs="Arial"/>
          <w:sz w:val="18"/>
          <w:szCs w:val="18"/>
          <w:u w:val="single"/>
        </w:rPr>
        <w:t>Compensation to key management</w:t>
      </w:r>
    </w:p>
    <w:p w:rsidR="006A257E" w:rsidRPr="004B3E5E" w:rsidRDefault="006A257E" w:rsidP="006A257E">
      <w:pPr>
        <w:tabs>
          <w:tab w:val="left" w:pos="432"/>
        </w:tabs>
        <w:jc w:val="both"/>
        <w:rPr>
          <w:rFonts w:ascii="Arial" w:hAnsi="Arial" w:cs="Arial"/>
          <w:sz w:val="12"/>
          <w:szCs w:val="12"/>
          <w:u w:val="thick"/>
        </w:rPr>
      </w:pPr>
    </w:p>
    <w:p w:rsidR="006A257E" w:rsidRDefault="006A257E" w:rsidP="006A257E">
      <w:pPr>
        <w:tabs>
          <w:tab w:val="left" w:pos="432"/>
        </w:tabs>
        <w:jc w:val="both"/>
        <w:rPr>
          <w:rFonts w:ascii="Arial" w:hAnsi="Arial" w:cs="Arial"/>
          <w:sz w:val="18"/>
          <w:szCs w:val="18"/>
        </w:rPr>
      </w:pPr>
      <w:r>
        <w:rPr>
          <w:rFonts w:ascii="Arial" w:hAnsi="Arial" w:cs="Arial"/>
          <w:sz w:val="18"/>
          <w:szCs w:val="18"/>
        </w:rPr>
        <w:tab/>
        <w:t>Compensation to key management personnel allocated in the period:</w:t>
      </w:r>
    </w:p>
    <w:p w:rsidR="006A257E" w:rsidRDefault="006A257E" w:rsidP="006A257E">
      <w:pPr>
        <w:tabs>
          <w:tab w:val="left" w:pos="432"/>
        </w:tabs>
        <w:jc w:val="both"/>
        <w:rPr>
          <w:rFonts w:ascii="Arial" w:hAnsi="Arial" w:cs="Arial"/>
          <w:sz w:val="18"/>
          <w:szCs w:val="18"/>
        </w:rPr>
      </w:pPr>
    </w:p>
    <w:tbl>
      <w:tblPr>
        <w:tblW w:w="0" w:type="auto"/>
        <w:tblInd w:w="851" w:type="dxa"/>
        <w:tblLayout w:type="fixed"/>
        <w:tblLook w:val="04A0" w:firstRow="1" w:lastRow="0" w:firstColumn="1" w:lastColumn="0" w:noHBand="0" w:noVBand="1"/>
      </w:tblPr>
      <w:tblGrid>
        <w:gridCol w:w="2140"/>
        <w:gridCol w:w="3560"/>
        <w:gridCol w:w="960"/>
        <w:gridCol w:w="1117"/>
      </w:tblGrid>
      <w:tr w:rsidR="006A257E" w:rsidRPr="00C83BA8" w:rsidTr="00186ED6">
        <w:trPr>
          <w:trHeight w:val="294"/>
        </w:trPr>
        <w:tc>
          <w:tcPr>
            <w:tcW w:w="2140" w:type="dxa"/>
            <w:tcBorders>
              <w:top w:val="nil"/>
              <w:left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p>
        </w:tc>
        <w:tc>
          <w:tcPr>
            <w:tcW w:w="3560" w:type="dxa"/>
            <w:tcBorders>
              <w:top w:val="nil"/>
              <w:left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w:t>
            </w:r>
          </w:p>
        </w:tc>
        <w:tc>
          <w:tcPr>
            <w:tcW w:w="960" w:type="dxa"/>
            <w:tcBorders>
              <w:top w:val="nil"/>
              <w:left w:val="nil"/>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sidRPr="00C83BA8">
              <w:rPr>
                <w:rFonts w:ascii="Arial" w:hAnsi="Arial" w:cs="Arial"/>
                <w:b/>
                <w:color w:val="000000"/>
                <w:sz w:val="18"/>
                <w:szCs w:val="18"/>
              </w:rPr>
              <w:t>2018</w:t>
            </w:r>
          </w:p>
        </w:tc>
        <w:tc>
          <w:tcPr>
            <w:tcW w:w="1117" w:type="dxa"/>
            <w:tcBorders>
              <w:top w:val="nil"/>
              <w:left w:val="nil"/>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sidRPr="00C83BA8">
              <w:rPr>
                <w:rFonts w:ascii="Arial" w:hAnsi="Arial" w:cs="Arial"/>
                <w:color w:val="000000"/>
                <w:sz w:val="18"/>
                <w:szCs w:val="18"/>
              </w:rPr>
              <w:t>2017</w:t>
            </w:r>
            <w:r>
              <w:rPr>
                <w:rFonts w:ascii="Arial" w:hAnsi="Arial" w:cs="Arial"/>
                <w:color w:val="000000"/>
                <w:sz w:val="18"/>
                <w:szCs w:val="18"/>
              </w:rPr>
              <w:t xml:space="preserve"> </w:t>
            </w:r>
          </w:p>
        </w:tc>
      </w:tr>
      <w:tr w:rsidR="006A257E" w:rsidRPr="00C83BA8" w:rsidTr="00186ED6">
        <w:trPr>
          <w:trHeight w:val="294"/>
        </w:trPr>
        <w:tc>
          <w:tcPr>
            <w:tcW w:w="2140" w:type="dxa"/>
            <w:tcBorders>
              <w:left w:val="nil"/>
              <w:bottom w:val="single" w:sz="8" w:space="0" w:color="auto"/>
              <w:right w:val="nil"/>
            </w:tcBorders>
            <w:shd w:val="clear" w:color="auto" w:fill="auto"/>
            <w:noWrap/>
            <w:vAlign w:val="bottom"/>
          </w:tcPr>
          <w:p w:rsidR="006A257E" w:rsidRPr="00C83BA8" w:rsidRDefault="006A257E" w:rsidP="00186ED6">
            <w:pPr>
              <w:rPr>
                <w:rFonts w:ascii="Arial" w:hAnsi="Arial" w:cs="Arial"/>
                <w:color w:val="000000"/>
                <w:sz w:val="18"/>
                <w:szCs w:val="18"/>
              </w:rPr>
            </w:pPr>
          </w:p>
        </w:tc>
        <w:tc>
          <w:tcPr>
            <w:tcW w:w="3560" w:type="dxa"/>
            <w:tcBorders>
              <w:left w:val="nil"/>
              <w:bottom w:val="single" w:sz="8" w:space="0" w:color="auto"/>
              <w:right w:val="nil"/>
            </w:tcBorders>
            <w:shd w:val="clear" w:color="auto" w:fill="auto"/>
            <w:noWrap/>
            <w:vAlign w:val="bottom"/>
          </w:tcPr>
          <w:p w:rsidR="006A257E" w:rsidRPr="00C83BA8" w:rsidRDefault="006A257E" w:rsidP="00186ED6">
            <w:pPr>
              <w:rPr>
                <w:rFonts w:ascii="Arial" w:hAnsi="Arial" w:cs="Arial"/>
                <w:color w:val="000000"/>
                <w:sz w:val="18"/>
                <w:szCs w:val="18"/>
              </w:rPr>
            </w:pPr>
          </w:p>
        </w:tc>
        <w:tc>
          <w:tcPr>
            <w:tcW w:w="960" w:type="dxa"/>
            <w:tcBorders>
              <w:left w:val="nil"/>
              <w:bottom w:val="single" w:sz="8" w:space="0" w:color="auto"/>
              <w:right w:val="nil"/>
            </w:tcBorders>
            <w:shd w:val="clear" w:color="auto" w:fill="auto"/>
            <w:noWrap/>
            <w:vAlign w:val="bottom"/>
          </w:tcPr>
          <w:p w:rsidR="006A257E" w:rsidRPr="00C83BA8" w:rsidRDefault="006A257E" w:rsidP="00186ED6">
            <w:pPr>
              <w:jc w:val="right"/>
              <w:rPr>
                <w:rFonts w:ascii="Arial" w:hAnsi="Arial" w:cs="Arial"/>
                <w:b/>
                <w:color w:val="000000"/>
                <w:sz w:val="18"/>
                <w:szCs w:val="18"/>
              </w:rPr>
            </w:pPr>
          </w:p>
        </w:tc>
        <w:tc>
          <w:tcPr>
            <w:tcW w:w="1117" w:type="dxa"/>
            <w:tcBorders>
              <w:left w:val="nil"/>
              <w:bottom w:val="single" w:sz="8" w:space="0" w:color="auto"/>
              <w:right w:val="nil"/>
            </w:tcBorders>
            <w:shd w:val="clear" w:color="auto" w:fill="auto"/>
            <w:noWrap/>
            <w:vAlign w:val="bottom"/>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(Note 4(j))</w:t>
            </w: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 </w:t>
            </w:r>
            <w:r>
              <w:rPr>
                <w:rFonts w:ascii="Arial" w:hAnsi="Arial" w:cs="Arial"/>
                <w:color w:val="000000"/>
                <w:sz w:val="18"/>
                <w:szCs w:val="18"/>
              </w:rPr>
              <w:t>Consulting</w:t>
            </w:r>
            <w:r w:rsidRPr="00C83BA8">
              <w:rPr>
                <w:rFonts w:ascii="Arial" w:hAnsi="Arial" w:cs="Arial"/>
                <w:color w:val="000000"/>
                <w:sz w:val="18"/>
                <w:szCs w:val="18"/>
              </w:rPr>
              <w:t xml:space="preserve"> fees</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to a company owned by a director</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b/>
                <w:color w:val="000000"/>
                <w:sz w:val="18"/>
                <w:szCs w:val="18"/>
              </w:rPr>
            </w:pPr>
          </w:p>
        </w:tc>
        <w:tc>
          <w:tcPr>
            <w:tcW w:w="1117"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and officer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Pr>
                <w:rFonts w:ascii="Arial" w:hAnsi="Arial" w:cs="Arial"/>
                <w:b/>
                <w:color w:val="000000"/>
                <w:sz w:val="18"/>
                <w:szCs w:val="18"/>
              </w:rPr>
              <w:t>$ 10,688</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   15,692</w:t>
            </w:r>
            <w:r w:rsidRPr="00C83BA8">
              <w:rPr>
                <w:rFonts w:ascii="Arial" w:hAnsi="Arial" w:cs="Arial"/>
                <w:color w:val="000000"/>
                <w:sz w:val="18"/>
                <w:szCs w:val="18"/>
              </w:rPr>
              <w:t xml:space="preserve"> </w:t>
            </w: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 Wages and benefits</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to </w:t>
            </w:r>
            <w:r>
              <w:rPr>
                <w:rFonts w:ascii="Arial" w:hAnsi="Arial" w:cs="Arial"/>
                <w:color w:val="000000"/>
                <w:sz w:val="18"/>
                <w:szCs w:val="18"/>
              </w:rPr>
              <w:t>d</w:t>
            </w:r>
            <w:r w:rsidRPr="00C83BA8">
              <w:rPr>
                <w:rFonts w:ascii="Arial" w:hAnsi="Arial" w:cs="Arial"/>
                <w:color w:val="000000"/>
                <w:sz w:val="18"/>
                <w:szCs w:val="18"/>
              </w:rPr>
              <w:t>irector</w:t>
            </w:r>
            <w:r>
              <w:rPr>
                <w:rFonts w:ascii="Arial" w:hAnsi="Arial" w:cs="Arial"/>
                <w:color w:val="000000"/>
                <w:sz w:val="18"/>
                <w:szCs w:val="18"/>
              </w:rPr>
              <w:t>s</w:t>
            </w:r>
            <w:r w:rsidRPr="00C83BA8">
              <w:rPr>
                <w:rFonts w:ascii="Arial" w:hAnsi="Arial" w:cs="Arial"/>
                <w:color w:val="000000"/>
                <w:sz w:val="18"/>
                <w:szCs w:val="18"/>
              </w:rPr>
              <w:t xml:space="preserve"> and officer</w:t>
            </w:r>
            <w:r>
              <w:rPr>
                <w:rFonts w:ascii="Arial" w:hAnsi="Arial" w:cs="Arial"/>
                <w:color w:val="000000"/>
                <w:sz w:val="18"/>
                <w:szCs w:val="18"/>
              </w:rPr>
              <w:t>s</w:t>
            </w:r>
            <w:r w:rsidRPr="00C83BA8">
              <w:rPr>
                <w:rFonts w:ascii="Arial" w:hAnsi="Arial" w:cs="Arial"/>
                <w:color w:val="000000"/>
                <w:sz w:val="18"/>
                <w:szCs w:val="18"/>
              </w:rPr>
              <w:t xml:space="preserve">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Pr>
                <w:rFonts w:ascii="Arial" w:hAnsi="Arial" w:cs="Arial"/>
                <w:b/>
                <w:color w:val="000000"/>
                <w:sz w:val="18"/>
                <w:szCs w:val="18"/>
              </w:rPr>
              <w:t>12,998</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12,088</w:t>
            </w:r>
            <w:r w:rsidRPr="00C83BA8">
              <w:rPr>
                <w:rFonts w:ascii="Arial" w:hAnsi="Arial" w:cs="Arial"/>
                <w:color w:val="000000"/>
                <w:sz w:val="18"/>
                <w:szCs w:val="18"/>
              </w:rPr>
              <w:t xml:space="preserve"> </w:t>
            </w: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 Professional fees</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to a director and officer of </w:t>
            </w:r>
            <w:r>
              <w:rPr>
                <w:rFonts w:ascii="Arial" w:hAnsi="Arial"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Pr>
                <w:rFonts w:ascii="Arial" w:hAnsi="Arial" w:cs="Arial"/>
                <w:b/>
                <w:color w:val="000000"/>
                <w:sz w:val="18"/>
                <w:szCs w:val="18"/>
              </w:rPr>
              <w:t>4,622</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4,253</w:t>
            </w: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 xml:space="preserve"> Share-based payments </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r w:rsidRPr="00C83BA8">
              <w:rPr>
                <w:rFonts w:ascii="Arial" w:hAnsi="Arial" w:cs="Arial"/>
                <w:color w:val="000000"/>
                <w:sz w:val="18"/>
                <w:szCs w:val="18"/>
              </w:rPr>
              <w:t>to directors and officers</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Pr>
                <w:rFonts w:ascii="Arial" w:hAnsi="Arial" w:cs="Arial"/>
                <w:b/>
                <w:color w:val="000000"/>
                <w:sz w:val="18"/>
                <w:szCs w:val="18"/>
              </w:rPr>
              <w:t>-</w:t>
            </w:r>
            <w:r w:rsidRPr="00C83BA8">
              <w:rPr>
                <w:rFonts w:ascii="Arial" w:hAnsi="Arial" w:cs="Arial"/>
                <w:b/>
                <w:color w:val="000000"/>
                <w:sz w:val="18"/>
                <w:szCs w:val="18"/>
              </w:rPr>
              <w:t xml:space="preserve"> </w:t>
            </w:r>
          </w:p>
        </w:tc>
        <w:tc>
          <w:tcPr>
            <w:tcW w:w="1117" w:type="dxa"/>
            <w:tcBorders>
              <w:top w:val="nil"/>
              <w:left w:val="nil"/>
              <w:bottom w:val="nil"/>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31,217</w:t>
            </w:r>
            <w:r w:rsidRPr="00C83BA8">
              <w:rPr>
                <w:rFonts w:ascii="Arial" w:hAnsi="Arial" w:cs="Arial"/>
                <w:color w:val="000000"/>
                <w:sz w:val="18"/>
                <w:szCs w:val="18"/>
              </w:rPr>
              <w:t xml:space="preserve"> </w:t>
            </w:r>
          </w:p>
        </w:tc>
      </w:tr>
      <w:tr w:rsidR="006A257E" w:rsidRPr="00C83BA8" w:rsidTr="00186ED6">
        <w:trPr>
          <w:trHeight w:val="68"/>
        </w:trPr>
        <w:tc>
          <w:tcPr>
            <w:tcW w:w="214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ascii="Arial" w:hAnsi="Arial" w:cs="Arial"/>
                <w:color w:val="000000"/>
                <w:sz w:val="18"/>
                <w:szCs w:val="18"/>
              </w:rPr>
            </w:pPr>
          </w:p>
        </w:tc>
        <w:tc>
          <w:tcPr>
            <w:tcW w:w="960" w:type="dxa"/>
            <w:tcBorders>
              <w:top w:val="single" w:sz="4" w:space="0" w:color="auto"/>
              <w:left w:val="nil"/>
              <w:bottom w:val="double" w:sz="6" w:space="0" w:color="auto"/>
              <w:right w:val="nil"/>
            </w:tcBorders>
            <w:shd w:val="clear" w:color="auto" w:fill="auto"/>
            <w:noWrap/>
            <w:vAlign w:val="bottom"/>
            <w:hideMark/>
          </w:tcPr>
          <w:p w:rsidR="006A257E" w:rsidRPr="00C83BA8" w:rsidRDefault="006A257E" w:rsidP="00186ED6">
            <w:pPr>
              <w:jc w:val="right"/>
              <w:rPr>
                <w:rFonts w:ascii="Arial" w:hAnsi="Arial" w:cs="Arial"/>
                <w:b/>
                <w:color w:val="000000"/>
                <w:sz w:val="18"/>
                <w:szCs w:val="18"/>
              </w:rPr>
            </w:pPr>
            <w:r>
              <w:rPr>
                <w:rFonts w:ascii="Arial" w:hAnsi="Arial" w:cs="Arial"/>
                <w:b/>
                <w:color w:val="000000"/>
                <w:sz w:val="18"/>
                <w:szCs w:val="18"/>
              </w:rPr>
              <w:t>$ 28,308</w:t>
            </w:r>
            <w:r w:rsidRPr="00C83BA8">
              <w:rPr>
                <w:rFonts w:ascii="Arial" w:hAnsi="Arial" w:cs="Arial"/>
                <w:b/>
                <w:color w:val="000000"/>
                <w:sz w:val="18"/>
                <w:szCs w:val="18"/>
              </w:rPr>
              <w:t xml:space="preserve"> </w:t>
            </w:r>
          </w:p>
        </w:tc>
        <w:tc>
          <w:tcPr>
            <w:tcW w:w="1117" w:type="dxa"/>
            <w:tcBorders>
              <w:top w:val="single" w:sz="4" w:space="0" w:color="auto"/>
              <w:left w:val="nil"/>
              <w:bottom w:val="double" w:sz="6" w:space="0" w:color="auto"/>
              <w:right w:val="nil"/>
            </w:tcBorders>
            <w:shd w:val="clear" w:color="auto" w:fill="auto"/>
            <w:noWrap/>
            <w:vAlign w:val="bottom"/>
            <w:hideMark/>
          </w:tcPr>
          <w:p w:rsidR="006A257E" w:rsidRPr="00C83BA8" w:rsidRDefault="006A257E" w:rsidP="00186ED6">
            <w:pPr>
              <w:jc w:val="right"/>
              <w:rPr>
                <w:rFonts w:ascii="Arial" w:hAnsi="Arial" w:cs="Arial"/>
                <w:color w:val="000000"/>
                <w:sz w:val="18"/>
                <w:szCs w:val="18"/>
              </w:rPr>
            </w:pPr>
            <w:r>
              <w:rPr>
                <w:rFonts w:ascii="Arial" w:hAnsi="Arial" w:cs="Arial"/>
                <w:color w:val="000000"/>
                <w:sz w:val="18"/>
                <w:szCs w:val="18"/>
              </w:rPr>
              <w:t>$ 63,250</w:t>
            </w:r>
            <w:r w:rsidRPr="00C83BA8">
              <w:rPr>
                <w:rFonts w:ascii="Arial" w:hAnsi="Arial" w:cs="Arial"/>
                <w:color w:val="000000"/>
                <w:sz w:val="18"/>
                <w:szCs w:val="18"/>
              </w:rPr>
              <w:t xml:space="preserve"> </w:t>
            </w:r>
          </w:p>
        </w:tc>
      </w:tr>
    </w:tbl>
    <w:p w:rsidR="006A257E" w:rsidRDefault="006A257E" w:rsidP="006A257E">
      <w:pPr>
        <w:tabs>
          <w:tab w:val="left" w:pos="432"/>
        </w:tabs>
        <w:rPr>
          <w:rFonts w:ascii="Arial" w:hAnsi="Arial" w:cs="Arial"/>
          <w:b/>
          <w:bCs/>
          <w:sz w:val="18"/>
          <w:szCs w:val="18"/>
        </w:rPr>
      </w:pPr>
    </w:p>
    <w:p w:rsidR="006A257E" w:rsidRPr="00057E8A" w:rsidRDefault="006A257E" w:rsidP="006A257E">
      <w:pPr>
        <w:widowControl w:val="0"/>
        <w:tabs>
          <w:tab w:val="left" w:pos="450"/>
        </w:tabs>
        <w:jc w:val="both"/>
        <w:rPr>
          <w:rFonts w:ascii="Arial" w:hAnsi="Arial" w:cs="Arial"/>
          <w:sz w:val="18"/>
          <w:szCs w:val="18"/>
        </w:rPr>
      </w:pPr>
      <w:r w:rsidRPr="00057E8A">
        <w:rPr>
          <w:rFonts w:ascii="Arial" w:hAnsi="Arial" w:cs="Arial"/>
          <w:sz w:val="18"/>
          <w:szCs w:val="18"/>
        </w:rPr>
        <w:t xml:space="preserve">All related party transactions in the normal course of business have been measured at the agreed upon exchange amounts, which is the amount of consideration established and agreed to by the related parties. </w:t>
      </w:r>
      <w:r w:rsidRPr="00057E8A">
        <w:rPr>
          <w:rFonts w:ascii="Arial" w:hAnsi="Arial" w:cs="Arial"/>
          <w:bCs/>
          <w:sz w:val="18"/>
          <w:szCs w:val="18"/>
        </w:rPr>
        <w:t>Amounts due to/from the related parties are non-interest bearing, unsecured and have no fixed terms of repayment unless otherwise specified.</w:t>
      </w:r>
    </w:p>
    <w:p w:rsidR="006A257E" w:rsidRPr="00FE7FD1" w:rsidRDefault="006A257E" w:rsidP="006A257E">
      <w:pPr>
        <w:pBdr>
          <w:bottom w:val="single" w:sz="8" w:space="1" w:color="auto"/>
        </w:pBdr>
        <w:tabs>
          <w:tab w:val="left" w:pos="432"/>
        </w:tabs>
        <w:ind w:left="720" w:hanging="720"/>
        <w:rPr>
          <w:rFonts w:ascii="Arial" w:hAnsi="Arial" w:cs="Arial"/>
          <w:bCs/>
          <w:sz w:val="18"/>
          <w:szCs w:val="18"/>
        </w:rPr>
      </w:pPr>
    </w:p>
    <w:p w:rsidR="006A257E" w:rsidRDefault="006A257E" w:rsidP="006A257E">
      <w:pPr>
        <w:tabs>
          <w:tab w:val="left" w:pos="432"/>
        </w:tabs>
        <w:rPr>
          <w:rFonts w:ascii="Arial" w:hAnsi="Arial" w:cs="Arial"/>
          <w:b/>
          <w:bCs/>
          <w:sz w:val="18"/>
          <w:szCs w:val="18"/>
        </w:rPr>
      </w:pPr>
    </w:p>
    <w:p w:rsidR="006A257E" w:rsidRPr="00FE7FD1" w:rsidRDefault="006A257E" w:rsidP="006A257E">
      <w:pPr>
        <w:tabs>
          <w:tab w:val="left" w:pos="432"/>
        </w:tabs>
        <w:rPr>
          <w:rFonts w:ascii="Arial" w:hAnsi="Arial" w:cs="Arial"/>
          <w:b/>
          <w:bCs/>
          <w:sz w:val="18"/>
          <w:szCs w:val="18"/>
        </w:rPr>
      </w:pPr>
      <w:r>
        <w:rPr>
          <w:rFonts w:ascii="Arial" w:hAnsi="Arial" w:cs="Arial"/>
          <w:b/>
          <w:bCs/>
          <w:sz w:val="18"/>
          <w:szCs w:val="18"/>
        </w:rPr>
        <w:t>8</w:t>
      </w:r>
      <w:r w:rsidRPr="00FE7FD1">
        <w:rPr>
          <w:rFonts w:ascii="Arial" w:hAnsi="Arial" w:cs="Arial"/>
          <w:b/>
          <w:bCs/>
          <w:sz w:val="18"/>
          <w:szCs w:val="18"/>
        </w:rPr>
        <w:t>.</w:t>
      </w:r>
      <w:r w:rsidRPr="00FE7FD1">
        <w:rPr>
          <w:rFonts w:ascii="Arial" w:hAnsi="Arial" w:cs="Arial"/>
          <w:b/>
          <w:bCs/>
          <w:sz w:val="18"/>
          <w:szCs w:val="18"/>
        </w:rPr>
        <w:tab/>
        <w:t>Commitments and Contingencies</w:t>
      </w:r>
    </w:p>
    <w:p w:rsidR="006A257E" w:rsidRPr="00FE7FD1" w:rsidRDefault="006A257E" w:rsidP="006A257E">
      <w:pPr>
        <w:pBdr>
          <w:bottom w:val="single" w:sz="8" w:space="1" w:color="auto"/>
        </w:pBdr>
        <w:tabs>
          <w:tab w:val="left" w:pos="432"/>
        </w:tabs>
        <w:ind w:left="720" w:hanging="720"/>
        <w:rPr>
          <w:rFonts w:ascii="Arial" w:hAnsi="Arial" w:cs="Arial"/>
          <w:bCs/>
          <w:sz w:val="18"/>
          <w:szCs w:val="18"/>
        </w:rPr>
      </w:pPr>
    </w:p>
    <w:p w:rsidR="006A257E" w:rsidRDefault="006A257E" w:rsidP="006A257E">
      <w:pPr>
        <w:tabs>
          <w:tab w:val="left" w:pos="432"/>
        </w:tabs>
        <w:jc w:val="both"/>
        <w:rPr>
          <w:rFonts w:ascii="Arial" w:hAnsi="Arial" w:cs="Arial"/>
          <w:bCs/>
          <w:sz w:val="18"/>
          <w:szCs w:val="18"/>
        </w:rPr>
      </w:pPr>
    </w:p>
    <w:p w:rsidR="006A257E" w:rsidRDefault="006A257E" w:rsidP="006A257E">
      <w:pPr>
        <w:autoSpaceDE w:val="0"/>
        <w:autoSpaceDN w:val="0"/>
        <w:adjustRightInd w:val="0"/>
        <w:jc w:val="both"/>
        <w:rPr>
          <w:rFonts w:ascii="Arial" w:hAnsi="Arial" w:cs="Arial"/>
          <w:sz w:val="18"/>
          <w:szCs w:val="18"/>
        </w:rPr>
      </w:pPr>
      <w:r w:rsidRPr="009B010A">
        <w:rPr>
          <w:rFonts w:ascii="Arial" w:hAnsi="Arial" w:cs="Arial"/>
          <w:sz w:val="18"/>
          <w:szCs w:val="18"/>
        </w:rPr>
        <w:t>All expenses or costs, including without limitation, financial, advisory,</w:t>
      </w:r>
      <w:r>
        <w:rPr>
          <w:rFonts w:ascii="Arial" w:hAnsi="Arial" w:cs="Arial"/>
          <w:sz w:val="18"/>
          <w:szCs w:val="18"/>
        </w:rPr>
        <w:t xml:space="preserve"> </w:t>
      </w:r>
      <w:r w:rsidRPr="009B010A">
        <w:rPr>
          <w:rFonts w:ascii="Arial" w:hAnsi="Arial" w:cs="Arial"/>
          <w:sz w:val="18"/>
          <w:szCs w:val="18"/>
        </w:rPr>
        <w:t>accounting, marketing, exchange review and listing, shareholder meeting and legal</w:t>
      </w:r>
      <w:r>
        <w:rPr>
          <w:rFonts w:ascii="Arial" w:hAnsi="Arial" w:cs="Arial"/>
          <w:sz w:val="18"/>
          <w:szCs w:val="18"/>
        </w:rPr>
        <w:t xml:space="preserve"> </w:t>
      </w:r>
      <w:r w:rsidRPr="009B010A">
        <w:rPr>
          <w:rFonts w:ascii="Arial" w:hAnsi="Arial" w:cs="Arial"/>
          <w:sz w:val="18"/>
          <w:szCs w:val="18"/>
        </w:rPr>
        <w:t>fees and costs, incurred by a party shall be borne by Eagle Plains. Taiga</w:t>
      </w:r>
      <w:r>
        <w:rPr>
          <w:rFonts w:ascii="Arial" w:hAnsi="Arial" w:cs="Arial"/>
          <w:sz w:val="18"/>
          <w:szCs w:val="18"/>
        </w:rPr>
        <w:t xml:space="preserve"> </w:t>
      </w:r>
      <w:r w:rsidRPr="009B010A">
        <w:rPr>
          <w:rFonts w:ascii="Arial" w:hAnsi="Arial" w:cs="Arial"/>
          <w:sz w:val="18"/>
          <w:szCs w:val="18"/>
        </w:rPr>
        <w:t>agrees to</w:t>
      </w:r>
      <w:r>
        <w:rPr>
          <w:rFonts w:ascii="Arial" w:hAnsi="Arial" w:cs="Arial"/>
          <w:sz w:val="18"/>
          <w:szCs w:val="18"/>
        </w:rPr>
        <w:t xml:space="preserve"> </w:t>
      </w:r>
      <w:r w:rsidRPr="009B010A">
        <w:rPr>
          <w:rFonts w:ascii="Arial" w:hAnsi="Arial" w:cs="Arial"/>
          <w:sz w:val="18"/>
          <w:szCs w:val="18"/>
        </w:rPr>
        <w:t>reimburse Eagle Plains for all such fees and costs contingent upon any one or more</w:t>
      </w:r>
      <w:r>
        <w:rPr>
          <w:rFonts w:ascii="Arial" w:hAnsi="Arial" w:cs="Arial"/>
          <w:sz w:val="18"/>
          <w:szCs w:val="18"/>
        </w:rPr>
        <w:t xml:space="preserve"> </w:t>
      </w:r>
      <w:r w:rsidRPr="009B010A">
        <w:rPr>
          <w:rFonts w:ascii="Arial" w:hAnsi="Arial" w:cs="Arial"/>
          <w:sz w:val="18"/>
          <w:szCs w:val="18"/>
        </w:rPr>
        <w:t>of the following events occurring within three (3) years of the Listing Date:</w:t>
      </w:r>
    </w:p>
    <w:p w:rsidR="006A257E" w:rsidRPr="007A68AC" w:rsidRDefault="006A257E" w:rsidP="006A257E">
      <w:pPr>
        <w:autoSpaceDE w:val="0"/>
        <w:autoSpaceDN w:val="0"/>
        <w:adjustRightInd w:val="0"/>
        <w:jc w:val="both"/>
        <w:rPr>
          <w:rFonts w:ascii="Arial" w:hAnsi="Arial" w:cs="Arial"/>
          <w:sz w:val="12"/>
          <w:szCs w:val="12"/>
        </w:rPr>
      </w:pPr>
    </w:p>
    <w:p w:rsidR="006A257E" w:rsidRPr="009B010A" w:rsidRDefault="006A257E" w:rsidP="006A257E">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 xml:space="preserve">(a) </w:t>
      </w:r>
      <w:r>
        <w:rPr>
          <w:rFonts w:ascii="Arial" w:hAnsi="Arial" w:cs="Arial"/>
          <w:sz w:val="18"/>
          <w:szCs w:val="18"/>
        </w:rPr>
        <w:t xml:space="preserve"> </w:t>
      </w:r>
      <w:r w:rsidRPr="009B010A">
        <w:rPr>
          <w:rFonts w:ascii="Arial" w:hAnsi="Arial" w:cs="Arial"/>
          <w:sz w:val="18"/>
          <w:szCs w:val="18"/>
        </w:rPr>
        <w:t>Taiga completing an equity financing raising net proceeds of $1,000,000.00 or</w:t>
      </w:r>
      <w:r>
        <w:rPr>
          <w:rFonts w:ascii="Arial" w:hAnsi="Arial" w:cs="Arial"/>
          <w:sz w:val="18"/>
          <w:szCs w:val="18"/>
        </w:rPr>
        <w:t xml:space="preserve"> </w:t>
      </w:r>
      <w:r w:rsidRPr="009B010A">
        <w:rPr>
          <w:rFonts w:ascii="Arial" w:hAnsi="Arial" w:cs="Arial"/>
          <w:sz w:val="18"/>
          <w:szCs w:val="18"/>
        </w:rPr>
        <w:t>greater; or</w:t>
      </w:r>
    </w:p>
    <w:p w:rsidR="006A257E" w:rsidRPr="009B010A" w:rsidRDefault="006A257E" w:rsidP="006A257E">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(b) SSR Mining Inc. exercising its option to acquire 80% of the Fisher project</w:t>
      </w:r>
      <w:r>
        <w:rPr>
          <w:rFonts w:ascii="Arial" w:hAnsi="Arial" w:cs="Arial"/>
          <w:sz w:val="18"/>
          <w:szCs w:val="18"/>
        </w:rPr>
        <w:t xml:space="preserve"> </w:t>
      </w:r>
      <w:r w:rsidRPr="009B010A">
        <w:rPr>
          <w:rFonts w:ascii="Arial" w:hAnsi="Arial" w:cs="Arial"/>
          <w:sz w:val="18"/>
          <w:szCs w:val="18"/>
        </w:rPr>
        <w:t xml:space="preserve">resulting in Taiga receiving a </w:t>
      </w:r>
      <w:r>
        <w:rPr>
          <w:rFonts w:ascii="Arial" w:hAnsi="Arial" w:cs="Arial"/>
          <w:sz w:val="18"/>
          <w:szCs w:val="18"/>
        </w:rPr>
        <w:t xml:space="preserve">  </w:t>
      </w:r>
      <w:r w:rsidRPr="009B010A">
        <w:rPr>
          <w:rFonts w:ascii="Arial" w:hAnsi="Arial" w:cs="Arial"/>
          <w:sz w:val="18"/>
          <w:szCs w:val="18"/>
        </w:rPr>
        <w:t>$3,000,000.00 purchase payment; or</w:t>
      </w:r>
    </w:p>
    <w:p w:rsidR="006A257E" w:rsidRDefault="006A257E" w:rsidP="006A257E">
      <w:pPr>
        <w:autoSpaceDE w:val="0"/>
        <w:autoSpaceDN w:val="0"/>
        <w:adjustRightInd w:val="0"/>
        <w:ind w:left="624" w:hanging="340"/>
        <w:jc w:val="both"/>
        <w:rPr>
          <w:rFonts w:ascii="Arial" w:hAnsi="Arial" w:cs="Arial"/>
          <w:sz w:val="18"/>
          <w:szCs w:val="18"/>
        </w:rPr>
      </w:pPr>
      <w:r w:rsidRPr="009B010A">
        <w:rPr>
          <w:rFonts w:ascii="Arial" w:hAnsi="Arial" w:cs="Arial"/>
          <w:sz w:val="18"/>
          <w:szCs w:val="18"/>
        </w:rPr>
        <w:t>(c)</w:t>
      </w:r>
      <w:r>
        <w:rPr>
          <w:rFonts w:ascii="Arial" w:hAnsi="Arial" w:cs="Arial"/>
          <w:sz w:val="18"/>
          <w:szCs w:val="18"/>
        </w:rPr>
        <w:t xml:space="preserve">  I</w:t>
      </w:r>
      <w:r w:rsidRPr="009B010A">
        <w:rPr>
          <w:rFonts w:ascii="Arial" w:hAnsi="Arial" w:cs="Arial"/>
          <w:sz w:val="18"/>
          <w:szCs w:val="18"/>
        </w:rPr>
        <w:t>mmediately prior to completion of a corporate takeover, merger,</w:t>
      </w:r>
      <w:r>
        <w:rPr>
          <w:rFonts w:ascii="Arial" w:hAnsi="Arial" w:cs="Arial"/>
          <w:sz w:val="18"/>
          <w:szCs w:val="18"/>
        </w:rPr>
        <w:t xml:space="preserve"> </w:t>
      </w:r>
      <w:r w:rsidRPr="009B010A">
        <w:rPr>
          <w:rFonts w:ascii="Arial" w:hAnsi="Arial" w:cs="Arial"/>
          <w:sz w:val="18"/>
          <w:szCs w:val="18"/>
        </w:rPr>
        <w:t xml:space="preserve">amalgamation, capital reorganization or similar </w:t>
      </w:r>
      <w:r>
        <w:rPr>
          <w:rFonts w:ascii="Arial" w:hAnsi="Arial" w:cs="Arial"/>
          <w:sz w:val="18"/>
          <w:szCs w:val="18"/>
        </w:rPr>
        <w:t xml:space="preserve"> </w:t>
      </w:r>
      <w:r w:rsidRPr="009B010A">
        <w:rPr>
          <w:rFonts w:ascii="Arial" w:hAnsi="Arial" w:cs="Arial"/>
          <w:sz w:val="18"/>
          <w:szCs w:val="18"/>
        </w:rPr>
        <w:t>transaction resulting in a</w:t>
      </w:r>
      <w:r>
        <w:rPr>
          <w:rFonts w:ascii="Arial" w:hAnsi="Arial" w:cs="Arial"/>
          <w:sz w:val="18"/>
          <w:szCs w:val="18"/>
        </w:rPr>
        <w:t xml:space="preserve"> </w:t>
      </w:r>
      <w:r w:rsidRPr="009B010A">
        <w:rPr>
          <w:rFonts w:ascii="Arial" w:hAnsi="Arial" w:cs="Arial"/>
          <w:sz w:val="18"/>
          <w:szCs w:val="18"/>
        </w:rPr>
        <w:t>change of control of Taiga, or a sale of the property and assets of Taiga as or</w:t>
      </w:r>
      <w:r>
        <w:rPr>
          <w:rFonts w:ascii="Arial" w:hAnsi="Arial" w:cs="Arial"/>
          <w:sz w:val="18"/>
          <w:szCs w:val="18"/>
        </w:rPr>
        <w:t xml:space="preserve"> </w:t>
      </w:r>
      <w:r w:rsidRPr="009B010A">
        <w:rPr>
          <w:rFonts w:ascii="Arial" w:hAnsi="Arial" w:cs="Arial"/>
          <w:sz w:val="18"/>
          <w:szCs w:val="18"/>
        </w:rPr>
        <w:t>substantially as an entirety to any other party.</w:t>
      </w:r>
    </w:p>
    <w:p w:rsidR="006A257E" w:rsidRDefault="006A257E" w:rsidP="006A257E">
      <w:pPr>
        <w:tabs>
          <w:tab w:val="left" w:pos="432"/>
        </w:tabs>
        <w:rPr>
          <w:rFonts w:ascii="Arial" w:hAnsi="Arial" w:cs="Arial"/>
          <w:bCs/>
          <w:sz w:val="18"/>
          <w:szCs w:val="18"/>
        </w:rPr>
      </w:pPr>
    </w:p>
    <w:p w:rsidR="006A257E" w:rsidRDefault="006A257E" w:rsidP="006A257E">
      <w:pPr>
        <w:tabs>
          <w:tab w:val="left" w:pos="432"/>
        </w:tabs>
        <w:jc w:val="both"/>
        <w:rPr>
          <w:rFonts w:ascii="Arial" w:hAnsi="Arial" w:cs="Arial"/>
          <w:bCs/>
          <w:sz w:val="18"/>
          <w:szCs w:val="18"/>
        </w:rPr>
      </w:pPr>
      <w:r>
        <w:rPr>
          <w:rFonts w:ascii="Arial" w:hAnsi="Arial" w:cs="Arial"/>
          <w:bCs/>
          <w:sz w:val="18"/>
          <w:szCs w:val="18"/>
        </w:rPr>
        <w:t>The Company is committed to incur exploration expenditures of $490,138 by December 31, 2019 to meet the renouncement requirements from the issuance of flow-through shares in June 2018.</w:t>
      </w:r>
    </w:p>
    <w:p w:rsidR="006A257E" w:rsidRDefault="006A257E" w:rsidP="006A257E">
      <w:pPr>
        <w:widowControl w:val="0"/>
        <w:tabs>
          <w:tab w:val="left" w:pos="360"/>
        </w:tabs>
        <w:jc w:val="both"/>
        <w:rPr>
          <w:rFonts w:ascii="Arial" w:hAnsi="Arial" w:cs="Arial"/>
          <w:sz w:val="18"/>
          <w:szCs w:val="18"/>
        </w:rPr>
      </w:pPr>
    </w:p>
    <w:p w:rsidR="006A257E" w:rsidRDefault="006A257E" w:rsidP="006A257E">
      <w:pPr>
        <w:widowControl w:val="0"/>
        <w:tabs>
          <w:tab w:val="left" w:pos="360"/>
        </w:tabs>
        <w:jc w:val="both"/>
        <w:rPr>
          <w:rFonts w:ascii="Arial" w:hAnsi="Arial" w:cs="Arial"/>
          <w:sz w:val="18"/>
          <w:szCs w:val="18"/>
        </w:rPr>
      </w:pPr>
      <w:r>
        <w:rPr>
          <w:rFonts w:ascii="Arial" w:hAnsi="Arial" w:cs="Arial"/>
          <w:sz w:val="18"/>
          <w:szCs w:val="18"/>
        </w:rPr>
        <w:t>Per the Plan of Arrangement, the Company has agreed to issue shares upon the exercise of options and /or warrants in Eagle Plains on the basis of one Taiga share for every 2 Eagle Plains shares exercised. The total commitment is for 4,392,500 options and 2,217,000 warrants. The Company will receive a pro-rata share of the exercise proceeds from Eagle Plains.</w:t>
      </w:r>
    </w:p>
    <w:p w:rsidR="006A257E" w:rsidRDefault="006A257E" w:rsidP="006A257E">
      <w:pPr>
        <w:widowControl w:val="0"/>
        <w:tabs>
          <w:tab w:val="left" w:pos="360"/>
        </w:tabs>
        <w:jc w:val="both"/>
        <w:rPr>
          <w:rFonts w:ascii="Arial" w:hAnsi="Arial" w:cs="Arial"/>
          <w:sz w:val="18"/>
          <w:szCs w:val="18"/>
        </w:rPr>
      </w:pPr>
    </w:p>
    <w:p w:rsidR="006A257E" w:rsidRDefault="006A257E" w:rsidP="006A257E">
      <w:pPr>
        <w:widowControl w:val="0"/>
        <w:tabs>
          <w:tab w:val="left" w:pos="360"/>
        </w:tabs>
        <w:jc w:val="both"/>
        <w:rPr>
          <w:rFonts w:ascii="Arial" w:hAnsi="Arial" w:cs="Arial"/>
          <w:sz w:val="18"/>
          <w:szCs w:val="18"/>
        </w:rPr>
      </w:pPr>
      <w:r w:rsidRPr="00057E8A">
        <w:rPr>
          <w:rFonts w:ascii="Arial" w:hAnsi="Arial" w:cs="Arial"/>
          <w:sz w:val="18"/>
          <w:szCs w:val="18"/>
        </w:rPr>
        <w:t xml:space="preserve">The Company has agreed to indemnify directors and officers under the bylaws of the Company to the extent permitted by law. The nature of the indemnifications prevent the Company from making a reasonable estimate of the maximum potential amount it could be required to pay to beneficiary of such indemnification agreement. The Company has purchased various insurance policies to reduce the risks association with such indemnification. The Company has included in officers’ management contracts a change of control clause that would entitle them to </w:t>
      </w:r>
    </w:p>
    <w:p w:rsidR="006A257E" w:rsidRDefault="006A257E" w:rsidP="006A257E">
      <w:pPr>
        <w:widowControl w:val="0"/>
        <w:tabs>
          <w:tab w:val="left" w:pos="360"/>
        </w:tabs>
        <w:jc w:val="both"/>
        <w:rPr>
          <w:rFonts w:ascii="Arial" w:hAnsi="Arial" w:cs="Arial"/>
          <w:sz w:val="18"/>
          <w:szCs w:val="18"/>
        </w:rPr>
      </w:pPr>
    </w:p>
    <w:p w:rsidR="006A257E" w:rsidRPr="00FE7FD1" w:rsidRDefault="006A257E" w:rsidP="006A257E">
      <w:pPr>
        <w:tabs>
          <w:tab w:val="left" w:pos="432"/>
        </w:tabs>
        <w:rPr>
          <w:rFonts w:ascii="Arial" w:hAnsi="Arial" w:cs="Arial"/>
          <w:b/>
          <w:bCs/>
          <w:sz w:val="18"/>
          <w:szCs w:val="18"/>
        </w:rPr>
      </w:pPr>
      <w:r>
        <w:rPr>
          <w:rFonts w:ascii="Arial" w:hAnsi="Arial" w:cs="Arial"/>
          <w:b/>
          <w:bCs/>
          <w:sz w:val="18"/>
          <w:szCs w:val="18"/>
        </w:rPr>
        <w:t>8</w:t>
      </w:r>
      <w:r w:rsidRPr="00FE7FD1">
        <w:rPr>
          <w:rFonts w:ascii="Arial" w:hAnsi="Arial" w:cs="Arial"/>
          <w:b/>
          <w:bCs/>
          <w:sz w:val="18"/>
          <w:szCs w:val="18"/>
        </w:rPr>
        <w:t>.</w:t>
      </w:r>
      <w:r w:rsidRPr="00FE7FD1">
        <w:rPr>
          <w:rFonts w:ascii="Arial" w:hAnsi="Arial" w:cs="Arial"/>
          <w:b/>
          <w:bCs/>
          <w:sz w:val="18"/>
          <w:szCs w:val="18"/>
        </w:rPr>
        <w:tab/>
        <w:t>Commitments and Contingencies</w:t>
      </w:r>
      <w:r>
        <w:rPr>
          <w:rFonts w:ascii="Arial" w:hAnsi="Arial" w:cs="Arial"/>
          <w:b/>
          <w:bCs/>
          <w:sz w:val="18"/>
          <w:szCs w:val="18"/>
        </w:rPr>
        <w:t xml:space="preserve"> - continued</w:t>
      </w:r>
    </w:p>
    <w:p w:rsidR="006A257E" w:rsidRPr="00FE7FD1" w:rsidRDefault="006A257E" w:rsidP="006A257E">
      <w:pPr>
        <w:pBdr>
          <w:bottom w:val="single" w:sz="8" w:space="1" w:color="auto"/>
        </w:pBdr>
        <w:tabs>
          <w:tab w:val="left" w:pos="432"/>
        </w:tabs>
        <w:ind w:left="720" w:hanging="720"/>
        <w:rPr>
          <w:rFonts w:ascii="Arial" w:hAnsi="Arial" w:cs="Arial"/>
          <w:bCs/>
          <w:sz w:val="18"/>
          <w:szCs w:val="18"/>
        </w:rPr>
      </w:pPr>
    </w:p>
    <w:p w:rsidR="006A257E" w:rsidRPr="00F149E4" w:rsidRDefault="006A257E" w:rsidP="006A257E">
      <w:pPr>
        <w:widowControl w:val="0"/>
        <w:tabs>
          <w:tab w:val="left" w:pos="360"/>
        </w:tabs>
        <w:jc w:val="both"/>
        <w:rPr>
          <w:rFonts w:ascii="Arial" w:hAnsi="Arial" w:cs="Arial"/>
          <w:sz w:val="12"/>
          <w:szCs w:val="12"/>
        </w:rPr>
      </w:pPr>
    </w:p>
    <w:p w:rsidR="006A257E" w:rsidRPr="00057E8A" w:rsidRDefault="006A257E" w:rsidP="006A257E">
      <w:pPr>
        <w:widowControl w:val="0"/>
        <w:tabs>
          <w:tab w:val="left" w:pos="360"/>
        </w:tabs>
        <w:jc w:val="both"/>
        <w:rPr>
          <w:rFonts w:ascii="Arial" w:hAnsi="Arial" w:cs="Arial"/>
          <w:sz w:val="18"/>
          <w:szCs w:val="18"/>
        </w:rPr>
      </w:pPr>
      <w:proofErr w:type="gramStart"/>
      <w:r w:rsidRPr="00057E8A">
        <w:rPr>
          <w:rFonts w:ascii="Arial" w:hAnsi="Arial" w:cs="Arial"/>
          <w:sz w:val="18"/>
          <w:szCs w:val="18"/>
        </w:rPr>
        <w:t>compensation</w:t>
      </w:r>
      <w:proofErr w:type="gramEnd"/>
      <w:r w:rsidRPr="00057E8A">
        <w:rPr>
          <w:rFonts w:ascii="Arial" w:hAnsi="Arial" w:cs="Arial"/>
          <w:sz w:val="18"/>
          <w:szCs w:val="18"/>
        </w:rPr>
        <w:t xml:space="preserve"> of t</w:t>
      </w:r>
      <w:r>
        <w:rPr>
          <w:rFonts w:ascii="Arial" w:hAnsi="Arial" w:cs="Arial"/>
          <w:sz w:val="18"/>
          <w:szCs w:val="18"/>
        </w:rPr>
        <w:t>wenty-four</w:t>
      </w:r>
      <w:r w:rsidRPr="00057E8A">
        <w:rPr>
          <w:rFonts w:ascii="Arial" w:hAnsi="Arial" w:cs="Arial"/>
          <w:sz w:val="18"/>
          <w:szCs w:val="18"/>
        </w:rPr>
        <w:t xml:space="preserve"> (</w:t>
      </w:r>
      <w:r>
        <w:rPr>
          <w:rFonts w:ascii="Arial" w:hAnsi="Arial" w:cs="Arial"/>
          <w:sz w:val="18"/>
          <w:szCs w:val="18"/>
        </w:rPr>
        <w:t>24</w:t>
      </w:r>
      <w:r w:rsidRPr="00057E8A">
        <w:rPr>
          <w:rFonts w:ascii="Arial" w:hAnsi="Arial" w:cs="Arial"/>
          <w:sz w:val="18"/>
          <w:szCs w:val="18"/>
        </w:rPr>
        <w:t xml:space="preserve">) months’ salary </w:t>
      </w:r>
      <w:r>
        <w:rPr>
          <w:rFonts w:ascii="Arial" w:hAnsi="Arial" w:cs="Arial"/>
          <w:sz w:val="18"/>
          <w:szCs w:val="18"/>
        </w:rPr>
        <w:t xml:space="preserve">or a lump sum payment as disclosed in their contract </w:t>
      </w:r>
      <w:r w:rsidRPr="00057E8A">
        <w:rPr>
          <w:rFonts w:ascii="Arial" w:hAnsi="Arial" w:cs="Arial"/>
          <w:sz w:val="18"/>
          <w:szCs w:val="18"/>
        </w:rPr>
        <w:t>should such an event occur.</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Pr="00FE7FD1" w:rsidRDefault="006A257E" w:rsidP="006A257E">
      <w:pPr>
        <w:tabs>
          <w:tab w:val="left" w:pos="432"/>
        </w:tabs>
        <w:ind w:left="426"/>
        <w:jc w:val="both"/>
        <w:rPr>
          <w:rFonts w:ascii="Arial" w:hAnsi="Arial" w:cs="Arial"/>
          <w:bCs/>
          <w:sz w:val="18"/>
          <w:szCs w:val="18"/>
        </w:rPr>
      </w:pPr>
      <w:r w:rsidRPr="00FE7FD1">
        <w:rPr>
          <w:rFonts w:ascii="Arial" w:hAnsi="Arial" w:cs="Arial"/>
          <w:bCs/>
          <w:sz w:val="18"/>
          <w:szCs w:val="18"/>
        </w:rPr>
        <w:tab/>
      </w:r>
    </w:p>
    <w:p w:rsidR="006A257E" w:rsidRPr="004A3DF4" w:rsidRDefault="006A257E" w:rsidP="006A257E">
      <w:pPr>
        <w:tabs>
          <w:tab w:val="left" w:pos="432"/>
        </w:tabs>
        <w:rPr>
          <w:rFonts w:ascii="Arial" w:hAnsi="Arial" w:cs="Arial"/>
          <w:b/>
          <w:sz w:val="18"/>
          <w:szCs w:val="18"/>
        </w:rPr>
      </w:pPr>
      <w:r>
        <w:rPr>
          <w:rFonts w:ascii="Arial" w:hAnsi="Arial" w:cs="Arial"/>
          <w:b/>
          <w:sz w:val="18"/>
          <w:szCs w:val="18"/>
        </w:rPr>
        <w:t>9</w:t>
      </w:r>
      <w:r w:rsidRPr="00FE7FD1">
        <w:rPr>
          <w:rFonts w:ascii="Arial" w:hAnsi="Arial" w:cs="Arial"/>
          <w:b/>
          <w:sz w:val="18"/>
          <w:szCs w:val="18"/>
        </w:rPr>
        <w:t>.</w:t>
      </w:r>
      <w:r w:rsidRPr="00FE7FD1">
        <w:rPr>
          <w:rFonts w:ascii="Arial" w:hAnsi="Arial" w:cs="Arial"/>
          <w:b/>
          <w:sz w:val="18"/>
          <w:szCs w:val="18"/>
        </w:rPr>
        <w:tab/>
      </w:r>
      <w:r w:rsidRPr="00FE7FD1">
        <w:rPr>
          <w:rFonts w:ascii="Arial" w:hAnsi="Arial" w:cs="Arial"/>
          <w:b/>
          <w:bCs/>
          <w:sz w:val="18"/>
          <w:szCs w:val="18"/>
        </w:rPr>
        <w:t xml:space="preserve">Capital </w:t>
      </w:r>
      <w:r>
        <w:rPr>
          <w:rFonts w:ascii="Arial" w:hAnsi="Arial" w:cs="Arial"/>
          <w:b/>
          <w:bCs/>
          <w:sz w:val="18"/>
          <w:szCs w:val="18"/>
        </w:rPr>
        <w:t>M</w:t>
      </w:r>
      <w:r w:rsidRPr="00FE7FD1">
        <w:rPr>
          <w:rFonts w:ascii="Arial" w:hAnsi="Arial" w:cs="Arial"/>
          <w:b/>
          <w:bCs/>
          <w:sz w:val="18"/>
          <w:szCs w:val="18"/>
        </w:rPr>
        <w:t>anagement</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Pr="007A68AC" w:rsidRDefault="006A257E" w:rsidP="006A257E">
      <w:pPr>
        <w:tabs>
          <w:tab w:val="left" w:pos="432"/>
        </w:tabs>
        <w:ind w:left="426"/>
        <w:jc w:val="both"/>
        <w:rPr>
          <w:rFonts w:ascii="Arial" w:hAnsi="Arial" w:cs="Arial"/>
          <w:bCs/>
          <w:sz w:val="12"/>
          <w:szCs w:val="12"/>
        </w:rPr>
      </w:pPr>
      <w:r w:rsidRPr="00FE7FD1">
        <w:rPr>
          <w:rFonts w:ascii="Arial" w:hAnsi="Arial" w:cs="Arial"/>
          <w:bCs/>
          <w:sz w:val="18"/>
          <w:szCs w:val="18"/>
        </w:rPr>
        <w:tab/>
      </w:r>
    </w:p>
    <w:p w:rsidR="006A257E" w:rsidRPr="00FE7FD1" w:rsidRDefault="006A257E" w:rsidP="006A257E">
      <w:pPr>
        <w:tabs>
          <w:tab w:val="left" w:pos="432"/>
        </w:tabs>
        <w:jc w:val="both"/>
        <w:rPr>
          <w:rFonts w:ascii="Arial" w:hAnsi="Arial" w:cs="Arial"/>
          <w:bCs/>
          <w:sz w:val="18"/>
          <w:szCs w:val="18"/>
        </w:rPr>
      </w:pPr>
      <w:r w:rsidRPr="00FE7FD1">
        <w:rPr>
          <w:rFonts w:ascii="Arial" w:hAnsi="Arial" w:cs="Arial"/>
          <w:bCs/>
          <w:sz w:val="18"/>
          <w:szCs w:val="18"/>
        </w:rPr>
        <w:t>The Company includes cash</w:t>
      </w:r>
      <w:r>
        <w:rPr>
          <w:rFonts w:ascii="Arial" w:hAnsi="Arial" w:cs="Arial"/>
          <w:bCs/>
          <w:sz w:val="18"/>
          <w:szCs w:val="18"/>
        </w:rPr>
        <w:t>, accumulated other comprehensive loss,</w:t>
      </w:r>
      <w:r w:rsidRPr="00FE7FD1">
        <w:rPr>
          <w:rFonts w:ascii="Arial" w:hAnsi="Arial" w:cs="Arial"/>
          <w:bCs/>
          <w:sz w:val="18"/>
          <w:szCs w:val="18"/>
        </w:rPr>
        <w:t xml:space="preserve"> contributed surplus and deficit, in the definition of capital. The Company manages its capital structure and makes adjustments to it, based on the funds available to the Company, in order to support the acquisition, exploration and development of mineral properties. The Board of Directors does not establish</w:t>
      </w:r>
      <w:r>
        <w:rPr>
          <w:rFonts w:ascii="Arial" w:hAnsi="Arial" w:cs="Arial"/>
          <w:bCs/>
          <w:sz w:val="18"/>
          <w:szCs w:val="18"/>
        </w:rPr>
        <w:t xml:space="preserve"> </w:t>
      </w:r>
      <w:r w:rsidRPr="00FE7FD1">
        <w:rPr>
          <w:rFonts w:ascii="Arial" w:hAnsi="Arial" w:cs="Arial"/>
          <w:bCs/>
          <w:sz w:val="18"/>
          <w:szCs w:val="18"/>
        </w:rPr>
        <w:t>quantitative return</w:t>
      </w:r>
      <w:r>
        <w:rPr>
          <w:rFonts w:ascii="Arial" w:hAnsi="Arial" w:cs="Arial"/>
          <w:bCs/>
          <w:sz w:val="18"/>
          <w:szCs w:val="18"/>
        </w:rPr>
        <w:t xml:space="preserve"> </w:t>
      </w:r>
      <w:r w:rsidRPr="00FE7FD1">
        <w:rPr>
          <w:rFonts w:ascii="Arial" w:hAnsi="Arial" w:cs="Arial"/>
          <w:bCs/>
          <w:sz w:val="18"/>
          <w:szCs w:val="18"/>
        </w:rPr>
        <w:t>on capital criteria for management, but rather relies on the expertise of the Company’s management to sustain future development of the business.</w:t>
      </w:r>
    </w:p>
    <w:p w:rsidR="006A257E" w:rsidRPr="00FE7FD1" w:rsidRDefault="006A257E" w:rsidP="006A257E">
      <w:pPr>
        <w:tabs>
          <w:tab w:val="left" w:pos="432"/>
        </w:tabs>
        <w:ind w:left="426"/>
        <w:jc w:val="both"/>
        <w:rPr>
          <w:rFonts w:ascii="Arial" w:hAnsi="Arial" w:cs="Arial"/>
          <w:bCs/>
          <w:sz w:val="18"/>
          <w:szCs w:val="18"/>
        </w:rPr>
      </w:pPr>
      <w:r w:rsidRPr="00FE7FD1">
        <w:rPr>
          <w:rFonts w:ascii="Arial" w:hAnsi="Arial" w:cs="Arial"/>
          <w:bCs/>
          <w:sz w:val="18"/>
          <w:szCs w:val="18"/>
        </w:rPr>
        <w:tab/>
      </w:r>
    </w:p>
    <w:p w:rsidR="006A257E" w:rsidRPr="00FE7FD1" w:rsidRDefault="006A257E" w:rsidP="006A257E">
      <w:pPr>
        <w:tabs>
          <w:tab w:val="left" w:pos="432"/>
        </w:tabs>
        <w:jc w:val="both"/>
        <w:rPr>
          <w:rFonts w:ascii="Arial" w:hAnsi="Arial" w:cs="Arial"/>
          <w:bCs/>
          <w:sz w:val="18"/>
          <w:szCs w:val="18"/>
        </w:rPr>
      </w:pPr>
      <w:r w:rsidRPr="00FE7FD1">
        <w:rPr>
          <w:rFonts w:ascii="Arial" w:hAnsi="Arial" w:cs="Arial"/>
          <w:bCs/>
          <w:sz w:val="18"/>
          <w:szCs w:val="18"/>
        </w:rPr>
        <w:t>The properties in which the Company currently has an interest are in the exploration stage; as such the Company is dependent upon external financings to fund activities. In order to carry out planned exploration and pay for administrative costs, the Company will spend its existing working capital and raise additional funds as needed. The Company will continue to assess new properties and seek to acquire an interest in additional properties if it feels there is sufficient geologic or economic potential and if it has adequate financial resources to do so.</w:t>
      </w:r>
    </w:p>
    <w:p w:rsidR="006A257E" w:rsidRDefault="006A257E" w:rsidP="006A257E">
      <w:pPr>
        <w:tabs>
          <w:tab w:val="left" w:pos="432"/>
        </w:tabs>
        <w:rPr>
          <w:rFonts w:ascii="Arial" w:hAnsi="Arial" w:cs="Arial"/>
          <w:b/>
          <w:sz w:val="18"/>
          <w:szCs w:val="18"/>
        </w:rPr>
      </w:pPr>
    </w:p>
    <w:p w:rsidR="006A257E" w:rsidRDefault="006A257E" w:rsidP="006A257E">
      <w:pPr>
        <w:jc w:val="both"/>
        <w:rPr>
          <w:rFonts w:ascii="Arial" w:hAnsi="Arial" w:cs="Arial"/>
          <w:b/>
          <w:bCs/>
          <w:sz w:val="18"/>
          <w:szCs w:val="18"/>
        </w:rPr>
      </w:pPr>
      <w:r w:rsidRPr="00FE7FD1">
        <w:rPr>
          <w:rFonts w:ascii="Arial" w:hAnsi="Arial" w:cs="Arial"/>
          <w:bCs/>
          <w:sz w:val="18"/>
          <w:szCs w:val="18"/>
        </w:rPr>
        <w:t>Management reviews its capital management approach on an ongoing basis and believes that this approach, given the relative size of the Company, is reasonable. There were no changes in the Company’s approach to capital</w:t>
      </w:r>
      <w:r>
        <w:rPr>
          <w:rFonts w:ascii="Arial" w:hAnsi="Arial" w:cs="Arial"/>
          <w:bCs/>
          <w:sz w:val="18"/>
          <w:szCs w:val="18"/>
        </w:rPr>
        <w:t xml:space="preserve"> </w:t>
      </w:r>
      <w:r w:rsidRPr="00FE7FD1">
        <w:rPr>
          <w:rFonts w:ascii="Arial" w:hAnsi="Arial" w:cs="Arial"/>
          <w:bCs/>
          <w:sz w:val="18"/>
          <w:szCs w:val="18"/>
        </w:rPr>
        <w:t>management during the</w:t>
      </w:r>
      <w:r>
        <w:rPr>
          <w:rFonts w:ascii="Arial" w:hAnsi="Arial" w:cs="Arial"/>
          <w:bCs/>
          <w:sz w:val="18"/>
          <w:szCs w:val="18"/>
        </w:rPr>
        <w:t xml:space="preserve"> periods</w:t>
      </w:r>
      <w:r w:rsidRPr="00FE7FD1">
        <w:rPr>
          <w:rFonts w:ascii="Arial" w:hAnsi="Arial" w:cs="Arial"/>
          <w:bCs/>
          <w:sz w:val="18"/>
          <w:szCs w:val="18"/>
        </w:rPr>
        <w:t xml:space="preserve"> ended </w:t>
      </w:r>
      <w:r>
        <w:rPr>
          <w:rFonts w:ascii="Arial" w:hAnsi="Arial" w:cs="Arial"/>
          <w:bCs/>
          <w:sz w:val="18"/>
          <w:szCs w:val="18"/>
        </w:rPr>
        <w:t>June 30, 2018 and 2017</w:t>
      </w:r>
      <w:r w:rsidRPr="00FE7FD1">
        <w:rPr>
          <w:rFonts w:ascii="Arial" w:hAnsi="Arial" w:cs="Arial"/>
          <w:bCs/>
          <w:sz w:val="18"/>
          <w:szCs w:val="18"/>
        </w:rPr>
        <w:t xml:space="preserve">. The Company is not subject to externally imposed capital requirements. </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Pr="004A3DF4" w:rsidRDefault="006A257E" w:rsidP="006A257E">
      <w:pPr>
        <w:tabs>
          <w:tab w:val="left" w:pos="432"/>
        </w:tabs>
        <w:rPr>
          <w:rFonts w:ascii="Arial" w:hAnsi="Arial" w:cs="Arial"/>
          <w:b/>
          <w:sz w:val="18"/>
          <w:szCs w:val="18"/>
        </w:rPr>
      </w:pPr>
      <w:r>
        <w:rPr>
          <w:rFonts w:ascii="Arial" w:hAnsi="Arial" w:cs="Arial"/>
          <w:b/>
          <w:sz w:val="18"/>
          <w:szCs w:val="18"/>
        </w:rPr>
        <w:t>10</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Equity Instruments</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Default="006A257E" w:rsidP="00444A4B">
      <w:pPr>
        <w:numPr>
          <w:ilvl w:val="0"/>
          <w:numId w:val="15"/>
        </w:numPr>
        <w:tabs>
          <w:tab w:val="left" w:pos="432"/>
        </w:tabs>
        <w:ind w:left="357" w:hanging="357"/>
        <w:jc w:val="both"/>
        <w:rPr>
          <w:rFonts w:ascii="Arial" w:hAnsi="Arial" w:cs="Arial"/>
          <w:sz w:val="18"/>
          <w:szCs w:val="18"/>
          <w:u w:val="single"/>
        </w:rPr>
      </w:pPr>
      <w:r w:rsidRPr="007A68AC">
        <w:rPr>
          <w:rFonts w:ascii="Arial" w:hAnsi="Arial" w:cs="Arial"/>
          <w:sz w:val="18"/>
          <w:szCs w:val="18"/>
          <w:u w:val="single"/>
        </w:rPr>
        <w:t>Authorized</w:t>
      </w:r>
    </w:p>
    <w:p w:rsidR="006A257E" w:rsidRDefault="006A257E" w:rsidP="006A257E">
      <w:pPr>
        <w:tabs>
          <w:tab w:val="left" w:pos="432"/>
        </w:tabs>
        <w:ind w:left="357"/>
        <w:rPr>
          <w:rFonts w:ascii="Arial" w:hAnsi="Arial" w:cs="Arial"/>
          <w:sz w:val="18"/>
          <w:szCs w:val="18"/>
        </w:rPr>
      </w:pPr>
      <w:r>
        <w:rPr>
          <w:rFonts w:ascii="Arial" w:hAnsi="Arial" w:cs="Arial"/>
          <w:sz w:val="18"/>
          <w:szCs w:val="18"/>
        </w:rPr>
        <w:t xml:space="preserve"> </w:t>
      </w:r>
      <w:proofErr w:type="gramStart"/>
      <w:r w:rsidRPr="007A68AC">
        <w:rPr>
          <w:rFonts w:ascii="Arial" w:hAnsi="Arial" w:cs="Arial"/>
          <w:sz w:val="18"/>
          <w:szCs w:val="18"/>
        </w:rPr>
        <w:t xml:space="preserve">Unlimited </w:t>
      </w:r>
      <w:r>
        <w:rPr>
          <w:rFonts w:ascii="Arial" w:hAnsi="Arial" w:cs="Arial"/>
          <w:sz w:val="18"/>
          <w:szCs w:val="18"/>
        </w:rPr>
        <w:t>number of common shares without nominal or par value.</w:t>
      </w:r>
      <w:proofErr w:type="gramEnd"/>
      <w:r>
        <w:rPr>
          <w:rFonts w:ascii="Arial" w:hAnsi="Arial" w:cs="Arial"/>
          <w:sz w:val="18"/>
          <w:szCs w:val="18"/>
        </w:rPr>
        <w:t xml:space="preserve"> </w:t>
      </w:r>
    </w:p>
    <w:p w:rsidR="006A257E" w:rsidRDefault="006A257E" w:rsidP="006A257E">
      <w:pPr>
        <w:tabs>
          <w:tab w:val="left" w:pos="432"/>
        </w:tabs>
        <w:ind w:left="357"/>
        <w:rPr>
          <w:rFonts w:ascii="Arial" w:hAnsi="Arial" w:cs="Arial"/>
          <w:sz w:val="18"/>
          <w:szCs w:val="18"/>
        </w:rPr>
      </w:pPr>
    </w:p>
    <w:p w:rsidR="006A257E" w:rsidRPr="00057E8A" w:rsidRDefault="006A257E" w:rsidP="006A257E">
      <w:pPr>
        <w:pStyle w:val="BodyTextIndent"/>
        <w:ind w:left="432"/>
        <w:rPr>
          <w:rFonts w:ascii="Arial" w:hAnsi="Arial" w:cs="Arial"/>
          <w:sz w:val="18"/>
          <w:szCs w:val="18"/>
        </w:rPr>
      </w:pPr>
      <w:r w:rsidRPr="00057E8A">
        <w:rPr>
          <w:rFonts w:ascii="Arial" w:hAnsi="Arial" w:cs="Arial"/>
          <w:sz w:val="18"/>
          <w:szCs w:val="18"/>
        </w:rPr>
        <w:t>Unlimited number of preference shares without nominal or par value, with the rights, privileges and conditions thereof determined by the directors of the Company at the time of issuance.</w:t>
      </w:r>
    </w:p>
    <w:p w:rsidR="006A257E" w:rsidRPr="007A68AC" w:rsidRDefault="006A257E" w:rsidP="006A257E">
      <w:pPr>
        <w:tabs>
          <w:tab w:val="left" w:pos="432"/>
        </w:tabs>
        <w:ind w:left="357"/>
        <w:rPr>
          <w:rFonts w:ascii="Arial" w:hAnsi="Arial" w:cs="Arial"/>
          <w:sz w:val="18"/>
          <w:szCs w:val="18"/>
        </w:rPr>
      </w:pPr>
    </w:p>
    <w:p w:rsidR="006A257E" w:rsidRDefault="006A257E" w:rsidP="00444A4B">
      <w:pPr>
        <w:numPr>
          <w:ilvl w:val="0"/>
          <w:numId w:val="15"/>
        </w:numPr>
        <w:tabs>
          <w:tab w:val="left" w:pos="432"/>
        </w:tabs>
        <w:ind w:left="357" w:hanging="357"/>
        <w:jc w:val="both"/>
        <w:rPr>
          <w:rFonts w:ascii="Arial" w:hAnsi="Arial" w:cs="Arial"/>
          <w:sz w:val="18"/>
          <w:szCs w:val="18"/>
          <w:u w:val="single"/>
        </w:rPr>
      </w:pPr>
      <w:r>
        <w:rPr>
          <w:rFonts w:ascii="Arial" w:hAnsi="Arial" w:cs="Arial"/>
          <w:sz w:val="18"/>
          <w:szCs w:val="18"/>
          <w:u w:val="single"/>
        </w:rPr>
        <w:t>Issued and outstanding</w:t>
      </w:r>
    </w:p>
    <w:p w:rsidR="006A257E" w:rsidRDefault="006A257E" w:rsidP="006A257E">
      <w:pPr>
        <w:tabs>
          <w:tab w:val="left" w:pos="432"/>
        </w:tabs>
        <w:ind w:left="357"/>
        <w:jc w:val="both"/>
        <w:rPr>
          <w:rFonts w:ascii="Arial" w:hAnsi="Arial" w:cs="Arial"/>
          <w:sz w:val="18"/>
          <w:szCs w:val="18"/>
        </w:rPr>
      </w:pPr>
      <w:r>
        <w:rPr>
          <w:rFonts w:ascii="Arial" w:hAnsi="Arial" w:cs="Arial"/>
          <w:sz w:val="18"/>
          <w:szCs w:val="18"/>
        </w:rPr>
        <w:t xml:space="preserve">  At June 30, 2018, there were 60,201,550 (2017 – 42,256,843 (note 4(k)) shares outstanding.</w:t>
      </w:r>
    </w:p>
    <w:p w:rsidR="006A257E" w:rsidRDefault="006A257E" w:rsidP="006A257E">
      <w:pPr>
        <w:tabs>
          <w:tab w:val="left" w:pos="432"/>
        </w:tabs>
        <w:ind w:left="431" w:hanging="431"/>
        <w:jc w:val="both"/>
        <w:rPr>
          <w:rFonts w:ascii="Arial" w:hAnsi="Arial" w:cs="Arial"/>
          <w:sz w:val="18"/>
          <w:szCs w:val="18"/>
        </w:rPr>
      </w:pPr>
      <w:r>
        <w:rPr>
          <w:rFonts w:ascii="Arial" w:hAnsi="Arial" w:cs="Arial"/>
          <w:sz w:val="18"/>
          <w:szCs w:val="18"/>
        </w:rPr>
        <w:tab/>
      </w:r>
    </w:p>
    <w:p w:rsidR="006A257E" w:rsidRDefault="006A257E" w:rsidP="006A257E">
      <w:pPr>
        <w:tabs>
          <w:tab w:val="left" w:pos="432"/>
        </w:tabs>
        <w:ind w:left="851" w:hanging="851"/>
        <w:jc w:val="both"/>
        <w:rPr>
          <w:rFonts w:ascii="Arial" w:hAnsi="Arial" w:cs="Arial"/>
          <w:sz w:val="18"/>
          <w:szCs w:val="18"/>
        </w:rPr>
      </w:pPr>
      <w:r>
        <w:rPr>
          <w:rFonts w:ascii="Arial" w:hAnsi="Arial" w:cs="Arial"/>
          <w:sz w:val="18"/>
          <w:szCs w:val="18"/>
        </w:rPr>
        <w:tab/>
        <w:t>On April 11, 2018, the Company completed the Plan of Arrangement issuing 44,981,334 common shares to shareholders</w:t>
      </w:r>
    </w:p>
    <w:p w:rsidR="006A257E" w:rsidRDefault="006A257E" w:rsidP="006A257E">
      <w:pPr>
        <w:tabs>
          <w:tab w:val="left" w:pos="432"/>
        </w:tabs>
        <w:jc w:val="both"/>
        <w:rPr>
          <w:rFonts w:ascii="Arial" w:hAnsi="Arial" w:cs="Arial"/>
          <w:sz w:val="18"/>
          <w:szCs w:val="18"/>
        </w:rPr>
      </w:pPr>
      <w:r>
        <w:rPr>
          <w:rFonts w:ascii="Arial" w:hAnsi="Arial" w:cs="Arial"/>
          <w:sz w:val="18"/>
          <w:szCs w:val="18"/>
        </w:rPr>
        <w:tab/>
        <w:t>On April 11, 2018, the Company issued 11,162,716 common shares for proceeds of $300,000.</w:t>
      </w:r>
    </w:p>
    <w:p w:rsidR="006A257E" w:rsidRDefault="006A257E" w:rsidP="006A257E">
      <w:pPr>
        <w:tabs>
          <w:tab w:val="left" w:pos="432"/>
        </w:tabs>
        <w:ind w:left="851" w:hanging="851"/>
        <w:jc w:val="both"/>
        <w:rPr>
          <w:rFonts w:ascii="Arial" w:hAnsi="Arial" w:cs="Arial"/>
          <w:sz w:val="18"/>
          <w:szCs w:val="18"/>
        </w:rPr>
      </w:pPr>
      <w:r>
        <w:rPr>
          <w:rFonts w:ascii="Arial" w:hAnsi="Arial" w:cs="Arial"/>
          <w:sz w:val="18"/>
          <w:szCs w:val="18"/>
        </w:rPr>
        <w:tab/>
        <w:t xml:space="preserve">On April 16, 2018, the Company issued 45,000 shares as per the Plan of Arrangement re the exercise of </w:t>
      </w:r>
      <w:proofErr w:type="gramStart"/>
      <w:r>
        <w:rPr>
          <w:rFonts w:ascii="Arial" w:hAnsi="Arial" w:cs="Arial"/>
          <w:sz w:val="18"/>
          <w:szCs w:val="18"/>
        </w:rPr>
        <w:t>Eagle Plains</w:t>
      </w:r>
      <w:proofErr w:type="gramEnd"/>
      <w:r>
        <w:rPr>
          <w:rFonts w:ascii="Arial" w:hAnsi="Arial" w:cs="Arial"/>
          <w:sz w:val="18"/>
          <w:szCs w:val="18"/>
        </w:rPr>
        <w:t xml:space="preserve"> options and received proceeds of $2,731.</w:t>
      </w:r>
    </w:p>
    <w:p w:rsidR="006A257E" w:rsidRDefault="006A257E" w:rsidP="006A257E">
      <w:pPr>
        <w:tabs>
          <w:tab w:val="left" w:pos="432"/>
        </w:tabs>
        <w:ind w:left="851" w:hanging="851"/>
        <w:jc w:val="both"/>
        <w:rPr>
          <w:rFonts w:ascii="Arial" w:hAnsi="Arial" w:cs="Arial"/>
          <w:sz w:val="18"/>
          <w:szCs w:val="18"/>
        </w:rPr>
      </w:pPr>
      <w:r>
        <w:rPr>
          <w:rFonts w:ascii="Arial" w:hAnsi="Arial" w:cs="Arial"/>
          <w:sz w:val="18"/>
          <w:szCs w:val="18"/>
        </w:rPr>
        <w:tab/>
        <w:t xml:space="preserve">On May 24, 2018, the Company issued 75,000 shares as per the Plan of Arrangement re the exercise of </w:t>
      </w:r>
      <w:proofErr w:type="gramStart"/>
      <w:r>
        <w:rPr>
          <w:rFonts w:ascii="Arial" w:hAnsi="Arial" w:cs="Arial"/>
          <w:sz w:val="18"/>
          <w:szCs w:val="18"/>
        </w:rPr>
        <w:t>Eagle Plains</w:t>
      </w:r>
      <w:proofErr w:type="gramEnd"/>
      <w:r>
        <w:rPr>
          <w:rFonts w:ascii="Arial" w:hAnsi="Arial" w:cs="Arial"/>
          <w:sz w:val="18"/>
          <w:szCs w:val="18"/>
        </w:rPr>
        <w:t xml:space="preserve"> options and received proceeds of $4,551.</w:t>
      </w:r>
    </w:p>
    <w:p w:rsidR="006A257E" w:rsidRDefault="006A257E" w:rsidP="006A257E">
      <w:pPr>
        <w:tabs>
          <w:tab w:val="left" w:pos="432"/>
        </w:tabs>
        <w:ind w:left="851" w:hanging="851"/>
        <w:jc w:val="both"/>
        <w:rPr>
          <w:rFonts w:ascii="Arial" w:hAnsi="Arial" w:cs="Arial"/>
          <w:sz w:val="18"/>
          <w:szCs w:val="18"/>
        </w:rPr>
      </w:pPr>
      <w:r>
        <w:rPr>
          <w:rFonts w:ascii="Arial" w:hAnsi="Arial" w:cs="Arial"/>
          <w:sz w:val="18"/>
          <w:szCs w:val="18"/>
        </w:rPr>
        <w:tab/>
        <w:t>On June 8, 2018, the Company completed a flow-through financing, issued 2,507,500 shares for proceeds of $501,500.</w:t>
      </w:r>
    </w:p>
    <w:p w:rsidR="006A257E" w:rsidRDefault="006A257E" w:rsidP="006A257E">
      <w:pPr>
        <w:tabs>
          <w:tab w:val="left" w:pos="432"/>
        </w:tabs>
        <w:ind w:left="851" w:hanging="851"/>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On June 8, 2018, the Company completed a non-flow-through financing, issued 1,430,000 shares for proceeds of $257,400.</w:t>
      </w:r>
    </w:p>
    <w:p w:rsidR="006A257E" w:rsidRDefault="006A257E" w:rsidP="006A257E">
      <w:pPr>
        <w:tabs>
          <w:tab w:val="left" w:pos="432"/>
        </w:tabs>
        <w:ind w:left="431" w:hanging="431"/>
        <w:jc w:val="both"/>
        <w:rPr>
          <w:rFonts w:ascii="Arial" w:hAnsi="Arial" w:cs="Arial"/>
          <w:sz w:val="18"/>
          <w:szCs w:val="18"/>
        </w:rPr>
      </w:pPr>
    </w:p>
    <w:p w:rsidR="006A257E" w:rsidRPr="00057E8A" w:rsidRDefault="006A257E" w:rsidP="00444A4B">
      <w:pPr>
        <w:widowControl w:val="0"/>
        <w:numPr>
          <w:ilvl w:val="0"/>
          <w:numId w:val="15"/>
        </w:numPr>
        <w:autoSpaceDE w:val="0"/>
        <w:autoSpaceDN w:val="0"/>
        <w:adjustRightInd w:val="0"/>
        <w:ind w:left="357" w:hanging="357"/>
        <w:jc w:val="both"/>
        <w:rPr>
          <w:rFonts w:ascii="Arial" w:hAnsi="Arial" w:cs="Arial"/>
          <w:sz w:val="18"/>
          <w:szCs w:val="18"/>
        </w:rPr>
      </w:pPr>
      <w:r w:rsidRPr="00057E8A">
        <w:rPr>
          <w:rFonts w:ascii="Arial" w:hAnsi="Arial" w:cs="Arial"/>
          <w:sz w:val="18"/>
          <w:szCs w:val="18"/>
        </w:rPr>
        <w:t xml:space="preserve">  </w:t>
      </w:r>
      <w:r w:rsidRPr="00057E8A">
        <w:rPr>
          <w:rFonts w:ascii="Arial" w:hAnsi="Arial" w:cs="Arial"/>
          <w:sz w:val="18"/>
          <w:szCs w:val="18"/>
          <w:u w:val="single"/>
        </w:rPr>
        <w:t>Stock Option Plan</w:t>
      </w:r>
    </w:p>
    <w:p w:rsidR="006A257E" w:rsidRPr="00057E8A" w:rsidRDefault="006A257E" w:rsidP="006A257E">
      <w:pPr>
        <w:tabs>
          <w:tab w:val="left" w:pos="720"/>
        </w:tabs>
        <w:spacing w:before="60"/>
        <w:ind w:left="454"/>
        <w:jc w:val="both"/>
        <w:rPr>
          <w:rFonts w:ascii="Arial" w:hAnsi="Arial" w:cs="Arial"/>
          <w:bCs/>
          <w:sz w:val="18"/>
          <w:szCs w:val="18"/>
          <w:lang w:val="en-GB"/>
        </w:rPr>
      </w:pPr>
      <w:r w:rsidRPr="00057E8A">
        <w:rPr>
          <w:rFonts w:ascii="Arial" w:hAnsi="Arial" w:cs="Arial"/>
          <w:bCs/>
          <w:sz w:val="18"/>
          <w:szCs w:val="18"/>
          <w:lang w:val="en-GB"/>
        </w:rPr>
        <w:t xml:space="preserve">The Company has a stock option plan for employees, directors, officers and consultants. Stock options can be issued up to a maximum number of common shares equal to 10% of the issued and outstanding common shares of the Company. The exercise price of options granted is not less than the market price of the common shares traded less the available discount under </w:t>
      </w:r>
      <w:r>
        <w:rPr>
          <w:rFonts w:ascii="Arial" w:hAnsi="Arial" w:cs="Arial"/>
          <w:bCs/>
          <w:sz w:val="18"/>
          <w:szCs w:val="18"/>
          <w:lang w:val="en-GB"/>
        </w:rPr>
        <w:t>Canadian Securities Exchange</w:t>
      </w:r>
      <w:r w:rsidRPr="00057E8A">
        <w:rPr>
          <w:rFonts w:ascii="Arial" w:hAnsi="Arial" w:cs="Arial"/>
          <w:bCs/>
          <w:sz w:val="18"/>
          <w:szCs w:val="18"/>
          <w:lang w:val="en-GB"/>
        </w:rPr>
        <w:t xml:space="preserve"> policies, and is determined by the Board of Directors. Options granted can have a term of up to 10 years.</w:t>
      </w:r>
    </w:p>
    <w:p w:rsidR="006A257E" w:rsidRPr="00126ADE" w:rsidRDefault="006A257E" w:rsidP="006A257E">
      <w:pPr>
        <w:tabs>
          <w:tab w:val="left" w:pos="432"/>
        </w:tabs>
        <w:ind w:left="431" w:hanging="431"/>
        <w:rPr>
          <w:rFonts w:ascii="Arial" w:hAnsi="Arial" w:cs="Arial"/>
          <w:sz w:val="12"/>
          <w:szCs w:val="12"/>
          <w:u w:val="single"/>
        </w:rPr>
      </w:pPr>
    </w:p>
    <w:p w:rsidR="006A257E" w:rsidRDefault="006A257E" w:rsidP="006A257E">
      <w:pPr>
        <w:tabs>
          <w:tab w:val="left" w:pos="432"/>
        </w:tabs>
        <w:rPr>
          <w:rFonts w:ascii="Arial" w:hAnsi="Arial" w:cs="Arial"/>
          <w:sz w:val="18"/>
          <w:szCs w:val="18"/>
        </w:rPr>
      </w:pPr>
      <w:r>
        <w:rPr>
          <w:rFonts w:ascii="Arial" w:hAnsi="Arial" w:cs="Arial"/>
          <w:sz w:val="18"/>
          <w:szCs w:val="18"/>
        </w:rPr>
        <w:tab/>
        <w:t>There are no options outstanding at June 30, 2018.</w:t>
      </w:r>
    </w:p>
    <w:p w:rsidR="006A257E" w:rsidRDefault="006A257E" w:rsidP="006A257E">
      <w:pPr>
        <w:tabs>
          <w:tab w:val="left" w:pos="432"/>
        </w:tabs>
        <w:rPr>
          <w:rFonts w:ascii="Arial" w:hAnsi="Arial" w:cs="Arial"/>
          <w:b/>
          <w:sz w:val="18"/>
          <w:szCs w:val="18"/>
        </w:rPr>
      </w:pPr>
    </w:p>
    <w:p w:rsidR="006A257E" w:rsidRPr="004A3DF4" w:rsidRDefault="006A257E" w:rsidP="006A257E">
      <w:pPr>
        <w:tabs>
          <w:tab w:val="left" w:pos="432"/>
        </w:tabs>
        <w:rPr>
          <w:rFonts w:ascii="Arial" w:hAnsi="Arial" w:cs="Arial"/>
          <w:b/>
          <w:sz w:val="18"/>
          <w:szCs w:val="18"/>
        </w:rPr>
      </w:pPr>
      <w:r>
        <w:rPr>
          <w:rFonts w:ascii="Arial" w:hAnsi="Arial" w:cs="Arial"/>
          <w:b/>
          <w:sz w:val="18"/>
          <w:szCs w:val="18"/>
        </w:rPr>
        <w:t>10</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Equity Instruments - continued</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sz w:val="12"/>
          <w:szCs w:val="12"/>
        </w:rPr>
      </w:pPr>
    </w:p>
    <w:p w:rsidR="006A257E" w:rsidRPr="00057E8A" w:rsidRDefault="006A257E" w:rsidP="00444A4B">
      <w:pPr>
        <w:widowControl w:val="0"/>
        <w:numPr>
          <w:ilvl w:val="0"/>
          <w:numId w:val="15"/>
        </w:numPr>
        <w:autoSpaceDE w:val="0"/>
        <w:autoSpaceDN w:val="0"/>
        <w:adjustRightInd w:val="0"/>
        <w:ind w:left="357" w:hanging="357"/>
        <w:jc w:val="both"/>
        <w:rPr>
          <w:rFonts w:ascii="Arial" w:hAnsi="Arial" w:cs="Arial"/>
          <w:sz w:val="18"/>
          <w:szCs w:val="18"/>
          <w:u w:val="single"/>
        </w:rPr>
      </w:pPr>
      <w:r w:rsidRPr="007A68AC">
        <w:rPr>
          <w:rFonts w:ascii="Arial" w:hAnsi="Arial" w:cs="Arial"/>
          <w:sz w:val="18"/>
          <w:szCs w:val="18"/>
        </w:rPr>
        <w:t xml:space="preserve"> </w:t>
      </w:r>
      <w:r w:rsidRPr="00057E8A">
        <w:rPr>
          <w:rFonts w:ascii="Arial" w:hAnsi="Arial" w:cs="Arial"/>
          <w:sz w:val="18"/>
          <w:szCs w:val="18"/>
          <w:u w:val="single"/>
        </w:rPr>
        <w:t>Warrants outstanding</w:t>
      </w:r>
    </w:p>
    <w:p w:rsidR="006A257E" w:rsidRDefault="006A257E" w:rsidP="006A257E">
      <w:pPr>
        <w:pStyle w:val="textnotes"/>
        <w:spacing w:before="60"/>
        <w:ind w:left="432"/>
        <w:rPr>
          <w:rFonts w:ascii="Arial" w:hAnsi="Arial" w:cs="Arial"/>
          <w:sz w:val="18"/>
          <w:szCs w:val="18"/>
        </w:rPr>
      </w:pPr>
      <w:r w:rsidRPr="00057E8A">
        <w:rPr>
          <w:rFonts w:ascii="Arial" w:hAnsi="Arial" w:cs="Arial"/>
          <w:sz w:val="18"/>
          <w:szCs w:val="18"/>
        </w:rPr>
        <w:t>At</w:t>
      </w:r>
      <w:r w:rsidRPr="00057E8A">
        <w:rPr>
          <w:rFonts w:ascii="Arial" w:hAnsi="Arial" w:cs="Arial"/>
          <w:b/>
          <w:sz w:val="18"/>
          <w:szCs w:val="18"/>
        </w:rPr>
        <w:t xml:space="preserve">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 and 2017</w:t>
      </w:r>
      <w:r w:rsidRPr="00057E8A">
        <w:rPr>
          <w:rFonts w:ascii="Arial" w:hAnsi="Arial" w:cs="Arial"/>
          <w:sz w:val="18"/>
          <w:szCs w:val="18"/>
        </w:rPr>
        <w:t>, the Company had</w:t>
      </w:r>
      <w:r>
        <w:rPr>
          <w:rFonts w:ascii="Arial" w:hAnsi="Arial" w:cs="Arial"/>
          <w:sz w:val="18"/>
          <w:szCs w:val="18"/>
        </w:rPr>
        <w:t xml:space="preserve"> outstanding, 3,937,500 (2017 – nil) share purchase warrants exercisable at $0.40 (2017 – $nil) and expiring June 6, 2020 (2017 - nil).  These warrants were issued in conjunction with the financing in June 2018.</w:t>
      </w:r>
    </w:p>
    <w:p w:rsidR="006A257E" w:rsidRPr="007A68AC" w:rsidRDefault="006A257E" w:rsidP="006A257E">
      <w:pPr>
        <w:tabs>
          <w:tab w:val="left" w:pos="432"/>
        </w:tabs>
        <w:rPr>
          <w:rFonts w:ascii="Arial" w:hAnsi="Arial" w:cs="Arial"/>
          <w:sz w:val="18"/>
          <w:szCs w:val="18"/>
        </w:rPr>
      </w:pPr>
    </w:p>
    <w:p w:rsidR="006A257E" w:rsidRDefault="006A257E" w:rsidP="00444A4B">
      <w:pPr>
        <w:widowControl w:val="0"/>
        <w:numPr>
          <w:ilvl w:val="0"/>
          <w:numId w:val="15"/>
        </w:numPr>
        <w:autoSpaceDE w:val="0"/>
        <w:autoSpaceDN w:val="0"/>
        <w:adjustRightInd w:val="0"/>
        <w:ind w:left="357" w:hanging="357"/>
        <w:jc w:val="both"/>
        <w:rPr>
          <w:rFonts w:ascii="Arial" w:hAnsi="Arial" w:cs="Arial"/>
          <w:sz w:val="18"/>
          <w:szCs w:val="18"/>
          <w:u w:val="single"/>
        </w:rPr>
      </w:pPr>
      <w:r>
        <w:rPr>
          <w:rFonts w:ascii="Arial" w:hAnsi="Arial" w:cs="Arial"/>
          <w:sz w:val="18"/>
          <w:szCs w:val="18"/>
        </w:rPr>
        <w:t xml:space="preserve"> </w:t>
      </w:r>
      <w:r w:rsidRPr="007A68AC">
        <w:rPr>
          <w:rFonts w:ascii="Arial" w:hAnsi="Arial" w:cs="Arial"/>
          <w:sz w:val="18"/>
          <w:szCs w:val="18"/>
        </w:rPr>
        <w:t xml:space="preserve"> </w:t>
      </w:r>
      <w:r>
        <w:rPr>
          <w:rFonts w:ascii="Arial" w:hAnsi="Arial" w:cs="Arial"/>
          <w:sz w:val="18"/>
          <w:szCs w:val="18"/>
          <w:u w:val="single"/>
        </w:rPr>
        <w:t>Financing</w:t>
      </w:r>
    </w:p>
    <w:p w:rsidR="006A257E" w:rsidRPr="00403D84" w:rsidRDefault="006A257E" w:rsidP="006A257E">
      <w:pPr>
        <w:pStyle w:val="rtejustify"/>
        <w:spacing w:before="0" w:beforeAutospacing="0" w:after="0" w:afterAutospacing="0"/>
        <w:ind w:left="431"/>
        <w:jc w:val="both"/>
        <w:textAlignment w:val="baseline"/>
        <w:rPr>
          <w:rFonts w:ascii="Arial" w:hAnsi="Arial" w:cs="Arial"/>
          <w:sz w:val="18"/>
          <w:szCs w:val="18"/>
          <w:bdr w:val="none" w:sz="0" w:space="0" w:color="auto" w:frame="1"/>
        </w:rPr>
      </w:pPr>
      <w:r w:rsidRPr="00403D84">
        <w:rPr>
          <w:rStyle w:val="Strong"/>
          <w:rFonts w:ascii="Arial" w:hAnsi="Arial" w:cs="Arial"/>
          <w:b w:val="0"/>
          <w:sz w:val="18"/>
          <w:szCs w:val="18"/>
          <w:bdr w:val="none" w:sz="0" w:space="0" w:color="auto" w:frame="1"/>
        </w:rPr>
        <w:t xml:space="preserve">On </w:t>
      </w:r>
      <w:r>
        <w:rPr>
          <w:rStyle w:val="Strong"/>
          <w:rFonts w:ascii="Arial" w:hAnsi="Arial" w:cs="Arial"/>
          <w:b w:val="0"/>
          <w:sz w:val="18"/>
          <w:szCs w:val="18"/>
          <w:bdr w:val="none" w:sz="0" w:space="0" w:color="auto" w:frame="1"/>
        </w:rPr>
        <w:t>June 8</w:t>
      </w:r>
      <w:r w:rsidRPr="00403D84">
        <w:rPr>
          <w:rStyle w:val="Strong"/>
          <w:rFonts w:ascii="Arial" w:hAnsi="Arial" w:cs="Arial"/>
          <w:b w:val="0"/>
          <w:sz w:val="18"/>
          <w:szCs w:val="18"/>
          <w:bdr w:val="none" w:sz="0" w:space="0" w:color="auto" w:frame="1"/>
        </w:rPr>
        <w:t>, 2018, the Company</w:t>
      </w:r>
      <w:r w:rsidRPr="00403D84">
        <w:rPr>
          <w:rFonts w:ascii="Arial" w:hAnsi="Arial" w:cs="Arial"/>
          <w:sz w:val="18"/>
          <w:szCs w:val="18"/>
          <w:bdr w:val="none" w:sz="0" w:space="0" w:color="auto" w:frame="1"/>
        </w:rPr>
        <w:t xml:space="preserve"> closed a brokered and non-brokered public offering.  The financing was offered to arms-length and non-arm’s length investors and was comprised of </w:t>
      </w:r>
      <w:r>
        <w:rPr>
          <w:rFonts w:ascii="Arial" w:hAnsi="Arial" w:cs="Arial"/>
          <w:sz w:val="18"/>
          <w:szCs w:val="18"/>
        </w:rPr>
        <w:t xml:space="preserve">1,430,000 </w:t>
      </w:r>
      <w:r w:rsidRPr="00403D84">
        <w:rPr>
          <w:rFonts w:ascii="Arial" w:hAnsi="Arial" w:cs="Arial"/>
          <w:sz w:val="18"/>
          <w:szCs w:val="18"/>
          <w:bdr w:val="none" w:sz="0" w:space="0" w:color="auto" w:frame="1"/>
        </w:rPr>
        <w:t>non-flow-through units and</w:t>
      </w:r>
      <w:r>
        <w:rPr>
          <w:rFonts w:ascii="Arial" w:hAnsi="Arial" w:cs="Arial"/>
          <w:sz w:val="18"/>
          <w:szCs w:val="18"/>
          <w:bdr w:val="none" w:sz="0" w:space="0" w:color="auto" w:frame="1"/>
        </w:rPr>
        <w:t xml:space="preserve"> </w:t>
      </w:r>
      <w:r w:rsidRPr="00403D84">
        <w:rPr>
          <w:rFonts w:ascii="Arial" w:hAnsi="Arial" w:cs="Arial"/>
          <w:sz w:val="18"/>
          <w:szCs w:val="18"/>
          <w:bdr w:val="none" w:sz="0" w:space="0" w:color="auto" w:frame="1"/>
        </w:rPr>
        <w:t>2,</w:t>
      </w:r>
      <w:r>
        <w:rPr>
          <w:rFonts w:ascii="Arial" w:hAnsi="Arial" w:cs="Arial"/>
          <w:sz w:val="18"/>
          <w:szCs w:val="18"/>
          <w:bdr w:val="none" w:sz="0" w:space="0" w:color="auto" w:frame="1"/>
        </w:rPr>
        <w:t>507</w:t>
      </w:r>
      <w:r w:rsidRPr="00403D84">
        <w:rPr>
          <w:rFonts w:ascii="Arial" w:hAnsi="Arial" w:cs="Arial"/>
          <w:sz w:val="18"/>
          <w:szCs w:val="18"/>
          <w:bdr w:val="none" w:sz="0" w:space="0" w:color="auto" w:frame="1"/>
        </w:rPr>
        <w:t>,</w:t>
      </w:r>
      <w:r>
        <w:rPr>
          <w:rFonts w:ascii="Arial" w:hAnsi="Arial" w:cs="Arial"/>
          <w:sz w:val="18"/>
          <w:szCs w:val="18"/>
          <w:bdr w:val="none" w:sz="0" w:space="0" w:color="auto" w:frame="1"/>
        </w:rPr>
        <w:t>5</w:t>
      </w:r>
      <w:r w:rsidRPr="00403D84">
        <w:rPr>
          <w:rFonts w:ascii="Arial" w:hAnsi="Arial" w:cs="Arial"/>
          <w:sz w:val="18"/>
          <w:szCs w:val="18"/>
          <w:bdr w:val="none" w:sz="0" w:space="0" w:color="auto" w:frame="1"/>
        </w:rPr>
        <w:t xml:space="preserve">00 flow-through units for a total issuance of </w:t>
      </w:r>
      <w:r>
        <w:rPr>
          <w:rFonts w:ascii="Arial" w:hAnsi="Arial" w:cs="Arial"/>
          <w:sz w:val="18"/>
          <w:szCs w:val="18"/>
          <w:bdr w:val="none" w:sz="0" w:space="0" w:color="auto" w:frame="1"/>
        </w:rPr>
        <w:t>3,937,500</w:t>
      </w:r>
      <w:r w:rsidRPr="00403D84">
        <w:rPr>
          <w:rFonts w:ascii="Arial" w:hAnsi="Arial" w:cs="Arial"/>
          <w:sz w:val="18"/>
          <w:szCs w:val="18"/>
          <w:bdr w:val="none" w:sz="0" w:space="0" w:color="auto" w:frame="1"/>
        </w:rPr>
        <w:t xml:space="preserve"> shares and gross proceeds of $</w:t>
      </w:r>
      <w:r>
        <w:rPr>
          <w:rFonts w:ascii="Arial" w:hAnsi="Arial" w:cs="Arial"/>
          <w:sz w:val="18"/>
          <w:szCs w:val="18"/>
          <w:bdr w:val="none" w:sz="0" w:space="0" w:color="auto" w:frame="1"/>
        </w:rPr>
        <w:t>758,900</w:t>
      </w:r>
      <w:r w:rsidRPr="00403D84">
        <w:rPr>
          <w:rFonts w:ascii="Arial" w:hAnsi="Arial" w:cs="Arial"/>
          <w:sz w:val="18"/>
          <w:szCs w:val="18"/>
          <w:bdr w:val="none" w:sz="0" w:space="0" w:color="auto" w:frame="1"/>
        </w:rPr>
        <w:t>. Non-flow-through u</w:t>
      </w:r>
      <w:r>
        <w:rPr>
          <w:rFonts w:ascii="Arial" w:hAnsi="Arial" w:cs="Arial"/>
          <w:sz w:val="18"/>
          <w:szCs w:val="18"/>
          <w:bdr w:val="none" w:sz="0" w:space="0" w:color="auto" w:frame="1"/>
        </w:rPr>
        <w:t>nits were sold at a price of $.18</w:t>
      </w:r>
      <w:r w:rsidRPr="00403D84">
        <w:rPr>
          <w:rFonts w:ascii="Arial" w:hAnsi="Arial" w:cs="Arial"/>
          <w:sz w:val="18"/>
          <w:szCs w:val="18"/>
          <w:bdr w:val="none" w:sz="0" w:space="0" w:color="auto" w:frame="1"/>
        </w:rPr>
        <w:t xml:space="preserve"> per unit, each unit consisting of a non-flow-through common share and one non-flow-through common share purchase warrant, each whole warrant exercisable at $.40 for a 24 month period.  Flow-through units were sold at a price of $.2</w:t>
      </w:r>
      <w:r>
        <w:rPr>
          <w:rFonts w:ascii="Arial" w:hAnsi="Arial" w:cs="Arial"/>
          <w:sz w:val="18"/>
          <w:szCs w:val="18"/>
          <w:bdr w:val="none" w:sz="0" w:space="0" w:color="auto" w:frame="1"/>
        </w:rPr>
        <w:t>0</w:t>
      </w:r>
      <w:r w:rsidRPr="00403D84">
        <w:rPr>
          <w:rFonts w:ascii="Arial" w:hAnsi="Arial" w:cs="Arial"/>
          <w:sz w:val="18"/>
          <w:szCs w:val="18"/>
          <w:bdr w:val="none" w:sz="0" w:space="0" w:color="auto" w:frame="1"/>
        </w:rPr>
        <w:t xml:space="preserve"> per unit, each unit consisting of a flow-through common share and a non-flow-through common share purchase warrant, each whole warrant exercisable at $.40 for a 24 month period.  All issued securities are subject to a hold period expiring </w:t>
      </w:r>
      <w:r>
        <w:rPr>
          <w:rFonts w:ascii="Arial" w:hAnsi="Arial" w:cs="Arial"/>
          <w:sz w:val="18"/>
          <w:szCs w:val="18"/>
          <w:bdr w:val="none" w:sz="0" w:space="0" w:color="auto" w:frame="1"/>
        </w:rPr>
        <w:t>October 7</w:t>
      </w:r>
      <w:r w:rsidRPr="00403D84">
        <w:rPr>
          <w:rFonts w:ascii="Arial" w:hAnsi="Arial" w:cs="Arial"/>
          <w:sz w:val="18"/>
          <w:szCs w:val="18"/>
          <w:bdr w:val="none" w:sz="0" w:space="0" w:color="auto" w:frame="1"/>
        </w:rPr>
        <w:t>, 2018.</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Pr="004A3DF4" w:rsidRDefault="006A257E" w:rsidP="006A257E">
      <w:pPr>
        <w:tabs>
          <w:tab w:val="left" w:pos="432"/>
        </w:tabs>
        <w:rPr>
          <w:rFonts w:ascii="Arial" w:hAnsi="Arial" w:cs="Arial"/>
          <w:b/>
          <w:sz w:val="18"/>
          <w:szCs w:val="18"/>
        </w:rPr>
      </w:pPr>
      <w:r>
        <w:rPr>
          <w:rFonts w:ascii="Arial" w:hAnsi="Arial" w:cs="Arial"/>
          <w:b/>
          <w:sz w:val="18"/>
          <w:szCs w:val="18"/>
        </w:rPr>
        <w:t>11</w:t>
      </w:r>
      <w:r w:rsidRPr="00FE7FD1">
        <w:rPr>
          <w:rFonts w:ascii="Arial" w:hAnsi="Arial" w:cs="Arial"/>
          <w:b/>
          <w:sz w:val="18"/>
          <w:szCs w:val="18"/>
        </w:rPr>
        <w:t>.</w:t>
      </w:r>
      <w:r w:rsidRPr="00FE7FD1">
        <w:rPr>
          <w:rFonts w:ascii="Arial" w:hAnsi="Arial" w:cs="Arial"/>
          <w:b/>
          <w:sz w:val="18"/>
          <w:szCs w:val="18"/>
        </w:rPr>
        <w:tab/>
      </w:r>
      <w:proofErr w:type="gramStart"/>
      <w:r>
        <w:rPr>
          <w:rFonts w:ascii="Arial" w:hAnsi="Arial" w:cs="Arial"/>
          <w:b/>
          <w:bCs/>
          <w:sz w:val="18"/>
          <w:szCs w:val="18"/>
        </w:rPr>
        <w:t>Per</w:t>
      </w:r>
      <w:proofErr w:type="gramEnd"/>
      <w:r>
        <w:rPr>
          <w:rFonts w:ascii="Arial" w:hAnsi="Arial" w:cs="Arial"/>
          <w:b/>
          <w:bCs/>
          <w:sz w:val="18"/>
          <w:szCs w:val="18"/>
        </w:rPr>
        <w:t xml:space="preserve"> Share Amounts</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Pr="00057E8A" w:rsidRDefault="006A257E" w:rsidP="006A257E">
      <w:pPr>
        <w:jc w:val="both"/>
        <w:rPr>
          <w:rFonts w:ascii="Arial" w:hAnsi="Arial" w:cs="Arial"/>
          <w:sz w:val="18"/>
          <w:szCs w:val="18"/>
        </w:rPr>
      </w:pPr>
      <w:r w:rsidRPr="00057E8A">
        <w:rPr>
          <w:rFonts w:ascii="Arial" w:hAnsi="Arial" w:cs="Arial"/>
          <w:sz w:val="18"/>
          <w:szCs w:val="18"/>
        </w:rPr>
        <w:t xml:space="preserve">The calculation of per share amounts have been calculated based on the weighted average number of shares outstanding during the </w:t>
      </w:r>
      <w:r>
        <w:rPr>
          <w:rFonts w:ascii="Arial" w:hAnsi="Arial" w:cs="Arial"/>
          <w:sz w:val="18"/>
          <w:szCs w:val="18"/>
        </w:rPr>
        <w:t>period</w:t>
      </w:r>
      <w:r w:rsidRPr="00057E8A">
        <w:rPr>
          <w:rFonts w:ascii="Arial" w:hAnsi="Arial" w:cs="Arial"/>
          <w:sz w:val="18"/>
          <w:szCs w:val="18"/>
        </w:rPr>
        <w:t xml:space="preserve"> ended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of </w:t>
      </w:r>
      <w:r>
        <w:rPr>
          <w:rFonts w:ascii="Arial" w:hAnsi="Arial" w:cs="Arial"/>
          <w:sz w:val="18"/>
          <w:szCs w:val="18"/>
        </w:rPr>
        <w:t>60,201,550</w:t>
      </w:r>
      <w:r w:rsidRPr="00057E8A">
        <w:rPr>
          <w:rFonts w:ascii="Arial" w:hAnsi="Arial" w:cs="Arial"/>
          <w:sz w:val="18"/>
          <w:szCs w:val="18"/>
        </w:rPr>
        <w:t xml:space="preserve"> shares (201</w:t>
      </w:r>
      <w:r>
        <w:rPr>
          <w:rFonts w:ascii="Arial" w:hAnsi="Arial" w:cs="Arial"/>
          <w:sz w:val="18"/>
          <w:szCs w:val="18"/>
        </w:rPr>
        <w:t>7</w:t>
      </w:r>
      <w:r w:rsidRPr="00057E8A">
        <w:rPr>
          <w:rFonts w:ascii="Arial" w:hAnsi="Arial" w:cs="Arial"/>
          <w:sz w:val="18"/>
          <w:szCs w:val="18"/>
        </w:rPr>
        <w:t xml:space="preserve"> – </w:t>
      </w:r>
      <w:r>
        <w:rPr>
          <w:rFonts w:ascii="Arial" w:hAnsi="Arial" w:cs="Arial"/>
          <w:sz w:val="18"/>
          <w:szCs w:val="18"/>
        </w:rPr>
        <w:t>42,156,834</w:t>
      </w:r>
      <w:r w:rsidRPr="00057E8A">
        <w:rPr>
          <w:rFonts w:ascii="Arial" w:hAnsi="Arial" w:cs="Arial"/>
          <w:sz w:val="18"/>
          <w:szCs w:val="18"/>
        </w:rPr>
        <w:t>). The net effect of applying the treasury-stock method to the weighted average number of shares outstanding had anti-dilutive effect</w:t>
      </w:r>
      <w:r>
        <w:rPr>
          <w:rFonts w:ascii="Arial" w:hAnsi="Arial" w:cs="Arial"/>
          <w:sz w:val="18"/>
          <w:szCs w:val="18"/>
        </w:rPr>
        <w:t xml:space="preserve"> </w:t>
      </w:r>
      <w:r w:rsidRPr="00057E8A">
        <w:rPr>
          <w:rFonts w:ascii="Arial" w:hAnsi="Arial" w:cs="Arial"/>
          <w:sz w:val="18"/>
          <w:szCs w:val="18"/>
        </w:rPr>
        <w:t>for</w:t>
      </w:r>
      <w:r>
        <w:rPr>
          <w:rFonts w:ascii="Arial" w:hAnsi="Arial" w:cs="Arial"/>
          <w:sz w:val="18"/>
          <w:szCs w:val="18"/>
        </w:rPr>
        <w:t xml:space="preserve"> </w:t>
      </w:r>
      <w:r w:rsidRPr="00057E8A">
        <w:rPr>
          <w:rFonts w:ascii="Arial" w:hAnsi="Arial" w:cs="Arial"/>
          <w:sz w:val="18"/>
          <w:szCs w:val="18"/>
        </w:rPr>
        <w:t xml:space="preserve">the </w:t>
      </w:r>
      <w:r>
        <w:rPr>
          <w:rFonts w:ascii="Arial" w:hAnsi="Arial" w:cs="Arial"/>
          <w:sz w:val="18"/>
          <w:szCs w:val="18"/>
        </w:rPr>
        <w:t xml:space="preserve">periods </w:t>
      </w:r>
      <w:r w:rsidRPr="00057E8A">
        <w:rPr>
          <w:rFonts w:ascii="Arial" w:hAnsi="Arial" w:cs="Arial"/>
          <w:sz w:val="18"/>
          <w:szCs w:val="18"/>
        </w:rPr>
        <w:t xml:space="preserve">ended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and 201</w:t>
      </w:r>
      <w:r>
        <w:rPr>
          <w:rFonts w:ascii="Arial" w:hAnsi="Arial" w:cs="Arial"/>
          <w:sz w:val="18"/>
          <w:szCs w:val="18"/>
        </w:rPr>
        <w:t>7</w:t>
      </w:r>
      <w:r w:rsidRPr="00057E8A">
        <w:rPr>
          <w:rFonts w:ascii="Arial" w:hAnsi="Arial" w:cs="Arial"/>
          <w:sz w:val="18"/>
          <w:szCs w:val="18"/>
        </w:rPr>
        <w:t xml:space="preserve">. </w:t>
      </w:r>
    </w:p>
    <w:p w:rsidR="006A257E" w:rsidRPr="00057E8A" w:rsidRDefault="006A257E" w:rsidP="006A257E">
      <w:pPr>
        <w:pBdr>
          <w:bottom w:val="single" w:sz="8" w:space="1" w:color="auto"/>
        </w:pBdr>
        <w:tabs>
          <w:tab w:val="left" w:pos="432"/>
        </w:tabs>
        <w:ind w:left="720" w:hanging="720"/>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Pr="00057E8A" w:rsidRDefault="006A257E" w:rsidP="006A257E">
      <w:pPr>
        <w:tabs>
          <w:tab w:val="left" w:pos="432"/>
        </w:tabs>
        <w:rPr>
          <w:rFonts w:ascii="Arial" w:hAnsi="Arial" w:cs="Arial"/>
          <w:b/>
          <w:bCs/>
          <w:sz w:val="18"/>
          <w:szCs w:val="18"/>
        </w:rPr>
      </w:pPr>
      <w:r w:rsidRPr="00057E8A">
        <w:rPr>
          <w:rFonts w:ascii="Arial" w:hAnsi="Arial" w:cs="Arial"/>
          <w:b/>
          <w:bCs/>
          <w:sz w:val="18"/>
          <w:szCs w:val="18"/>
        </w:rPr>
        <w:t>12.</w:t>
      </w:r>
      <w:r w:rsidRPr="00057E8A">
        <w:rPr>
          <w:rFonts w:ascii="Arial" w:hAnsi="Arial" w:cs="Arial"/>
          <w:b/>
          <w:bCs/>
          <w:sz w:val="18"/>
          <w:szCs w:val="18"/>
        </w:rPr>
        <w:tab/>
        <w:t>Financial Instruments</w:t>
      </w:r>
    </w:p>
    <w:p w:rsidR="006A257E" w:rsidRPr="00057E8A" w:rsidRDefault="006A257E" w:rsidP="006A257E">
      <w:pPr>
        <w:pBdr>
          <w:bottom w:val="single" w:sz="8" w:space="1" w:color="auto"/>
        </w:pBdr>
        <w:tabs>
          <w:tab w:val="left" w:pos="432"/>
        </w:tabs>
        <w:ind w:left="720" w:hanging="720"/>
        <w:rPr>
          <w:rFonts w:ascii="Arial" w:hAnsi="Arial" w:cs="Arial"/>
          <w:bCs/>
          <w:sz w:val="18"/>
          <w:szCs w:val="18"/>
        </w:rPr>
      </w:pPr>
    </w:p>
    <w:p w:rsidR="006A257E" w:rsidRPr="00057E8A" w:rsidRDefault="006A257E" w:rsidP="006A257E">
      <w:pPr>
        <w:widowControl w:val="0"/>
        <w:tabs>
          <w:tab w:val="left" w:pos="6750"/>
          <w:tab w:val="decimal" w:pos="7920"/>
          <w:tab w:val="left" w:pos="8190"/>
          <w:tab w:val="decimal" w:pos="9360"/>
        </w:tabs>
        <w:jc w:val="both"/>
        <w:rPr>
          <w:rFonts w:ascii="Arial" w:hAnsi="Arial" w:cs="Arial"/>
          <w:sz w:val="18"/>
          <w:szCs w:val="18"/>
        </w:rPr>
      </w:pPr>
    </w:p>
    <w:p w:rsidR="006A257E" w:rsidRPr="00057E8A" w:rsidRDefault="006A257E" w:rsidP="006A257E">
      <w:pPr>
        <w:pStyle w:val="cm29"/>
        <w:spacing w:line="228" w:lineRule="auto"/>
        <w:jc w:val="both"/>
        <w:rPr>
          <w:sz w:val="18"/>
          <w:szCs w:val="18"/>
        </w:rPr>
      </w:pPr>
      <w:r w:rsidRPr="00057E8A">
        <w:rPr>
          <w:rFonts w:ascii="Arial" w:hAnsi="Arial" w:cs="Arial"/>
          <w:sz w:val="18"/>
          <w:szCs w:val="18"/>
        </w:rPr>
        <w:t>Financial instruments measured at fair value are classified into one of three levels in the fair value hierarchy according to the relative reliability of the inputs used to estimate the fair values. The three levels of the fair value hierarchy are:</w:t>
      </w:r>
    </w:p>
    <w:p w:rsidR="006A257E" w:rsidRPr="00126ADE" w:rsidRDefault="006A257E" w:rsidP="006A257E">
      <w:pPr>
        <w:tabs>
          <w:tab w:val="left" w:pos="6750"/>
          <w:tab w:val="decimal" w:pos="7920"/>
          <w:tab w:val="left" w:pos="8190"/>
          <w:tab w:val="decimal" w:pos="9360"/>
        </w:tabs>
        <w:ind w:left="450"/>
        <w:jc w:val="both"/>
        <w:rPr>
          <w:rFonts w:ascii="Arial" w:hAnsi="Arial" w:cs="Arial"/>
          <w:sz w:val="12"/>
          <w:szCs w:val="12"/>
        </w:rPr>
      </w:pPr>
    </w:p>
    <w:p w:rsidR="006A257E" w:rsidRPr="00057E8A" w:rsidRDefault="006A257E" w:rsidP="006A257E">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Level 1 – quoted prices (unadjusted) in active markets for identical assets or liabilities;</w:t>
      </w:r>
    </w:p>
    <w:p w:rsidR="006A257E" w:rsidRPr="00057E8A" w:rsidRDefault="006A257E" w:rsidP="006A257E">
      <w:pPr>
        <w:tabs>
          <w:tab w:val="left" w:pos="6750"/>
          <w:tab w:val="decimal" w:pos="7920"/>
          <w:tab w:val="left" w:pos="8190"/>
          <w:tab w:val="decimal" w:pos="9360"/>
        </w:tabs>
        <w:jc w:val="both"/>
        <w:rPr>
          <w:rFonts w:ascii="Arial" w:hAnsi="Arial" w:cs="Arial"/>
          <w:sz w:val="12"/>
          <w:szCs w:val="12"/>
        </w:rPr>
      </w:pPr>
    </w:p>
    <w:p w:rsidR="006A257E" w:rsidRPr="00057E8A" w:rsidRDefault="006A257E" w:rsidP="006A257E">
      <w:pPr>
        <w:tabs>
          <w:tab w:val="left" w:pos="6750"/>
          <w:tab w:val="decimal" w:pos="7920"/>
          <w:tab w:val="left" w:pos="8190"/>
          <w:tab w:val="decimal" w:pos="9360"/>
        </w:tabs>
        <w:ind w:left="864" w:hanging="864"/>
        <w:jc w:val="both"/>
        <w:rPr>
          <w:rFonts w:ascii="Arial" w:hAnsi="Arial" w:cs="Arial"/>
          <w:sz w:val="18"/>
          <w:szCs w:val="18"/>
        </w:rPr>
      </w:pPr>
      <w:r w:rsidRPr="00057E8A">
        <w:rPr>
          <w:rFonts w:ascii="Arial" w:hAnsi="Arial" w:cs="Arial"/>
          <w:sz w:val="18"/>
          <w:szCs w:val="18"/>
        </w:rPr>
        <w:t>Level 2 – inputs other than quoted prices included in Level 1 that are observable for the asset or liability, either     directly (i.e., as prices) or indirectly (i.e., derived from prices); and</w:t>
      </w:r>
    </w:p>
    <w:p w:rsidR="006A257E" w:rsidRPr="00057E8A" w:rsidRDefault="006A257E" w:rsidP="006A257E">
      <w:pPr>
        <w:tabs>
          <w:tab w:val="left" w:pos="6750"/>
          <w:tab w:val="decimal" w:pos="7920"/>
          <w:tab w:val="left" w:pos="8190"/>
          <w:tab w:val="decimal" w:pos="9360"/>
        </w:tabs>
        <w:ind w:left="864" w:hanging="864"/>
        <w:jc w:val="both"/>
        <w:rPr>
          <w:rFonts w:ascii="Arial" w:hAnsi="Arial" w:cs="Arial"/>
          <w:sz w:val="12"/>
          <w:szCs w:val="12"/>
        </w:rPr>
      </w:pPr>
    </w:p>
    <w:p w:rsidR="006A257E" w:rsidRPr="00057E8A" w:rsidRDefault="006A257E" w:rsidP="006A257E">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Level 3 – inputs for the asset or liability that are not based on observable market data (unobservable inputs).</w:t>
      </w:r>
    </w:p>
    <w:p w:rsidR="006A257E" w:rsidRPr="00057E8A" w:rsidRDefault="006A257E" w:rsidP="006A257E">
      <w:pPr>
        <w:tabs>
          <w:tab w:val="left" w:pos="6750"/>
          <w:tab w:val="decimal" w:pos="7920"/>
          <w:tab w:val="left" w:pos="8190"/>
          <w:tab w:val="decimal" w:pos="9360"/>
        </w:tabs>
        <w:jc w:val="both"/>
        <w:rPr>
          <w:rFonts w:ascii="Arial" w:hAnsi="Arial" w:cs="Arial"/>
          <w:sz w:val="18"/>
          <w:szCs w:val="18"/>
        </w:rPr>
      </w:pPr>
    </w:p>
    <w:p w:rsidR="006A257E" w:rsidRPr="00057E8A" w:rsidRDefault="006A257E" w:rsidP="006A257E">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The following table sets forth the Company’s financial assets measured at fair value by level within the fair value hierarchy.</w:t>
      </w:r>
    </w:p>
    <w:p w:rsidR="006A257E" w:rsidRPr="00057E8A" w:rsidRDefault="006A257E" w:rsidP="006A257E">
      <w:pPr>
        <w:tabs>
          <w:tab w:val="left" w:pos="6750"/>
          <w:tab w:val="decimal" w:pos="7920"/>
          <w:tab w:val="left" w:pos="8190"/>
          <w:tab w:val="decimal" w:pos="9360"/>
        </w:tabs>
        <w:ind w:left="450"/>
        <w:jc w:val="both"/>
        <w:rPr>
          <w:rFonts w:ascii="Arial" w:hAnsi="Arial" w:cs="Arial"/>
          <w:sz w:val="12"/>
          <w:szCs w:val="12"/>
        </w:rPr>
      </w:pPr>
    </w:p>
    <w:tbl>
      <w:tblPr>
        <w:tblW w:w="0" w:type="auto"/>
        <w:tblInd w:w="288" w:type="dxa"/>
        <w:tblLayout w:type="fixed"/>
        <w:tblLook w:val="0000" w:firstRow="0" w:lastRow="0" w:firstColumn="0" w:lastColumn="0" w:noHBand="0" w:noVBand="0"/>
      </w:tblPr>
      <w:tblGrid>
        <w:gridCol w:w="2693"/>
        <w:gridCol w:w="1560"/>
        <w:gridCol w:w="1417"/>
        <w:gridCol w:w="1418"/>
        <w:gridCol w:w="1559"/>
      </w:tblGrid>
      <w:tr w:rsidR="006A257E" w:rsidRPr="00057E8A" w:rsidTr="00186ED6">
        <w:trPr>
          <w:trHeight w:val="327"/>
        </w:trPr>
        <w:tc>
          <w:tcPr>
            <w:tcW w:w="2693"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hanging="457"/>
              <w:jc w:val="both"/>
              <w:rPr>
                <w:rFonts w:ascii="Arial" w:hAnsi="Arial" w:cs="Arial"/>
                <w:b/>
                <w:sz w:val="18"/>
                <w:szCs w:val="18"/>
              </w:rPr>
            </w:pPr>
          </w:p>
          <w:p w:rsidR="006A257E" w:rsidRPr="00057E8A" w:rsidRDefault="006A257E" w:rsidP="00186ED6">
            <w:pPr>
              <w:tabs>
                <w:tab w:val="left" w:pos="6750"/>
                <w:tab w:val="decimal" w:pos="7920"/>
                <w:tab w:val="left" w:pos="8190"/>
                <w:tab w:val="decimal" w:pos="9360"/>
              </w:tabs>
              <w:ind w:left="450" w:hanging="457"/>
              <w:jc w:val="both"/>
              <w:rPr>
                <w:rFonts w:ascii="Arial" w:hAnsi="Arial" w:cs="Arial"/>
                <w:b/>
                <w:sz w:val="18"/>
                <w:szCs w:val="18"/>
              </w:rPr>
            </w:pPr>
            <w:r>
              <w:rPr>
                <w:rFonts w:ascii="Arial" w:hAnsi="Arial" w:cs="Arial"/>
                <w:b/>
                <w:sz w:val="18"/>
                <w:szCs w:val="18"/>
              </w:rPr>
              <w:t>June 30</w:t>
            </w:r>
            <w:r w:rsidRPr="00057E8A">
              <w:rPr>
                <w:rFonts w:ascii="Arial" w:hAnsi="Arial" w:cs="Arial"/>
                <w:b/>
                <w:sz w:val="18"/>
                <w:szCs w:val="18"/>
              </w:rPr>
              <w:t>, 201</w:t>
            </w:r>
            <w:r>
              <w:rPr>
                <w:rFonts w:ascii="Arial" w:hAnsi="Arial" w:cs="Arial"/>
                <w:b/>
                <w:sz w:val="18"/>
                <w:szCs w:val="18"/>
              </w:rPr>
              <w:t>8</w:t>
            </w:r>
          </w:p>
        </w:tc>
        <w:tc>
          <w:tcPr>
            <w:tcW w:w="1560"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1</w:t>
            </w:r>
          </w:p>
        </w:tc>
        <w:tc>
          <w:tcPr>
            <w:tcW w:w="1417"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2</w:t>
            </w:r>
          </w:p>
        </w:tc>
        <w:tc>
          <w:tcPr>
            <w:tcW w:w="1418"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Level 3</w:t>
            </w:r>
          </w:p>
        </w:tc>
        <w:tc>
          <w:tcPr>
            <w:tcW w:w="1559"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r w:rsidRPr="00057E8A">
              <w:rPr>
                <w:rFonts w:ascii="Arial" w:hAnsi="Arial" w:cs="Arial"/>
                <w:b/>
                <w:sz w:val="18"/>
                <w:szCs w:val="18"/>
              </w:rPr>
              <w:t>Total</w:t>
            </w:r>
          </w:p>
        </w:tc>
      </w:tr>
      <w:tr w:rsidR="006A257E" w:rsidRPr="00057E8A" w:rsidTr="00186ED6">
        <w:trPr>
          <w:trHeight w:hRule="exact" w:val="144"/>
        </w:trPr>
        <w:tc>
          <w:tcPr>
            <w:tcW w:w="2693"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560"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417"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418"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559"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r>
      <w:tr w:rsidR="006A257E" w:rsidRPr="00057E8A" w:rsidTr="00186ED6">
        <w:tc>
          <w:tcPr>
            <w:tcW w:w="2693" w:type="dxa"/>
            <w:tcBorders>
              <w:left w:val="nil"/>
              <w:right w:val="nil"/>
            </w:tcBorders>
            <w:vAlign w:val="bottom"/>
          </w:tcPr>
          <w:p w:rsidR="006A257E" w:rsidRPr="00057E8A" w:rsidRDefault="006A257E" w:rsidP="00186ED6">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Assets:</w:t>
            </w:r>
          </w:p>
        </w:tc>
        <w:tc>
          <w:tcPr>
            <w:tcW w:w="1560"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417"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418"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c>
          <w:tcPr>
            <w:tcW w:w="1559"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b/>
                <w:sz w:val="18"/>
                <w:szCs w:val="18"/>
              </w:rPr>
            </w:pPr>
          </w:p>
        </w:tc>
      </w:tr>
      <w:tr w:rsidR="006A257E" w:rsidRPr="00057E8A" w:rsidTr="00186ED6">
        <w:tc>
          <w:tcPr>
            <w:tcW w:w="2693"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Cash and cash equivalents</w:t>
            </w:r>
          </w:p>
        </w:tc>
        <w:tc>
          <w:tcPr>
            <w:tcW w:w="1560" w:type="dxa"/>
            <w:tcBorders>
              <w:top w:val="nil"/>
              <w:left w:val="nil"/>
              <w:bottom w:val="single" w:sz="12" w:space="0" w:color="auto"/>
              <w:right w:val="nil"/>
            </w:tcBorders>
            <w:shd w:val="clear" w:color="auto" w:fill="auto"/>
            <w:vAlign w:val="bottom"/>
          </w:tcPr>
          <w:p w:rsidR="006A257E" w:rsidRPr="00057E8A" w:rsidRDefault="006A257E" w:rsidP="00186ED6">
            <w:pPr>
              <w:tabs>
                <w:tab w:val="left" w:pos="6750"/>
                <w:tab w:val="decimal" w:pos="7920"/>
                <w:tab w:val="left" w:pos="8190"/>
                <w:tab w:val="decimal" w:pos="9360"/>
              </w:tabs>
              <w:jc w:val="both"/>
              <w:rPr>
                <w:rFonts w:ascii="Arial" w:hAnsi="Arial" w:cs="Arial"/>
                <w:b/>
                <w:sz w:val="18"/>
                <w:szCs w:val="18"/>
              </w:rPr>
            </w:pPr>
            <w:r>
              <w:rPr>
                <w:rFonts w:ascii="Arial" w:hAnsi="Arial" w:cs="Arial"/>
                <w:b/>
                <w:sz w:val="18"/>
                <w:szCs w:val="18"/>
              </w:rPr>
              <w:t xml:space="preserve">    </w:t>
            </w:r>
            <w:r w:rsidRPr="00057E8A">
              <w:rPr>
                <w:rFonts w:ascii="Arial" w:hAnsi="Arial" w:cs="Arial"/>
                <w:b/>
                <w:sz w:val="18"/>
                <w:szCs w:val="18"/>
              </w:rPr>
              <w:t xml:space="preserve">$    </w:t>
            </w:r>
            <w:r>
              <w:rPr>
                <w:rFonts w:ascii="Arial" w:hAnsi="Arial" w:cs="Arial"/>
                <w:b/>
                <w:sz w:val="18"/>
                <w:szCs w:val="18"/>
              </w:rPr>
              <w:t>999,591</w:t>
            </w:r>
          </w:p>
        </w:tc>
        <w:tc>
          <w:tcPr>
            <w:tcW w:w="1417" w:type="dxa"/>
            <w:tcBorders>
              <w:top w:val="nil"/>
              <w:left w:val="nil"/>
              <w:bottom w:val="single" w:sz="12" w:space="0" w:color="auto"/>
              <w:right w:val="nil"/>
            </w:tcBorders>
            <w:shd w:val="clear" w:color="auto" w:fill="auto"/>
            <w:vAlign w:val="bottom"/>
          </w:tcPr>
          <w:p w:rsidR="006A257E" w:rsidRPr="00057E8A" w:rsidRDefault="006A257E" w:rsidP="00186ED6">
            <w:pPr>
              <w:tabs>
                <w:tab w:val="left" w:pos="6750"/>
                <w:tab w:val="decimal" w:pos="7920"/>
                <w:tab w:val="left" w:pos="8190"/>
                <w:tab w:val="decimal" w:pos="9360"/>
              </w:tabs>
              <w:jc w:val="both"/>
              <w:rPr>
                <w:rFonts w:ascii="Arial" w:hAnsi="Arial" w:cs="Arial"/>
                <w:b/>
                <w:sz w:val="18"/>
                <w:szCs w:val="18"/>
              </w:rPr>
            </w:pPr>
            <w:r w:rsidRPr="00057E8A">
              <w:rPr>
                <w:rFonts w:ascii="Arial" w:hAnsi="Arial" w:cs="Arial"/>
                <w:b/>
                <w:sz w:val="18"/>
                <w:szCs w:val="18"/>
              </w:rPr>
              <w:t>$                  -</w:t>
            </w:r>
          </w:p>
        </w:tc>
        <w:tc>
          <w:tcPr>
            <w:tcW w:w="1418" w:type="dxa"/>
            <w:tcBorders>
              <w:top w:val="nil"/>
              <w:left w:val="nil"/>
              <w:bottom w:val="single" w:sz="12" w:space="0" w:color="auto"/>
              <w:right w:val="nil"/>
            </w:tcBorders>
            <w:shd w:val="clear" w:color="auto" w:fill="auto"/>
            <w:vAlign w:val="bottom"/>
          </w:tcPr>
          <w:p w:rsidR="006A257E" w:rsidRPr="00057E8A" w:rsidRDefault="006A257E" w:rsidP="00186ED6">
            <w:pPr>
              <w:tabs>
                <w:tab w:val="left" w:pos="6750"/>
                <w:tab w:val="decimal" w:pos="7920"/>
                <w:tab w:val="left" w:pos="8190"/>
                <w:tab w:val="decimal" w:pos="9360"/>
              </w:tabs>
              <w:jc w:val="right"/>
              <w:rPr>
                <w:rFonts w:ascii="Arial" w:hAnsi="Arial" w:cs="Arial"/>
                <w:b/>
                <w:sz w:val="18"/>
                <w:szCs w:val="18"/>
              </w:rPr>
            </w:pPr>
            <w:r w:rsidRPr="00057E8A">
              <w:rPr>
                <w:rFonts w:ascii="Arial" w:hAnsi="Arial" w:cs="Arial"/>
                <w:b/>
                <w:sz w:val="18"/>
                <w:szCs w:val="18"/>
              </w:rPr>
              <w:t>$                  -</w:t>
            </w:r>
          </w:p>
        </w:tc>
        <w:tc>
          <w:tcPr>
            <w:tcW w:w="1559" w:type="dxa"/>
            <w:tcBorders>
              <w:top w:val="nil"/>
              <w:left w:val="nil"/>
              <w:bottom w:val="single" w:sz="12" w:space="0" w:color="auto"/>
              <w:right w:val="nil"/>
            </w:tcBorders>
            <w:shd w:val="clear" w:color="auto" w:fill="auto"/>
            <w:vAlign w:val="bottom"/>
          </w:tcPr>
          <w:p w:rsidR="006A257E" w:rsidRPr="00057E8A" w:rsidRDefault="006A257E" w:rsidP="00186ED6">
            <w:pPr>
              <w:tabs>
                <w:tab w:val="left" w:pos="6750"/>
                <w:tab w:val="decimal" w:pos="7920"/>
                <w:tab w:val="left" w:pos="8190"/>
                <w:tab w:val="decimal" w:pos="9360"/>
              </w:tabs>
              <w:jc w:val="center"/>
              <w:rPr>
                <w:rFonts w:ascii="Arial" w:hAnsi="Arial" w:cs="Arial"/>
                <w:b/>
                <w:sz w:val="18"/>
                <w:szCs w:val="18"/>
              </w:rPr>
            </w:pPr>
            <w:r w:rsidRPr="00057E8A">
              <w:rPr>
                <w:rFonts w:ascii="Arial" w:hAnsi="Arial" w:cs="Arial"/>
                <w:b/>
                <w:sz w:val="18"/>
                <w:szCs w:val="18"/>
              </w:rPr>
              <w:t xml:space="preserve">    $</w:t>
            </w:r>
            <w:r w:rsidRPr="00057E8A">
              <w:rPr>
                <w:rFonts w:ascii="Arial" w:hAnsi="Arial" w:cs="Arial"/>
                <w:b/>
                <w:w w:val="50"/>
                <w:sz w:val="18"/>
                <w:szCs w:val="18"/>
              </w:rPr>
              <w:t xml:space="preserve"> </w:t>
            </w:r>
            <w:r w:rsidRPr="00057E8A">
              <w:rPr>
                <w:rFonts w:ascii="Arial" w:hAnsi="Arial" w:cs="Arial"/>
                <w:b/>
                <w:sz w:val="18"/>
                <w:szCs w:val="18"/>
              </w:rPr>
              <w:t xml:space="preserve">   </w:t>
            </w:r>
            <w:r>
              <w:rPr>
                <w:rFonts w:ascii="Arial" w:hAnsi="Arial" w:cs="Arial"/>
                <w:b/>
                <w:sz w:val="18"/>
                <w:szCs w:val="18"/>
              </w:rPr>
              <w:t>999,951</w:t>
            </w:r>
          </w:p>
        </w:tc>
      </w:tr>
    </w:tbl>
    <w:p w:rsidR="006A257E" w:rsidRPr="00057E8A" w:rsidRDefault="006A257E" w:rsidP="006A257E">
      <w:pPr>
        <w:tabs>
          <w:tab w:val="left" w:pos="432"/>
        </w:tabs>
        <w:rPr>
          <w:rFonts w:ascii="Arial" w:hAnsi="Arial" w:cs="Arial"/>
          <w:b/>
          <w:bCs/>
          <w:sz w:val="18"/>
          <w:szCs w:val="18"/>
        </w:rPr>
      </w:pPr>
    </w:p>
    <w:p w:rsidR="006A257E" w:rsidRPr="00057E8A" w:rsidRDefault="006A257E" w:rsidP="006A257E">
      <w:pPr>
        <w:tabs>
          <w:tab w:val="left" w:pos="6750"/>
          <w:tab w:val="decimal" w:pos="7920"/>
          <w:tab w:val="left" w:pos="8190"/>
          <w:tab w:val="decimal" w:pos="9360"/>
        </w:tabs>
        <w:ind w:left="450"/>
        <w:jc w:val="both"/>
        <w:rPr>
          <w:rFonts w:ascii="Arial" w:hAnsi="Arial" w:cs="Arial"/>
          <w:sz w:val="18"/>
          <w:szCs w:val="18"/>
        </w:rPr>
      </w:pPr>
    </w:p>
    <w:tbl>
      <w:tblPr>
        <w:tblW w:w="8647" w:type="dxa"/>
        <w:tblInd w:w="288" w:type="dxa"/>
        <w:tblLayout w:type="fixed"/>
        <w:tblLook w:val="0000" w:firstRow="0" w:lastRow="0" w:firstColumn="0" w:lastColumn="0" w:noHBand="0" w:noVBand="0"/>
      </w:tblPr>
      <w:tblGrid>
        <w:gridCol w:w="2693"/>
        <w:gridCol w:w="1560"/>
        <w:gridCol w:w="1417"/>
        <w:gridCol w:w="1418"/>
        <w:gridCol w:w="1559"/>
      </w:tblGrid>
      <w:tr w:rsidR="006A257E" w:rsidRPr="00057E8A" w:rsidTr="00186ED6">
        <w:trPr>
          <w:trHeight w:val="327"/>
        </w:trPr>
        <w:tc>
          <w:tcPr>
            <w:tcW w:w="2693"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hanging="457"/>
              <w:jc w:val="both"/>
              <w:rPr>
                <w:rFonts w:ascii="Arial" w:hAnsi="Arial" w:cs="Arial"/>
                <w:sz w:val="18"/>
                <w:szCs w:val="18"/>
              </w:rPr>
            </w:pPr>
            <w:r>
              <w:rPr>
                <w:rFonts w:ascii="Arial" w:hAnsi="Arial" w:cs="Arial"/>
                <w:sz w:val="18"/>
                <w:szCs w:val="18"/>
              </w:rPr>
              <w:t>June 30, 2017</w:t>
            </w:r>
          </w:p>
        </w:tc>
        <w:tc>
          <w:tcPr>
            <w:tcW w:w="1560"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1</w:t>
            </w:r>
          </w:p>
        </w:tc>
        <w:tc>
          <w:tcPr>
            <w:tcW w:w="1417"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2</w:t>
            </w:r>
          </w:p>
        </w:tc>
        <w:tc>
          <w:tcPr>
            <w:tcW w:w="1418"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Level 3</w:t>
            </w:r>
          </w:p>
        </w:tc>
        <w:tc>
          <w:tcPr>
            <w:tcW w:w="1559" w:type="dxa"/>
            <w:tcBorders>
              <w:top w:val="double" w:sz="4" w:space="0" w:color="auto"/>
              <w:left w:val="nil"/>
              <w:bottom w:val="single" w:sz="4" w:space="0" w:color="auto"/>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r w:rsidRPr="00057E8A">
              <w:rPr>
                <w:rFonts w:ascii="Arial" w:hAnsi="Arial" w:cs="Arial"/>
                <w:sz w:val="18"/>
                <w:szCs w:val="18"/>
              </w:rPr>
              <w:t>Total</w:t>
            </w:r>
          </w:p>
        </w:tc>
      </w:tr>
      <w:tr w:rsidR="006A257E" w:rsidRPr="00057E8A" w:rsidTr="00186ED6">
        <w:trPr>
          <w:trHeight w:hRule="exact" w:val="144"/>
        </w:trPr>
        <w:tc>
          <w:tcPr>
            <w:tcW w:w="2693"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560"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417"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418"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559" w:type="dxa"/>
            <w:tcBorders>
              <w:top w:val="single" w:sz="4" w:space="0" w:color="auto"/>
              <w:left w:val="nil"/>
              <w:bottom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r>
      <w:tr w:rsidR="006A257E" w:rsidRPr="00057E8A" w:rsidTr="00186ED6">
        <w:tc>
          <w:tcPr>
            <w:tcW w:w="2693" w:type="dxa"/>
            <w:tcBorders>
              <w:left w:val="nil"/>
              <w:right w:val="nil"/>
            </w:tcBorders>
            <w:vAlign w:val="bottom"/>
          </w:tcPr>
          <w:p w:rsidR="006A257E" w:rsidRPr="00057E8A" w:rsidRDefault="006A257E" w:rsidP="00186ED6">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Assets:</w:t>
            </w:r>
          </w:p>
        </w:tc>
        <w:tc>
          <w:tcPr>
            <w:tcW w:w="1560"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417"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418"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c>
          <w:tcPr>
            <w:tcW w:w="1559" w:type="dxa"/>
            <w:tcBorders>
              <w:left w:val="nil"/>
              <w:right w:val="nil"/>
            </w:tcBorders>
            <w:vAlign w:val="bottom"/>
          </w:tcPr>
          <w:p w:rsidR="006A257E" w:rsidRPr="00057E8A" w:rsidRDefault="006A257E" w:rsidP="00186ED6">
            <w:pPr>
              <w:tabs>
                <w:tab w:val="left" w:pos="6750"/>
                <w:tab w:val="decimal" w:pos="7920"/>
                <w:tab w:val="left" w:pos="8190"/>
                <w:tab w:val="decimal" w:pos="9360"/>
              </w:tabs>
              <w:ind w:left="450"/>
              <w:jc w:val="both"/>
              <w:rPr>
                <w:rFonts w:ascii="Arial" w:hAnsi="Arial" w:cs="Arial"/>
                <w:sz w:val="18"/>
                <w:szCs w:val="18"/>
              </w:rPr>
            </w:pPr>
          </w:p>
        </w:tc>
      </w:tr>
      <w:tr w:rsidR="006A257E" w:rsidRPr="00057E8A" w:rsidTr="00186ED6">
        <w:tc>
          <w:tcPr>
            <w:tcW w:w="2693"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Cash and cash equivalents</w:t>
            </w:r>
          </w:p>
        </w:tc>
        <w:tc>
          <w:tcPr>
            <w:tcW w:w="1560"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jc w:val="center"/>
              <w:rPr>
                <w:rFonts w:ascii="Arial" w:hAnsi="Arial" w:cs="Arial"/>
                <w:sz w:val="18"/>
                <w:szCs w:val="18"/>
              </w:rPr>
            </w:pPr>
            <w:r w:rsidRPr="00057E8A">
              <w:rPr>
                <w:rFonts w:ascii="Arial" w:hAnsi="Arial" w:cs="Arial"/>
                <w:sz w:val="18"/>
                <w:szCs w:val="18"/>
              </w:rPr>
              <w:t xml:space="preserve">$  </w:t>
            </w:r>
            <w:r>
              <w:rPr>
                <w:rFonts w:ascii="Arial" w:hAnsi="Arial" w:cs="Arial"/>
                <w:sz w:val="18"/>
                <w:szCs w:val="18"/>
              </w:rPr>
              <w:t xml:space="preserve">    </w:t>
            </w:r>
            <w:r w:rsidRPr="00057E8A">
              <w:rPr>
                <w:rFonts w:ascii="Arial" w:hAnsi="Arial" w:cs="Arial"/>
                <w:sz w:val="18"/>
                <w:szCs w:val="18"/>
              </w:rPr>
              <w:t xml:space="preserve">    </w:t>
            </w:r>
            <w:r>
              <w:rPr>
                <w:rFonts w:ascii="Arial" w:hAnsi="Arial" w:cs="Arial"/>
                <w:sz w:val="18"/>
                <w:szCs w:val="18"/>
              </w:rPr>
              <w:t xml:space="preserve">    1</w:t>
            </w:r>
          </w:p>
        </w:tc>
        <w:tc>
          <w:tcPr>
            <w:tcW w:w="1417"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rPr>
                <w:rFonts w:ascii="Arial" w:hAnsi="Arial" w:cs="Arial"/>
                <w:sz w:val="18"/>
                <w:szCs w:val="18"/>
              </w:rPr>
            </w:pPr>
            <w:r w:rsidRPr="00057E8A">
              <w:rPr>
                <w:rFonts w:ascii="Arial" w:hAnsi="Arial" w:cs="Arial"/>
                <w:sz w:val="18"/>
                <w:szCs w:val="18"/>
              </w:rPr>
              <w:t xml:space="preserve">  </w:t>
            </w:r>
            <w:r w:rsidRPr="00057E8A">
              <w:rPr>
                <w:rFonts w:ascii="Arial" w:hAnsi="Arial" w:cs="Arial"/>
                <w:w w:val="50"/>
                <w:sz w:val="18"/>
                <w:szCs w:val="18"/>
              </w:rPr>
              <w:t xml:space="preserve"> </w:t>
            </w:r>
            <w:r w:rsidRPr="00057E8A">
              <w:rPr>
                <w:rFonts w:ascii="Arial" w:hAnsi="Arial" w:cs="Arial"/>
                <w:sz w:val="18"/>
                <w:szCs w:val="18"/>
              </w:rPr>
              <w:t>$                 -</w:t>
            </w:r>
          </w:p>
        </w:tc>
        <w:tc>
          <w:tcPr>
            <w:tcW w:w="1418"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jc w:val="right"/>
              <w:rPr>
                <w:rFonts w:ascii="Arial" w:hAnsi="Arial" w:cs="Arial"/>
                <w:sz w:val="18"/>
                <w:szCs w:val="18"/>
              </w:rPr>
            </w:pPr>
            <w:r w:rsidRPr="00057E8A">
              <w:rPr>
                <w:rFonts w:ascii="Arial" w:hAnsi="Arial" w:cs="Arial"/>
                <w:sz w:val="18"/>
                <w:szCs w:val="18"/>
              </w:rPr>
              <w:t>$                  -</w:t>
            </w:r>
          </w:p>
        </w:tc>
        <w:tc>
          <w:tcPr>
            <w:tcW w:w="1559" w:type="dxa"/>
            <w:tcBorders>
              <w:top w:val="nil"/>
              <w:left w:val="nil"/>
              <w:bottom w:val="single" w:sz="12" w:space="0" w:color="auto"/>
              <w:right w:val="nil"/>
            </w:tcBorders>
            <w:vAlign w:val="bottom"/>
          </w:tcPr>
          <w:p w:rsidR="006A257E" w:rsidRPr="00057E8A" w:rsidRDefault="006A257E" w:rsidP="00186ED6">
            <w:pPr>
              <w:tabs>
                <w:tab w:val="left" w:pos="6750"/>
                <w:tab w:val="decimal" w:pos="7920"/>
                <w:tab w:val="left" w:pos="8190"/>
                <w:tab w:val="decimal" w:pos="9360"/>
              </w:tabs>
              <w:jc w:val="center"/>
              <w:rPr>
                <w:rFonts w:ascii="Arial" w:hAnsi="Arial" w:cs="Arial"/>
                <w:sz w:val="18"/>
                <w:szCs w:val="18"/>
              </w:rPr>
            </w:pPr>
            <w:r w:rsidRPr="00057E8A">
              <w:rPr>
                <w:rFonts w:ascii="Arial" w:hAnsi="Arial" w:cs="Arial"/>
                <w:sz w:val="18"/>
                <w:szCs w:val="18"/>
              </w:rPr>
              <w:t>$</w:t>
            </w:r>
            <w:r w:rsidRPr="00057E8A">
              <w:rPr>
                <w:rFonts w:ascii="Arial" w:hAnsi="Arial" w:cs="Arial"/>
                <w:w w:val="50"/>
                <w:sz w:val="18"/>
                <w:szCs w:val="18"/>
              </w:rPr>
              <w:t xml:space="preserve"> </w:t>
            </w:r>
            <w:r w:rsidRPr="00057E8A">
              <w:rPr>
                <w:rFonts w:ascii="Arial" w:hAnsi="Arial" w:cs="Arial"/>
                <w:sz w:val="18"/>
                <w:szCs w:val="18"/>
              </w:rPr>
              <w:t xml:space="preserve">  </w:t>
            </w:r>
            <w:r>
              <w:rPr>
                <w:rFonts w:ascii="Arial" w:hAnsi="Arial" w:cs="Arial"/>
                <w:sz w:val="18"/>
                <w:szCs w:val="18"/>
              </w:rPr>
              <w:t xml:space="preserve">   </w:t>
            </w:r>
            <w:r w:rsidRPr="00057E8A">
              <w:rPr>
                <w:rFonts w:ascii="Arial" w:hAnsi="Arial" w:cs="Arial"/>
                <w:sz w:val="18"/>
                <w:szCs w:val="18"/>
              </w:rPr>
              <w:t xml:space="preserve"> </w:t>
            </w:r>
            <w:r>
              <w:rPr>
                <w:rFonts w:ascii="Arial" w:hAnsi="Arial" w:cs="Arial"/>
                <w:sz w:val="18"/>
                <w:szCs w:val="18"/>
              </w:rPr>
              <w:t>1</w:t>
            </w:r>
          </w:p>
        </w:tc>
      </w:tr>
    </w:tbl>
    <w:p w:rsidR="006A257E" w:rsidRDefault="006A257E" w:rsidP="006A257E">
      <w:pPr>
        <w:tabs>
          <w:tab w:val="left" w:pos="6750"/>
          <w:tab w:val="decimal" w:pos="7920"/>
          <w:tab w:val="left" w:pos="8190"/>
          <w:tab w:val="decimal" w:pos="9360"/>
        </w:tabs>
        <w:jc w:val="both"/>
        <w:rPr>
          <w:rFonts w:ascii="Arial" w:hAnsi="Arial" w:cs="Arial"/>
          <w:sz w:val="18"/>
          <w:szCs w:val="18"/>
        </w:rPr>
      </w:pPr>
    </w:p>
    <w:p w:rsidR="006A257E" w:rsidRDefault="006A257E" w:rsidP="006A257E">
      <w:pPr>
        <w:tabs>
          <w:tab w:val="left" w:pos="6750"/>
          <w:tab w:val="decimal" w:pos="7920"/>
          <w:tab w:val="left" w:pos="8190"/>
          <w:tab w:val="decimal" w:pos="9360"/>
        </w:tabs>
        <w:jc w:val="both"/>
        <w:rPr>
          <w:rFonts w:ascii="Arial" w:hAnsi="Arial" w:cs="Arial"/>
          <w:sz w:val="18"/>
          <w:szCs w:val="18"/>
        </w:rPr>
      </w:pPr>
    </w:p>
    <w:p w:rsidR="006A257E" w:rsidRDefault="006A257E" w:rsidP="006A257E">
      <w:pPr>
        <w:tabs>
          <w:tab w:val="left" w:pos="432"/>
        </w:tabs>
        <w:rPr>
          <w:rFonts w:ascii="Arial" w:hAnsi="Arial" w:cs="Arial"/>
          <w:b/>
          <w:bCs/>
          <w:sz w:val="18"/>
          <w:szCs w:val="18"/>
        </w:rPr>
      </w:pPr>
    </w:p>
    <w:p w:rsidR="006A257E" w:rsidRDefault="006A257E" w:rsidP="006A257E">
      <w:pPr>
        <w:tabs>
          <w:tab w:val="left" w:pos="432"/>
        </w:tabs>
        <w:rPr>
          <w:rFonts w:ascii="Arial" w:hAnsi="Arial" w:cs="Arial"/>
          <w:b/>
          <w:bCs/>
          <w:sz w:val="18"/>
          <w:szCs w:val="18"/>
        </w:rPr>
      </w:pPr>
    </w:p>
    <w:p w:rsidR="006A257E" w:rsidRDefault="006A257E" w:rsidP="006A257E">
      <w:pPr>
        <w:tabs>
          <w:tab w:val="left" w:pos="432"/>
        </w:tabs>
        <w:rPr>
          <w:rFonts w:ascii="Arial" w:hAnsi="Arial" w:cs="Arial"/>
          <w:b/>
          <w:bCs/>
          <w:sz w:val="18"/>
          <w:szCs w:val="18"/>
        </w:rPr>
      </w:pPr>
    </w:p>
    <w:p w:rsidR="006A257E" w:rsidRPr="00057E8A" w:rsidRDefault="006A257E" w:rsidP="006A257E">
      <w:pPr>
        <w:tabs>
          <w:tab w:val="left" w:pos="432"/>
        </w:tabs>
        <w:rPr>
          <w:rFonts w:ascii="Arial" w:hAnsi="Arial" w:cs="Arial"/>
          <w:b/>
          <w:bCs/>
          <w:sz w:val="18"/>
          <w:szCs w:val="18"/>
        </w:rPr>
      </w:pPr>
      <w:r w:rsidRPr="00057E8A">
        <w:rPr>
          <w:rFonts w:ascii="Arial" w:hAnsi="Arial" w:cs="Arial"/>
          <w:b/>
          <w:bCs/>
          <w:sz w:val="18"/>
          <w:szCs w:val="18"/>
        </w:rPr>
        <w:t>12.</w:t>
      </w:r>
      <w:r w:rsidRPr="00057E8A">
        <w:rPr>
          <w:rFonts w:ascii="Arial" w:hAnsi="Arial" w:cs="Arial"/>
          <w:b/>
          <w:bCs/>
          <w:sz w:val="18"/>
          <w:szCs w:val="18"/>
        </w:rPr>
        <w:tab/>
        <w:t>Financial Instruments</w:t>
      </w:r>
      <w:r>
        <w:rPr>
          <w:rFonts w:ascii="Arial" w:hAnsi="Arial" w:cs="Arial"/>
          <w:b/>
          <w:bCs/>
          <w:sz w:val="18"/>
          <w:szCs w:val="18"/>
        </w:rPr>
        <w:t xml:space="preserve"> - continued</w:t>
      </w:r>
    </w:p>
    <w:p w:rsidR="006A257E" w:rsidRPr="00057E8A" w:rsidRDefault="006A257E" w:rsidP="006A257E">
      <w:pPr>
        <w:pBdr>
          <w:bottom w:val="single" w:sz="8" w:space="1" w:color="auto"/>
        </w:pBdr>
        <w:tabs>
          <w:tab w:val="left" w:pos="432"/>
        </w:tabs>
        <w:ind w:left="720" w:hanging="720"/>
        <w:rPr>
          <w:rFonts w:ascii="Arial" w:hAnsi="Arial" w:cs="Arial"/>
          <w:bCs/>
          <w:sz w:val="18"/>
          <w:szCs w:val="18"/>
        </w:rPr>
      </w:pPr>
    </w:p>
    <w:p w:rsidR="006A257E" w:rsidRDefault="006A257E" w:rsidP="006A257E">
      <w:pPr>
        <w:tabs>
          <w:tab w:val="left" w:pos="6750"/>
          <w:tab w:val="decimal" w:pos="7920"/>
          <w:tab w:val="left" w:pos="8190"/>
          <w:tab w:val="decimal" w:pos="9360"/>
        </w:tabs>
        <w:jc w:val="both"/>
        <w:rPr>
          <w:rFonts w:ascii="Arial" w:hAnsi="Arial" w:cs="Arial"/>
          <w:sz w:val="18"/>
          <w:szCs w:val="18"/>
        </w:rPr>
      </w:pPr>
    </w:p>
    <w:p w:rsidR="006A257E" w:rsidRPr="00057E8A" w:rsidRDefault="006A257E" w:rsidP="006A257E">
      <w:pPr>
        <w:tabs>
          <w:tab w:val="left" w:pos="6750"/>
          <w:tab w:val="decimal" w:pos="7920"/>
          <w:tab w:val="left" w:pos="8190"/>
          <w:tab w:val="decimal" w:pos="9360"/>
        </w:tabs>
        <w:jc w:val="both"/>
        <w:rPr>
          <w:rFonts w:ascii="Arial" w:hAnsi="Arial" w:cs="Arial"/>
          <w:sz w:val="18"/>
          <w:szCs w:val="18"/>
        </w:rPr>
      </w:pPr>
      <w:r w:rsidRPr="00057E8A">
        <w:rPr>
          <w:rFonts w:ascii="Arial" w:hAnsi="Arial" w:cs="Arial"/>
          <w:sz w:val="18"/>
          <w:szCs w:val="18"/>
        </w:rPr>
        <w:t xml:space="preserve">As disclosed in Note </w:t>
      </w:r>
      <w:r>
        <w:rPr>
          <w:rFonts w:ascii="Arial" w:hAnsi="Arial" w:cs="Arial"/>
          <w:sz w:val="18"/>
          <w:szCs w:val="18"/>
        </w:rPr>
        <w:t>4</w:t>
      </w:r>
      <w:r w:rsidRPr="00057E8A">
        <w:rPr>
          <w:rFonts w:ascii="Arial" w:hAnsi="Arial" w:cs="Arial"/>
          <w:sz w:val="18"/>
          <w:szCs w:val="18"/>
        </w:rPr>
        <w:t>(c), the Company holds various forms of financial instruments.  The nature of these instruments and the Company’s operations expose the Company to concentration risk, credit risk, currency risk, price risk and</w:t>
      </w:r>
      <w:r>
        <w:rPr>
          <w:rFonts w:ascii="Arial" w:hAnsi="Arial" w:cs="Arial"/>
          <w:sz w:val="18"/>
          <w:szCs w:val="18"/>
        </w:rPr>
        <w:t xml:space="preserve"> </w:t>
      </w:r>
      <w:r w:rsidRPr="00057E8A">
        <w:rPr>
          <w:rFonts w:ascii="Arial" w:hAnsi="Arial" w:cs="Arial"/>
          <w:sz w:val="18"/>
          <w:szCs w:val="18"/>
        </w:rPr>
        <w:t>commodity price risk.  The Company manages its exposure to these risks by operating in a manner that minimizes its exposure to the extent practical.</w:t>
      </w:r>
    </w:p>
    <w:p w:rsidR="006A257E" w:rsidRPr="00057E8A" w:rsidRDefault="006A257E" w:rsidP="006A257E">
      <w:pPr>
        <w:widowControl w:val="0"/>
        <w:tabs>
          <w:tab w:val="left" w:pos="900"/>
        </w:tabs>
        <w:ind w:left="432"/>
        <w:jc w:val="both"/>
        <w:rPr>
          <w:rFonts w:ascii="Arial" w:hAnsi="Arial" w:cs="Arial"/>
          <w:sz w:val="18"/>
          <w:szCs w:val="18"/>
        </w:rPr>
      </w:pPr>
    </w:p>
    <w:p w:rsidR="006A257E" w:rsidRPr="00057E8A" w:rsidRDefault="006A257E" w:rsidP="00444A4B">
      <w:pPr>
        <w:widowControl w:val="0"/>
        <w:numPr>
          <w:ilvl w:val="0"/>
          <w:numId w:val="16"/>
        </w:numPr>
        <w:ind w:left="288"/>
        <w:jc w:val="both"/>
        <w:rPr>
          <w:rFonts w:ascii="Arial" w:hAnsi="Arial" w:cs="Arial"/>
          <w:sz w:val="18"/>
          <w:szCs w:val="18"/>
          <w:u w:val="single"/>
        </w:rPr>
      </w:pPr>
      <w:r w:rsidRPr="00057E8A">
        <w:rPr>
          <w:rFonts w:ascii="Arial" w:hAnsi="Arial" w:cs="Arial"/>
          <w:sz w:val="18"/>
          <w:szCs w:val="18"/>
          <w:u w:val="single"/>
        </w:rPr>
        <w:t>Concentration risk</w:t>
      </w:r>
    </w:p>
    <w:p w:rsidR="006A257E" w:rsidRPr="00057E8A" w:rsidRDefault="006A257E" w:rsidP="006A257E">
      <w:pPr>
        <w:widowControl w:val="0"/>
        <w:tabs>
          <w:tab w:val="left" w:pos="900"/>
        </w:tabs>
        <w:ind w:left="432"/>
        <w:jc w:val="both"/>
        <w:rPr>
          <w:rFonts w:ascii="Arial" w:hAnsi="Arial" w:cs="Arial"/>
          <w:sz w:val="18"/>
          <w:szCs w:val="18"/>
        </w:rPr>
      </w:pPr>
      <w:r w:rsidRPr="00057E8A">
        <w:rPr>
          <w:rFonts w:ascii="Arial" w:hAnsi="Arial" w:cs="Arial"/>
          <w:sz w:val="18"/>
          <w:szCs w:val="18"/>
        </w:rPr>
        <w:t xml:space="preserve">At </w:t>
      </w:r>
      <w:r>
        <w:rPr>
          <w:rFonts w:ascii="Arial" w:hAnsi="Arial" w:cs="Arial"/>
          <w:sz w:val="18"/>
          <w:szCs w:val="18"/>
        </w:rPr>
        <w:t>June 30</w:t>
      </w:r>
      <w:r w:rsidRPr="00057E8A">
        <w:rPr>
          <w:rFonts w:ascii="Arial" w:hAnsi="Arial" w:cs="Arial"/>
          <w:sz w:val="18"/>
          <w:szCs w:val="18"/>
        </w:rPr>
        <w:t>, 201</w:t>
      </w:r>
      <w:r>
        <w:rPr>
          <w:rFonts w:ascii="Arial" w:hAnsi="Arial" w:cs="Arial"/>
          <w:sz w:val="18"/>
          <w:szCs w:val="18"/>
        </w:rPr>
        <w:t>8</w:t>
      </w:r>
      <w:r w:rsidRPr="00057E8A">
        <w:rPr>
          <w:rFonts w:ascii="Arial" w:hAnsi="Arial" w:cs="Arial"/>
          <w:sz w:val="18"/>
          <w:szCs w:val="18"/>
        </w:rPr>
        <w:t xml:space="preserve"> and 201</w:t>
      </w:r>
      <w:r>
        <w:rPr>
          <w:rFonts w:ascii="Arial" w:hAnsi="Arial" w:cs="Arial"/>
          <w:sz w:val="18"/>
          <w:szCs w:val="18"/>
        </w:rPr>
        <w:t>7</w:t>
      </w:r>
      <w:r w:rsidRPr="00057E8A">
        <w:rPr>
          <w:rFonts w:ascii="Arial" w:hAnsi="Arial" w:cs="Arial"/>
          <w:sz w:val="18"/>
          <w:szCs w:val="18"/>
        </w:rPr>
        <w:t xml:space="preserve">, substantially all of the Company’s cash was held at </w:t>
      </w:r>
      <w:r>
        <w:rPr>
          <w:rFonts w:ascii="Arial" w:hAnsi="Arial" w:cs="Arial"/>
          <w:sz w:val="18"/>
          <w:szCs w:val="18"/>
        </w:rPr>
        <w:t>one</w:t>
      </w:r>
      <w:r w:rsidRPr="00057E8A">
        <w:rPr>
          <w:rFonts w:ascii="Arial" w:hAnsi="Arial" w:cs="Arial"/>
          <w:sz w:val="18"/>
          <w:szCs w:val="18"/>
        </w:rPr>
        <w:t xml:space="preserve"> recognized Canadian National financial institution.  As a result, the Company was exposed to all of the risks associated with th</w:t>
      </w:r>
      <w:r>
        <w:rPr>
          <w:rFonts w:ascii="Arial" w:hAnsi="Arial" w:cs="Arial"/>
          <w:sz w:val="18"/>
          <w:szCs w:val="18"/>
        </w:rPr>
        <w:t>at</w:t>
      </w:r>
      <w:r w:rsidRPr="00057E8A">
        <w:rPr>
          <w:rFonts w:ascii="Arial" w:hAnsi="Arial" w:cs="Arial"/>
          <w:sz w:val="18"/>
          <w:szCs w:val="18"/>
        </w:rPr>
        <w:t xml:space="preserve"> institution. </w:t>
      </w:r>
    </w:p>
    <w:p w:rsidR="006A257E" w:rsidRPr="00057E8A" w:rsidRDefault="006A257E" w:rsidP="006A257E">
      <w:pPr>
        <w:tabs>
          <w:tab w:val="left" w:pos="432"/>
        </w:tabs>
        <w:rPr>
          <w:rFonts w:ascii="Arial" w:hAnsi="Arial" w:cs="Arial"/>
          <w:b/>
          <w:bCs/>
          <w:sz w:val="18"/>
          <w:szCs w:val="18"/>
        </w:rPr>
      </w:pPr>
    </w:p>
    <w:p w:rsidR="006A257E" w:rsidRPr="00057E8A" w:rsidRDefault="006A257E" w:rsidP="00444A4B">
      <w:pPr>
        <w:widowControl w:val="0"/>
        <w:numPr>
          <w:ilvl w:val="0"/>
          <w:numId w:val="16"/>
        </w:numPr>
        <w:autoSpaceDE w:val="0"/>
        <w:autoSpaceDN w:val="0"/>
        <w:adjustRightInd w:val="0"/>
        <w:ind w:left="288"/>
        <w:jc w:val="both"/>
        <w:rPr>
          <w:rFonts w:ascii="Arial" w:hAnsi="Arial" w:cs="Arial"/>
          <w:sz w:val="18"/>
          <w:szCs w:val="18"/>
          <w:u w:val="single"/>
        </w:rPr>
      </w:pPr>
      <w:r w:rsidRPr="00057E8A">
        <w:rPr>
          <w:rFonts w:ascii="Arial" w:hAnsi="Arial" w:cs="Arial"/>
          <w:sz w:val="18"/>
          <w:szCs w:val="18"/>
          <w:u w:val="single"/>
        </w:rPr>
        <w:t>Credit risk</w:t>
      </w:r>
    </w:p>
    <w:p w:rsidR="006A257E" w:rsidRPr="00057E8A" w:rsidRDefault="006A257E" w:rsidP="006A257E">
      <w:pPr>
        <w:widowControl w:val="0"/>
        <w:ind w:left="432"/>
        <w:jc w:val="both"/>
        <w:outlineLvl w:val="0"/>
        <w:rPr>
          <w:rFonts w:ascii="Arial" w:hAnsi="Arial" w:cs="Arial"/>
          <w:sz w:val="18"/>
          <w:szCs w:val="18"/>
        </w:rPr>
      </w:pPr>
      <w:r w:rsidRPr="00057E8A">
        <w:rPr>
          <w:rFonts w:ascii="Arial" w:hAnsi="Arial" w:cs="Arial"/>
          <w:sz w:val="18"/>
          <w:szCs w:val="18"/>
        </w:rPr>
        <w:t>The Company is exposed to credit risk, which is the risk that a customer or counterparty will fail to perform an obligation or settle a liability, resulting in financial loss to the Company. The Company manages exposure to credit risk by adopting credit risk guidelines that limit transactions according to counterparty credit worthiness. The maximum credit exposure associated with accounts receivable is the carrying value.</w:t>
      </w:r>
    </w:p>
    <w:p w:rsidR="006A257E" w:rsidRPr="00057E8A" w:rsidRDefault="006A257E" w:rsidP="006A257E">
      <w:pPr>
        <w:tabs>
          <w:tab w:val="left" w:pos="900"/>
        </w:tabs>
        <w:ind w:left="720"/>
        <w:jc w:val="both"/>
        <w:rPr>
          <w:rFonts w:ascii="Arial" w:hAnsi="Arial" w:cs="Arial"/>
          <w:sz w:val="18"/>
          <w:szCs w:val="18"/>
        </w:rPr>
      </w:pPr>
    </w:p>
    <w:p w:rsidR="006A257E" w:rsidRPr="00057E8A" w:rsidRDefault="006A257E" w:rsidP="00444A4B">
      <w:pPr>
        <w:widowControl w:val="0"/>
        <w:numPr>
          <w:ilvl w:val="0"/>
          <w:numId w:val="16"/>
        </w:numPr>
        <w:autoSpaceDE w:val="0"/>
        <w:autoSpaceDN w:val="0"/>
        <w:adjustRightInd w:val="0"/>
        <w:ind w:hanging="720"/>
        <w:jc w:val="both"/>
        <w:rPr>
          <w:rFonts w:ascii="Arial" w:hAnsi="Arial" w:cs="Arial"/>
          <w:sz w:val="18"/>
          <w:szCs w:val="18"/>
          <w:u w:val="single"/>
        </w:rPr>
      </w:pPr>
      <w:r w:rsidRPr="00057E8A">
        <w:rPr>
          <w:rFonts w:ascii="Arial" w:hAnsi="Arial" w:cs="Arial"/>
          <w:sz w:val="18"/>
          <w:szCs w:val="18"/>
          <w:u w:val="single"/>
        </w:rPr>
        <w:t>Currency risk</w:t>
      </w:r>
    </w:p>
    <w:p w:rsidR="006A257E" w:rsidRPr="00057E8A" w:rsidRDefault="006A257E" w:rsidP="006A257E">
      <w:pPr>
        <w:tabs>
          <w:tab w:val="left" w:pos="900"/>
        </w:tabs>
        <w:ind w:left="432"/>
        <w:jc w:val="both"/>
        <w:rPr>
          <w:rFonts w:ascii="Arial" w:hAnsi="Arial" w:cs="Arial"/>
          <w:sz w:val="18"/>
          <w:szCs w:val="18"/>
        </w:rPr>
      </w:pPr>
      <w:r w:rsidRPr="00057E8A">
        <w:rPr>
          <w:rFonts w:ascii="Arial" w:hAnsi="Arial" w:cs="Arial"/>
          <w:sz w:val="18"/>
          <w:szCs w:val="18"/>
        </w:rPr>
        <w:t>Currency risk is the risk to the Company's operations that arise from fluctuations of foreign exchange rates and the degree of volatility of these rates. The Company does not use derivative instruments to reduce its exposure to foreign currency risk. The Company is not exposed to significant currency risk.</w:t>
      </w:r>
    </w:p>
    <w:p w:rsidR="006A257E" w:rsidRPr="00057E8A" w:rsidRDefault="006A257E" w:rsidP="006A257E">
      <w:pPr>
        <w:tabs>
          <w:tab w:val="left" w:pos="900"/>
        </w:tabs>
        <w:ind w:left="432"/>
        <w:jc w:val="both"/>
        <w:rPr>
          <w:rFonts w:ascii="Arial" w:hAnsi="Arial" w:cs="Arial"/>
          <w:sz w:val="18"/>
          <w:szCs w:val="18"/>
        </w:rPr>
      </w:pPr>
    </w:p>
    <w:p w:rsidR="006A257E" w:rsidRPr="00057E8A" w:rsidRDefault="006A257E" w:rsidP="00444A4B">
      <w:pPr>
        <w:widowControl w:val="0"/>
        <w:numPr>
          <w:ilvl w:val="0"/>
          <w:numId w:val="17"/>
        </w:numPr>
        <w:autoSpaceDE w:val="0"/>
        <w:autoSpaceDN w:val="0"/>
        <w:adjustRightInd w:val="0"/>
        <w:ind w:hanging="720"/>
        <w:jc w:val="both"/>
        <w:rPr>
          <w:rFonts w:ascii="Arial" w:hAnsi="Arial" w:cs="Arial"/>
          <w:sz w:val="18"/>
          <w:szCs w:val="18"/>
          <w:u w:val="single"/>
        </w:rPr>
      </w:pPr>
      <w:r w:rsidRPr="00057E8A">
        <w:rPr>
          <w:rFonts w:ascii="Arial" w:hAnsi="Arial" w:cs="Arial"/>
          <w:sz w:val="18"/>
          <w:szCs w:val="18"/>
          <w:u w:val="single"/>
        </w:rPr>
        <w:t>Commodity price risk</w:t>
      </w:r>
    </w:p>
    <w:p w:rsidR="006A257E" w:rsidRPr="00057E8A" w:rsidRDefault="006A257E" w:rsidP="006A257E">
      <w:pPr>
        <w:tabs>
          <w:tab w:val="left" w:pos="432"/>
        </w:tabs>
        <w:ind w:left="432"/>
        <w:jc w:val="both"/>
        <w:rPr>
          <w:rFonts w:ascii="Arial" w:hAnsi="Arial" w:cs="Arial"/>
          <w:sz w:val="18"/>
          <w:szCs w:val="18"/>
        </w:rPr>
      </w:pPr>
      <w:r w:rsidRPr="00057E8A">
        <w:rPr>
          <w:rFonts w:ascii="Arial" w:hAnsi="Arial" w:cs="Arial"/>
          <w:sz w:val="18"/>
          <w:szCs w:val="18"/>
        </w:rPr>
        <w:t>The value of the Company’s mineral resource properties is related to the price of various commodities and the outlook for them. Commodity prices have historically fluctuated widely and are affected by numerous factors outside of the Company’s control, including, but not limited to, industrial retail demand, central bank lending, forward sales by producers and speculators, level of worldwide production and short-term changes in supply and demand.</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Default="006A257E" w:rsidP="006A257E">
      <w:pPr>
        <w:tabs>
          <w:tab w:val="left" w:pos="432"/>
        </w:tabs>
        <w:rPr>
          <w:rFonts w:ascii="Arial" w:hAnsi="Arial" w:cs="Arial"/>
          <w:b/>
          <w:sz w:val="18"/>
          <w:szCs w:val="18"/>
        </w:rPr>
      </w:pPr>
    </w:p>
    <w:p w:rsidR="006A257E" w:rsidRPr="004A3DF4" w:rsidRDefault="006A257E" w:rsidP="006A257E">
      <w:pPr>
        <w:tabs>
          <w:tab w:val="left" w:pos="432"/>
        </w:tabs>
        <w:rPr>
          <w:rFonts w:ascii="Arial" w:hAnsi="Arial" w:cs="Arial"/>
          <w:b/>
          <w:sz w:val="18"/>
          <w:szCs w:val="18"/>
        </w:rPr>
      </w:pPr>
      <w:r>
        <w:rPr>
          <w:rFonts w:ascii="Arial" w:hAnsi="Arial" w:cs="Arial"/>
          <w:b/>
          <w:sz w:val="18"/>
          <w:szCs w:val="18"/>
        </w:rPr>
        <w:t>13</w:t>
      </w:r>
      <w:r w:rsidRPr="00FE7FD1">
        <w:rPr>
          <w:rFonts w:ascii="Arial" w:hAnsi="Arial" w:cs="Arial"/>
          <w:b/>
          <w:sz w:val="18"/>
          <w:szCs w:val="18"/>
        </w:rPr>
        <w:t>.</w:t>
      </w:r>
      <w:r w:rsidRPr="00FE7FD1">
        <w:rPr>
          <w:rFonts w:ascii="Arial" w:hAnsi="Arial" w:cs="Arial"/>
          <w:b/>
          <w:sz w:val="18"/>
          <w:szCs w:val="18"/>
        </w:rPr>
        <w:tab/>
      </w:r>
      <w:r>
        <w:rPr>
          <w:rFonts w:ascii="Arial" w:hAnsi="Arial" w:cs="Arial"/>
          <w:b/>
          <w:bCs/>
          <w:sz w:val="18"/>
          <w:szCs w:val="18"/>
        </w:rPr>
        <w:t>Subsequent Event</w:t>
      </w:r>
    </w:p>
    <w:p w:rsidR="006A257E" w:rsidRPr="00FE7FD1" w:rsidRDefault="006A257E" w:rsidP="006A257E">
      <w:pPr>
        <w:pBdr>
          <w:bottom w:val="single" w:sz="8" w:space="1" w:color="auto"/>
        </w:pBdr>
        <w:tabs>
          <w:tab w:val="left" w:pos="432"/>
        </w:tabs>
        <w:rPr>
          <w:rFonts w:ascii="Arial" w:hAnsi="Arial" w:cs="Arial"/>
          <w:bCs/>
          <w:sz w:val="18"/>
          <w:szCs w:val="18"/>
        </w:rPr>
      </w:pPr>
    </w:p>
    <w:p w:rsidR="006A257E" w:rsidRPr="00371766" w:rsidRDefault="006A257E" w:rsidP="006A257E">
      <w:pPr>
        <w:pStyle w:val="NormalWeb"/>
        <w:widowControl w:val="0"/>
        <w:spacing w:before="0" w:beforeAutospacing="0" w:after="0" w:afterAutospacing="0"/>
        <w:jc w:val="both"/>
        <w:rPr>
          <w:rFonts w:ascii="Arial" w:hAnsi="Arial" w:cs="Arial"/>
          <w:sz w:val="18"/>
          <w:szCs w:val="18"/>
          <w:bdr w:val="none" w:sz="0" w:space="0" w:color="auto" w:frame="1"/>
        </w:rPr>
      </w:pPr>
    </w:p>
    <w:p w:rsidR="006A257E" w:rsidRPr="00371766" w:rsidRDefault="006A257E" w:rsidP="006A257E">
      <w:pPr>
        <w:pStyle w:val="NormalWeb"/>
        <w:widowControl w:val="0"/>
        <w:spacing w:before="0" w:beforeAutospacing="0" w:after="0" w:afterAutospacing="0"/>
        <w:jc w:val="both"/>
        <w:rPr>
          <w:rFonts w:ascii="Arial" w:hAnsi="Arial" w:cs="Arial"/>
          <w:sz w:val="18"/>
          <w:szCs w:val="18"/>
        </w:rPr>
      </w:pPr>
      <w:r>
        <w:rPr>
          <w:rFonts w:ascii="Arial" w:hAnsi="Arial" w:cs="Arial"/>
          <w:sz w:val="18"/>
          <w:szCs w:val="18"/>
          <w:bdr w:val="none" w:sz="0" w:space="0" w:color="auto" w:frame="1"/>
        </w:rPr>
        <w:t>On July 20, 2018, the Company</w:t>
      </w:r>
      <w:r>
        <w:rPr>
          <w:rFonts w:ascii="Arial" w:hAnsi="Arial" w:cs="Arial"/>
          <w:sz w:val="18"/>
          <w:szCs w:val="18"/>
        </w:rPr>
        <w:t xml:space="preserve"> granted incentive stock options to directors, employees and key consultants of the company for the purchase of a total of 5.2 million shares at an exercise price of $0.20 per share, expiring July 20, 2023, subject to shareholder approval.</w:t>
      </w: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jc w:val="both"/>
        <w:rPr>
          <w:rFonts w:ascii="Arial" w:hAnsi="Arial" w:cs="Arial"/>
          <w:sz w:val="18"/>
          <w:szCs w:val="18"/>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jc w:val="both"/>
        <w:rPr>
          <w:rFonts w:ascii="Arial" w:hAnsi="Arial" w:cs="Arial"/>
          <w:sz w:val="18"/>
          <w:szCs w:val="18"/>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jc w:val="both"/>
        <w:rPr>
          <w:rFonts w:ascii="Arial" w:hAnsi="Arial" w:cs="Arial"/>
          <w:sz w:val="18"/>
          <w:szCs w:val="18"/>
          <w:lang w:val="en-GB"/>
        </w:rPr>
        <w:sectPr w:rsidR="006A257E" w:rsidSect="00E91FBF">
          <w:headerReference w:type="default" r:id="rId10"/>
          <w:footerReference w:type="default" r:id="rId11"/>
          <w:pgSz w:w="12240" w:h="15840" w:code="1"/>
          <w:pgMar w:top="720" w:right="1440" w:bottom="144" w:left="1440" w:header="720" w:footer="720" w:gutter="0"/>
          <w:cols w:space="720"/>
          <w:noEndnote/>
        </w:sectPr>
      </w:pPr>
    </w:p>
    <w:p w:rsidR="006A257E" w:rsidRDefault="006A257E" w:rsidP="006A257E">
      <w:pPr>
        <w:jc w:val="both"/>
        <w:rPr>
          <w:rFonts w:ascii="Arial" w:hAnsi="Arial" w:cs="Arial"/>
          <w:sz w:val="18"/>
          <w:szCs w:val="18"/>
        </w:rPr>
      </w:pPr>
    </w:p>
    <w:tbl>
      <w:tblPr>
        <w:tblW w:w="7964" w:type="dxa"/>
        <w:tblInd w:w="93" w:type="dxa"/>
        <w:tblLook w:val="04A0" w:firstRow="1" w:lastRow="0" w:firstColumn="1" w:lastColumn="0" w:noHBand="0" w:noVBand="1"/>
      </w:tblPr>
      <w:tblGrid>
        <w:gridCol w:w="2680"/>
        <w:gridCol w:w="977"/>
        <w:gridCol w:w="1420"/>
        <w:gridCol w:w="960"/>
        <w:gridCol w:w="960"/>
        <w:gridCol w:w="967"/>
      </w:tblGrid>
      <w:tr w:rsidR="006A257E" w:rsidRPr="00735BB8" w:rsidTr="00186ED6">
        <w:trPr>
          <w:trHeight w:val="288"/>
        </w:trPr>
        <w:tc>
          <w:tcPr>
            <w:tcW w:w="2680" w:type="dxa"/>
            <w:tcBorders>
              <w:top w:val="nil"/>
              <w:left w:val="nil"/>
              <w:bottom w:val="nil"/>
              <w:right w:val="nil"/>
            </w:tcBorders>
            <w:shd w:val="clear" w:color="auto" w:fill="auto"/>
            <w:noWrap/>
            <w:vAlign w:val="bottom"/>
          </w:tcPr>
          <w:p w:rsidR="006A257E" w:rsidRPr="00735BB8" w:rsidRDefault="006A257E" w:rsidP="00186ED6">
            <w:pPr>
              <w:ind w:left="680" w:hanging="680"/>
              <w:rPr>
                <w:rFonts w:ascii="Arial" w:hAnsi="Arial" w:cs="Arial"/>
                <w:color w:val="000000"/>
                <w:sz w:val="18"/>
                <w:szCs w:val="18"/>
              </w:rPr>
            </w:pPr>
          </w:p>
        </w:tc>
        <w:tc>
          <w:tcPr>
            <w:tcW w:w="977" w:type="dxa"/>
            <w:tcBorders>
              <w:top w:val="nil"/>
              <w:left w:val="nil"/>
              <w:bottom w:val="nil"/>
              <w:right w:val="nil"/>
            </w:tcBorders>
            <w:shd w:val="clear" w:color="auto" w:fill="auto"/>
            <w:noWrap/>
            <w:vAlign w:val="bottom"/>
          </w:tcPr>
          <w:p w:rsidR="006A257E" w:rsidRPr="00735BB8" w:rsidRDefault="006A257E" w:rsidP="00186ED6">
            <w:pPr>
              <w:ind w:left="680" w:hanging="680"/>
              <w:jc w:val="right"/>
              <w:rPr>
                <w:rFonts w:ascii="Arial" w:hAnsi="Arial" w:cs="Arial"/>
                <w:color w:val="000000"/>
                <w:sz w:val="18"/>
                <w:szCs w:val="18"/>
              </w:rPr>
            </w:pPr>
          </w:p>
        </w:tc>
        <w:tc>
          <w:tcPr>
            <w:tcW w:w="1420" w:type="dxa"/>
            <w:tcBorders>
              <w:top w:val="nil"/>
              <w:left w:val="nil"/>
              <w:bottom w:val="nil"/>
              <w:right w:val="nil"/>
            </w:tcBorders>
            <w:shd w:val="clear" w:color="auto" w:fill="auto"/>
            <w:noWrap/>
            <w:vAlign w:val="bottom"/>
          </w:tcPr>
          <w:p w:rsidR="006A257E" w:rsidRPr="00735BB8" w:rsidRDefault="006A257E" w:rsidP="00186ED6">
            <w:pPr>
              <w:ind w:left="680" w:hanging="680"/>
              <w:jc w:val="righ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6A257E" w:rsidRPr="00735BB8" w:rsidRDefault="006A257E" w:rsidP="00186ED6">
            <w:pPr>
              <w:ind w:left="680" w:hanging="680"/>
              <w:jc w:val="righ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tcPr>
          <w:p w:rsidR="006A257E" w:rsidRPr="00735BB8" w:rsidRDefault="006A257E" w:rsidP="00186ED6">
            <w:pPr>
              <w:ind w:left="680" w:hanging="680"/>
              <w:jc w:val="right"/>
              <w:rPr>
                <w:rFonts w:ascii="Arial" w:hAnsi="Arial" w:cs="Arial"/>
                <w:color w:val="000000"/>
                <w:sz w:val="18"/>
                <w:szCs w:val="18"/>
              </w:rPr>
            </w:pPr>
          </w:p>
        </w:tc>
        <w:tc>
          <w:tcPr>
            <w:tcW w:w="967" w:type="dxa"/>
            <w:tcBorders>
              <w:top w:val="nil"/>
              <w:left w:val="nil"/>
              <w:bottom w:val="nil"/>
              <w:right w:val="nil"/>
            </w:tcBorders>
            <w:shd w:val="clear" w:color="auto" w:fill="auto"/>
            <w:noWrap/>
            <w:vAlign w:val="bottom"/>
          </w:tcPr>
          <w:p w:rsidR="006A257E" w:rsidRPr="00735BB8" w:rsidRDefault="006A257E" w:rsidP="00186ED6">
            <w:pPr>
              <w:ind w:left="680" w:hanging="680"/>
              <w:jc w:val="right"/>
              <w:rPr>
                <w:rFonts w:ascii="Arial" w:hAnsi="Arial" w:cs="Arial"/>
                <w:color w:val="000000"/>
                <w:sz w:val="18"/>
                <w:szCs w:val="18"/>
              </w:rPr>
            </w:pPr>
          </w:p>
        </w:tc>
      </w:tr>
    </w:tbl>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Pr="004C5178" w:rsidRDefault="006A257E" w:rsidP="006A257E">
      <w:pPr>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spacing w:line="280" w:lineRule="exact"/>
        <w:rPr>
          <w:rFonts w:ascii="Arial" w:hAnsi="Arial" w:cs="Arial"/>
          <w:b/>
          <w:sz w:val="18"/>
          <w:szCs w:val="18"/>
          <w:u w:val="single"/>
          <w:lang w:val="en-GB"/>
        </w:rPr>
      </w:pPr>
    </w:p>
    <w:p w:rsidR="006A257E" w:rsidRPr="00FE7FD1" w:rsidRDefault="006A257E" w:rsidP="006A257E">
      <w:pPr>
        <w:jc w:val="both"/>
        <w:rPr>
          <w:rStyle w:val="NormalArialChar"/>
          <w:rFonts w:cs="Arial"/>
          <w:b/>
          <w:sz w:val="18"/>
          <w:szCs w:val="18"/>
        </w:rPr>
      </w:pPr>
    </w:p>
    <w:p w:rsidR="006A257E" w:rsidRPr="00FE7FD1" w:rsidRDefault="006A257E" w:rsidP="006A257E">
      <w:pPr>
        <w:rPr>
          <w:sz w:val="18"/>
          <w:szCs w:val="18"/>
        </w:rPr>
      </w:pPr>
    </w:p>
    <w:p w:rsidR="006A257E" w:rsidRPr="00FE7FD1" w:rsidRDefault="006A257E" w:rsidP="006A257E">
      <w:pPr>
        <w:rPr>
          <w:sz w:val="18"/>
          <w:szCs w:val="18"/>
        </w:rPr>
      </w:pPr>
    </w:p>
    <w:p w:rsidR="006A257E" w:rsidRPr="0014469A" w:rsidRDefault="006A257E" w:rsidP="006A257E">
      <w:pPr>
        <w:ind w:left="432"/>
        <w:jc w:val="both"/>
        <w:rPr>
          <w:rFonts w:ascii="Arial" w:hAnsi="Arial" w:cs="Arial"/>
          <w:spacing w:val="-2"/>
          <w:sz w:val="18"/>
          <w:szCs w:val="18"/>
          <w:lang w:val="en-GB"/>
        </w:rPr>
      </w:pPr>
    </w:p>
    <w:p w:rsidR="006A257E" w:rsidRDefault="006A257E">
      <w:pPr>
        <w:pStyle w:val="BodyText"/>
        <w:sectPr w:rsidR="006A257E">
          <w:headerReference w:type="even" r:id="rId12"/>
          <w:headerReference w:type="default" r:id="rId13"/>
          <w:footerReference w:type="default" r:id="rId14"/>
          <w:footerReference w:type="first" r:id="rId15"/>
          <w:pgSz w:w="12240" w:h="15840" w:code="1"/>
          <w:pgMar w:top="1440" w:right="1440" w:bottom="1440" w:left="1440" w:header="720" w:footer="936" w:gutter="0"/>
          <w:pgNumType w:start="1"/>
          <w:cols w:space="720"/>
        </w:sectPr>
      </w:pPr>
    </w:p>
    <w:p w:rsidR="006A257E" w:rsidRPr="00BB6DF2" w:rsidRDefault="006A257E" w:rsidP="006A257E">
      <w:pPr>
        <w:pBdr>
          <w:top w:val="single" w:sz="24" w:space="1" w:color="auto"/>
        </w:pBdr>
        <w:tabs>
          <w:tab w:val="right" w:pos="9360"/>
        </w:tabs>
        <w:jc w:val="right"/>
        <w:rPr>
          <w:rFonts w:cs="Arial"/>
          <w:b/>
          <w:sz w:val="18"/>
          <w:szCs w:val="18"/>
        </w:rPr>
      </w:pPr>
      <w:r>
        <w:rPr>
          <w:rFonts w:cs="Arial"/>
          <w:b/>
          <w:sz w:val="18"/>
          <w:szCs w:val="18"/>
        </w:rPr>
        <w:lastRenderedPageBreak/>
        <w:t>Taiga Gold Corp.</w:t>
      </w:r>
    </w:p>
    <w:p w:rsidR="006A257E" w:rsidRPr="00BB6DF2" w:rsidRDefault="006A257E" w:rsidP="006A257E">
      <w:pPr>
        <w:tabs>
          <w:tab w:val="right" w:pos="9360"/>
        </w:tabs>
        <w:jc w:val="right"/>
        <w:rPr>
          <w:rFonts w:cs="Arial"/>
          <w:sz w:val="18"/>
          <w:szCs w:val="18"/>
        </w:rPr>
      </w:pPr>
      <w:r w:rsidRPr="00BB6DF2">
        <w:rPr>
          <w:rFonts w:cs="Arial"/>
          <w:b/>
          <w:sz w:val="18"/>
          <w:szCs w:val="18"/>
        </w:rPr>
        <w:t>(An Exploration Stage Corporation)</w:t>
      </w:r>
    </w:p>
    <w:p w:rsidR="006A257E" w:rsidRPr="00BB6DF2" w:rsidRDefault="006A257E" w:rsidP="006A257E">
      <w:pPr>
        <w:tabs>
          <w:tab w:val="right" w:pos="9360"/>
        </w:tabs>
        <w:ind w:hanging="567"/>
        <w:jc w:val="right"/>
        <w:rPr>
          <w:rFonts w:cs="Arial"/>
          <w:b/>
          <w:sz w:val="18"/>
          <w:szCs w:val="18"/>
        </w:rPr>
      </w:pPr>
      <w:r w:rsidRPr="00BB6DF2">
        <w:rPr>
          <w:rFonts w:cs="Arial"/>
          <w:b/>
          <w:sz w:val="18"/>
          <w:szCs w:val="18"/>
        </w:rPr>
        <w:t>Management Discussion and Analysis</w:t>
      </w:r>
    </w:p>
    <w:p w:rsidR="006A257E" w:rsidRPr="00BB6DF2" w:rsidRDefault="006A257E" w:rsidP="006A257E">
      <w:pPr>
        <w:pBdr>
          <w:bottom w:val="single" w:sz="8" w:space="1" w:color="auto"/>
        </w:pBdr>
        <w:tabs>
          <w:tab w:val="right" w:pos="9360"/>
        </w:tabs>
        <w:rPr>
          <w:rFonts w:cs="Arial"/>
          <w:b/>
          <w:sz w:val="18"/>
          <w:szCs w:val="18"/>
        </w:rPr>
      </w:pPr>
      <w:r w:rsidRPr="00BB6DF2">
        <w:rPr>
          <w:rFonts w:cs="Arial"/>
          <w:b/>
          <w:sz w:val="18"/>
          <w:szCs w:val="18"/>
        </w:rPr>
        <w:t xml:space="preserve">As at </w:t>
      </w:r>
      <w:r>
        <w:rPr>
          <w:rFonts w:cs="Arial"/>
          <w:b/>
          <w:sz w:val="18"/>
          <w:szCs w:val="18"/>
        </w:rPr>
        <w:t>June 30</w:t>
      </w:r>
      <w:r w:rsidRPr="00BB6DF2">
        <w:rPr>
          <w:rFonts w:cs="Arial"/>
          <w:b/>
          <w:sz w:val="18"/>
          <w:szCs w:val="18"/>
        </w:rPr>
        <w:t>, 201</w:t>
      </w:r>
      <w:r>
        <w:rPr>
          <w:rFonts w:cs="Arial"/>
          <w:b/>
          <w:sz w:val="18"/>
          <w:szCs w:val="18"/>
        </w:rPr>
        <w:t>8</w:t>
      </w:r>
      <w:r w:rsidRPr="00BB6DF2">
        <w:rPr>
          <w:rFonts w:cs="Arial"/>
          <w:b/>
          <w:sz w:val="18"/>
          <w:szCs w:val="18"/>
        </w:rPr>
        <w:t xml:space="preserve"> </w:t>
      </w:r>
    </w:p>
    <w:p w:rsidR="006A257E" w:rsidRPr="00BB6DF2" w:rsidRDefault="006A257E" w:rsidP="006A257E">
      <w:pPr>
        <w:pStyle w:val="Header"/>
        <w:rPr>
          <w:rFonts w:cs="Arial"/>
          <w:sz w:val="18"/>
          <w:szCs w:val="18"/>
        </w:rPr>
      </w:pPr>
    </w:p>
    <w:p w:rsidR="006A257E" w:rsidRPr="00BB6DF2" w:rsidRDefault="006A257E" w:rsidP="006A257E">
      <w:pPr>
        <w:pStyle w:val="Title"/>
        <w:spacing w:before="0" w:after="0"/>
        <w:rPr>
          <w:rFonts w:cs="Arial"/>
          <w:sz w:val="18"/>
          <w:szCs w:val="18"/>
        </w:rPr>
      </w:pPr>
      <w:r w:rsidRPr="00BB6DF2">
        <w:rPr>
          <w:rFonts w:cs="Arial"/>
          <w:sz w:val="18"/>
          <w:szCs w:val="18"/>
        </w:rPr>
        <w:t>Management Discussion and Analysis</w:t>
      </w:r>
    </w:p>
    <w:p w:rsidR="006A257E" w:rsidRPr="00BB6DF2" w:rsidRDefault="006A257E" w:rsidP="006A257E">
      <w:pPr>
        <w:pStyle w:val="Title"/>
        <w:spacing w:before="0" w:after="0"/>
        <w:rPr>
          <w:rFonts w:cs="Arial"/>
          <w:sz w:val="18"/>
          <w:szCs w:val="18"/>
        </w:rPr>
      </w:pPr>
      <w:r>
        <w:rPr>
          <w:rFonts w:cs="Arial"/>
          <w:sz w:val="18"/>
          <w:szCs w:val="18"/>
        </w:rPr>
        <w:t>Second</w:t>
      </w:r>
      <w:r w:rsidRPr="00BB6DF2">
        <w:rPr>
          <w:rFonts w:cs="Arial"/>
          <w:sz w:val="18"/>
          <w:szCs w:val="18"/>
        </w:rPr>
        <w:t xml:space="preserve"> Quarter, 201</w:t>
      </w:r>
      <w:r>
        <w:rPr>
          <w:rFonts w:cs="Arial"/>
          <w:sz w:val="18"/>
          <w:szCs w:val="18"/>
        </w:rPr>
        <w:t>8</w:t>
      </w:r>
    </w:p>
    <w:p w:rsidR="006A257E" w:rsidRPr="00BB6DF2" w:rsidRDefault="006A257E" w:rsidP="006A257E">
      <w:pPr>
        <w:rPr>
          <w:rFonts w:cs="Arial"/>
          <w:sz w:val="18"/>
          <w:szCs w:val="18"/>
        </w:rPr>
      </w:pPr>
    </w:p>
    <w:p w:rsidR="006A257E" w:rsidRPr="00BB6DF2" w:rsidRDefault="006A257E" w:rsidP="006A257E">
      <w:pPr>
        <w:jc w:val="both"/>
        <w:rPr>
          <w:rFonts w:cs="Arial"/>
          <w:sz w:val="18"/>
          <w:szCs w:val="18"/>
        </w:rPr>
      </w:pPr>
      <w:r w:rsidRPr="00BB6DF2">
        <w:rPr>
          <w:rFonts w:cs="Arial"/>
          <w:sz w:val="18"/>
          <w:szCs w:val="18"/>
        </w:rPr>
        <w:t xml:space="preserve">This Management’s Discussion and Analysis (“MD&amp;A”) of </w:t>
      </w:r>
      <w:r>
        <w:rPr>
          <w:rFonts w:cs="Arial"/>
          <w:sz w:val="18"/>
          <w:szCs w:val="18"/>
        </w:rPr>
        <w:t>Taiga Gold Corp.</w:t>
      </w:r>
      <w:r w:rsidRPr="00BB6DF2">
        <w:rPr>
          <w:rFonts w:cs="Arial"/>
          <w:sz w:val="18"/>
          <w:szCs w:val="18"/>
        </w:rPr>
        <w:t xml:space="preserve"> (“</w:t>
      </w:r>
      <w:r>
        <w:rPr>
          <w:rFonts w:cs="Arial"/>
          <w:sz w:val="18"/>
          <w:szCs w:val="18"/>
        </w:rPr>
        <w:t>Taiga</w:t>
      </w:r>
      <w:r w:rsidRPr="00BB6DF2">
        <w:rPr>
          <w:rFonts w:cs="Arial"/>
          <w:sz w:val="18"/>
          <w:szCs w:val="18"/>
        </w:rPr>
        <w:t xml:space="preserve">” or the </w:t>
      </w:r>
      <w:r>
        <w:rPr>
          <w:rFonts w:cs="Arial"/>
          <w:sz w:val="18"/>
          <w:szCs w:val="18"/>
        </w:rPr>
        <w:t>“</w:t>
      </w:r>
      <w:r w:rsidRPr="00BB6DF2">
        <w:rPr>
          <w:rFonts w:cs="Arial"/>
          <w:sz w:val="18"/>
          <w:szCs w:val="18"/>
        </w:rPr>
        <w:t xml:space="preserve">Company”) is dated </w:t>
      </w:r>
      <w:r>
        <w:rPr>
          <w:rFonts w:cs="Arial"/>
          <w:sz w:val="18"/>
          <w:szCs w:val="18"/>
        </w:rPr>
        <w:t>August 23, 2018</w:t>
      </w:r>
      <w:r w:rsidRPr="00BB6DF2">
        <w:rPr>
          <w:rFonts w:cs="Arial"/>
          <w:sz w:val="18"/>
          <w:szCs w:val="18"/>
        </w:rPr>
        <w:t xml:space="preserve"> and provides a discussion of the Company’s financial and operating results for the quarter ended </w:t>
      </w:r>
      <w:r>
        <w:rPr>
          <w:rFonts w:cs="Arial"/>
          <w:sz w:val="18"/>
          <w:szCs w:val="18"/>
        </w:rPr>
        <w:t>June 30</w:t>
      </w:r>
      <w:r w:rsidRPr="00BB6DF2">
        <w:rPr>
          <w:rFonts w:cs="Arial"/>
          <w:sz w:val="18"/>
          <w:szCs w:val="18"/>
        </w:rPr>
        <w:t>, 201</w:t>
      </w:r>
      <w:r>
        <w:rPr>
          <w:rFonts w:cs="Arial"/>
          <w:sz w:val="18"/>
          <w:szCs w:val="18"/>
        </w:rPr>
        <w:t>8 and 2017</w:t>
      </w:r>
      <w:r w:rsidRPr="00BB6DF2">
        <w:rPr>
          <w:rFonts w:cs="Arial"/>
          <w:sz w:val="18"/>
          <w:szCs w:val="18"/>
        </w:rPr>
        <w:t xml:space="preserve"> with comparisons to previous quarters. This MD&amp;A should be read in conjunction with the annual audited </w:t>
      </w:r>
      <w:r>
        <w:rPr>
          <w:rFonts w:cs="Arial"/>
          <w:sz w:val="18"/>
          <w:szCs w:val="18"/>
        </w:rPr>
        <w:t>carve-out</w:t>
      </w:r>
      <w:r w:rsidRPr="00BB6DF2">
        <w:rPr>
          <w:rFonts w:cs="Arial"/>
          <w:sz w:val="18"/>
          <w:szCs w:val="18"/>
        </w:rPr>
        <w:t xml:space="preserve"> financial statements and notes.</w:t>
      </w:r>
    </w:p>
    <w:p w:rsidR="006A257E" w:rsidRDefault="006A257E" w:rsidP="006A257E">
      <w:pPr>
        <w:jc w:val="both"/>
        <w:rPr>
          <w:rFonts w:cs="Arial"/>
          <w:b/>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Business Overview</w:t>
      </w:r>
    </w:p>
    <w:p w:rsidR="006A257E" w:rsidRDefault="006A257E" w:rsidP="006A257E">
      <w:pPr>
        <w:jc w:val="both"/>
        <w:rPr>
          <w:rFonts w:cs="Arial"/>
          <w:sz w:val="18"/>
          <w:szCs w:val="18"/>
        </w:rPr>
      </w:pPr>
    </w:p>
    <w:p w:rsidR="006A257E" w:rsidRDefault="006A257E" w:rsidP="006A257E">
      <w:pPr>
        <w:jc w:val="both"/>
        <w:rPr>
          <w:rFonts w:cs="Arial"/>
          <w:spacing w:val="-2"/>
          <w:sz w:val="18"/>
          <w:szCs w:val="18"/>
        </w:rPr>
      </w:pPr>
      <w:r>
        <w:rPr>
          <w:rFonts w:cs="Arial"/>
          <w:sz w:val="18"/>
          <w:szCs w:val="18"/>
        </w:rPr>
        <w:t xml:space="preserve">Taiga Gold Corp. was incorporated on September 28, 2017 under the laws of the province of Alberta.  The Company is a natural resource company, at the exploration stage, engaged in the acquisition and exploration of resource properties in the province of Saskatchewan.  Taiga was involved in a Plan of Arrangement to spin-out assets comprised of mineral properties and cash, from Taiga Resources Ltd. (see Plan of Arrangement below). Upon closing of the Plan of Arrangement </w:t>
      </w:r>
      <w:r>
        <w:rPr>
          <w:rStyle w:val="Strong"/>
          <w:rFonts w:cs="Arial"/>
          <w:b w:val="0"/>
          <w:sz w:val="18"/>
          <w:szCs w:val="18"/>
        </w:rPr>
        <w:t xml:space="preserve">Taiga </w:t>
      </w:r>
      <w:r w:rsidRPr="00BB6DF2">
        <w:rPr>
          <w:rFonts w:cs="Arial"/>
          <w:sz w:val="18"/>
          <w:szCs w:val="18"/>
        </w:rPr>
        <w:t>hold</w:t>
      </w:r>
      <w:r>
        <w:rPr>
          <w:rFonts w:cs="Arial"/>
          <w:sz w:val="18"/>
          <w:szCs w:val="18"/>
        </w:rPr>
        <w:t>s</w:t>
      </w:r>
      <w:r w:rsidRPr="00BB6DF2">
        <w:rPr>
          <w:rFonts w:cs="Arial"/>
          <w:sz w:val="18"/>
          <w:szCs w:val="18"/>
        </w:rPr>
        <w:t xml:space="preserve"> properties in </w:t>
      </w:r>
      <w:r>
        <w:rPr>
          <w:rFonts w:cs="Arial"/>
          <w:sz w:val="18"/>
          <w:szCs w:val="18"/>
        </w:rPr>
        <w:t>Saskatchewan</w:t>
      </w:r>
      <w:r w:rsidRPr="00BB6DF2">
        <w:rPr>
          <w:rFonts w:cs="Arial"/>
          <w:sz w:val="18"/>
          <w:szCs w:val="18"/>
        </w:rPr>
        <w:t xml:space="preserve"> for the purpose of exploring for, and the development of mineral resources. </w:t>
      </w:r>
      <w:r>
        <w:rPr>
          <w:rFonts w:cs="Arial"/>
          <w:sz w:val="18"/>
          <w:szCs w:val="18"/>
        </w:rPr>
        <w:t>Taiga will hold the Net Smelter Royalties for these properties, and will be a significant shareholder of Taiga moving forward.</w:t>
      </w:r>
    </w:p>
    <w:p w:rsidR="006A257E" w:rsidRDefault="006A257E" w:rsidP="006A257E">
      <w:pPr>
        <w:pStyle w:val="NormalWeb"/>
        <w:spacing w:before="0" w:beforeAutospacing="0" w:after="0" w:afterAutospacing="0" w:line="210" w:lineRule="atLeast"/>
        <w:jc w:val="both"/>
        <w:rPr>
          <w:rFonts w:ascii="Arial" w:hAnsi="Arial" w:cs="Arial"/>
          <w:sz w:val="18"/>
          <w:szCs w:val="18"/>
        </w:rPr>
      </w:pPr>
    </w:p>
    <w:p w:rsidR="006A257E" w:rsidRDefault="006A257E" w:rsidP="006A257E">
      <w:pPr>
        <w:pStyle w:val="NormalWeb"/>
        <w:widowControl w:val="0"/>
        <w:spacing w:before="0" w:beforeAutospacing="0" w:after="0" w:afterAutospacing="0"/>
        <w:jc w:val="both"/>
        <w:rPr>
          <w:rFonts w:ascii="Arial" w:hAnsi="Arial" w:cs="Arial"/>
          <w:b/>
          <w:sz w:val="18"/>
          <w:szCs w:val="18"/>
          <w:u w:val="single"/>
          <w:shd w:val="clear" w:color="auto" w:fill="FFFFFF"/>
        </w:rPr>
      </w:pPr>
      <w:r>
        <w:rPr>
          <w:rFonts w:ascii="Arial" w:hAnsi="Arial" w:cs="Arial"/>
          <w:b/>
          <w:sz w:val="18"/>
          <w:szCs w:val="18"/>
          <w:u w:val="single"/>
          <w:shd w:val="clear" w:color="auto" w:fill="FFFFFF"/>
        </w:rPr>
        <w:t>Plan of Arrangement - Spin-Out of Assets</w:t>
      </w:r>
    </w:p>
    <w:p w:rsidR="006A257E" w:rsidRPr="002E6D94" w:rsidRDefault="006A257E" w:rsidP="006A257E">
      <w:pPr>
        <w:pStyle w:val="NormalWeb"/>
        <w:widowControl w:val="0"/>
        <w:spacing w:before="60" w:beforeAutospacing="0" w:after="0" w:afterAutospacing="0"/>
        <w:jc w:val="both"/>
        <w:rPr>
          <w:rFonts w:ascii="Arial" w:hAnsi="Arial" w:cs="Arial"/>
          <w:sz w:val="18"/>
          <w:szCs w:val="18"/>
          <w:shd w:val="clear" w:color="auto" w:fill="FFFFFF"/>
        </w:rPr>
      </w:pPr>
      <w:r w:rsidRPr="002E6D94">
        <w:rPr>
          <w:rFonts w:ascii="Arial" w:hAnsi="Arial" w:cs="Arial"/>
          <w:sz w:val="18"/>
          <w:szCs w:val="18"/>
          <w:bdr w:val="none" w:sz="0" w:space="0" w:color="auto" w:frame="1"/>
        </w:rPr>
        <w:t>On October 23, 2017, the Board of Directors of </w:t>
      </w:r>
      <w:r w:rsidRPr="002E6D94">
        <w:rPr>
          <w:rStyle w:val="Strong"/>
          <w:rFonts w:ascii="Arial" w:hAnsi="Arial" w:cs="Arial"/>
          <w:b w:val="0"/>
          <w:sz w:val="18"/>
          <w:szCs w:val="18"/>
          <w:bdr w:val="none" w:sz="0" w:space="0" w:color="auto" w:frame="1"/>
        </w:rPr>
        <w:t xml:space="preserve">the </w:t>
      </w:r>
      <w:r>
        <w:rPr>
          <w:rStyle w:val="Strong"/>
          <w:rFonts w:ascii="Arial" w:hAnsi="Arial" w:cs="Arial"/>
          <w:b w:val="0"/>
          <w:sz w:val="18"/>
          <w:szCs w:val="18"/>
          <w:bdr w:val="none" w:sz="0" w:space="0" w:color="auto" w:frame="1"/>
        </w:rPr>
        <w:t>Taiga</w:t>
      </w:r>
      <w:r w:rsidRPr="002E6D94">
        <w:rPr>
          <w:rFonts w:ascii="Arial" w:hAnsi="Arial" w:cs="Arial"/>
          <w:sz w:val="18"/>
          <w:szCs w:val="18"/>
          <w:bdr w:val="none" w:sz="0" w:space="0" w:color="auto" w:frame="1"/>
        </w:rPr>
        <w:t> announced a proposed arrangement to reorganize certain Saskatchewan mineral property assets in an effort to maximize shareholder value.  Under the proposed arrangement, mineral properties targeting primarily gold will be transferred into a new company, incorporated under the name </w:t>
      </w:r>
      <w:r w:rsidRPr="002E6D94">
        <w:rPr>
          <w:rStyle w:val="Strong"/>
          <w:rFonts w:ascii="Arial" w:hAnsi="Arial" w:cs="Arial"/>
          <w:b w:val="0"/>
          <w:sz w:val="18"/>
          <w:szCs w:val="18"/>
          <w:bdr w:val="none" w:sz="0" w:space="0" w:color="auto" w:frame="1"/>
        </w:rPr>
        <w:t>Taiga Gold Corp.</w:t>
      </w:r>
      <w:r w:rsidRPr="002E6D94">
        <w:rPr>
          <w:rStyle w:val="Strong"/>
          <w:rFonts w:ascii="Arial" w:hAnsi="Arial" w:cs="Arial"/>
          <w:sz w:val="18"/>
          <w:szCs w:val="18"/>
          <w:bdr w:val="none" w:sz="0" w:space="0" w:color="auto" w:frame="1"/>
        </w:rPr>
        <w:t> </w:t>
      </w:r>
      <w:r w:rsidRPr="002E6D94">
        <w:rPr>
          <w:rFonts w:ascii="Arial" w:hAnsi="Arial" w:cs="Arial"/>
          <w:sz w:val="18"/>
          <w:szCs w:val="18"/>
          <w:bdr w:val="none" w:sz="0" w:space="0" w:color="auto" w:frame="1"/>
        </w:rPr>
        <w:t>(“Taiga”)</w:t>
      </w:r>
      <w:r>
        <w:rPr>
          <w:rFonts w:ascii="Arial" w:hAnsi="Arial" w:cs="Arial"/>
          <w:sz w:val="18"/>
          <w:szCs w:val="18"/>
          <w:bdr w:val="none" w:sz="0" w:space="0" w:color="auto" w:frame="1"/>
        </w:rPr>
        <w:t>.</w:t>
      </w:r>
      <w:r w:rsidRPr="002E6D94">
        <w:rPr>
          <w:rFonts w:ascii="Arial" w:hAnsi="Arial" w:cs="Arial"/>
          <w:sz w:val="18"/>
          <w:szCs w:val="18"/>
          <w:bdr w:val="none" w:sz="0" w:space="0" w:color="auto" w:frame="1"/>
        </w:rPr>
        <w:t> </w:t>
      </w:r>
    </w:p>
    <w:p w:rsidR="006A257E" w:rsidRDefault="006A257E" w:rsidP="006A257E">
      <w:pPr>
        <w:pStyle w:val="NormalWeb"/>
        <w:widowControl w:val="0"/>
        <w:spacing w:before="0" w:beforeAutospacing="0" w:after="0" w:afterAutospacing="0"/>
        <w:jc w:val="both"/>
        <w:rPr>
          <w:rFonts w:ascii="Arial" w:hAnsi="Arial" w:cs="Arial"/>
          <w:sz w:val="18"/>
          <w:szCs w:val="18"/>
        </w:rPr>
      </w:pPr>
    </w:p>
    <w:p w:rsidR="006A257E" w:rsidRPr="002E6D94" w:rsidRDefault="006A257E" w:rsidP="006A257E">
      <w:pPr>
        <w:pStyle w:val="rtejustify"/>
        <w:spacing w:before="0" w:beforeAutospacing="0" w:after="0" w:afterAutospacing="0"/>
        <w:jc w:val="both"/>
        <w:textAlignment w:val="baseline"/>
        <w:rPr>
          <w:rFonts w:ascii="Arial" w:hAnsi="Arial" w:cs="Arial"/>
          <w:sz w:val="18"/>
          <w:szCs w:val="18"/>
        </w:rPr>
      </w:pPr>
      <w:r w:rsidRPr="002E6D94">
        <w:rPr>
          <w:rFonts w:ascii="Arial" w:hAnsi="Arial" w:cs="Arial"/>
          <w:sz w:val="18"/>
          <w:szCs w:val="18"/>
        </w:rPr>
        <w:t xml:space="preserve">The reorganization is designed to improve the identification and valuation of specific </w:t>
      </w:r>
      <w:r>
        <w:rPr>
          <w:rFonts w:ascii="Arial" w:hAnsi="Arial" w:cs="Arial"/>
          <w:sz w:val="18"/>
          <w:szCs w:val="18"/>
        </w:rPr>
        <w:t>Taiga</w:t>
      </w:r>
      <w:r w:rsidRPr="002E6D94">
        <w:rPr>
          <w:rFonts w:ascii="Arial" w:hAnsi="Arial" w:cs="Arial"/>
          <w:sz w:val="18"/>
          <w:szCs w:val="18"/>
        </w:rPr>
        <w:t xml:space="preserve">’ properties, to enhance </w:t>
      </w:r>
      <w:r>
        <w:rPr>
          <w:rFonts w:ascii="Arial" w:hAnsi="Arial" w:cs="Arial"/>
          <w:sz w:val="18"/>
          <w:szCs w:val="18"/>
        </w:rPr>
        <w:t>Taiga</w:t>
      </w:r>
      <w:r w:rsidRPr="002E6D94">
        <w:rPr>
          <w:rFonts w:ascii="Arial" w:hAnsi="Arial" w:cs="Arial"/>
          <w:sz w:val="18"/>
          <w:szCs w:val="18"/>
        </w:rPr>
        <w:t xml:space="preserve">' ability to divest specific properties through simpler corporate ownership, and to enable Taiga to separately finance and develop its various assets, selectively reducing </w:t>
      </w:r>
      <w:r>
        <w:rPr>
          <w:rFonts w:ascii="Arial" w:hAnsi="Arial" w:cs="Arial"/>
          <w:sz w:val="18"/>
          <w:szCs w:val="18"/>
        </w:rPr>
        <w:t>Taiga</w:t>
      </w:r>
      <w:r w:rsidRPr="002E6D94">
        <w:rPr>
          <w:rFonts w:ascii="Arial" w:hAnsi="Arial" w:cs="Arial"/>
          <w:sz w:val="18"/>
          <w:szCs w:val="18"/>
        </w:rPr>
        <w:t>’ stock dilution. The rationale for the formation of Taiga is to allow for the oversight, direction and financing of the </w:t>
      </w:r>
      <w:r w:rsidRPr="002E6D94">
        <w:rPr>
          <w:rStyle w:val="Strong"/>
          <w:rFonts w:ascii="Arial" w:hAnsi="Arial" w:cs="Arial"/>
          <w:b w:val="0"/>
          <w:sz w:val="18"/>
          <w:szCs w:val="18"/>
          <w:bdr w:val="none" w:sz="0" w:space="0" w:color="auto" w:frame="1"/>
        </w:rPr>
        <w:t>Fisher</w:t>
      </w:r>
      <w:r w:rsidRPr="002E6D94">
        <w:rPr>
          <w:rFonts w:ascii="Arial" w:hAnsi="Arial" w:cs="Arial"/>
          <w:sz w:val="18"/>
          <w:szCs w:val="18"/>
        </w:rPr>
        <w:t xml:space="preserve"> project (currently under option to SSR Mining Inc., formerly Silver Standard Resources Inc.)</w:t>
      </w:r>
      <w:r>
        <w:rPr>
          <w:rFonts w:ascii="Arial" w:hAnsi="Arial" w:cs="Arial"/>
          <w:sz w:val="18"/>
          <w:szCs w:val="18"/>
        </w:rPr>
        <w:t xml:space="preserve">, </w:t>
      </w:r>
      <w:r w:rsidRPr="002E6D94">
        <w:rPr>
          <w:rFonts w:ascii="Arial" w:hAnsi="Arial" w:cs="Arial"/>
          <w:sz w:val="18"/>
          <w:szCs w:val="18"/>
        </w:rPr>
        <w:t>the </w:t>
      </w:r>
      <w:r w:rsidRPr="002E6D94">
        <w:rPr>
          <w:rStyle w:val="Strong"/>
          <w:rFonts w:ascii="Arial" w:hAnsi="Arial" w:cs="Arial"/>
          <w:b w:val="0"/>
          <w:sz w:val="18"/>
          <w:szCs w:val="18"/>
          <w:bdr w:val="none" w:sz="0" w:space="0" w:color="auto" w:frame="1"/>
        </w:rPr>
        <w:t>Chico</w:t>
      </w:r>
      <w:r w:rsidRPr="002E6D94">
        <w:rPr>
          <w:rFonts w:ascii="Arial" w:hAnsi="Arial" w:cs="Arial"/>
          <w:sz w:val="18"/>
          <w:szCs w:val="18"/>
        </w:rPr>
        <w:t> project (currently under option to Aben Resources Ltd), and the</w:t>
      </w:r>
      <w:r w:rsidRPr="002E6D94">
        <w:rPr>
          <w:rStyle w:val="Strong"/>
          <w:rFonts w:ascii="Arial" w:hAnsi="Arial" w:cs="Arial"/>
          <w:sz w:val="18"/>
          <w:szCs w:val="18"/>
          <w:bdr w:val="none" w:sz="0" w:space="0" w:color="auto" w:frame="1"/>
        </w:rPr>
        <w:t> </w:t>
      </w:r>
      <w:r w:rsidRPr="002E6D94">
        <w:rPr>
          <w:rStyle w:val="Strong"/>
          <w:rFonts w:ascii="Arial" w:hAnsi="Arial" w:cs="Arial"/>
          <w:b w:val="0"/>
          <w:sz w:val="18"/>
          <w:szCs w:val="18"/>
          <w:bdr w:val="none" w:sz="0" w:space="0" w:color="auto" w:frame="1"/>
        </w:rPr>
        <w:t>Orchid</w:t>
      </w:r>
      <w:r w:rsidRPr="002E6D94">
        <w:rPr>
          <w:rFonts w:ascii="Arial" w:hAnsi="Arial" w:cs="Arial"/>
          <w:sz w:val="18"/>
          <w:szCs w:val="18"/>
        </w:rPr>
        <w:t>, Leland and </w:t>
      </w:r>
      <w:r w:rsidRPr="002E6D94">
        <w:rPr>
          <w:rStyle w:val="Strong"/>
          <w:rFonts w:ascii="Arial" w:hAnsi="Arial" w:cs="Arial"/>
          <w:b w:val="0"/>
          <w:sz w:val="18"/>
          <w:szCs w:val="18"/>
          <w:bdr w:val="none" w:sz="0" w:space="0" w:color="auto" w:frame="1"/>
        </w:rPr>
        <w:t>SAM</w:t>
      </w:r>
      <w:r w:rsidRPr="002E6D94">
        <w:rPr>
          <w:rFonts w:ascii="Arial" w:hAnsi="Arial" w:cs="Arial"/>
          <w:sz w:val="18"/>
          <w:szCs w:val="18"/>
        </w:rPr>
        <w:t xml:space="preserve"> projects - all currently owned 100% by </w:t>
      </w:r>
      <w:r>
        <w:rPr>
          <w:rFonts w:ascii="Arial" w:hAnsi="Arial" w:cs="Arial"/>
          <w:sz w:val="18"/>
          <w:szCs w:val="18"/>
        </w:rPr>
        <w:t>Taiga</w:t>
      </w:r>
      <w:r w:rsidRPr="002E6D94">
        <w:rPr>
          <w:rFonts w:ascii="Arial" w:hAnsi="Arial" w:cs="Arial"/>
          <w:sz w:val="18"/>
          <w:szCs w:val="18"/>
        </w:rPr>
        <w:t xml:space="preserve">. The formation of Taiga will allow </w:t>
      </w:r>
      <w:r>
        <w:rPr>
          <w:rFonts w:ascii="Arial" w:hAnsi="Arial" w:cs="Arial"/>
          <w:sz w:val="18"/>
          <w:szCs w:val="18"/>
        </w:rPr>
        <w:t>Taiga</w:t>
      </w:r>
      <w:r w:rsidRPr="002E6D94">
        <w:rPr>
          <w:rFonts w:ascii="Arial" w:hAnsi="Arial" w:cs="Arial"/>
          <w:sz w:val="18"/>
          <w:szCs w:val="18"/>
        </w:rPr>
        <w:t xml:space="preserve"> to continue to focus on its core business model of acquiring and advancing grassroots base- and precious-metal exploration properties.</w:t>
      </w:r>
    </w:p>
    <w:p w:rsidR="006A257E" w:rsidRDefault="006A257E" w:rsidP="006A257E">
      <w:pPr>
        <w:pStyle w:val="NormalWeb"/>
        <w:widowControl w:val="0"/>
        <w:spacing w:before="0" w:beforeAutospacing="0" w:after="0" w:afterAutospacing="0"/>
        <w:jc w:val="both"/>
        <w:rPr>
          <w:rFonts w:ascii="Arial" w:hAnsi="Arial" w:cs="Arial"/>
          <w:sz w:val="18"/>
          <w:szCs w:val="18"/>
        </w:rPr>
      </w:pPr>
    </w:p>
    <w:p w:rsidR="006A257E" w:rsidRPr="00057E8A" w:rsidRDefault="006A257E" w:rsidP="006A257E">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 xml:space="preserve">On February 2, 2018, the Company executed a formal arrangement agreement related to the proposed spin-out (the “Arrangement”). Pursuant to the Arrangement, Taiga will acquire </w:t>
      </w:r>
      <w:r>
        <w:rPr>
          <w:rFonts w:ascii="Arial" w:hAnsi="Arial" w:cs="Arial"/>
          <w:sz w:val="18"/>
          <w:szCs w:val="18"/>
        </w:rPr>
        <w:t>Taiga</w:t>
      </w:r>
      <w:r w:rsidRPr="00057E8A">
        <w:rPr>
          <w:rFonts w:ascii="Arial" w:hAnsi="Arial" w:cs="Arial"/>
          <w:sz w:val="18"/>
          <w:szCs w:val="18"/>
        </w:rPr>
        <w:t xml:space="preserve">’ interest in Fisher, Chico, Orchid, Leland and SAM properties, not including the NSR’s which will remain with </w:t>
      </w:r>
      <w:r>
        <w:rPr>
          <w:rFonts w:ascii="Arial" w:hAnsi="Arial" w:cs="Arial"/>
          <w:sz w:val="18"/>
          <w:szCs w:val="18"/>
        </w:rPr>
        <w:t>Taiga</w:t>
      </w:r>
      <w:r w:rsidRPr="00057E8A">
        <w:rPr>
          <w:rFonts w:ascii="Arial" w:hAnsi="Arial" w:cs="Arial"/>
          <w:sz w:val="18"/>
          <w:szCs w:val="18"/>
        </w:rPr>
        <w:t xml:space="preserve">, together with $300,000 in cash.  Each </w:t>
      </w:r>
      <w:r>
        <w:rPr>
          <w:rFonts w:ascii="Arial" w:hAnsi="Arial" w:cs="Arial"/>
          <w:sz w:val="18"/>
          <w:szCs w:val="18"/>
        </w:rPr>
        <w:t>Taiga</w:t>
      </w:r>
      <w:r w:rsidRPr="00057E8A">
        <w:rPr>
          <w:rFonts w:ascii="Arial" w:hAnsi="Arial" w:cs="Arial"/>
          <w:sz w:val="18"/>
          <w:szCs w:val="18"/>
        </w:rPr>
        <w:t xml:space="preserve"> Shareholder, other than a Dissenting Shareholder, will, immediately after the Arrangement, hold one new common share in the capital of </w:t>
      </w:r>
      <w:r>
        <w:rPr>
          <w:rFonts w:ascii="Arial" w:hAnsi="Arial" w:cs="Arial"/>
          <w:sz w:val="18"/>
          <w:szCs w:val="18"/>
        </w:rPr>
        <w:t>Taiga</w:t>
      </w:r>
      <w:r w:rsidRPr="00057E8A">
        <w:rPr>
          <w:rFonts w:ascii="Arial" w:hAnsi="Arial" w:cs="Arial"/>
          <w:sz w:val="18"/>
          <w:szCs w:val="18"/>
        </w:rPr>
        <w:t xml:space="preserve"> ("</w:t>
      </w:r>
      <w:r>
        <w:rPr>
          <w:rFonts w:ascii="Arial" w:hAnsi="Arial" w:cs="Arial"/>
          <w:sz w:val="18"/>
          <w:szCs w:val="18"/>
        </w:rPr>
        <w:t>Taiga</w:t>
      </w:r>
      <w:r w:rsidRPr="00057E8A">
        <w:rPr>
          <w:rFonts w:ascii="Arial" w:hAnsi="Arial" w:cs="Arial"/>
          <w:sz w:val="18"/>
          <w:szCs w:val="18"/>
        </w:rPr>
        <w:t xml:space="preserve"> New Share") and one-half of a common share in the capital of Taiga ("Taiga Share") for each </w:t>
      </w:r>
      <w:r>
        <w:rPr>
          <w:rFonts w:ascii="Arial" w:hAnsi="Arial" w:cs="Arial"/>
          <w:sz w:val="18"/>
          <w:szCs w:val="18"/>
        </w:rPr>
        <w:t>Taiga</w:t>
      </w:r>
      <w:r w:rsidRPr="00057E8A">
        <w:rPr>
          <w:rFonts w:ascii="Arial" w:hAnsi="Arial" w:cs="Arial"/>
          <w:sz w:val="18"/>
          <w:szCs w:val="18"/>
        </w:rPr>
        <w:t xml:space="preserve"> common share ("</w:t>
      </w:r>
      <w:r>
        <w:rPr>
          <w:rFonts w:ascii="Arial" w:hAnsi="Arial" w:cs="Arial"/>
          <w:sz w:val="18"/>
          <w:szCs w:val="18"/>
        </w:rPr>
        <w:t>Taiga</w:t>
      </w:r>
      <w:r w:rsidRPr="00057E8A">
        <w:rPr>
          <w:rFonts w:ascii="Arial" w:hAnsi="Arial" w:cs="Arial"/>
          <w:sz w:val="18"/>
          <w:szCs w:val="18"/>
        </w:rPr>
        <w:t xml:space="preserve"> Share") held immediately prior to the Arrangement, where the </w:t>
      </w:r>
      <w:r>
        <w:rPr>
          <w:rFonts w:ascii="Arial" w:hAnsi="Arial" w:cs="Arial"/>
          <w:sz w:val="18"/>
          <w:szCs w:val="18"/>
        </w:rPr>
        <w:t>Taiga</w:t>
      </w:r>
      <w:r w:rsidRPr="00057E8A">
        <w:rPr>
          <w:rFonts w:ascii="Arial" w:hAnsi="Arial" w:cs="Arial"/>
          <w:sz w:val="18"/>
          <w:szCs w:val="18"/>
        </w:rPr>
        <w:t xml:space="preserve"> New Shares will be identical in every respect to the present </w:t>
      </w:r>
      <w:r>
        <w:rPr>
          <w:rFonts w:ascii="Arial" w:hAnsi="Arial" w:cs="Arial"/>
          <w:sz w:val="18"/>
          <w:szCs w:val="18"/>
        </w:rPr>
        <w:t>Taiga</w:t>
      </w:r>
      <w:r w:rsidRPr="00057E8A">
        <w:rPr>
          <w:rFonts w:ascii="Arial" w:hAnsi="Arial" w:cs="Arial"/>
          <w:sz w:val="18"/>
          <w:szCs w:val="18"/>
        </w:rPr>
        <w:t xml:space="preserve"> Shares. </w:t>
      </w:r>
      <w:r>
        <w:rPr>
          <w:rFonts w:ascii="Arial" w:hAnsi="Arial" w:cs="Arial"/>
          <w:sz w:val="18"/>
          <w:szCs w:val="18"/>
        </w:rPr>
        <w:t>Taiga</w:t>
      </w:r>
      <w:r w:rsidRPr="00057E8A">
        <w:rPr>
          <w:rFonts w:ascii="Arial" w:hAnsi="Arial" w:cs="Arial"/>
          <w:sz w:val="18"/>
          <w:szCs w:val="18"/>
        </w:rPr>
        <w:t xml:space="preserve"> will own nineteen point nine percent (19.9%) of the issued and outstanding Taiga Shares upon completion of the Arrangement.  </w:t>
      </w:r>
    </w:p>
    <w:p w:rsidR="006A257E" w:rsidRDefault="006A257E" w:rsidP="006A257E">
      <w:pPr>
        <w:pStyle w:val="NormalWeb"/>
        <w:widowControl w:val="0"/>
        <w:spacing w:before="0" w:beforeAutospacing="0" w:after="0" w:afterAutospacing="0"/>
        <w:jc w:val="both"/>
        <w:rPr>
          <w:rFonts w:ascii="Arial" w:hAnsi="Arial" w:cs="Arial"/>
          <w:sz w:val="18"/>
          <w:szCs w:val="18"/>
        </w:rPr>
      </w:pPr>
    </w:p>
    <w:p w:rsidR="006A257E" w:rsidRPr="00057E8A" w:rsidRDefault="006A257E" w:rsidP="006A257E">
      <w:pPr>
        <w:pStyle w:val="NormalWeb"/>
        <w:widowControl w:val="0"/>
        <w:spacing w:before="0" w:beforeAutospacing="0" w:after="0" w:afterAutospacing="0"/>
        <w:jc w:val="both"/>
        <w:rPr>
          <w:rFonts w:ascii="Arial" w:hAnsi="Arial" w:cs="Arial"/>
          <w:sz w:val="18"/>
          <w:szCs w:val="18"/>
        </w:rPr>
      </w:pPr>
      <w:r w:rsidRPr="00057E8A">
        <w:rPr>
          <w:rFonts w:ascii="Arial" w:hAnsi="Arial" w:cs="Arial"/>
          <w:sz w:val="18"/>
          <w:szCs w:val="18"/>
        </w:rPr>
        <w:t>The reorganization was approved by shareholders at a special meeting on April 6, 2018 and received formal approval of the Court of</w:t>
      </w:r>
      <w:r>
        <w:rPr>
          <w:rFonts w:ascii="Arial" w:hAnsi="Arial" w:cs="Arial"/>
          <w:sz w:val="18"/>
          <w:szCs w:val="18"/>
        </w:rPr>
        <w:t xml:space="preserve"> </w:t>
      </w:r>
      <w:r w:rsidRPr="00057E8A">
        <w:rPr>
          <w:rFonts w:ascii="Arial" w:hAnsi="Arial" w:cs="Arial"/>
          <w:sz w:val="18"/>
          <w:szCs w:val="18"/>
        </w:rPr>
        <w:t xml:space="preserve">Queen's Bench of Alberta on April 11, 2018.  Taiga securities </w:t>
      </w:r>
      <w:r>
        <w:rPr>
          <w:rFonts w:ascii="Arial" w:hAnsi="Arial" w:cs="Arial"/>
          <w:sz w:val="18"/>
          <w:szCs w:val="18"/>
        </w:rPr>
        <w:t>were</w:t>
      </w:r>
      <w:r w:rsidRPr="00057E8A">
        <w:rPr>
          <w:rFonts w:ascii="Arial" w:hAnsi="Arial" w:cs="Arial"/>
          <w:sz w:val="18"/>
          <w:szCs w:val="18"/>
        </w:rPr>
        <w:t xml:space="preserve"> listed for trading on the CSE on April </w:t>
      </w:r>
      <w:r>
        <w:rPr>
          <w:rFonts w:ascii="Arial" w:hAnsi="Arial" w:cs="Arial"/>
          <w:sz w:val="18"/>
          <w:szCs w:val="18"/>
        </w:rPr>
        <w:t>30</w:t>
      </w:r>
      <w:r w:rsidRPr="00057E8A">
        <w:rPr>
          <w:rFonts w:ascii="Arial" w:hAnsi="Arial" w:cs="Arial"/>
          <w:sz w:val="18"/>
          <w:szCs w:val="18"/>
        </w:rPr>
        <w:t>, 2018.</w:t>
      </w:r>
    </w:p>
    <w:p w:rsidR="006A257E" w:rsidRDefault="006A257E" w:rsidP="006A257E">
      <w:pPr>
        <w:pStyle w:val="NormalWeb"/>
        <w:spacing w:before="0" w:beforeAutospacing="0" w:after="0" w:afterAutospacing="0" w:line="210" w:lineRule="atLeast"/>
        <w:jc w:val="both"/>
        <w:rPr>
          <w:rFonts w:ascii="Arial" w:hAnsi="Arial" w:cs="Arial"/>
          <w:sz w:val="18"/>
          <w:szCs w:val="18"/>
        </w:rPr>
      </w:pPr>
    </w:p>
    <w:p w:rsidR="006A257E" w:rsidRDefault="006A257E" w:rsidP="006A257E">
      <w:pPr>
        <w:rPr>
          <w:rFonts w:cs="Arial"/>
          <w:b/>
          <w:sz w:val="18"/>
          <w:szCs w:val="18"/>
          <w:u w:val="single"/>
        </w:rPr>
      </w:pPr>
      <w:r w:rsidRPr="00BB6DF2">
        <w:rPr>
          <w:rFonts w:cs="Arial"/>
          <w:b/>
          <w:sz w:val="18"/>
          <w:szCs w:val="18"/>
          <w:u w:val="single"/>
        </w:rPr>
        <w:t>Summary of Quarterly Results</w:t>
      </w:r>
    </w:p>
    <w:p w:rsidR="006A257E" w:rsidRPr="00183B7E" w:rsidRDefault="006A257E" w:rsidP="006A257E">
      <w:pPr>
        <w:rPr>
          <w:rFonts w:cs="Arial"/>
          <w:b/>
          <w:sz w:val="18"/>
          <w:szCs w:val="18"/>
          <w:u w:val="single"/>
        </w:rPr>
      </w:pPr>
    </w:p>
    <w:p w:rsidR="006A257E" w:rsidRDefault="006A257E" w:rsidP="006A257E">
      <w:pPr>
        <w:jc w:val="both"/>
        <w:rPr>
          <w:rFonts w:cs="Arial"/>
          <w:sz w:val="18"/>
          <w:szCs w:val="18"/>
        </w:rPr>
      </w:pPr>
      <w:r>
        <w:rPr>
          <w:rFonts w:cs="Arial"/>
          <w:sz w:val="18"/>
          <w:szCs w:val="18"/>
        </w:rPr>
        <w:t xml:space="preserve">The statements of comprehensive loss for the periods ended prior to and including March 31, 2018 reflect an allocation of Taiga’ general and administrative expenses incurred in each of these periods. The allocation of general and administrative expense was calculated on the basis of the ratio of expenditures incurred on the Spin-out Properties as compared to the total expenditures incurred on all of Taiga’ mineral properties in each of the periods. The financial statements have been presented under the continuity of </w:t>
      </w:r>
      <w:proofErr w:type="gramStart"/>
      <w:r>
        <w:rPr>
          <w:rFonts w:cs="Arial"/>
          <w:sz w:val="18"/>
          <w:szCs w:val="18"/>
        </w:rPr>
        <w:t>interests</w:t>
      </w:r>
      <w:proofErr w:type="gramEnd"/>
      <w:r>
        <w:rPr>
          <w:rFonts w:cs="Arial"/>
          <w:sz w:val="18"/>
          <w:szCs w:val="18"/>
        </w:rPr>
        <w:t xml:space="preserve"> basis of accounting with statement of financial position amounts based on the amounts recorded by Taiga.</w:t>
      </w:r>
    </w:p>
    <w:p w:rsidR="006A257E" w:rsidRDefault="006A257E" w:rsidP="006A257E">
      <w:pPr>
        <w:jc w:val="both"/>
        <w:rPr>
          <w:rFonts w:cs="Arial"/>
          <w:sz w:val="18"/>
          <w:szCs w:val="18"/>
        </w:rPr>
      </w:pPr>
    </w:p>
    <w:p w:rsidR="006A257E" w:rsidRPr="00A925E0" w:rsidRDefault="006A257E" w:rsidP="006A257E">
      <w:pPr>
        <w:rPr>
          <w:rFonts w:cs="Arial"/>
          <w:b/>
          <w:sz w:val="12"/>
          <w:szCs w:val="12"/>
          <w:u w:val="single"/>
        </w:rPr>
      </w:pPr>
    </w:p>
    <w:tbl>
      <w:tblPr>
        <w:tblW w:w="11115" w:type="dxa"/>
        <w:jc w:val="right"/>
        <w:tblLayout w:type="fixed"/>
        <w:tblLook w:val="04A0" w:firstRow="1" w:lastRow="0" w:firstColumn="1" w:lastColumn="0" w:noHBand="0" w:noVBand="1"/>
      </w:tblPr>
      <w:tblGrid>
        <w:gridCol w:w="2483"/>
        <w:gridCol w:w="1079"/>
        <w:gridCol w:w="1079"/>
        <w:gridCol w:w="1079"/>
        <w:gridCol w:w="1079"/>
        <w:gridCol w:w="1079"/>
        <w:gridCol w:w="1079"/>
        <w:gridCol w:w="1079"/>
        <w:gridCol w:w="1079"/>
      </w:tblGrid>
      <w:tr w:rsidR="006A257E" w:rsidRPr="009456ED" w:rsidTr="00186ED6">
        <w:trPr>
          <w:trHeight w:val="255"/>
          <w:jc w:val="right"/>
        </w:trPr>
        <w:tc>
          <w:tcPr>
            <w:tcW w:w="2483" w:type="dxa"/>
            <w:tcBorders>
              <w:top w:val="single" w:sz="4" w:space="0" w:color="auto"/>
              <w:left w:val="single" w:sz="4" w:space="0" w:color="auto"/>
              <w:bottom w:val="single" w:sz="12" w:space="0" w:color="auto"/>
              <w:right w:val="single" w:sz="4" w:space="0" w:color="auto"/>
            </w:tcBorders>
            <w:vAlign w:val="bottom"/>
            <w:hideMark/>
          </w:tcPr>
          <w:p w:rsidR="006A257E" w:rsidRPr="009456ED" w:rsidRDefault="006A257E" w:rsidP="00186ED6">
            <w:pPr>
              <w:rPr>
                <w:rFonts w:cs="Arial"/>
                <w:sz w:val="16"/>
                <w:szCs w:val="16"/>
              </w:rPr>
            </w:pPr>
            <w:r w:rsidRPr="009456ED">
              <w:rPr>
                <w:rFonts w:cs="Arial"/>
                <w:sz w:val="16"/>
                <w:szCs w:val="16"/>
              </w:rPr>
              <w:t>Year</w:t>
            </w:r>
          </w:p>
          <w:p w:rsidR="006A257E" w:rsidRPr="009456ED" w:rsidRDefault="006A257E" w:rsidP="00186ED6">
            <w:pPr>
              <w:rPr>
                <w:rFonts w:cs="Arial"/>
                <w:sz w:val="16"/>
                <w:szCs w:val="16"/>
              </w:rPr>
            </w:pPr>
            <w:r w:rsidRPr="009456ED">
              <w:rPr>
                <w:rFonts w:cs="Arial"/>
                <w:sz w:val="16"/>
                <w:szCs w:val="16"/>
              </w:rPr>
              <w:t>Quarter</w:t>
            </w:r>
          </w:p>
        </w:tc>
        <w:tc>
          <w:tcPr>
            <w:tcW w:w="1079" w:type="dxa"/>
            <w:tcBorders>
              <w:top w:val="outset" w:sz="6" w:space="0" w:color="auto"/>
              <w:left w:val="single" w:sz="4" w:space="0" w:color="auto"/>
              <w:bottom w:val="single" w:sz="12" w:space="0" w:color="auto"/>
              <w:right w:val="single" w:sz="4" w:space="0" w:color="auto"/>
            </w:tcBorders>
          </w:tcPr>
          <w:p w:rsidR="006A257E" w:rsidRDefault="006A257E" w:rsidP="00186ED6">
            <w:pPr>
              <w:jc w:val="center"/>
              <w:rPr>
                <w:rFonts w:cs="Arial"/>
                <w:sz w:val="16"/>
                <w:szCs w:val="16"/>
              </w:rPr>
            </w:pPr>
            <w:r>
              <w:rPr>
                <w:rFonts w:cs="Arial"/>
                <w:sz w:val="16"/>
                <w:szCs w:val="16"/>
              </w:rPr>
              <w:t>2018</w:t>
            </w:r>
          </w:p>
          <w:p w:rsidR="006A257E" w:rsidRDefault="006A257E" w:rsidP="00186ED6">
            <w:pPr>
              <w:jc w:val="center"/>
              <w:rPr>
                <w:rFonts w:cs="Arial"/>
                <w:sz w:val="16"/>
                <w:szCs w:val="16"/>
              </w:rPr>
            </w:pPr>
            <w:r>
              <w:rPr>
                <w:rFonts w:cs="Arial"/>
                <w:sz w:val="16"/>
                <w:szCs w:val="16"/>
              </w:rPr>
              <w:t>Jun30</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2018</w:t>
            </w:r>
          </w:p>
          <w:p w:rsidR="006A257E" w:rsidRDefault="006A257E" w:rsidP="00186ED6">
            <w:pPr>
              <w:jc w:val="center"/>
              <w:rPr>
                <w:rFonts w:cs="Arial"/>
                <w:sz w:val="16"/>
                <w:szCs w:val="16"/>
              </w:rPr>
            </w:pPr>
            <w:r>
              <w:rPr>
                <w:rFonts w:cs="Arial"/>
                <w:sz w:val="16"/>
                <w:szCs w:val="16"/>
              </w:rPr>
              <w:t>Mar 31</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2017</w:t>
            </w:r>
          </w:p>
          <w:p w:rsidR="006A257E" w:rsidRDefault="006A257E" w:rsidP="00186ED6">
            <w:pPr>
              <w:jc w:val="center"/>
              <w:rPr>
                <w:rFonts w:cs="Arial"/>
                <w:sz w:val="16"/>
                <w:szCs w:val="16"/>
              </w:rPr>
            </w:pPr>
            <w:r>
              <w:rPr>
                <w:rFonts w:cs="Arial"/>
                <w:sz w:val="16"/>
                <w:szCs w:val="16"/>
              </w:rPr>
              <w:t>Dec 31</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2017</w:t>
            </w:r>
          </w:p>
          <w:p w:rsidR="006A257E" w:rsidRDefault="006A257E" w:rsidP="00186ED6">
            <w:pPr>
              <w:jc w:val="center"/>
              <w:rPr>
                <w:rFonts w:cs="Arial"/>
                <w:sz w:val="16"/>
                <w:szCs w:val="16"/>
              </w:rPr>
            </w:pPr>
            <w:r>
              <w:rPr>
                <w:rFonts w:cs="Arial"/>
                <w:sz w:val="16"/>
                <w:szCs w:val="16"/>
              </w:rPr>
              <w:t>Sep 30</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2017</w:t>
            </w:r>
          </w:p>
          <w:p w:rsidR="006A257E" w:rsidRDefault="006A257E" w:rsidP="00186ED6">
            <w:pPr>
              <w:jc w:val="center"/>
              <w:rPr>
                <w:rFonts w:cs="Arial"/>
                <w:sz w:val="16"/>
                <w:szCs w:val="16"/>
              </w:rPr>
            </w:pPr>
            <w:r>
              <w:rPr>
                <w:rFonts w:cs="Arial"/>
                <w:sz w:val="16"/>
                <w:szCs w:val="16"/>
              </w:rPr>
              <w:t>Jun 30</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2017</w:t>
            </w:r>
          </w:p>
          <w:p w:rsidR="006A257E" w:rsidRDefault="006A257E" w:rsidP="00186ED6">
            <w:pPr>
              <w:jc w:val="center"/>
              <w:rPr>
                <w:rFonts w:cs="Arial"/>
                <w:sz w:val="16"/>
                <w:szCs w:val="16"/>
              </w:rPr>
            </w:pPr>
            <w:r>
              <w:rPr>
                <w:rFonts w:cs="Arial"/>
                <w:sz w:val="16"/>
                <w:szCs w:val="16"/>
              </w:rPr>
              <w:t>Mar 31</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2016</w:t>
            </w:r>
          </w:p>
          <w:p w:rsidR="006A257E" w:rsidRDefault="006A257E" w:rsidP="00186ED6">
            <w:pPr>
              <w:jc w:val="center"/>
              <w:rPr>
                <w:rFonts w:cs="Arial"/>
                <w:sz w:val="16"/>
                <w:szCs w:val="16"/>
              </w:rPr>
            </w:pPr>
            <w:r>
              <w:rPr>
                <w:rFonts w:cs="Arial"/>
                <w:sz w:val="16"/>
                <w:szCs w:val="16"/>
              </w:rPr>
              <w:t>Dec 31</w:t>
            </w:r>
          </w:p>
        </w:tc>
        <w:tc>
          <w:tcPr>
            <w:tcW w:w="1079" w:type="dxa"/>
            <w:tcBorders>
              <w:top w:val="outset" w:sz="6" w:space="0" w:color="auto"/>
              <w:left w:val="single" w:sz="4" w:space="0" w:color="auto"/>
              <w:bottom w:val="single" w:sz="12"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2016</w:t>
            </w:r>
          </w:p>
          <w:p w:rsidR="006A257E" w:rsidRDefault="006A257E" w:rsidP="00186ED6">
            <w:pPr>
              <w:jc w:val="center"/>
              <w:rPr>
                <w:rFonts w:cs="Arial"/>
                <w:sz w:val="16"/>
                <w:szCs w:val="16"/>
              </w:rPr>
            </w:pPr>
            <w:r>
              <w:rPr>
                <w:rFonts w:cs="Arial"/>
                <w:sz w:val="16"/>
                <w:szCs w:val="16"/>
              </w:rPr>
              <w:t>Sep 30</w:t>
            </w:r>
          </w:p>
        </w:tc>
      </w:tr>
      <w:tr w:rsidR="006A257E" w:rsidRPr="009456ED" w:rsidTr="00186ED6">
        <w:trPr>
          <w:trHeight w:val="255"/>
          <w:jc w:val="right"/>
        </w:trPr>
        <w:tc>
          <w:tcPr>
            <w:tcW w:w="2483" w:type="dxa"/>
            <w:tcBorders>
              <w:top w:val="single" w:sz="12" w:space="0" w:color="auto"/>
              <w:left w:val="single" w:sz="4" w:space="0" w:color="auto"/>
              <w:bottom w:val="single" w:sz="4" w:space="0" w:color="auto"/>
              <w:right w:val="single" w:sz="4" w:space="0" w:color="auto"/>
            </w:tcBorders>
            <w:vAlign w:val="bottom"/>
            <w:hideMark/>
          </w:tcPr>
          <w:p w:rsidR="006A257E" w:rsidRPr="009456ED" w:rsidRDefault="006A257E" w:rsidP="00186ED6">
            <w:pPr>
              <w:rPr>
                <w:rFonts w:cs="Arial"/>
                <w:sz w:val="16"/>
                <w:szCs w:val="16"/>
              </w:rPr>
            </w:pPr>
            <w:r w:rsidRPr="009456ED">
              <w:rPr>
                <w:rFonts w:cs="Arial"/>
                <w:sz w:val="16"/>
                <w:szCs w:val="16"/>
              </w:rPr>
              <w:t>Revenues</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c>
          <w:tcPr>
            <w:tcW w:w="1079" w:type="dxa"/>
            <w:tcBorders>
              <w:top w:val="single" w:sz="12" w:space="0" w:color="auto"/>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          -</w:t>
            </w:r>
          </w:p>
        </w:tc>
      </w:tr>
      <w:tr w:rsidR="006A257E" w:rsidRPr="009456ED" w:rsidTr="00186ED6">
        <w:trPr>
          <w:trHeight w:val="332"/>
          <w:jc w:val="right"/>
        </w:trPr>
        <w:tc>
          <w:tcPr>
            <w:tcW w:w="2483" w:type="dxa"/>
            <w:tcBorders>
              <w:top w:val="nil"/>
              <w:left w:val="single" w:sz="4" w:space="0" w:color="auto"/>
              <w:bottom w:val="single" w:sz="4" w:space="0" w:color="auto"/>
              <w:right w:val="single" w:sz="4" w:space="0" w:color="auto"/>
            </w:tcBorders>
            <w:vAlign w:val="bottom"/>
            <w:hideMark/>
          </w:tcPr>
          <w:p w:rsidR="006A257E" w:rsidRPr="009456ED" w:rsidRDefault="006A257E" w:rsidP="00186ED6">
            <w:pPr>
              <w:rPr>
                <w:rFonts w:cs="Arial"/>
                <w:sz w:val="16"/>
                <w:szCs w:val="16"/>
              </w:rPr>
            </w:pPr>
            <w:r w:rsidRPr="009456ED">
              <w:rPr>
                <w:rFonts w:cs="Arial"/>
                <w:sz w:val="16"/>
                <w:szCs w:val="16"/>
              </w:rPr>
              <w:t>Net Loss</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(182,603)</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(54,289)</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(33,001)</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(30,577)</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(52,764)</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(77,068)</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(193,872)</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w:t>
            </w:r>
          </w:p>
        </w:tc>
      </w:tr>
      <w:tr w:rsidR="006A257E" w:rsidRPr="009456ED" w:rsidTr="00186ED6">
        <w:trPr>
          <w:trHeight w:val="255"/>
          <w:jc w:val="right"/>
        </w:trPr>
        <w:tc>
          <w:tcPr>
            <w:tcW w:w="2483" w:type="dxa"/>
            <w:tcBorders>
              <w:top w:val="nil"/>
              <w:left w:val="single" w:sz="4" w:space="0" w:color="auto"/>
              <w:bottom w:val="single" w:sz="4" w:space="0" w:color="auto"/>
              <w:right w:val="single" w:sz="4" w:space="0" w:color="auto"/>
            </w:tcBorders>
            <w:vAlign w:val="bottom"/>
            <w:hideMark/>
          </w:tcPr>
          <w:p w:rsidR="006A257E" w:rsidRPr="009456ED" w:rsidRDefault="006A257E" w:rsidP="00186ED6">
            <w:pPr>
              <w:rPr>
                <w:rFonts w:cs="Arial"/>
                <w:sz w:val="16"/>
                <w:szCs w:val="16"/>
              </w:rPr>
            </w:pPr>
            <w:r>
              <w:rPr>
                <w:rFonts w:cs="Arial"/>
                <w:sz w:val="16"/>
                <w:szCs w:val="16"/>
              </w:rPr>
              <w:t>(</w:t>
            </w:r>
            <w:r w:rsidRPr="009456ED">
              <w:rPr>
                <w:rFonts w:cs="Arial"/>
                <w:sz w:val="16"/>
                <w:szCs w:val="16"/>
              </w:rPr>
              <w:t>Loss) per Share</w:t>
            </w:r>
            <w:r>
              <w:rPr>
                <w:rFonts w:cs="Arial"/>
                <w:sz w:val="16"/>
                <w:szCs w:val="16"/>
              </w:rPr>
              <w:t xml:space="preserve"> - Basic</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(0.01)</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r>
      <w:tr w:rsidR="006A257E" w:rsidRPr="009456ED" w:rsidTr="00186ED6">
        <w:trPr>
          <w:trHeight w:val="255"/>
          <w:jc w:val="right"/>
        </w:trPr>
        <w:tc>
          <w:tcPr>
            <w:tcW w:w="2483" w:type="dxa"/>
            <w:tcBorders>
              <w:top w:val="nil"/>
              <w:left w:val="single" w:sz="4" w:space="0" w:color="auto"/>
              <w:bottom w:val="single" w:sz="4" w:space="0" w:color="auto"/>
              <w:right w:val="single" w:sz="4" w:space="0" w:color="auto"/>
            </w:tcBorders>
            <w:vAlign w:val="bottom"/>
            <w:hideMark/>
          </w:tcPr>
          <w:p w:rsidR="006A257E" w:rsidRPr="009456ED" w:rsidRDefault="006A257E" w:rsidP="00186ED6">
            <w:pPr>
              <w:rPr>
                <w:rFonts w:cs="Arial"/>
                <w:sz w:val="16"/>
                <w:szCs w:val="16"/>
              </w:rPr>
            </w:pPr>
            <w:r w:rsidRPr="009456ED">
              <w:rPr>
                <w:rFonts w:cs="Arial"/>
                <w:sz w:val="16"/>
                <w:szCs w:val="16"/>
              </w:rPr>
              <w:t xml:space="preserve">Diluted </w:t>
            </w:r>
            <w:r>
              <w:rPr>
                <w:rFonts w:cs="Arial"/>
                <w:sz w:val="16"/>
                <w:szCs w:val="16"/>
              </w:rPr>
              <w:t>earnings</w:t>
            </w:r>
            <w:r w:rsidRPr="009456ED">
              <w:rPr>
                <w:rFonts w:cs="Arial"/>
                <w:sz w:val="16"/>
                <w:szCs w:val="16"/>
              </w:rPr>
              <w:t xml:space="preserve"> (</w:t>
            </w:r>
            <w:r>
              <w:rPr>
                <w:rFonts w:cs="Arial"/>
                <w:sz w:val="16"/>
                <w:szCs w:val="16"/>
              </w:rPr>
              <w:t>l</w:t>
            </w:r>
            <w:r w:rsidRPr="009456ED">
              <w:rPr>
                <w:rFonts w:cs="Arial"/>
                <w:sz w:val="16"/>
                <w:szCs w:val="16"/>
              </w:rPr>
              <w:t xml:space="preserve">oss) per share </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(0.01)</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0.00</w:t>
            </w:r>
          </w:p>
        </w:tc>
      </w:tr>
      <w:tr w:rsidR="006A257E" w:rsidRPr="009456ED" w:rsidTr="00186ED6">
        <w:trPr>
          <w:trHeight w:val="233"/>
          <w:jc w:val="right"/>
        </w:trPr>
        <w:tc>
          <w:tcPr>
            <w:tcW w:w="2483" w:type="dxa"/>
            <w:tcBorders>
              <w:top w:val="nil"/>
              <w:left w:val="single" w:sz="4" w:space="0" w:color="auto"/>
              <w:bottom w:val="single" w:sz="4" w:space="0" w:color="auto"/>
              <w:right w:val="single" w:sz="4" w:space="0" w:color="auto"/>
            </w:tcBorders>
            <w:vAlign w:val="bottom"/>
            <w:hideMark/>
          </w:tcPr>
          <w:p w:rsidR="006A257E" w:rsidRPr="009456ED" w:rsidRDefault="006A257E" w:rsidP="00186ED6">
            <w:pPr>
              <w:rPr>
                <w:rFonts w:cs="Arial"/>
                <w:sz w:val="16"/>
                <w:szCs w:val="16"/>
              </w:rPr>
            </w:pPr>
            <w:r>
              <w:rPr>
                <w:rFonts w:cs="Arial"/>
                <w:sz w:val="16"/>
                <w:szCs w:val="16"/>
              </w:rPr>
              <w:t>Assets</w:t>
            </w:r>
            <w:r w:rsidRPr="009456ED">
              <w:rPr>
                <w:rFonts w:cs="Arial"/>
                <w:sz w:val="16"/>
                <w:szCs w:val="16"/>
              </w:rPr>
              <w:t xml:space="preserve"> </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1,419,500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194,022</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237,557</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300,580</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263,047</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207,441</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250,487</w:t>
            </w:r>
          </w:p>
        </w:tc>
        <w:tc>
          <w:tcPr>
            <w:tcW w:w="1079" w:type="dxa"/>
            <w:tcBorders>
              <w:top w:val="nil"/>
              <w:left w:val="single" w:sz="4" w:space="0" w:color="auto"/>
              <w:bottom w:val="single" w:sz="4" w:space="0" w:color="auto"/>
              <w:right w:val="single" w:sz="4" w:space="0" w:color="auto"/>
            </w:tcBorders>
            <w:vAlign w:val="bottom"/>
          </w:tcPr>
          <w:p w:rsidR="006A257E" w:rsidRDefault="006A257E" w:rsidP="00186ED6">
            <w:pPr>
              <w:jc w:val="center"/>
              <w:rPr>
                <w:rFonts w:cs="Arial"/>
                <w:sz w:val="16"/>
                <w:szCs w:val="16"/>
              </w:rPr>
            </w:pPr>
            <w:r>
              <w:rPr>
                <w:rFonts w:cs="Arial"/>
                <w:sz w:val="16"/>
                <w:szCs w:val="16"/>
              </w:rPr>
              <w:t>285,386</w:t>
            </w:r>
          </w:p>
        </w:tc>
      </w:tr>
    </w:tbl>
    <w:p w:rsidR="006A257E" w:rsidRDefault="006A257E" w:rsidP="006A257E">
      <w:pPr>
        <w:jc w:val="both"/>
        <w:rPr>
          <w:rFonts w:cs="Arial"/>
          <w:b/>
          <w:sz w:val="18"/>
          <w:szCs w:val="18"/>
        </w:rPr>
      </w:pPr>
    </w:p>
    <w:p w:rsidR="006A257E" w:rsidRPr="00BB6DF2" w:rsidRDefault="006A257E" w:rsidP="006A257E">
      <w:pPr>
        <w:pBdr>
          <w:top w:val="single" w:sz="24" w:space="1" w:color="auto"/>
        </w:pBdr>
        <w:tabs>
          <w:tab w:val="right" w:pos="9360"/>
        </w:tabs>
        <w:jc w:val="right"/>
        <w:rPr>
          <w:rFonts w:cs="Arial"/>
          <w:b/>
          <w:sz w:val="18"/>
          <w:szCs w:val="18"/>
        </w:rPr>
      </w:pPr>
      <w:r>
        <w:rPr>
          <w:rFonts w:cs="Arial"/>
          <w:b/>
          <w:sz w:val="18"/>
          <w:szCs w:val="18"/>
        </w:rPr>
        <w:lastRenderedPageBreak/>
        <w:t>Taiga Gold Corp.</w:t>
      </w:r>
    </w:p>
    <w:p w:rsidR="006A257E" w:rsidRPr="00BB6DF2" w:rsidRDefault="006A257E" w:rsidP="006A257E">
      <w:pPr>
        <w:tabs>
          <w:tab w:val="right" w:pos="9360"/>
        </w:tabs>
        <w:jc w:val="right"/>
        <w:rPr>
          <w:rFonts w:cs="Arial"/>
          <w:sz w:val="18"/>
          <w:szCs w:val="18"/>
        </w:rPr>
      </w:pPr>
      <w:r w:rsidRPr="00BB6DF2">
        <w:rPr>
          <w:rFonts w:cs="Arial"/>
          <w:b/>
          <w:sz w:val="18"/>
          <w:szCs w:val="18"/>
        </w:rPr>
        <w:t>(An Exploration Stage Corporation)</w:t>
      </w:r>
    </w:p>
    <w:p w:rsidR="006A257E" w:rsidRPr="00BB6DF2" w:rsidRDefault="006A257E" w:rsidP="006A257E">
      <w:pPr>
        <w:tabs>
          <w:tab w:val="right" w:pos="9360"/>
        </w:tabs>
        <w:jc w:val="right"/>
        <w:rPr>
          <w:rFonts w:cs="Arial"/>
          <w:b/>
          <w:sz w:val="18"/>
          <w:szCs w:val="18"/>
        </w:rPr>
      </w:pPr>
      <w:r w:rsidRPr="00BB6DF2">
        <w:rPr>
          <w:rFonts w:cs="Arial"/>
          <w:b/>
          <w:sz w:val="18"/>
          <w:szCs w:val="18"/>
        </w:rPr>
        <w:t>Management Discussion and Analysis</w:t>
      </w:r>
    </w:p>
    <w:p w:rsidR="006A257E" w:rsidRPr="00BB6DF2" w:rsidRDefault="006A257E" w:rsidP="006A257E">
      <w:pPr>
        <w:pBdr>
          <w:bottom w:val="single" w:sz="8" w:space="1" w:color="auto"/>
        </w:pBdr>
        <w:tabs>
          <w:tab w:val="right" w:pos="9360"/>
        </w:tabs>
        <w:rPr>
          <w:rFonts w:cs="Arial"/>
          <w:b/>
          <w:sz w:val="18"/>
          <w:szCs w:val="18"/>
        </w:rPr>
      </w:pPr>
      <w:r w:rsidRPr="00BB6DF2">
        <w:rPr>
          <w:rFonts w:cs="Arial"/>
          <w:b/>
          <w:sz w:val="18"/>
          <w:szCs w:val="18"/>
        </w:rPr>
        <w:t xml:space="preserve">As at </w:t>
      </w:r>
      <w:r>
        <w:rPr>
          <w:rFonts w:cs="Arial"/>
          <w:b/>
          <w:sz w:val="18"/>
          <w:szCs w:val="18"/>
        </w:rPr>
        <w:t>June 30</w:t>
      </w:r>
      <w:r w:rsidRPr="00BB6DF2">
        <w:rPr>
          <w:rFonts w:cs="Arial"/>
          <w:b/>
          <w:sz w:val="18"/>
          <w:szCs w:val="18"/>
        </w:rPr>
        <w:t>, 201</w:t>
      </w:r>
      <w:r>
        <w:rPr>
          <w:rFonts w:cs="Arial"/>
          <w:b/>
          <w:sz w:val="18"/>
          <w:szCs w:val="18"/>
        </w:rPr>
        <w:t>8</w:t>
      </w:r>
      <w:r w:rsidRPr="00BB6DF2">
        <w:rPr>
          <w:rFonts w:cs="Arial"/>
          <w:b/>
          <w:sz w:val="18"/>
          <w:szCs w:val="18"/>
        </w:rPr>
        <w:t xml:space="preserve"> </w:t>
      </w:r>
    </w:p>
    <w:p w:rsidR="006A257E" w:rsidRDefault="006A257E" w:rsidP="006A257E">
      <w:pPr>
        <w:rPr>
          <w:rFonts w:cs="Arial"/>
          <w:b/>
          <w:sz w:val="18"/>
          <w:szCs w:val="18"/>
          <w:u w:val="single"/>
        </w:rPr>
      </w:pPr>
    </w:p>
    <w:p w:rsidR="006A257E" w:rsidRPr="00BB6DF2" w:rsidRDefault="006A257E" w:rsidP="006A257E">
      <w:pPr>
        <w:rPr>
          <w:rFonts w:cs="Arial"/>
          <w:b/>
          <w:sz w:val="18"/>
          <w:szCs w:val="18"/>
          <w:u w:val="single"/>
        </w:rPr>
      </w:pPr>
      <w:r w:rsidRPr="00BB6DF2">
        <w:rPr>
          <w:rFonts w:cs="Arial"/>
          <w:b/>
          <w:sz w:val="18"/>
          <w:szCs w:val="18"/>
          <w:u w:val="single"/>
        </w:rPr>
        <w:t>RESULTS OF OPERATIONS</w:t>
      </w:r>
    </w:p>
    <w:p w:rsidR="006A257E" w:rsidRPr="00B612EE" w:rsidRDefault="006A257E" w:rsidP="006A257E">
      <w:pPr>
        <w:rPr>
          <w:rFonts w:cs="Arial"/>
          <w:sz w:val="12"/>
          <w:szCs w:val="12"/>
        </w:rPr>
      </w:pPr>
    </w:p>
    <w:p w:rsidR="006A257E" w:rsidRPr="00BB6DF2" w:rsidRDefault="006A257E" w:rsidP="006A257E">
      <w:pPr>
        <w:rPr>
          <w:rFonts w:cs="Arial"/>
          <w:b/>
          <w:sz w:val="18"/>
          <w:szCs w:val="18"/>
        </w:rPr>
      </w:pPr>
      <w:r w:rsidRPr="00BB6DF2">
        <w:rPr>
          <w:rFonts w:cs="Arial"/>
          <w:b/>
          <w:sz w:val="18"/>
          <w:szCs w:val="18"/>
        </w:rPr>
        <w:t>Expenditures</w:t>
      </w:r>
    </w:p>
    <w:p w:rsidR="006A257E" w:rsidRPr="00E633CE" w:rsidRDefault="006A257E" w:rsidP="006A257E">
      <w:pPr>
        <w:rPr>
          <w:rFonts w:cs="Arial"/>
          <w:b/>
          <w:sz w:val="12"/>
          <w:szCs w:val="12"/>
        </w:rPr>
      </w:pPr>
    </w:p>
    <w:p w:rsidR="006A257E" w:rsidRDefault="006A257E" w:rsidP="006A257E">
      <w:pPr>
        <w:jc w:val="both"/>
        <w:rPr>
          <w:rFonts w:cs="Arial"/>
          <w:sz w:val="18"/>
          <w:szCs w:val="18"/>
        </w:rPr>
      </w:pPr>
      <w:r w:rsidRPr="00BB6DF2">
        <w:rPr>
          <w:rFonts w:cs="Arial"/>
          <w:sz w:val="18"/>
          <w:szCs w:val="18"/>
        </w:rPr>
        <w:t>Operating expenses for the quarter were $</w:t>
      </w:r>
      <w:r>
        <w:rPr>
          <w:rFonts w:cs="Arial"/>
          <w:sz w:val="18"/>
          <w:szCs w:val="18"/>
        </w:rPr>
        <w:t>184,307</w:t>
      </w:r>
      <w:r w:rsidRPr="00BB6DF2">
        <w:rPr>
          <w:rFonts w:cs="Arial"/>
          <w:sz w:val="18"/>
          <w:szCs w:val="18"/>
        </w:rPr>
        <w:t xml:space="preserve"> (20</w:t>
      </w:r>
      <w:r>
        <w:rPr>
          <w:rFonts w:cs="Arial"/>
          <w:sz w:val="18"/>
          <w:szCs w:val="18"/>
        </w:rPr>
        <w:t>17</w:t>
      </w:r>
      <w:r w:rsidRPr="00BB6DF2">
        <w:rPr>
          <w:rFonts w:cs="Arial"/>
          <w:sz w:val="18"/>
          <w:szCs w:val="18"/>
        </w:rPr>
        <w:t xml:space="preserve"> – $</w:t>
      </w:r>
      <w:r>
        <w:rPr>
          <w:rFonts w:cs="Arial"/>
          <w:sz w:val="18"/>
          <w:szCs w:val="18"/>
        </w:rPr>
        <w:t>38,390</w:t>
      </w:r>
      <w:r w:rsidRPr="00BB6DF2">
        <w:rPr>
          <w:rFonts w:cs="Arial"/>
          <w:sz w:val="18"/>
          <w:szCs w:val="18"/>
        </w:rPr>
        <w:t>).</w:t>
      </w:r>
      <w:r>
        <w:rPr>
          <w:rFonts w:cs="Arial"/>
          <w:sz w:val="18"/>
          <w:szCs w:val="18"/>
        </w:rPr>
        <w:t xml:space="preserve">  The administration expenses are comprised mainly of wages, consulting fees and office costs.  Trade shows, travel and promotion represent costs for attendance at trade shows and contracting of marketing advisors for promotion of the Plan of Arrangement.</w:t>
      </w:r>
    </w:p>
    <w:p w:rsidR="006A257E" w:rsidRPr="00892291" w:rsidRDefault="006A257E" w:rsidP="006A257E">
      <w:pPr>
        <w:jc w:val="both"/>
        <w:rPr>
          <w:rFonts w:cs="Arial"/>
          <w:sz w:val="12"/>
          <w:szCs w:val="12"/>
        </w:rPr>
      </w:pPr>
    </w:p>
    <w:p w:rsidR="006A257E" w:rsidRDefault="006A257E" w:rsidP="006A257E">
      <w:pPr>
        <w:jc w:val="both"/>
        <w:rPr>
          <w:rFonts w:cs="Arial"/>
          <w:sz w:val="18"/>
          <w:szCs w:val="18"/>
        </w:rPr>
      </w:pPr>
      <w:r>
        <w:rPr>
          <w:rFonts w:cs="Arial"/>
          <w:sz w:val="18"/>
          <w:szCs w:val="18"/>
        </w:rPr>
        <w:t xml:space="preserve">Non-cash expenses included share-based payments of $nil </w:t>
      </w:r>
      <w:r w:rsidRPr="00BB6DF2">
        <w:rPr>
          <w:rFonts w:cs="Arial"/>
          <w:sz w:val="18"/>
          <w:szCs w:val="18"/>
        </w:rPr>
        <w:t>(20</w:t>
      </w:r>
      <w:r>
        <w:rPr>
          <w:rFonts w:cs="Arial"/>
          <w:sz w:val="18"/>
          <w:szCs w:val="18"/>
        </w:rPr>
        <w:t>17</w:t>
      </w:r>
      <w:r w:rsidRPr="00BB6DF2">
        <w:rPr>
          <w:rFonts w:cs="Arial"/>
          <w:sz w:val="18"/>
          <w:szCs w:val="18"/>
        </w:rPr>
        <w:t xml:space="preserve"> – </w:t>
      </w:r>
      <w:r>
        <w:rPr>
          <w:rFonts w:cs="Arial"/>
          <w:sz w:val="18"/>
          <w:szCs w:val="18"/>
        </w:rPr>
        <w:t xml:space="preserve">$14,374) for </w:t>
      </w:r>
      <w:r w:rsidRPr="00BB6DF2">
        <w:rPr>
          <w:rFonts w:cs="Arial"/>
          <w:sz w:val="18"/>
          <w:szCs w:val="18"/>
        </w:rPr>
        <w:t xml:space="preserve">options </w:t>
      </w:r>
      <w:r>
        <w:rPr>
          <w:rFonts w:cs="Arial"/>
          <w:sz w:val="18"/>
          <w:szCs w:val="18"/>
        </w:rPr>
        <w:t>vested</w:t>
      </w:r>
      <w:r w:rsidRPr="00BB6DF2">
        <w:rPr>
          <w:rFonts w:cs="Arial"/>
          <w:sz w:val="18"/>
          <w:szCs w:val="18"/>
        </w:rPr>
        <w:t xml:space="preserve"> </w:t>
      </w:r>
      <w:r>
        <w:rPr>
          <w:rFonts w:cs="Arial"/>
          <w:sz w:val="18"/>
          <w:szCs w:val="18"/>
        </w:rPr>
        <w:t xml:space="preserve">and issued </w:t>
      </w:r>
      <w:r w:rsidRPr="00BB6DF2">
        <w:rPr>
          <w:rFonts w:cs="Arial"/>
          <w:sz w:val="18"/>
          <w:szCs w:val="18"/>
        </w:rPr>
        <w:t>in the quarter</w:t>
      </w:r>
      <w:r>
        <w:rPr>
          <w:rFonts w:cs="Arial"/>
          <w:sz w:val="18"/>
          <w:szCs w:val="18"/>
        </w:rPr>
        <w:t>.</w:t>
      </w:r>
    </w:p>
    <w:p w:rsidR="006A257E" w:rsidRPr="00B612EE" w:rsidRDefault="006A257E" w:rsidP="006A257E">
      <w:pPr>
        <w:jc w:val="both"/>
        <w:rPr>
          <w:rFonts w:cs="Arial"/>
          <w:b/>
          <w:sz w:val="12"/>
          <w:szCs w:val="12"/>
          <w:u w:val="single"/>
        </w:rPr>
      </w:pPr>
    </w:p>
    <w:p w:rsidR="006A257E" w:rsidRPr="00BB6DF2" w:rsidRDefault="006A257E" w:rsidP="006A257E">
      <w:pPr>
        <w:jc w:val="both"/>
        <w:rPr>
          <w:rFonts w:cs="Arial"/>
          <w:b/>
          <w:sz w:val="18"/>
          <w:szCs w:val="18"/>
        </w:rPr>
      </w:pPr>
      <w:r w:rsidRPr="00BB6DF2">
        <w:rPr>
          <w:rFonts w:cs="Arial"/>
          <w:b/>
          <w:sz w:val="18"/>
          <w:szCs w:val="18"/>
        </w:rPr>
        <w:t>Liquidity and Financial Resources</w:t>
      </w:r>
    </w:p>
    <w:p w:rsidR="006A257E" w:rsidRPr="00BF76FF" w:rsidRDefault="006A257E" w:rsidP="006A257E">
      <w:pPr>
        <w:jc w:val="both"/>
        <w:rPr>
          <w:rFonts w:cs="Arial"/>
          <w:sz w:val="12"/>
          <w:szCs w:val="12"/>
        </w:rPr>
      </w:pPr>
    </w:p>
    <w:p w:rsidR="006A257E" w:rsidRDefault="006A257E" w:rsidP="006A257E">
      <w:pPr>
        <w:jc w:val="both"/>
        <w:rPr>
          <w:rFonts w:cs="Arial"/>
          <w:sz w:val="18"/>
          <w:szCs w:val="18"/>
        </w:rPr>
      </w:pPr>
      <w:r w:rsidRPr="00BB6DF2">
        <w:rPr>
          <w:rFonts w:cs="Arial"/>
          <w:sz w:val="18"/>
          <w:szCs w:val="18"/>
        </w:rPr>
        <w:t xml:space="preserve">At </w:t>
      </w:r>
      <w:r>
        <w:rPr>
          <w:rFonts w:cs="Arial"/>
          <w:sz w:val="18"/>
          <w:szCs w:val="18"/>
        </w:rPr>
        <w:t>June 30</w:t>
      </w:r>
      <w:r w:rsidRPr="00BB6DF2">
        <w:rPr>
          <w:rFonts w:cs="Arial"/>
          <w:sz w:val="18"/>
          <w:szCs w:val="18"/>
        </w:rPr>
        <w:t xml:space="preserve">, </w:t>
      </w:r>
      <w:r>
        <w:rPr>
          <w:rFonts w:cs="Arial"/>
          <w:sz w:val="18"/>
          <w:szCs w:val="18"/>
        </w:rPr>
        <w:t>2018</w:t>
      </w:r>
      <w:r w:rsidRPr="00BB6DF2">
        <w:rPr>
          <w:rFonts w:cs="Arial"/>
          <w:sz w:val="18"/>
          <w:szCs w:val="18"/>
        </w:rPr>
        <w:t>, the Company had working capital of $</w:t>
      </w:r>
      <w:r>
        <w:rPr>
          <w:rFonts w:cs="Arial"/>
          <w:sz w:val="18"/>
          <w:szCs w:val="18"/>
        </w:rPr>
        <w:t xml:space="preserve">840,803 </w:t>
      </w:r>
      <w:r w:rsidRPr="00BB6DF2">
        <w:rPr>
          <w:rFonts w:cs="Arial"/>
          <w:sz w:val="18"/>
          <w:szCs w:val="18"/>
        </w:rPr>
        <w:t>(201</w:t>
      </w:r>
      <w:r>
        <w:rPr>
          <w:rFonts w:cs="Arial"/>
          <w:sz w:val="18"/>
          <w:szCs w:val="18"/>
        </w:rPr>
        <w:t>7</w:t>
      </w:r>
      <w:r w:rsidRPr="00BB6DF2">
        <w:rPr>
          <w:rFonts w:cs="Arial"/>
          <w:sz w:val="18"/>
          <w:szCs w:val="18"/>
        </w:rPr>
        <w:t xml:space="preserve"> - $</w:t>
      </w:r>
      <w:r>
        <w:rPr>
          <w:rFonts w:cs="Arial"/>
          <w:sz w:val="18"/>
          <w:szCs w:val="18"/>
        </w:rPr>
        <w:t>1</w:t>
      </w:r>
      <w:r w:rsidRPr="00BB6DF2">
        <w:rPr>
          <w:rFonts w:cs="Arial"/>
          <w:sz w:val="18"/>
          <w:szCs w:val="18"/>
        </w:rPr>
        <w:t xml:space="preserve">). </w:t>
      </w:r>
      <w:r>
        <w:rPr>
          <w:rFonts w:cs="Arial"/>
          <w:sz w:val="18"/>
          <w:szCs w:val="18"/>
        </w:rPr>
        <w:t xml:space="preserve">The Company received $300,000 upon closing of the Plan of Arrangement and completed </w:t>
      </w:r>
      <w:proofErr w:type="gramStart"/>
      <w:r>
        <w:rPr>
          <w:rFonts w:cs="Arial"/>
          <w:sz w:val="18"/>
          <w:szCs w:val="18"/>
        </w:rPr>
        <w:t>a financing</w:t>
      </w:r>
      <w:proofErr w:type="gramEnd"/>
      <w:r>
        <w:rPr>
          <w:rFonts w:cs="Arial"/>
          <w:sz w:val="18"/>
          <w:szCs w:val="18"/>
        </w:rPr>
        <w:t xml:space="preserve"> receiving net proceeds of $729,290.</w:t>
      </w:r>
    </w:p>
    <w:p w:rsidR="006A257E" w:rsidRPr="00B612EE" w:rsidRDefault="006A257E" w:rsidP="006A257E">
      <w:pPr>
        <w:jc w:val="both"/>
        <w:rPr>
          <w:rFonts w:cs="Arial"/>
          <w:sz w:val="12"/>
          <w:szCs w:val="12"/>
        </w:rPr>
      </w:pPr>
    </w:p>
    <w:p w:rsidR="006A257E" w:rsidRDefault="006A257E" w:rsidP="006A257E">
      <w:pPr>
        <w:jc w:val="both"/>
        <w:rPr>
          <w:rFonts w:cs="Arial"/>
          <w:sz w:val="18"/>
          <w:szCs w:val="18"/>
        </w:rPr>
      </w:pPr>
      <w:r>
        <w:rPr>
          <w:rFonts w:cs="Arial"/>
          <w:sz w:val="18"/>
          <w:szCs w:val="18"/>
        </w:rPr>
        <w:t>The Company is committed to incur exploration expenditures of $490,138 by December 31, 2019 to meet the renouncement requirement from the issuance of flow-through shares.</w:t>
      </w:r>
    </w:p>
    <w:p w:rsidR="006A257E" w:rsidRPr="00892291" w:rsidRDefault="006A257E" w:rsidP="006A257E">
      <w:pPr>
        <w:jc w:val="both"/>
        <w:rPr>
          <w:rFonts w:cs="Arial"/>
          <w:sz w:val="12"/>
          <w:szCs w:val="12"/>
        </w:rPr>
      </w:pPr>
    </w:p>
    <w:p w:rsidR="006A257E" w:rsidRPr="00BB6DF2" w:rsidRDefault="006A257E" w:rsidP="006A257E">
      <w:pPr>
        <w:jc w:val="both"/>
        <w:rPr>
          <w:rFonts w:cs="Arial"/>
          <w:sz w:val="18"/>
          <w:szCs w:val="18"/>
        </w:rPr>
      </w:pPr>
      <w:r w:rsidRPr="00BB6DF2">
        <w:rPr>
          <w:rFonts w:cs="Arial"/>
          <w:sz w:val="18"/>
          <w:szCs w:val="18"/>
        </w:rPr>
        <w:t>The Company has no other long term debt obligations or other commitments for capital expenditures.</w:t>
      </w:r>
    </w:p>
    <w:p w:rsidR="006A257E" w:rsidRPr="00B612EE" w:rsidRDefault="006A257E" w:rsidP="006A257E">
      <w:pPr>
        <w:jc w:val="both"/>
        <w:rPr>
          <w:rFonts w:cs="Arial"/>
          <w:sz w:val="18"/>
          <w:szCs w:val="18"/>
        </w:rPr>
      </w:pPr>
    </w:p>
    <w:p w:rsidR="006A257E" w:rsidRDefault="006A257E" w:rsidP="006A257E">
      <w:pPr>
        <w:jc w:val="both"/>
        <w:rPr>
          <w:rFonts w:cs="Arial"/>
          <w:sz w:val="18"/>
          <w:szCs w:val="18"/>
        </w:rPr>
      </w:pPr>
      <w:r w:rsidRPr="00BB6DF2">
        <w:rPr>
          <w:rFonts w:cs="Arial"/>
          <w:sz w:val="18"/>
          <w:szCs w:val="18"/>
        </w:rPr>
        <w:t>The Company’s continuing operations can be financed by cash on hand</w:t>
      </w:r>
      <w:r>
        <w:rPr>
          <w:rFonts w:cs="Arial"/>
          <w:sz w:val="18"/>
          <w:szCs w:val="18"/>
        </w:rPr>
        <w:t xml:space="preserve">. </w:t>
      </w:r>
      <w:r w:rsidRPr="00BB6DF2">
        <w:rPr>
          <w:rFonts w:cs="Arial"/>
          <w:sz w:val="18"/>
          <w:szCs w:val="18"/>
        </w:rPr>
        <w:t>Expanded operations or aggressive exploration programs would require additional financing, primarily through the public equity markets, or through joint venture partnerships.  Circumstances that could affect liquidity are significant exploration successes or lack thereof, new</w:t>
      </w:r>
      <w:r>
        <w:rPr>
          <w:rFonts w:cs="Arial"/>
          <w:sz w:val="18"/>
          <w:szCs w:val="18"/>
        </w:rPr>
        <w:t xml:space="preserve"> </w:t>
      </w:r>
      <w:r w:rsidRPr="00BB6DF2">
        <w:rPr>
          <w:rFonts w:cs="Arial"/>
          <w:sz w:val="18"/>
          <w:szCs w:val="18"/>
        </w:rPr>
        <w:t>acquisitions, changes in metal prices and the general state of the equity markets for junior exploration companies.</w:t>
      </w:r>
      <w:r>
        <w:rPr>
          <w:rFonts w:cs="Arial"/>
          <w:sz w:val="18"/>
          <w:szCs w:val="18"/>
        </w:rPr>
        <w:t xml:space="preserve"> </w:t>
      </w:r>
      <w:r w:rsidRPr="00BB6DF2">
        <w:rPr>
          <w:rFonts w:cs="Arial"/>
          <w:sz w:val="18"/>
          <w:szCs w:val="18"/>
        </w:rPr>
        <w:t>The exploration and development programs of the Company are determined by management with all of the above taken into consideration.</w:t>
      </w:r>
    </w:p>
    <w:p w:rsidR="006A257E" w:rsidRDefault="006A257E" w:rsidP="006A257E">
      <w:pPr>
        <w:jc w:val="both"/>
        <w:rPr>
          <w:rFonts w:cs="Arial"/>
          <w:b/>
          <w:sz w:val="18"/>
          <w:szCs w:val="18"/>
        </w:rPr>
      </w:pPr>
    </w:p>
    <w:p w:rsidR="006A257E" w:rsidRDefault="006A257E" w:rsidP="006A257E">
      <w:pPr>
        <w:jc w:val="both"/>
        <w:rPr>
          <w:rFonts w:cs="Arial"/>
          <w:b/>
          <w:sz w:val="18"/>
          <w:szCs w:val="18"/>
        </w:rPr>
      </w:pPr>
      <w:r w:rsidRPr="00BB6DF2">
        <w:rPr>
          <w:rFonts w:cs="Arial"/>
          <w:b/>
          <w:sz w:val="18"/>
          <w:szCs w:val="18"/>
        </w:rPr>
        <w:t>Exploration</w:t>
      </w:r>
      <w:r>
        <w:rPr>
          <w:rFonts w:cs="Arial"/>
          <w:b/>
          <w:sz w:val="18"/>
          <w:szCs w:val="18"/>
        </w:rPr>
        <w:t xml:space="preserve"> and Evaluation</w:t>
      </w:r>
      <w:r w:rsidRPr="00BB6DF2">
        <w:rPr>
          <w:rFonts w:cs="Arial"/>
          <w:b/>
          <w:sz w:val="18"/>
          <w:szCs w:val="18"/>
        </w:rPr>
        <w:t xml:space="preserve"> </w:t>
      </w:r>
      <w:r>
        <w:rPr>
          <w:rFonts w:cs="Arial"/>
          <w:b/>
          <w:sz w:val="18"/>
          <w:szCs w:val="18"/>
        </w:rPr>
        <w:t>Assets</w:t>
      </w:r>
    </w:p>
    <w:p w:rsidR="006A257E" w:rsidRPr="00F26291" w:rsidRDefault="006A257E" w:rsidP="006A257E">
      <w:pPr>
        <w:jc w:val="both"/>
        <w:rPr>
          <w:rFonts w:cs="Arial"/>
          <w:b/>
          <w:sz w:val="12"/>
          <w:szCs w:val="12"/>
        </w:rPr>
      </w:pPr>
    </w:p>
    <w:p w:rsidR="006A257E" w:rsidRDefault="006A257E" w:rsidP="006A257E">
      <w:pPr>
        <w:widowControl w:val="0"/>
        <w:jc w:val="both"/>
        <w:rPr>
          <w:rFonts w:cs="Arial"/>
          <w:sz w:val="18"/>
          <w:szCs w:val="18"/>
        </w:rPr>
      </w:pPr>
      <w:r>
        <w:rPr>
          <w:rFonts w:cs="Arial"/>
          <w:sz w:val="18"/>
          <w:szCs w:val="18"/>
        </w:rPr>
        <w:t>The required detailed schedule of Exploration and Evaluation Assets is included in the Company’s condensed interim financial statements. For details of option agreements on properties refer to Note 5 in the condensed interim financial statements.</w:t>
      </w:r>
    </w:p>
    <w:p w:rsidR="006A257E" w:rsidRPr="0076304A" w:rsidRDefault="006A257E" w:rsidP="006A257E">
      <w:pPr>
        <w:widowControl w:val="0"/>
        <w:jc w:val="both"/>
        <w:rPr>
          <w:rFonts w:cs="Arial"/>
          <w:sz w:val="18"/>
          <w:szCs w:val="18"/>
        </w:rPr>
      </w:pPr>
    </w:p>
    <w:p w:rsidR="006A257E" w:rsidRDefault="006A257E" w:rsidP="006A257E">
      <w:pPr>
        <w:tabs>
          <w:tab w:val="left" w:pos="630"/>
        </w:tabs>
        <w:jc w:val="both"/>
        <w:rPr>
          <w:rFonts w:cs="Arial"/>
          <w:sz w:val="18"/>
          <w:szCs w:val="18"/>
        </w:rPr>
      </w:pPr>
      <w:r w:rsidRPr="0014469A">
        <w:rPr>
          <w:rFonts w:cs="Arial"/>
          <w:sz w:val="18"/>
          <w:szCs w:val="18"/>
        </w:rPr>
        <w:t xml:space="preserve">During </w:t>
      </w:r>
      <w:r>
        <w:rPr>
          <w:rFonts w:cs="Arial"/>
          <w:sz w:val="18"/>
          <w:szCs w:val="18"/>
        </w:rPr>
        <w:t xml:space="preserve">the quarter ended June 30, 2018, the Company made </w:t>
      </w:r>
      <w:r w:rsidRPr="0014469A">
        <w:rPr>
          <w:rFonts w:cs="Arial"/>
          <w:sz w:val="18"/>
          <w:szCs w:val="18"/>
        </w:rPr>
        <w:t xml:space="preserve">acquisition and exploration expenditures </w:t>
      </w:r>
      <w:r>
        <w:rPr>
          <w:rFonts w:cs="Arial"/>
          <w:sz w:val="18"/>
          <w:szCs w:val="18"/>
        </w:rPr>
        <w:t>of</w:t>
      </w:r>
      <w:r w:rsidRPr="0014469A">
        <w:rPr>
          <w:rFonts w:cs="Arial"/>
          <w:sz w:val="18"/>
          <w:szCs w:val="18"/>
        </w:rPr>
        <w:t xml:space="preserve"> $</w:t>
      </w:r>
      <w:r>
        <w:rPr>
          <w:rFonts w:cs="Arial"/>
          <w:sz w:val="18"/>
          <w:szCs w:val="18"/>
        </w:rPr>
        <w:t xml:space="preserve">11,362 (2017 - $55,660) and received properties valued at $400,585 pursuant to the Plan of Arrangement. </w:t>
      </w:r>
      <w:r w:rsidRPr="0014469A">
        <w:rPr>
          <w:rFonts w:cs="Arial"/>
          <w:sz w:val="18"/>
          <w:szCs w:val="18"/>
        </w:rPr>
        <w:t xml:space="preserve"> </w:t>
      </w:r>
      <w:r>
        <w:rPr>
          <w:rFonts w:cs="Arial"/>
          <w:sz w:val="18"/>
          <w:szCs w:val="18"/>
        </w:rPr>
        <w:t>As a result of the foregoing, exploration and evaluation assets totaled $411,947 at June 30, 2018.</w:t>
      </w:r>
    </w:p>
    <w:p w:rsidR="006A257E" w:rsidRDefault="006A257E" w:rsidP="006A257E">
      <w:pPr>
        <w:tabs>
          <w:tab w:val="left" w:pos="630"/>
        </w:tabs>
        <w:jc w:val="both"/>
        <w:rPr>
          <w:rFonts w:cs="Arial"/>
          <w:sz w:val="18"/>
          <w:szCs w:val="18"/>
        </w:rPr>
      </w:pPr>
    </w:p>
    <w:p w:rsidR="006A257E" w:rsidRPr="00892291" w:rsidRDefault="006A257E" w:rsidP="006A257E">
      <w:pPr>
        <w:tabs>
          <w:tab w:val="left" w:pos="630"/>
        </w:tabs>
        <w:jc w:val="both"/>
        <w:rPr>
          <w:rFonts w:cs="Arial"/>
          <w:b/>
          <w:sz w:val="18"/>
          <w:szCs w:val="18"/>
          <w:u w:val="single"/>
        </w:rPr>
      </w:pPr>
      <w:r w:rsidRPr="00892291">
        <w:rPr>
          <w:rFonts w:cs="Arial"/>
          <w:b/>
          <w:sz w:val="18"/>
          <w:szCs w:val="18"/>
          <w:u w:val="single"/>
        </w:rPr>
        <w:t xml:space="preserve">Properties under option agreements </w:t>
      </w:r>
    </w:p>
    <w:p w:rsidR="006A257E" w:rsidRDefault="006A257E" w:rsidP="006A257E">
      <w:pPr>
        <w:jc w:val="both"/>
        <w:rPr>
          <w:rFonts w:cs="Arial"/>
          <w:b/>
          <w:sz w:val="18"/>
          <w:szCs w:val="18"/>
        </w:rPr>
      </w:pPr>
      <w:r>
        <w:rPr>
          <w:rFonts w:cs="Arial"/>
          <w:b/>
          <w:sz w:val="18"/>
          <w:szCs w:val="18"/>
        </w:rPr>
        <w:t>Saskatchewan</w:t>
      </w:r>
    </w:p>
    <w:p w:rsidR="006A257E" w:rsidRDefault="006A257E" w:rsidP="006A257E">
      <w:pPr>
        <w:ind w:left="115"/>
        <w:jc w:val="both"/>
        <w:rPr>
          <w:rFonts w:cs="Arial"/>
          <w:b/>
          <w:sz w:val="18"/>
          <w:szCs w:val="18"/>
        </w:rPr>
      </w:pPr>
      <w:r w:rsidRPr="006A5093">
        <w:rPr>
          <w:rFonts w:cs="Arial"/>
          <w:b/>
          <w:sz w:val="18"/>
          <w:szCs w:val="18"/>
          <w:u w:val="single"/>
        </w:rPr>
        <w:t xml:space="preserve">Chico </w:t>
      </w:r>
      <w:r w:rsidRPr="006A5093">
        <w:rPr>
          <w:rFonts w:cs="Arial"/>
          <w:sz w:val="18"/>
          <w:szCs w:val="18"/>
          <w:u w:val="single"/>
        </w:rPr>
        <w:t>(Au</w:t>
      </w:r>
      <w:r w:rsidRPr="00AB6787">
        <w:rPr>
          <w:rFonts w:cs="Arial"/>
          <w:sz w:val="18"/>
          <w:szCs w:val="18"/>
        </w:rPr>
        <w:t>)</w:t>
      </w:r>
    </w:p>
    <w:p w:rsidR="006A257E" w:rsidRDefault="006A257E" w:rsidP="006A257E">
      <w:pPr>
        <w:ind w:left="115"/>
        <w:jc w:val="both"/>
        <w:rPr>
          <w:rFonts w:cs="Arial"/>
          <w:sz w:val="18"/>
          <w:szCs w:val="18"/>
        </w:rPr>
      </w:pPr>
      <w:r>
        <w:rPr>
          <w:rFonts w:cs="Arial"/>
          <w:sz w:val="18"/>
          <w:szCs w:val="18"/>
        </w:rPr>
        <w:t xml:space="preserve">On </w:t>
      </w:r>
      <w:r w:rsidRPr="002E6342">
        <w:rPr>
          <w:rStyle w:val="Strong"/>
          <w:rFonts w:cs="Arial"/>
          <w:b w:val="0"/>
          <w:sz w:val="18"/>
          <w:szCs w:val="18"/>
          <w:bdr w:val="none" w:sz="0" w:space="0" w:color="auto" w:frame="1"/>
        </w:rPr>
        <w:t xml:space="preserve">December </w:t>
      </w:r>
      <w:r>
        <w:rPr>
          <w:rStyle w:val="Strong"/>
          <w:rFonts w:cs="Arial"/>
          <w:b w:val="0"/>
          <w:sz w:val="18"/>
          <w:szCs w:val="18"/>
          <w:bdr w:val="none" w:sz="0" w:space="0" w:color="auto" w:frame="1"/>
        </w:rPr>
        <w:t>9</w:t>
      </w:r>
      <w:r w:rsidRPr="002E6342">
        <w:rPr>
          <w:rStyle w:val="Strong"/>
          <w:rFonts w:cs="Arial"/>
          <w:b w:val="0"/>
          <w:sz w:val="18"/>
          <w:szCs w:val="18"/>
          <w:bdr w:val="none" w:sz="0" w:space="0" w:color="auto" w:frame="1"/>
        </w:rPr>
        <w:t>, 2016</w:t>
      </w:r>
      <w:r>
        <w:rPr>
          <w:rStyle w:val="Strong"/>
          <w:rFonts w:cs="Arial"/>
          <w:b w:val="0"/>
          <w:sz w:val="18"/>
          <w:szCs w:val="18"/>
          <w:bdr w:val="none" w:sz="0" w:space="0" w:color="auto" w:frame="1"/>
        </w:rPr>
        <w:t>,</w:t>
      </w:r>
      <w:r w:rsidRPr="002E6342">
        <w:rPr>
          <w:rStyle w:val="Strong"/>
          <w:rFonts w:cs="Arial"/>
          <w:sz w:val="18"/>
          <w:szCs w:val="18"/>
          <w:bdr w:val="none" w:sz="0" w:space="0" w:color="auto" w:frame="1"/>
        </w:rPr>
        <w:t xml:space="preserve"> </w:t>
      </w:r>
      <w:r>
        <w:rPr>
          <w:rStyle w:val="Strong"/>
          <w:rFonts w:cs="Arial"/>
          <w:b w:val="0"/>
          <w:sz w:val="18"/>
          <w:szCs w:val="18"/>
          <w:bdr w:val="none" w:sz="0" w:space="0" w:color="auto" w:frame="1"/>
        </w:rPr>
        <w:t>the Company entered into an option agreement with</w:t>
      </w:r>
      <w:r w:rsidRPr="002E6342">
        <w:rPr>
          <w:rStyle w:val="Strong"/>
          <w:rFonts w:cs="Arial"/>
          <w:sz w:val="18"/>
          <w:szCs w:val="18"/>
          <w:bdr w:val="none" w:sz="0" w:space="0" w:color="auto" w:frame="1"/>
        </w:rPr>
        <w:t xml:space="preserve"> </w:t>
      </w:r>
      <w:r w:rsidRPr="002E6342">
        <w:rPr>
          <w:rStyle w:val="Strong"/>
          <w:rFonts w:cs="Arial"/>
          <w:b w:val="0"/>
          <w:sz w:val="18"/>
          <w:szCs w:val="18"/>
          <w:bdr w:val="none" w:sz="0" w:space="0" w:color="auto" w:frame="1"/>
        </w:rPr>
        <w:t xml:space="preserve">Aben Resources Ltd. </w:t>
      </w:r>
      <w:r>
        <w:rPr>
          <w:rStyle w:val="Strong"/>
          <w:rFonts w:cs="Arial"/>
          <w:b w:val="0"/>
          <w:sz w:val="18"/>
          <w:szCs w:val="18"/>
          <w:bdr w:val="none" w:sz="0" w:space="0" w:color="auto" w:frame="1"/>
        </w:rPr>
        <w:t xml:space="preserve">(“Aben”) </w:t>
      </w:r>
      <w:r w:rsidRPr="002E6342">
        <w:rPr>
          <w:rFonts w:cs="Arial"/>
          <w:sz w:val="18"/>
          <w:szCs w:val="18"/>
        </w:rPr>
        <w:t>whereby Aben has the exclusive right to earn an undivided 80% interest in the</w:t>
      </w:r>
      <w:r w:rsidRPr="002E6342">
        <w:rPr>
          <w:rStyle w:val="apple-converted-space"/>
          <w:rFonts w:cs="Arial"/>
          <w:sz w:val="18"/>
          <w:szCs w:val="18"/>
        </w:rPr>
        <w:t> </w:t>
      </w:r>
      <w:r w:rsidRPr="002E6342">
        <w:rPr>
          <w:rStyle w:val="Strong"/>
          <w:rFonts w:cs="Arial"/>
          <w:b w:val="0"/>
          <w:sz w:val="18"/>
          <w:szCs w:val="18"/>
          <w:bdr w:val="none" w:sz="0" w:space="0" w:color="auto" w:frame="1"/>
        </w:rPr>
        <w:t>Chico</w:t>
      </w:r>
      <w:r w:rsidRPr="002E6342">
        <w:rPr>
          <w:rStyle w:val="apple-converted-space"/>
          <w:rFonts w:cs="Arial"/>
          <w:sz w:val="18"/>
          <w:szCs w:val="18"/>
        </w:rPr>
        <w:t> </w:t>
      </w:r>
      <w:r w:rsidRPr="002E6342">
        <w:rPr>
          <w:rFonts w:cs="Arial"/>
          <w:sz w:val="18"/>
          <w:szCs w:val="18"/>
        </w:rPr>
        <w:t xml:space="preserve">Gold Project located </w:t>
      </w:r>
      <w:r>
        <w:rPr>
          <w:rFonts w:cs="Arial"/>
          <w:sz w:val="18"/>
          <w:szCs w:val="18"/>
        </w:rPr>
        <w:t>in</w:t>
      </w:r>
      <w:r w:rsidRPr="002E6342">
        <w:rPr>
          <w:rFonts w:cs="Arial"/>
          <w:sz w:val="18"/>
          <w:szCs w:val="18"/>
        </w:rPr>
        <w:t xml:space="preserve"> Saskatchewan and south of </w:t>
      </w:r>
      <w:r>
        <w:rPr>
          <w:rFonts w:cs="Arial"/>
          <w:sz w:val="18"/>
          <w:szCs w:val="18"/>
        </w:rPr>
        <w:t xml:space="preserve">SSR Mining Inc.’s </w:t>
      </w:r>
      <w:r w:rsidRPr="002E6342">
        <w:rPr>
          <w:rFonts w:cs="Arial"/>
          <w:sz w:val="18"/>
          <w:szCs w:val="18"/>
        </w:rPr>
        <w:t>Seabee/</w:t>
      </w:r>
      <w:proofErr w:type="spellStart"/>
      <w:r w:rsidRPr="002E6342">
        <w:rPr>
          <w:rFonts w:cs="Arial"/>
          <w:sz w:val="18"/>
          <w:szCs w:val="18"/>
        </w:rPr>
        <w:t>Santoy</w:t>
      </w:r>
      <w:proofErr w:type="spellEnd"/>
      <w:r w:rsidRPr="002E6342">
        <w:rPr>
          <w:rFonts w:cs="Arial"/>
          <w:sz w:val="18"/>
          <w:szCs w:val="18"/>
        </w:rPr>
        <w:t xml:space="preserve"> mine complex. Aben may earn an initial 60% interest by incurring $1,500,000 in exploration expenditures, issuing 1,500,000 common shares and making cash payments </w:t>
      </w:r>
      <w:proofErr w:type="spellStart"/>
      <w:r w:rsidRPr="002E6342">
        <w:rPr>
          <w:rFonts w:cs="Arial"/>
          <w:sz w:val="18"/>
          <w:szCs w:val="18"/>
        </w:rPr>
        <w:t>totalling</w:t>
      </w:r>
      <w:proofErr w:type="spellEnd"/>
      <w:r w:rsidRPr="002E6342">
        <w:rPr>
          <w:rFonts w:cs="Arial"/>
          <w:sz w:val="18"/>
          <w:szCs w:val="18"/>
        </w:rPr>
        <w:t xml:space="preserve"> $100,000 over 4 years.  Upon earning this 60%</w:t>
      </w:r>
      <w:r>
        <w:rPr>
          <w:rFonts w:cs="Arial"/>
          <w:sz w:val="18"/>
          <w:szCs w:val="18"/>
        </w:rPr>
        <w:t xml:space="preserve"> </w:t>
      </w:r>
      <w:r w:rsidRPr="002E6342">
        <w:rPr>
          <w:rFonts w:cs="Arial"/>
          <w:sz w:val="18"/>
          <w:szCs w:val="18"/>
        </w:rPr>
        <w:t>interest, Aben may elect to exercise a second option to earn a further 20% interest</w:t>
      </w:r>
      <w:r>
        <w:rPr>
          <w:rFonts w:cs="Arial"/>
          <w:sz w:val="18"/>
          <w:szCs w:val="18"/>
        </w:rPr>
        <w:t xml:space="preserve"> within 90 days</w:t>
      </w:r>
      <w:r w:rsidRPr="002E6342">
        <w:rPr>
          <w:rFonts w:cs="Arial"/>
          <w:sz w:val="18"/>
          <w:szCs w:val="18"/>
        </w:rPr>
        <w:t xml:space="preserve"> by</w:t>
      </w:r>
      <w:r>
        <w:rPr>
          <w:rFonts w:cs="Arial"/>
          <w:sz w:val="18"/>
          <w:szCs w:val="18"/>
        </w:rPr>
        <w:t xml:space="preserve"> making a $50,000 cash payment and</w:t>
      </w:r>
      <w:r w:rsidRPr="002E6342">
        <w:rPr>
          <w:rFonts w:cs="Arial"/>
          <w:sz w:val="18"/>
          <w:szCs w:val="18"/>
        </w:rPr>
        <w:t xml:space="preserve"> issuing 1,000,000 common shares</w:t>
      </w:r>
      <w:r>
        <w:rPr>
          <w:rFonts w:cs="Arial"/>
          <w:sz w:val="18"/>
          <w:szCs w:val="18"/>
        </w:rPr>
        <w:t xml:space="preserve"> to EPL</w:t>
      </w:r>
      <w:r w:rsidRPr="002E6342">
        <w:rPr>
          <w:rFonts w:cs="Arial"/>
          <w:sz w:val="18"/>
          <w:szCs w:val="18"/>
        </w:rPr>
        <w:t>, and incurring an additional $2,000,000 in exploration expenditures within two years of the date of election.</w:t>
      </w:r>
      <w:r>
        <w:rPr>
          <w:rFonts w:cs="Arial"/>
          <w:sz w:val="18"/>
          <w:szCs w:val="18"/>
        </w:rPr>
        <w:t xml:space="preserve">  </w:t>
      </w:r>
    </w:p>
    <w:p w:rsidR="006A257E" w:rsidRPr="00892291" w:rsidRDefault="006A257E" w:rsidP="006A257E">
      <w:pPr>
        <w:ind w:left="115"/>
        <w:jc w:val="both"/>
        <w:rPr>
          <w:rFonts w:cs="Arial"/>
          <w:sz w:val="12"/>
          <w:szCs w:val="12"/>
        </w:rPr>
      </w:pPr>
    </w:p>
    <w:p w:rsidR="006A257E" w:rsidRDefault="006A257E" w:rsidP="006A257E">
      <w:pPr>
        <w:ind w:left="115"/>
        <w:jc w:val="both"/>
        <w:rPr>
          <w:rFonts w:cs="Arial"/>
          <w:sz w:val="18"/>
          <w:szCs w:val="18"/>
        </w:rPr>
      </w:pPr>
      <w:r w:rsidRPr="00AB6787">
        <w:rPr>
          <w:rFonts w:cs="Arial"/>
          <w:sz w:val="18"/>
          <w:szCs w:val="18"/>
        </w:rPr>
        <w:t xml:space="preserve">The </w:t>
      </w:r>
      <w:r>
        <w:rPr>
          <w:rFonts w:cs="Arial"/>
          <w:sz w:val="18"/>
          <w:szCs w:val="18"/>
        </w:rPr>
        <w:t xml:space="preserve">4,716 </w:t>
      </w:r>
      <w:r w:rsidRPr="00AB6787">
        <w:rPr>
          <w:rFonts w:cs="Arial"/>
          <w:sz w:val="18"/>
          <w:szCs w:val="18"/>
        </w:rPr>
        <w:t>ha Chico property is a highly prospective precious-metal exploration project. The core claims were acquired in 2015, with additional claims added in 2016.</w:t>
      </w:r>
      <w:r>
        <w:rPr>
          <w:rFonts w:cs="Arial"/>
          <w:sz w:val="18"/>
          <w:szCs w:val="18"/>
        </w:rPr>
        <w:t xml:space="preserve"> Subsequent to the quarter, the Company </w:t>
      </w:r>
      <w:r w:rsidRPr="002E6D94">
        <w:rPr>
          <w:rFonts w:cs="Arial"/>
          <w:sz w:val="18"/>
          <w:szCs w:val="18"/>
        </w:rPr>
        <w:t>acquired 6 additional mineral dispositions for a total area of 1,799 ha located adjacent to the original holdings through a combination of staking and the completion of a purchase agreement with V. Mitchell (an unrelated third-party vendor) whereby Mr. Mitchell receive</w:t>
      </w:r>
      <w:r>
        <w:rPr>
          <w:rFonts w:cs="Arial"/>
          <w:sz w:val="18"/>
          <w:szCs w:val="18"/>
        </w:rPr>
        <w:t>d</w:t>
      </w:r>
      <w:r w:rsidRPr="002E6D94">
        <w:rPr>
          <w:rFonts w:cs="Arial"/>
          <w:sz w:val="18"/>
          <w:szCs w:val="18"/>
        </w:rPr>
        <w:t xml:space="preserve"> a combination of $10,000 cash and 100,000 common shares of </w:t>
      </w:r>
      <w:r>
        <w:rPr>
          <w:rFonts w:cs="Arial"/>
          <w:sz w:val="18"/>
          <w:szCs w:val="18"/>
        </w:rPr>
        <w:t>Taiga</w:t>
      </w:r>
      <w:r w:rsidRPr="002E6D94">
        <w:rPr>
          <w:rFonts w:cs="Arial"/>
          <w:sz w:val="18"/>
          <w:szCs w:val="18"/>
        </w:rPr>
        <w:t xml:space="preserve"> at a deemed price of $.15 per share. These specific dispositions will be subject to a 1% NSR which includes a buy-down provision. All additional tenures are expected to be included in the current option agreement with Aben and therefore subject to the terms and conditions of that agreement.</w:t>
      </w:r>
    </w:p>
    <w:p w:rsidR="006A257E" w:rsidRDefault="006A257E" w:rsidP="006A257E">
      <w:pPr>
        <w:ind w:left="115"/>
        <w:jc w:val="both"/>
        <w:rPr>
          <w:rFonts w:cs="Arial"/>
          <w:sz w:val="18"/>
          <w:szCs w:val="18"/>
        </w:rPr>
      </w:pPr>
    </w:p>
    <w:p w:rsidR="006A257E" w:rsidRPr="00E36DD0" w:rsidRDefault="006A257E" w:rsidP="006A257E">
      <w:pPr>
        <w:ind w:left="115"/>
        <w:jc w:val="both"/>
        <w:rPr>
          <w:rFonts w:cs="Arial"/>
          <w:sz w:val="18"/>
          <w:szCs w:val="18"/>
        </w:rPr>
      </w:pPr>
      <w:r>
        <w:rPr>
          <w:rFonts w:cs="Arial"/>
          <w:sz w:val="18"/>
          <w:szCs w:val="18"/>
        </w:rPr>
        <w:t xml:space="preserve">In the third quarter 2017, a geophysical survey, funded by Aben, was completed on the property, </w:t>
      </w:r>
      <w:r w:rsidRPr="00E36DD0">
        <w:rPr>
          <w:rFonts w:cs="Arial"/>
          <w:sz w:val="18"/>
          <w:szCs w:val="18"/>
        </w:rPr>
        <w:t>reveal</w:t>
      </w:r>
      <w:r>
        <w:rPr>
          <w:rFonts w:cs="Arial"/>
          <w:sz w:val="18"/>
          <w:szCs w:val="18"/>
        </w:rPr>
        <w:t>ing</w:t>
      </w:r>
      <w:r w:rsidRPr="00E36DD0">
        <w:rPr>
          <w:rFonts w:cs="Arial"/>
          <w:sz w:val="18"/>
          <w:szCs w:val="18"/>
        </w:rPr>
        <w:t xml:space="preserve"> numerous high-priority drill targets including a strong and relatively shallow chargeability anomaly that has never been drill tested.</w:t>
      </w:r>
      <w:r>
        <w:rPr>
          <w:rFonts w:cs="Arial"/>
          <w:sz w:val="18"/>
          <w:szCs w:val="18"/>
        </w:rPr>
        <w:t xml:space="preserve"> In the first quarter 2018, a drill program was started but was subsequently suspended as a result of a request by </w:t>
      </w:r>
      <w:r w:rsidRPr="00E36DD0">
        <w:rPr>
          <w:rFonts w:cs="Arial"/>
          <w:sz w:val="18"/>
          <w:szCs w:val="18"/>
        </w:rPr>
        <w:t>the citizens of the community of Pelican Narrows and members of the Peter Ballantyne Cree Nation (“PBCN”)</w:t>
      </w:r>
      <w:r>
        <w:rPr>
          <w:rFonts w:cs="Arial"/>
          <w:sz w:val="18"/>
          <w:szCs w:val="18"/>
        </w:rPr>
        <w:t xml:space="preserve">. </w:t>
      </w:r>
      <w:r w:rsidRPr="00E36DD0">
        <w:rPr>
          <w:rFonts w:cs="Arial"/>
          <w:sz w:val="18"/>
          <w:szCs w:val="18"/>
        </w:rPr>
        <w:t>Aben may revisit plans to explore the property in the future, following meaningful consultation with the community and PBCN members.</w:t>
      </w:r>
      <w:r w:rsidRPr="00E36DD0">
        <w:rPr>
          <w:rFonts w:cs="Arial"/>
          <w:color w:val="333333"/>
        </w:rPr>
        <w:t> </w:t>
      </w:r>
    </w:p>
    <w:p w:rsidR="006A257E" w:rsidRPr="00E36DD0" w:rsidRDefault="006A257E" w:rsidP="006A257E">
      <w:pPr>
        <w:pStyle w:val="Heading3"/>
        <w:ind w:left="115"/>
        <w:textAlignment w:val="baseline"/>
        <w:rPr>
          <w:b w:val="0"/>
          <w:bCs/>
          <w:sz w:val="12"/>
          <w:szCs w:val="12"/>
        </w:rPr>
      </w:pPr>
    </w:p>
    <w:p w:rsidR="006A257E" w:rsidRPr="00AB6787" w:rsidRDefault="006A257E" w:rsidP="006A257E">
      <w:pPr>
        <w:pStyle w:val="Heading3"/>
        <w:ind w:left="115"/>
        <w:textAlignment w:val="baseline"/>
        <w:rPr>
          <w:b w:val="0"/>
          <w:bCs/>
        </w:rPr>
      </w:pPr>
      <w:r w:rsidRPr="00AB6787">
        <w:rPr>
          <w:b w:val="0"/>
          <w:bCs/>
        </w:rPr>
        <w:t>Project Highlights</w:t>
      </w:r>
    </w:p>
    <w:p w:rsidR="006A257E" w:rsidRPr="00AB6787" w:rsidRDefault="006A257E" w:rsidP="00444A4B">
      <w:pPr>
        <w:numPr>
          <w:ilvl w:val="0"/>
          <w:numId w:val="20"/>
        </w:numPr>
        <w:jc w:val="both"/>
        <w:textAlignment w:val="baseline"/>
        <w:rPr>
          <w:rFonts w:cs="Arial"/>
          <w:sz w:val="18"/>
          <w:szCs w:val="18"/>
        </w:rPr>
      </w:pPr>
      <w:r w:rsidRPr="00AB6787">
        <w:rPr>
          <w:rFonts w:cs="Arial"/>
          <w:sz w:val="18"/>
          <w:szCs w:val="18"/>
          <w:bdr w:val="none" w:sz="0" w:space="0" w:color="auto" w:frame="1"/>
        </w:rPr>
        <w:t xml:space="preserve">Excellent geology </w:t>
      </w:r>
      <w:proofErr w:type="spellStart"/>
      <w:r w:rsidRPr="00AB6787">
        <w:rPr>
          <w:rFonts w:cs="Arial"/>
          <w:sz w:val="18"/>
          <w:szCs w:val="18"/>
          <w:bdr w:val="none" w:sz="0" w:space="0" w:color="auto" w:frame="1"/>
        </w:rPr>
        <w:t>favourable</w:t>
      </w:r>
      <w:proofErr w:type="spellEnd"/>
      <w:r w:rsidRPr="00AB6787">
        <w:rPr>
          <w:rFonts w:cs="Arial"/>
          <w:sz w:val="18"/>
          <w:szCs w:val="18"/>
          <w:bdr w:val="none" w:sz="0" w:space="0" w:color="auto" w:frame="1"/>
        </w:rPr>
        <w:t xml:space="preserve"> for gold deposits</w:t>
      </w:r>
    </w:p>
    <w:p w:rsidR="006A257E" w:rsidRPr="00AB6787" w:rsidRDefault="006A257E" w:rsidP="00444A4B">
      <w:pPr>
        <w:numPr>
          <w:ilvl w:val="0"/>
          <w:numId w:val="20"/>
        </w:numPr>
        <w:jc w:val="both"/>
        <w:textAlignment w:val="baseline"/>
        <w:rPr>
          <w:rFonts w:cs="Arial"/>
          <w:sz w:val="18"/>
          <w:szCs w:val="18"/>
        </w:rPr>
      </w:pPr>
      <w:r w:rsidRPr="00AB6787">
        <w:rPr>
          <w:rFonts w:cs="Arial"/>
          <w:sz w:val="18"/>
          <w:szCs w:val="18"/>
          <w:bdr w:val="none" w:sz="0" w:space="0" w:color="auto" w:frame="1"/>
        </w:rPr>
        <w:lastRenderedPageBreak/>
        <w:t>Significantly underexplored with encouraging early results</w:t>
      </w:r>
    </w:p>
    <w:p w:rsidR="006A257E" w:rsidRPr="00AB6787" w:rsidRDefault="006A257E" w:rsidP="00444A4B">
      <w:pPr>
        <w:numPr>
          <w:ilvl w:val="0"/>
          <w:numId w:val="20"/>
        </w:numPr>
        <w:jc w:val="both"/>
        <w:textAlignment w:val="baseline"/>
        <w:rPr>
          <w:rFonts w:cs="Arial"/>
          <w:sz w:val="18"/>
          <w:szCs w:val="18"/>
        </w:rPr>
      </w:pPr>
      <w:r w:rsidRPr="00AB6787">
        <w:rPr>
          <w:rFonts w:cs="Arial"/>
          <w:sz w:val="18"/>
          <w:szCs w:val="18"/>
          <w:bdr w:val="none" w:sz="0" w:space="0" w:color="auto" w:frame="1"/>
        </w:rPr>
        <w:t>On-trend with the currently producing Seabee Mine</w:t>
      </w:r>
    </w:p>
    <w:p w:rsidR="006A257E" w:rsidRPr="00AB6787" w:rsidRDefault="006A257E" w:rsidP="00444A4B">
      <w:pPr>
        <w:numPr>
          <w:ilvl w:val="0"/>
          <w:numId w:val="20"/>
        </w:numPr>
        <w:jc w:val="both"/>
        <w:textAlignment w:val="baseline"/>
        <w:rPr>
          <w:rFonts w:cs="Arial"/>
          <w:sz w:val="18"/>
          <w:szCs w:val="18"/>
        </w:rPr>
      </w:pPr>
      <w:r w:rsidRPr="00AB6787">
        <w:rPr>
          <w:rFonts w:cs="Arial"/>
          <w:sz w:val="18"/>
          <w:szCs w:val="18"/>
          <w:bdr w:val="none" w:sz="0" w:space="0" w:color="auto" w:frame="1"/>
        </w:rPr>
        <w:t xml:space="preserve">Multiple Au showings associated with </w:t>
      </w:r>
      <w:proofErr w:type="spellStart"/>
      <w:r w:rsidRPr="00AB6787">
        <w:rPr>
          <w:rFonts w:cs="Arial"/>
          <w:sz w:val="18"/>
          <w:szCs w:val="18"/>
          <w:bdr w:val="none" w:sz="0" w:space="0" w:color="auto" w:frame="1"/>
        </w:rPr>
        <w:t>favourable</w:t>
      </w:r>
      <w:proofErr w:type="spellEnd"/>
      <w:r w:rsidRPr="00AB6787">
        <w:rPr>
          <w:rFonts w:cs="Arial"/>
          <w:sz w:val="18"/>
          <w:szCs w:val="18"/>
          <w:bdr w:val="none" w:sz="0" w:space="0" w:color="auto" w:frame="1"/>
        </w:rPr>
        <w:t xml:space="preserve"> geology</w:t>
      </w:r>
    </w:p>
    <w:p w:rsidR="006A257E" w:rsidRPr="00892291" w:rsidRDefault="006A257E" w:rsidP="00444A4B">
      <w:pPr>
        <w:numPr>
          <w:ilvl w:val="0"/>
          <w:numId w:val="20"/>
        </w:numPr>
        <w:jc w:val="both"/>
        <w:textAlignment w:val="baseline"/>
        <w:rPr>
          <w:rFonts w:cs="Arial"/>
          <w:sz w:val="18"/>
          <w:szCs w:val="18"/>
        </w:rPr>
      </w:pPr>
      <w:r w:rsidRPr="00AB6787">
        <w:rPr>
          <w:rFonts w:cs="Arial"/>
          <w:sz w:val="18"/>
          <w:szCs w:val="18"/>
          <w:bdr w:val="none" w:sz="0" w:space="0" w:color="auto" w:frame="1"/>
        </w:rPr>
        <w:t>Numerous high-grade Au showings focused along a major structure</w:t>
      </w:r>
    </w:p>
    <w:p w:rsidR="006A257E" w:rsidRPr="00410071" w:rsidRDefault="006A257E" w:rsidP="006A257E">
      <w:pPr>
        <w:widowControl w:val="0"/>
        <w:pBdr>
          <w:top w:val="single" w:sz="24" w:space="1"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widowControl w:val="0"/>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widowControl w:val="0"/>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widowControl w:val="0"/>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Default="006A257E" w:rsidP="006A257E">
      <w:pPr>
        <w:pStyle w:val="NormalWeb"/>
        <w:spacing w:before="0" w:beforeAutospacing="0" w:after="0" w:afterAutospacing="0"/>
        <w:ind w:left="115"/>
        <w:jc w:val="both"/>
        <w:rPr>
          <w:rFonts w:ascii="Arial" w:hAnsi="Arial" w:cs="Arial"/>
          <w:b/>
          <w:sz w:val="18"/>
          <w:szCs w:val="18"/>
          <w:u w:val="single"/>
        </w:rPr>
      </w:pPr>
    </w:p>
    <w:p w:rsidR="006A257E" w:rsidRPr="00F01519" w:rsidRDefault="006A257E" w:rsidP="006A257E">
      <w:pPr>
        <w:tabs>
          <w:tab w:val="left" w:pos="630"/>
        </w:tabs>
        <w:jc w:val="both"/>
        <w:rPr>
          <w:rFonts w:cs="Arial"/>
          <w:b/>
          <w:sz w:val="18"/>
          <w:szCs w:val="18"/>
          <w:u w:val="single"/>
        </w:rPr>
      </w:pPr>
      <w:r w:rsidRPr="00F01519">
        <w:rPr>
          <w:rFonts w:cs="Arial"/>
          <w:b/>
          <w:sz w:val="18"/>
          <w:szCs w:val="18"/>
          <w:u w:val="single"/>
        </w:rPr>
        <w:t>Properties under option agreements</w:t>
      </w:r>
      <w:r>
        <w:rPr>
          <w:rFonts w:cs="Arial"/>
          <w:b/>
          <w:sz w:val="18"/>
          <w:szCs w:val="18"/>
          <w:u w:val="single"/>
        </w:rPr>
        <w:t xml:space="preserve"> </w:t>
      </w:r>
      <w:r w:rsidRPr="00892291">
        <w:rPr>
          <w:rFonts w:cs="Arial"/>
          <w:sz w:val="18"/>
          <w:szCs w:val="18"/>
          <w:u w:val="single"/>
        </w:rPr>
        <w:t>- continued</w:t>
      </w:r>
    </w:p>
    <w:p w:rsidR="006A257E" w:rsidRDefault="006A257E" w:rsidP="006A257E">
      <w:pPr>
        <w:pStyle w:val="NormalWeb"/>
        <w:spacing w:before="0" w:beforeAutospacing="0" w:after="0" w:afterAutospacing="0"/>
        <w:ind w:left="115"/>
        <w:jc w:val="both"/>
        <w:rPr>
          <w:rFonts w:ascii="Arial" w:hAnsi="Arial" w:cs="Arial"/>
          <w:b/>
          <w:sz w:val="18"/>
          <w:szCs w:val="18"/>
          <w:u w:val="single"/>
        </w:rPr>
      </w:pPr>
    </w:p>
    <w:p w:rsidR="006A257E" w:rsidRPr="00F2384D" w:rsidRDefault="006A257E" w:rsidP="006A257E">
      <w:pPr>
        <w:pStyle w:val="NormalWeb"/>
        <w:spacing w:before="0" w:beforeAutospacing="0" w:after="0" w:afterAutospacing="0"/>
        <w:ind w:left="115"/>
        <w:jc w:val="both"/>
        <w:rPr>
          <w:rFonts w:ascii="Arial" w:hAnsi="Arial" w:cs="Arial"/>
          <w:sz w:val="18"/>
          <w:szCs w:val="18"/>
          <w:u w:val="single"/>
        </w:rPr>
      </w:pPr>
      <w:r>
        <w:rPr>
          <w:rFonts w:ascii="Arial" w:hAnsi="Arial" w:cs="Arial"/>
          <w:b/>
          <w:sz w:val="18"/>
          <w:szCs w:val="18"/>
          <w:u w:val="single"/>
        </w:rPr>
        <w:t>Fisher</w:t>
      </w:r>
      <w:r w:rsidRPr="00F2384D">
        <w:rPr>
          <w:rFonts w:ascii="Arial" w:hAnsi="Arial" w:cs="Arial"/>
          <w:b/>
          <w:sz w:val="18"/>
          <w:szCs w:val="18"/>
          <w:u w:val="single"/>
        </w:rPr>
        <w:t xml:space="preserve"> </w:t>
      </w:r>
      <w:r>
        <w:rPr>
          <w:rFonts w:ascii="Arial" w:hAnsi="Arial" w:cs="Arial"/>
          <w:b/>
          <w:sz w:val="18"/>
          <w:szCs w:val="18"/>
          <w:u w:val="single"/>
        </w:rPr>
        <w:t xml:space="preserve">Gold Project </w:t>
      </w:r>
      <w:r w:rsidRPr="00F2384D">
        <w:rPr>
          <w:rFonts w:ascii="Arial" w:hAnsi="Arial" w:cs="Arial"/>
          <w:sz w:val="18"/>
          <w:szCs w:val="18"/>
          <w:u w:val="single"/>
        </w:rPr>
        <w:t>(U, Au)</w:t>
      </w:r>
    </w:p>
    <w:p w:rsidR="006A257E" w:rsidRDefault="006A257E" w:rsidP="006A257E">
      <w:pPr>
        <w:widowControl w:val="0"/>
        <w:autoSpaceDE w:val="0"/>
        <w:autoSpaceDN w:val="0"/>
        <w:adjustRightInd w:val="0"/>
        <w:ind w:left="113"/>
        <w:jc w:val="both"/>
        <w:rPr>
          <w:rFonts w:cs="Arial"/>
          <w:sz w:val="18"/>
          <w:szCs w:val="18"/>
        </w:rPr>
      </w:pPr>
      <w:r>
        <w:rPr>
          <w:rFonts w:cs="Arial"/>
          <w:sz w:val="18"/>
          <w:szCs w:val="18"/>
        </w:rPr>
        <w:t>On October 5, 2016,</w:t>
      </w:r>
      <w:r w:rsidRPr="00717D4E">
        <w:rPr>
          <w:rFonts w:cs="Arial"/>
          <w:sz w:val="18"/>
          <w:szCs w:val="18"/>
        </w:rPr>
        <w:t xml:space="preserve"> </w:t>
      </w:r>
      <w:r w:rsidRPr="00717D4E">
        <w:rPr>
          <w:rFonts w:cs="Arial"/>
          <w:bCs/>
          <w:sz w:val="18"/>
          <w:szCs w:val="18"/>
        </w:rPr>
        <w:t xml:space="preserve">the Company </w:t>
      </w:r>
      <w:r>
        <w:rPr>
          <w:rFonts w:cs="Arial"/>
          <w:bCs/>
          <w:sz w:val="18"/>
          <w:szCs w:val="18"/>
        </w:rPr>
        <w:t>entered into</w:t>
      </w:r>
      <w:r w:rsidRPr="00717D4E">
        <w:rPr>
          <w:rFonts w:cs="Arial"/>
          <w:bCs/>
          <w:sz w:val="18"/>
          <w:szCs w:val="18"/>
        </w:rPr>
        <w:t xml:space="preserve"> an option </w:t>
      </w:r>
      <w:r w:rsidRPr="00717D4E">
        <w:rPr>
          <w:rFonts w:cs="Arial"/>
          <w:sz w:val="18"/>
          <w:szCs w:val="18"/>
        </w:rPr>
        <w:t xml:space="preserve">agreement with </w:t>
      </w:r>
      <w:r>
        <w:rPr>
          <w:rFonts w:cs="Arial"/>
          <w:bCs/>
          <w:sz w:val="18"/>
          <w:szCs w:val="18"/>
        </w:rPr>
        <w:t>Silver Standard Resources Inc. (subsequently renamed SSR Mining Inc.)</w:t>
      </w:r>
      <w:r w:rsidRPr="00717D4E">
        <w:rPr>
          <w:rFonts w:cs="Arial"/>
          <w:bCs/>
          <w:sz w:val="18"/>
          <w:szCs w:val="18"/>
        </w:rPr>
        <w:t xml:space="preserve"> (“</w:t>
      </w:r>
      <w:r>
        <w:rPr>
          <w:rFonts w:cs="Arial"/>
          <w:bCs/>
          <w:sz w:val="18"/>
          <w:szCs w:val="18"/>
        </w:rPr>
        <w:t>SSRM</w:t>
      </w:r>
      <w:r w:rsidRPr="00717D4E">
        <w:rPr>
          <w:rFonts w:cs="Arial"/>
          <w:bCs/>
          <w:sz w:val="18"/>
          <w:szCs w:val="18"/>
        </w:rPr>
        <w:t>”)</w:t>
      </w:r>
      <w:r w:rsidRPr="00717D4E">
        <w:rPr>
          <w:rFonts w:cs="Arial"/>
          <w:b/>
          <w:bCs/>
          <w:sz w:val="18"/>
          <w:szCs w:val="18"/>
        </w:rPr>
        <w:t xml:space="preserve"> </w:t>
      </w:r>
      <w:r w:rsidRPr="00717D4E">
        <w:rPr>
          <w:rFonts w:cs="Arial"/>
          <w:sz w:val="18"/>
          <w:szCs w:val="18"/>
        </w:rPr>
        <w:t xml:space="preserve">whereby </w:t>
      </w:r>
      <w:r>
        <w:rPr>
          <w:rFonts w:cs="Arial"/>
          <w:sz w:val="18"/>
          <w:szCs w:val="18"/>
        </w:rPr>
        <w:t>SSRM</w:t>
      </w:r>
      <w:r w:rsidRPr="00717D4E">
        <w:rPr>
          <w:rFonts w:cs="Arial"/>
          <w:sz w:val="18"/>
          <w:szCs w:val="18"/>
        </w:rPr>
        <w:t xml:space="preserve"> </w:t>
      </w:r>
      <w:r>
        <w:rPr>
          <w:rFonts w:cs="Arial"/>
          <w:sz w:val="18"/>
          <w:szCs w:val="18"/>
        </w:rPr>
        <w:t>could</w:t>
      </w:r>
      <w:r w:rsidRPr="00717D4E">
        <w:rPr>
          <w:rFonts w:cs="Arial"/>
          <w:sz w:val="18"/>
          <w:szCs w:val="18"/>
        </w:rPr>
        <w:t xml:space="preserve"> earn </w:t>
      </w:r>
      <w:r>
        <w:rPr>
          <w:rFonts w:cs="Arial"/>
          <w:sz w:val="18"/>
          <w:szCs w:val="18"/>
        </w:rPr>
        <w:t xml:space="preserve">up to </w:t>
      </w:r>
      <w:r w:rsidRPr="00717D4E">
        <w:rPr>
          <w:rFonts w:cs="Arial"/>
          <w:sz w:val="18"/>
          <w:szCs w:val="18"/>
        </w:rPr>
        <w:t xml:space="preserve">a </w:t>
      </w:r>
      <w:r>
        <w:rPr>
          <w:rFonts w:cs="Arial"/>
          <w:sz w:val="18"/>
          <w:szCs w:val="18"/>
        </w:rPr>
        <w:t>6</w:t>
      </w:r>
      <w:r w:rsidRPr="00717D4E">
        <w:rPr>
          <w:rFonts w:cs="Arial"/>
          <w:sz w:val="18"/>
          <w:szCs w:val="18"/>
        </w:rPr>
        <w:t xml:space="preserve">0% interest in the property, located in </w:t>
      </w:r>
      <w:r>
        <w:rPr>
          <w:rFonts w:cs="Arial"/>
          <w:sz w:val="18"/>
          <w:szCs w:val="18"/>
        </w:rPr>
        <w:t>Saskatchewan.</w:t>
      </w:r>
      <w:r w:rsidRPr="00717D4E">
        <w:rPr>
          <w:rFonts w:cs="Arial"/>
          <w:sz w:val="18"/>
          <w:szCs w:val="18"/>
        </w:rPr>
        <w:t xml:space="preserve"> </w:t>
      </w:r>
      <w:r w:rsidRPr="002F15F9">
        <w:rPr>
          <w:rFonts w:cs="Arial"/>
          <w:sz w:val="18"/>
          <w:szCs w:val="18"/>
        </w:rPr>
        <w:t xml:space="preserve">To earn a 60% interest over four years, </w:t>
      </w:r>
      <w:r>
        <w:rPr>
          <w:rFonts w:cs="Arial"/>
          <w:sz w:val="18"/>
          <w:szCs w:val="18"/>
        </w:rPr>
        <w:t>SSRM</w:t>
      </w:r>
      <w:r w:rsidRPr="002F15F9">
        <w:rPr>
          <w:rFonts w:cs="Arial"/>
          <w:sz w:val="18"/>
          <w:szCs w:val="18"/>
        </w:rPr>
        <w:t xml:space="preserve"> agreed to complete $4,000,000 in exploration expenditures, make an initial cash payment to </w:t>
      </w:r>
      <w:r>
        <w:rPr>
          <w:rFonts w:cs="Arial"/>
          <w:sz w:val="18"/>
          <w:szCs w:val="18"/>
        </w:rPr>
        <w:t>Taiga</w:t>
      </w:r>
      <w:r w:rsidRPr="002F15F9">
        <w:rPr>
          <w:rFonts w:cs="Arial"/>
          <w:sz w:val="18"/>
          <w:szCs w:val="18"/>
        </w:rPr>
        <w:t xml:space="preserve"> of $100,000 and make annual cash payments of $75,000</w:t>
      </w:r>
      <w:r>
        <w:rPr>
          <w:rFonts w:cs="Arial"/>
          <w:sz w:val="18"/>
          <w:szCs w:val="18"/>
        </w:rPr>
        <w:t xml:space="preserve"> (the Company received the first annual payment of $75,000 on October 5, 2017)</w:t>
      </w:r>
      <w:r w:rsidRPr="002F15F9">
        <w:rPr>
          <w:rFonts w:cs="Arial"/>
          <w:sz w:val="18"/>
          <w:szCs w:val="18"/>
        </w:rPr>
        <w:t>. SS</w:t>
      </w:r>
      <w:r>
        <w:rPr>
          <w:rFonts w:cs="Arial"/>
          <w:sz w:val="18"/>
          <w:szCs w:val="18"/>
        </w:rPr>
        <w:t>RM</w:t>
      </w:r>
      <w:r w:rsidRPr="002F15F9">
        <w:rPr>
          <w:rFonts w:cs="Arial"/>
          <w:sz w:val="18"/>
          <w:szCs w:val="18"/>
        </w:rPr>
        <w:t xml:space="preserve"> also agreed </w:t>
      </w:r>
      <w:r>
        <w:rPr>
          <w:rFonts w:cs="Arial"/>
          <w:sz w:val="18"/>
          <w:szCs w:val="18"/>
        </w:rPr>
        <w:t xml:space="preserve">to </w:t>
      </w:r>
      <w:r w:rsidRPr="002F15F9">
        <w:rPr>
          <w:rFonts w:cs="Arial"/>
          <w:sz w:val="18"/>
          <w:szCs w:val="18"/>
        </w:rPr>
        <w:t xml:space="preserve">fund the $400,000 2016 exploration program </w:t>
      </w:r>
      <w:r>
        <w:rPr>
          <w:rFonts w:cs="Arial"/>
          <w:sz w:val="18"/>
          <w:szCs w:val="18"/>
        </w:rPr>
        <w:t xml:space="preserve">completed </w:t>
      </w:r>
      <w:r w:rsidRPr="002F15F9">
        <w:rPr>
          <w:rFonts w:cs="Arial"/>
          <w:sz w:val="18"/>
          <w:szCs w:val="18"/>
        </w:rPr>
        <w:t xml:space="preserve">by </w:t>
      </w:r>
      <w:r>
        <w:rPr>
          <w:rFonts w:cs="Arial"/>
          <w:sz w:val="18"/>
          <w:szCs w:val="18"/>
        </w:rPr>
        <w:t>Taiga</w:t>
      </w:r>
      <w:r w:rsidRPr="002F15F9">
        <w:rPr>
          <w:rFonts w:cs="Arial"/>
          <w:sz w:val="18"/>
          <w:szCs w:val="18"/>
        </w:rPr>
        <w:t xml:space="preserve">, which </w:t>
      </w:r>
      <w:r>
        <w:rPr>
          <w:rFonts w:cs="Arial"/>
          <w:sz w:val="18"/>
          <w:szCs w:val="18"/>
        </w:rPr>
        <w:t xml:space="preserve">has been </w:t>
      </w:r>
      <w:r w:rsidRPr="002F15F9">
        <w:rPr>
          <w:rFonts w:cs="Arial"/>
          <w:sz w:val="18"/>
          <w:szCs w:val="18"/>
        </w:rPr>
        <w:t xml:space="preserve">included in the $4,000,000 exploration expenditures. Once the 60% earn-in has been completed, </w:t>
      </w:r>
      <w:r>
        <w:rPr>
          <w:rFonts w:cs="Arial"/>
          <w:sz w:val="18"/>
          <w:szCs w:val="18"/>
        </w:rPr>
        <w:t>SSRM</w:t>
      </w:r>
      <w:r w:rsidRPr="002F15F9">
        <w:rPr>
          <w:rFonts w:cs="Arial"/>
          <w:sz w:val="18"/>
          <w:szCs w:val="18"/>
        </w:rPr>
        <w:t xml:space="preserve"> has a 90-day, one-time option to earn an additional 20% interest (for a total of 80%) by making a cash payment of $3,000,000 to </w:t>
      </w:r>
      <w:r>
        <w:rPr>
          <w:rFonts w:cs="Arial"/>
          <w:sz w:val="18"/>
          <w:szCs w:val="18"/>
        </w:rPr>
        <w:t>Taiga</w:t>
      </w:r>
      <w:r w:rsidRPr="002F15F9">
        <w:rPr>
          <w:rFonts w:cs="Arial"/>
          <w:sz w:val="18"/>
          <w:szCs w:val="18"/>
        </w:rPr>
        <w:t>, at which time</w:t>
      </w:r>
      <w:r>
        <w:rPr>
          <w:rFonts w:cs="Arial"/>
          <w:sz w:val="18"/>
          <w:szCs w:val="18"/>
        </w:rPr>
        <w:t xml:space="preserve"> </w:t>
      </w:r>
      <w:r w:rsidRPr="002F15F9">
        <w:rPr>
          <w:rFonts w:cs="Arial"/>
          <w:sz w:val="18"/>
          <w:szCs w:val="18"/>
        </w:rPr>
        <w:t xml:space="preserve">an 80/20 joint-venture will be formed to further advance the property. </w:t>
      </w:r>
      <w:r>
        <w:rPr>
          <w:rFonts w:cs="Arial"/>
          <w:sz w:val="18"/>
          <w:szCs w:val="18"/>
        </w:rPr>
        <w:t>Taiga</w:t>
      </w:r>
      <w:r w:rsidRPr="002F15F9">
        <w:rPr>
          <w:rFonts w:cs="Arial"/>
          <w:sz w:val="18"/>
          <w:szCs w:val="18"/>
        </w:rPr>
        <w:t xml:space="preserve"> will retain a Net Smelter Return (“NSR”)</w:t>
      </w:r>
      <w:r>
        <w:rPr>
          <w:rFonts w:cs="Arial"/>
          <w:sz w:val="18"/>
          <w:szCs w:val="18"/>
        </w:rPr>
        <w:t xml:space="preserve"> ranging from 0.5% to 2.5% depending on the location of the claims as set out in the agreement</w:t>
      </w:r>
      <w:r w:rsidRPr="002F15F9">
        <w:rPr>
          <w:rFonts w:cs="Arial"/>
          <w:sz w:val="18"/>
          <w:szCs w:val="18"/>
        </w:rPr>
        <w:t xml:space="preserve">, subject to reduction on certain claims by underlying NSR agreements. </w:t>
      </w:r>
      <w:r>
        <w:rPr>
          <w:rFonts w:cs="Arial"/>
          <w:sz w:val="18"/>
          <w:szCs w:val="18"/>
        </w:rPr>
        <w:t>Taiga</w:t>
      </w:r>
      <w:r w:rsidRPr="002F15F9">
        <w:rPr>
          <w:rFonts w:cs="Arial"/>
          <w:sz w:val="18"/>
          <w:szCs w:val="18"/>
        </w:rPr>
        <w:t>’ NSR may be reduced by 1% at any time upon payment of $1,000,000 by the joint venture</w:t>
      </w:r>
      <w:r>
        <w:rPr>
          <w:rFonts w:cs="Arial"/>
          <w:sz w:val="18"/>
          <w:szCs w:val="18"/>
        </w:rPr>
        <w:t>. I</w:t>
      </w:r>
      <w:r w:rsidRPr="002F15F9">
        <w:rPr>
          <w:rFonts w:cs="Arial"/>
          <w:sz w:val="18"/>
          <w:szCs w:val="18"/>
        </w:rPr>
        <w:t xml:space="preserve">n addition, </w:t>
      </w:r>
      <w:r>
        <w:rPr>
          <w:rFonts w:cs="Arial"/>
          <w:sz w:val="18"/>
          <w:szCs w:val="18"/>
        </w:rPr>
        <w:t>Taiga</w:t>
      </w:r>
      <w:r w:rsidRPr="002F15F9">
        <w:rPr>
          <w:rFonts w:cs="Arial"/>
          <w:sz w:val="18"/>
          <w:szCs w:val="18"/>
        </w:rPr>
        <w:t xml:space="preserve"> will receive advance royalty payments of $100,000 annually from the joint venture until commencement of commercial production.</w:t>
      </w:r>
      <w:r>
        <w:rPr>
          <w:rFonts w:cs="Arial"/>
          <w:sz w:val="18"/>
          <w:szCs w:val="18"/>
        </w:rPr>
        <w:t xml:space="preserve"> </w:t>
      </w:r>
    </w:p>
    <w:p w:rsidR="006A257E" w:rsidRPr="00B612EE" w:rsidRDefault="006A257E" w:rsidP="006A257E">
      <w:pPr>
        <w:ind w:left="115"/>
        <w:jc w:val="both"/>
        <w:rPr>
          <w:rFonts w:cs="Arial"/>
          <w:sz w:val="12"/>
          <w:szCs w:val="12"/>
        </w:rPr>
      </w:pPr>
    </w:p>
    <w:p w:rsidR="006A257E" w:rsidRDefault="006A257E" w:rsidP="006A257E">
      <w:pPr>
        <w:ind w:left="115"/>
        <w:jc w:val="both"/>
        <w:rPr>
          <w:rFonts w:cs="Arial"/>
          <w:sz w:val="18"/>
          <w:szCs w:val="18"/>
        </w:rPr>
      </w:pPr>
      <w:r>
        <w:rPr>
          <w:rFonts w:cs="Arial"/>
          <w:sz w:val="18"/>
          <w:szCs w:val="18"/>
        </w:rPr>
        <w:t>Taiga</w:t>
      </w:r>
      <w:r w:rsidRPr="00A925E0">
        <w:rPr>
          <w:rFonts w:cs="Arial"/>
          <w:sz w:val="18"/>
          <w:szCs w:val="18"/>
        </w:rPr>
        <w:t xml:space="preserve">' Kettle Falls and </w:t>
      </w:r>
      <w:proofErr w:type="spellStart"/>
      <w:r w:rsidRPr="00A925E0">
        <w:rPr>
          <w:rFonts w:cs="Arial"/>
          <w:sz w:val="18"/>
          <w:szCs w:val="18"/>
        </w:rPr>
        <w:t>Eisler</w:t>
      </w:r>
      <w:proofErr w:type="spellEnd"/>
      <w:r w:rsidRPr="00A925E0">
        <w:rPr>
          <w:rFonts w:cs="Arial"/>
          <w:sz w:val="18"/>
          <w:szCs w:val="18"/>
        </w:rPr>
        <w:t xml:space="preserve"> Lake projects </w:t>
      </w:r>
      <w:r>
        <w:rPr>
          <w:rFonts w:cs="Arial"/>
          <w:sz w:val="18"/>
          <w:szCs w:val="18"/>
        </w:rPr>
        <w:t xml:space="preserve">were </w:t>
      </w:r>
      <w:r w:rsidRPr="00A925E0">
        <w:rPr>
          <w:rFonts w:cs="Arial"/>
          <w:sz w:val="18"/>
          <w:szCs w:val="18"/>
        </w:rPr>
        <w:t>incorporated into the much larger Fisher Project in the Seabee Gold Mine/</w:t>
      </w:r>
      <w:proofErr w:type="spellStart"/>
      <w:r w:rsidRPr="00A925E0">
        <w:rPr>
          <w:rFonts w:cs="Arial"/>
          <w:sz w:val="18"/>
          <w:szCs w:val="18"/>
        </w:rPr>
        <w:t>Santoy</w:t>
      </w:r>
      <w:proofErr w:type="spellEnd"/>
      <w:r w:rsidRPr="00A925E0">
        <w:rPr>
          <w:rFonts w:cs="Arial"/>
          <w:sz w:val="18"/>
          <w:szCs w:val="18"/>
        </w:rPr>
        <w:t xml:space="preserve"> Lake area as discussed in a </w:t>
      </w:r>
      <w:hyperlink r:id="rId16" w:history="1">
        <w:r w:rsidRPr="007C13E9">
          <w:rPr>
            <w:rStyle w:val="Hyperlink"/>
            <w:rFonts w:cs="Arial"/>
            <w:bCs/>
            <w:sz w:val="18"/>
            <w:szCs w:val="18"/>
            <w:bdr w:val="none" w:sz="0" w:space="0" w:color="auto" w:frame="1"/>
          </w:rPr>
          <w:t>news release dated April 2, 2016</w:t>
        </w:r>
      </w:hyperlink>
      <w:r w:rsidRPr="00A925E0">
        <w:rPr>
          <w:rFonts w:cs="Arial"/>
          <w:sz w:val="18"/>
          <w:szCs w:val="18"/>
        </w:rPr>
        <w:t>.</w:t>
      </w:r>
      <w:r>
        <w:rPr>
          <w:rFonts w:cs="Arial"/>
          <w:sz w:val="18"/>
          <w:szCs w:val="18"/>
        </w:rPr>
        <w:t xml:space="preserve">  </w:t>
      </w:r>
      <w:r w:rsidRPr="00AB6787">
        <w:rPr>
          <w:rFonts w:cs="Arial"/>
          <w:sz w:val="18"/>
          <w:szCs w:val="18"/>
        </w:rPr>
        <w:t xml:space="preserve">Consolidated in 2016, </w:t>
      </w:r>
      <w:r>
        <w:rPr>
          <w:rFonts w:cs="Arial"/>
          <w:sz w:val="18"/>
          <w:szCs w:val="18"/>
        </w:rPr>
        <w:t>Taiga</w:t>
      </w:r>
      <w:r w:rsidRPr="00AB6787">
        <w:rPr>
          <w:rFonts w:cs="Arial"/>
          <w:sz w:val="18"/>
          <w:szCs w:val="18"/>
        </w:rPr>
        <w:t xml:space="preserve"> completed a number of individual agreements with third-parties and received title to individual dispositions in the area north and south of </w:t>
      </w:r>
      <w:r>
        <w:rPr>
          <w:rFonts w:cs="Arial"/>
          <w:sz w:val="18"/>
          <w:szCs w:val="18"/>
        </w:rPr>
        <w:t xml:space="preserve">SSRM’s </w:t>
      </w:r>
      <w:r w:rsidRPr="00AB6787">
        <w:rPr>
          <w:rFonts w:cs="Arial"/>
          <w:sz w:val="18"/>
          <w:szCs w:val="18"/>
        </w:rPr>
        <w:t xml:space="preserve">Seabee Mine property </w:t>
      </w:r>
      <w:r>
        <w:rPr>
          <w:rFonts w:cs="Arial"/>
          <w:sz w:val="18"/>
          <w:szCs w:val="18"/>
        </w:rPr>
        <w:t xml:space="preserve">(formerly owned by </w:t>
      </w:r>
      <w:r w:rsidRPr="00AB6787">
        <w:rPr>
          <w:rFonts w:cs="Arial"/>
          <w:sz w:val="18"/>
          <w:szCs w:val="18"/>
        </w:rPr>
        <w:t>Claude Resources</w:t>
      </w:r>
      <w:r>
        <w:rPr>
          <w:rFonts w:cs="Arial"/>
          <w:sz w:val="18"/>
          <w:szCs w:val="18"/>
        </w:rPr>
        <w:t xml:space="preserve"> Inc.)</w:t>
      </w:r>
      <w:r w:rsidRPr="00AB6787">
        <w:rPr>
          <w:rFonts w:cs="Arial"/>
          <w:sz w:val="18"/>
          <w:szCs w:val="18"/>
        </w:rPr>
        <w:t xml:space="preserve"> located </w:t>
      </w:r>
      <w:r>
        <w:rPr>
          <w:rFonts w:cs="Arial"/>
          <w:sz w:val="18"/>
          <w:szCs w:val="18"/>
        </w:rPr>
        <w:t xml:space="preserve">approximately </w:t>
      </w:r>
      <w:r w:rsidRPr="00AB6787">
        <w:rPr>
          <w:rFonts w:cs="Arial"/>
          <w:sz w:val="18"/>
          <w:szCs w:val="18"/>
        </w:rPr>
        <w:t xml:space="preserve">125km </w:t>
      </w:r>
      <w:r>
        <w:rPr>
          <w:rFonts w:cs="Arial"/>
          <w:sz w:val="18"/>
          <w:szCs w:val="18"/>
        </w:rPr>
        <w:t>east</w:t>
      </w:r>
      <w:r w:rsidRPr="00AB6787">
        <w:rPr>
          <w:rFonts w:cs="Arial"/>
          <w:sz w:val="18"/>
          <w:szCs w:val="18"/>
        </w:rPr>
        <w:t> of La</w:t>
      </w:r>
      <w:r>
        <w:rPr>
          <w:rFonts w:cs="Arial"/>
          <w:sz w:val="18"/>
          <w:szCs w:val="18"/>
        </w:rPr>
        <w:t xml:space="preserve"> </w:t>
      </w:r>
      <w:proofErr w:type="spellStart"/>
      <w:r w:rsidRPr="00AB6787">
        <w:rPr>
          <w:rFonts w:cs="Arial"/>
          <w:sz w:val="18"/>
          <w:szCs w:val="18"/>
        </w:rPr>
        <w:t>Ronge</w:t>
      </w:r>
      <w:proofErr w:type="spellEnd"/>
      <w:r w:rsidRPr="00AB6787">
        <w:rPr>
          <w:rFonts w:cs="Arial"/>
          <w:sz w:val="18"/>
          <w:szCs w:val="18"/>
        </w:rPr>
        <w:t xml:space="preserve">, Saskatchewan. Combined with </w:t>
      </w:r>
      <w:r>
        <w:rPr>
          <w:rFonts w:cs="Arial"/>
          <w:sz w:val="18"/>
          <w:szCs w:val="18"/>
        </w:rPr>
        <w:t>Taiga</w:t>
      </w:r>
      <w:r w:rsidRPr="00AB6787">
        <w:rPr>
          <w:rFonts w:cs="Arial"/>
          <w:sz w:val="18"/>
          <w:szCs w:val="18"/>
        </w:rPr>
        <w:t xml:space="preserve">’ existing tenures in the area, Kettle </w:t>
      </w:r>
      <w:proofErr w:type="gramStart"/>
      <w:r w:rsidRPr="00AB6787">
        <w:rPr>
          <w:rFonts w:cs="Arial"/>
          <w:sz w:val="18"/>
          <w:szCs w:val="18"/>
        </w:rPr>
        <w:t>Falls</w:t>
      </w:r>
      <w:proofErr w:type="gramEnd"/>
      <w:r w:rsidRPr="00AB6787">
        <w:rPr>
          <w:rFonts w:cs="Arial"/>
          <w:sz w:val="18"/>
          <w:szCs w:val="18"/>
        </w:rPr>
        <w:t xml:space="preserve"> and </w:t>
      </w:r>
      <w:proofErr w:type="spellStart"/>
      <w:r w:rsidRPr="00AB6787">
        <w:rPr>
          <w:rFonts w:cs="Arial"/>
          <w:sz w:val="18"/>
          <w:szCs w:val="18"/>
        </w:rPr>
        <w:t>Eisler</w:t>
      </w:r>
      <w:proofErr w:type="spellEnd"/>
      <w:r w:rsidRPr="00AB6787">
        <w:rPr>
          <w:rFonts w:cs="Arial"/>
          <w:sz w:val="18"/>
          <w:szCs w:val="18"/>
        </w:rPr>
        <w:t xml:space="preserve"> </w:t>
      </w:r>
      <w:r w:rsidRPr="006973E5">
        <w:rPr>
          <w:rFonts w:cs="Arial"/>
          <w:sz w:val="18"/>
          <w:szCs w:val="18"/>
        </w:rPr>
        <w:t>Lake</w:t>
      </w:r>
      <w:r w:rsidRPr="00AB6787">
        <w:rPr>
          <w:rFonts w:cs="Arial"/>
          <w:sz w:val="18"/>
          <w:szCs w:val="18"/>
        </w:rPr>
        <w:t>, the total land area is now 33,460 ha. The project is transected by the Churchill R</w:t>
      </w:r>
      <w:r>
        <w:rPr>
          <w:rFonts w:cs="Arial"/>
          <w:sz w:val="18"/>
          <w:szCs w:val="18"/>
        </w:rPr>
        <w:t>iver</w:t>
      </w:r>
      <w:r w:rsidRPr="00AB6787">
        <w:rPr>
          <w:rFonts w:cs="Arial"/>
          <w:sz w:val="18"/>
          <w:szCs w:val="18"/>
        </w:rPr>
        <w:t xml:space="preserve"> and is accessible by boat or fixed wing aircraft from </w:t>
      </w:r>
      <w:proofErr w:type="spellStart"/>
      <w:r w:rsidRPr="00AB6787">
        <w:rPr>
          <w:rFonts w:cs="Arial"/>
          <w:sz w:val="18"/>
          <w:szCs w:val="18"/>
        </w:rPr>
        <w:t>Missini</w:t>
      </w:r>
      <w:r>
        <w:rPr>
          <w:rFonts w:cs="Arial"/>
          <w:sz w:val="18"/>
          <w:szCs w:val="18"/>
        </w:rPr>
        <w:t>p</w:t>
      </w:r>
      <w:r w:rsidRPr="00AB6787">
        <w:rPr>
          <w:rFonts w:cs="Arial"/>
          <w:sz w:val="18"/>
          <w:szCs w:val="18"/>
        </w:rPr>
        <w:t>pe</w:t>
      </w:r>
      <w:proofErr w:type="spellEnd"/>
      <w:r w:rsidRPr="00AB6787">
        <w:rPr>
          <w:rFonts w:cs="Arial"/>
          <w:sz w:val="18"/>
          <w:szCs w:val="18"/>
        </w:rPr>
        <w:t xml:space="preserve">/Otter Lake, located </w:t>
      </w:r>
      <w:r>
        <w:rPr>
          <w:rFonts w:cs="Arial"/>
          <w:sz w:val="18"/>
          <w:szCs w:val="18"/>
        </w:rPr>
        <w:t xml:space="preserve">approximately </w:t>
      </w:r>
      <w:r w:rsidRPr="00AB6787">
        <w:rPr>
          <w:rFonts w:cs="Arial"/>
          <w:sz w:val="18"/>
          <w:szCs w:val="18"/>
        </w:rPr>
        <w:t>100 km west of the property and serviced by an all season gravel road.</w:t>
      </w:r>
    </w:p>
    <w:p w:rsidR="006A257E" w:rsidRPr="005F6C60" w:rsidRDefault="006A257E" w:rsidP="006A257E">
      <w:pPr>
        <w:jc w:val="both"/>
        <w:rPr>
          <w:rFonts w:cs="Arial"/>
          <w:b/>
          <w:sz w:val="12"/>
          <w:szCs w:val="12"/>
          <w:u w:val="single"/>
        </w:rPr>
      </w:pPr>
    </w:p>
    <w:p w:rsidR="006A257E" w:rsidRPr="00AB6787" w:rsidRDefault="006A257E" w:rsidP="006A257E">
      <w:pPr>
        <w:pStyle w:val="Heading3"/>
        <w:ind w:left="115"/>
        <w:jc w:val="both"/>
        <w:textAlignment w:val="baseline"/>
        <w:rPr>
          <w:b w:val="0"/>
          <w:bCs/>
        </w:rPr>
      </w:pPr>
      <w:r>
        <w:rPr>
          <w:b w:val="0"/>
          <w:bCs/>
        </w:rPr>
        <w:t>P</w:t>
      </w:r>
      <w:r w:rsidRPr="00AB6787">
        <w:rPr>
          <w:b w:val="0"/>
          <w:bCs/>
        </w:rPr>
        <w:t>roject Highlights</w:t>
      </w:r>
    </w:p>
    <w:p w:rsidR="006A257E" w:rsidRPr="00AB6787" w:rsidRDefault="006A257E" w:rsidP="00444A4B">
      <w:pPr>
        <w:numPr>
          <w:ilvl w:val="0"/>
          <w:numId w:val="21"/>
        </w:numPr>
        <w:ind w:right="300"/>
        <w:jc w:val="both"/>
        <w:textAlignment w:val="baseline"/>
        <w:rPr>
          <w:rFonts w:cs="Arial"/>
          <w:sz w:val="18"/>
          <w:szCs w:val="18"/>
        </w:rPr>
      </w:pPr>
      <w:r w:rsidRPr="00AB6787">
        <w:rPr>
          <w:rFonts w:cs="Arial"/>
          <w:sz w:val="18"/>
          <w:szCs w:val="18"/>
        </w:rPr>
        <w:t xml:space="preserve">Excellent geology </w:t>
      </w:r>
      <w:proofErr w:type="spellStart"/>
      <w:r w:rsidRPr="00AB6787">
        <w:rPr>
          <w:rFonts w:cs="Arial"/>
          <w:sz w:val="18"/>
          <w:szCs w:val="18"/>
        </w:rPr>
        <w:t>favourable</w:t>
      </w:r>
      <w:proofErr w:type="spellEnd"/>
      <w:r w:rsidRPr="00AB6787">
        <w:rPr>
          <w:rFonts w:cs="Arial"/>
          <w:sz w:val="18"/>
          <w:szCs w:val="18"/>
        </w:rPr>
        <w:t xml:space="preserve"> for gold deposits</w:t>
      </w:r>
    </w:p>
    <w:p w:rsidR="006A257E" w:rsidRDefault="006A257E" w:rsidP="00444A4B">
      <w:pPr>
        <w:numPr>
          <w:ilvl w:val="0"/>
          <w:numId w:val="21"/>
        </w:numPr>
        <w:ind w:right="302"/>
        <w:jc w:val="both"/>
        <w:textAlignment w:val="baseline"/>
        <w:rPr>
          <w:rFonts w:cs="Arial"/>
          <w:sz w:val="18"/>
          <w:szCs w:val="18"/>
        </w:rPr>
      </w:pPr>
      <w:r w:rsidRPr="00AB6787">
        <w:rPr>
          <w:rFonts w:cs="Arial"/>
          <w:sz w:val="18"/>
          <w:szCs w:val="18"/>
        </w:rPr>
        <w:t>Significantly underexplored with encouraging early results</w:t>
      </w:r>
    </w:p>
    <w:p w:rsidR="006A257E" w:rsidRPr="00AB6787" w:rsidRDefault="006A257E" w:rsidP="00444A4B">
      <w:pPr>
        <w:numPr>
          <w:ilvl w:val="0"/>
          <w:numId w:val="21"/>
        </w:numPr>
        <w:ind w:right="302"/>
        <w:jc w:val="both"/>
        <w:textAlignment w:val="baseline"/>
        <w:rPr>
          <w:rFonts w:cs="Arial"/>
          <w:sz w:val="18"/>
          <w:szCs w:val="18"/>
        </w:rPr>
      </w:pPr>
      <w:r w:rsidRPr="00AB6787">
        <w:rPr>
          <w:rFonts w:cs="Arial"/>
          <w:sz w:val="18"/>
          <w:szCs w:val="18"/>
        </w:rPr>
        <w:t>Adjacent to the currently producing Seabee Mine</w:t>
      </w:r>
    </w:p>
    <w:p w:rsidR="006A257E" w:rsidRPr="00AB6787" w:rsidRDefault="006A257E" w:rsidP="00444A4B">
      <w:pPr>
        <w:numPr>
          <w:ilvl w:val="0"/>
          <w:numId w:val="21"/>
        </w:numPr>
        <w:ind w:right="300"/>
        <w:jc w:val="both"/>
        <w:textAlignment w:val="baseline"/>
        <w:rPr>
          <w:rFonts w:cs="Arial"/>
          <w:sz w:val="18"/>
          <w:szCs w:val="18"/>
        </w:rPr>
      </w:pPr>
      <w:r w:rsidRPr="00AB6787">
        <w:rPr>
          <w:rFonts w:cs="Arial"/>
          <w:sz w:val="18"/>
          <w:szCs w:val="18"/>
        </w:rPr>
        <w:t xml:space="preserve">Multiple untested geophysical anomalies associated with </w:t>
      </w:r>
      <w:proofErr w:type="spellStart"/>
      <w:r w:rsidRPr="00AB6787">
        <w:rPr>
          <w:rFonts w:cs="Arial"/>
          <w:sz w:val="18"/>
          <w:szCs w:val="18"/>
        </w:rPr>
        <w:t>favourable</w:t>
      </w:r>
      <w:proofErr w:type="spellEnd"/>
      <w:r w:rsidRPr="00AB6787">
        <w:rPr>
          <w:rFonts w:cs="Arial"/>
          <w:sz w:val="18"/>
          <w:szCs w:val="18"/>
        </w:rPr>
        <w:t xml:space="preserve"> geology</w:t>
      </w:r>
    </w:p>
    <w:p w:rsidR="006A257E" w:rsidRDefault="006A257E" w:rsidP="00444A4B">
      <w:pPr>
        <w:numPr>
          <w:ilvl w:val="0"/>
          <w:numId w:val="21"/>
        </w:numPr>
        <w:ind w:right="300"/>
        <w:jc w:val="both"/>
        <w:textAlignment w:val="baseline"/>
        <w:rPr>
          <w:rFonts w:cs="Arial"/>
          <w:sz w:val="18"/>
          <w:szCs w:val="18"/>
        </w:rPr>
      </w:pPr>
      <w:r w:rsidRPr="00AB6787">
        <w:rPr>
          <w:rFonts w:cs="Arial"/>
          <w:sz w:val="18"/>
          <w:szCs w:val="18"/>
        </w:rPr>
        <w:t>Numerous high-grade showings focused along a major structure</w:t>
      </w:r>
    </w:p>
    <w:p w:rsidR="006A257E" w:rsidRPr="00E36DD0" w:rsidRDefault="006A257E" w:rsidP="006A257E">
      <w:pPr>
        <w:ind w:left="835" w:right="300"/>
        <w:jc w:val="both"/>
        <w:textAlignment w:val="baseline"/>
        <w:rPr>
          <w:rFonts w:cs="Arial"/>
          <w:sz w:val="12"/>
          <w:szCs w:val="12"/>
        </w:rPr>
      </w:pPr>
    </w:p>
    <w:p w:rsidR="006A257E" w:rsidRDefault="006A257E" w:rsidP="006A257E">
      <w:pPr>
        <w:pStyle w:val="rtejustify"/>
        <w:spacing w:before="60" w:beforeAutospacing="0" w:after="0" w:afterAutospacing="0"/>
        <w:ind w:left="115"/>
        <w:jc w:val="both"/>
        <w:textAlignment w:val="baseline"/>
        <w:rPr>
          <w:rFonts w:ascii="Arial" w:hAnsi="Arial" w:cs="Arial"/>
          <w:sz w:val="18"/>
          <w:szCs w:val="18"/>
        </w:rPr>
      </w:pPr>
      <w:r w:rsidRPr="00954773">
        <w:rPr>
          <w:rFonts w:ascii="Arial" w:hAnsi="Arial" w:cs="Arial"/>
          <w:sz w:val="18"/>
          <w:szCs w:val="18"/>
        </w:rPr>
        <w:t xml:space="preserve">During mid 2016 the Fisher project underwent a comprehensive data compilation resulting in the delineation of four underexplored areas of significant interest, </w:t>
      </w:r>
      <w:r>
        <w:rPr>
          <w:rFonts w:ascii="Arial" w:hAnsi="Arial" w:cs="Arial"/>
          <w:sz w:val="18"/>
          <w:szCs w:val="18"/>
        </w:rPr>
        <w:t>and</w:t>
      </w:r>
      <w:r w:rsidRPr="00954773">
        <w:rPr>
          <w:rFonts w:ascii="Arial" w:hAnsi="Arial" w:cs="Arial"/>
          <w:sz w:val="18"/>
          <w:szCs w:val="18"/>
        </w:rPr>
        <w:t xml:space="preserve"> these areas </w:t>
      </w:r>
      <w:r>
        <w:rPr>
          <w:rFonts w:ascii="Arial" w:hAnsi="Arial" w:cs="Arial"/>
          <w:sz w:val="18"/>
          <w:szCs w:val="18"/>
        </w:rPr>
        <w:t>were the</w:t>
      </w:r>
      <w:r w:rsidRPr="00954773">
        <w:rPr>
          <w:rFonts w:ascii="Arial" w:hAnsi="Arial" w:cs="Arial"/>
          <w:sz w:val="18"/>
          <w:szCs w:val="18"/>
        </w:rPr>
        <w:t> focus of the 2016 exploration program. Fieldwork for 2016 included a 3,590 line-km airborne geophysical survey, geological mapping, trenching and till and soil geochemical surveys designed to define high-grade gold targets for upcoming drilling activity.</w:t>
      </w:r>
      <w:r w:rsidRPr="00954773">
        <w:rPr>
          <w:rFonts w:ascii="Arial" w:hAnsi="Arial" w:cs="Arial"/>
          <w:color w:val="333333"/>
          <w:sz w:val="20"/>
          <w:szCs w:val="20"/>
        </w:rPr>
        <w:t> </w:t>
      </w:r>
      <w:r w:rsidRPr="00954773">
        <w:rPr>
          <w:rFonts w:ascii="Arial" w:hAnsi="Arial" w:cs="Arial"/>
          <w:sz w:val="18"/>
          <w:szCs w:val="18"/>
        </w:rPr>
        <w:t xml:space="preserve">The overall objective of the 2016 exploration program was to identify mineralization similar to that of the nearby Seabee and </w:t>
      </w:r>
      <w:proofErr w:type="spellStart"/>
      <w:r w:rsidRPr="00954773">
        <w:rPr>
          <w:rFonts w:ascii="Arial" w:hAnsi="Arial" w:cs="Arial"/>
          <w:sz w:val="18"/>
          <w:szCs w:val="18"/>
        </w:rPr>
        <w:t>Santoy</w:t>
      </w:r>
      <w:proofErr w:type="spellEnd"/>
      <w:r w:rsidRPr="00954773">
        <w:rPr>
          <w:rFonts w:ascii="Arial" w:hAnsi="Arial" w:cs="Arial"/>
          <w:sz w:val="18"/>
          <w:szCs w:val="18"/>
        </w:rPr>
        <w:t xml:space="preserve"> deposits. The 2016 Fisher field program verified certain similarities to those seen at</w:t>
      </w:r>
      <w:r w:rsidRPr="003A39E5">
        <w:rPr>
          <w:rFonts w:ascii="Arial" w:hAnsi="Arial" w:cs="Arial"/>
          <w:sz w:val="18"/>
          <w:szCs w:val="18"/>
        </w:rPr>
        <w:t xml:space="preserve"> </w:t>
      </w:r>
      <w:r w:rsidRPr="00954773">
        <w:rPr>
          <w:rFonts w:ascii="Arial" w:hAnsi="Arial" w:cs="Arial"/>
          <w:sz w:val="18"/>
          <w:szCs w:val="18"/>
        </w:rPr>
        <w:t xml:space="preserve">the Seabee Gold Operation, including host </w:t>
      </w:r>
      <w:proofErr w:type="spellStart"/>
      <w:r w:rsidRPr="00954773">
        <w:rPr>
          <w:rFonts w:ascii="Arial" w:hAnsi="Arial" w:cs="Arial"/>
          <w:sz w:val="18"/>
          <w:szCs w:val="18"/>
        </w:rPr>
        <w:t>lithologies</w:t>
      </w:r>
      <w:proofErr w:type="spellEnd"/>
      <w:r w:rsidRPr="00954773">
        <w:rPr>
          <w:rFonts w:ascii="Arial" w:hAnsi="Arial" w:cs="Arial"/>
          <w:sz w:val="18"/>
          <w:szCs w:val="18"/>
        </w:rPr>
        <w:t xml:space="preserve"> and contact relationships, style of mineralization, and presence of multiple fault systems that allowed for high fluid flow regimes.</w:t>
      </w:r>
    </w:p>
    <w:p w:rsidR="006A257E" w:rsidRPr="00B612EE" w:rsidRDefault="006A257E" w:rsidP="006A257E">
      <w:pPr>
        <w:ind w:right="300"/>
        <w:jc w:val="both"/>
        <w:textAlignment w:val="baseline"/>
        <w:rPr>
          <w:rFonts w:cs="Arial"/>
          <w:sz w:val="12"/>
          <w:szCs w:val="12"/>
        </w:rPr>
      </w:pPr>
    </w:p>
    <w:p w:rsidR="006A257E" w:rsidRPr="001D6116" w:rsidRDefault="006A257E" w:rsidP="006A257E">
      <w:pPr>
        <w:ind w:left="115"/>
        <w:jc w:val="both"/>
        <w:rPr>
          <w:rFonts w:cs="Arial"/>
          <w:sz w:val="18"/>
          <w:szCs w:val="18"/>
        </w:rPr>
      </w:pPr>
      <w:r w:rsidRPr="001D6116">
        <w:rPr>
          <w:rFonts w:cs="Arial"/>
          <w:sz w:val="18"/>
          <w:szCs w:val="18"/>
        </w:rPr>
        <w:t>The Company received a summary report from SS</w:t>
      </w:r>
      <w:r>
        <w:rPr>
          <w:rFonts w:cs="Arial"/>
          <w:sz w:val="18"/>
          <w:szCs w:val="18"/>
        </w:rPr>
        <w:t>RM</w:t>
      </w:r>
      <w:r w:rsidRPr="001D6116">
        <w:rPr>
          <w:rFonts w:cs="Arial"/>
          <w:sz w:val="18"/>
          <w:szCs w:val="18"/>
        </w:rPr>
        <w:t xml:space="preserve"> outlining progress on the 2017 exploration program with the following highlights:</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Detailed geological compilation and geophysical interpretation completed</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Permits approved by Government of Saskatchewan</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8km winter road completed, providing seasonal land access from the Seabee Gold Operation</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Diamond drill, fuel, heavy equipment and lumber successfully transported to site</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Fieldwork expected to commence in early June and continue until Fall 2017</w:t>
      </w:r>
    </w:p>
    <w:p w:rsidR="006A257E" w:rsidRPr="001D6116" w:rsidRDefault="006A257E" w:rsidP="00444A4B">
      <w:pPr>
        <w:numPr>
          <w:ilvl w:val="0"/>
          <w:numId w:val="22"/>
        </w:numPr>
        <w:ind w:left="936" w:right="302"/>
        <w:jc w:val="both"/>
        <w:textAlignment w:val="baseline"/>
        <w:rPr>
          <w:rFonts w:cs="Arial"/>
          <w:sz w:val="18"/>
          <w:szCs w:val="18"/>
        </w:rPr>
      </w:pPr>
      <w:r w:rsidRPr="001D6116">
        <w:rPr>
          <w:rFonts w:cs="Arial"/>
          <w:sz w:val="18"/>
          <w:szCs w:val="18"/>
        </w:rPr>
        <w:t>2017 exploration program budget set at approximately $1,000,000</w:t>
      </w:r>
    </w:p>
    <w:p w:rsidR="006A257E" w:rsidRPr="00FD1A12" w:rsidRDefault="006A257E" w:rsidP="006A257E">
      <w:pPr>
        <w:ind w:right="300"/>
        <w:jc w:val="both"/>
        <w:textAlignment w:val="baseline"/>
        <w:rPr>
          <w:rFonts w:cs="Arial"/>
          <w:sz w:val="12"/>
          <w:szCs w:val="12"/>
        </w:rPr>
      </w:pPr>
    </w:p>
    <w:p w:rsidR="006A257E" w:rsidRDefault="006A257E" w:rsidP="006A257E">
      <w:pPr>
        <w:ind w:left="115"/>
        <w:jc w:val="both"/>
        <w:rPr>
          <w:rFonts w:cs="Arial"/>
          <w:sz w:val="12"/>
          <w:szCs w:val="12"/>
        </w:rPr>
      </w:pPr>
      <w:r w:rsidRPr="002E6D94">
        <w:rPr>
          <w:rFonts w:cs="Arial"/>
          <w:sz w:val="18"/>
          <w:szCs w:val="18"/>
        </w:rPr>
        <w:t>The 2017 exploration program target</w:t>
      </w:r>
      <w:r>
        <w:rPr>
          <w:rFonts w:cs="Arial"/>
          <w:sz w:val="18"/>
          <w:szCs w:val="18"/>
        </w:rPr>
        <w:t>ing</w:t>
      </w:r>
      <w:r w:rsidRPr="002E6D94">
        <w:rPr>
          <w:rFonts w:cs="Arial"/>
          <w:sz w:val="18"/>
          <w:szCs w:val="18"/>
        </w:rPr>
        <w:t xml:space="preserve"> a </w:t>
      </w:r>
      <w:r>
        <w:rPr>
          <w:rFonts w:cs="Arial"/>
          <w:sz w:val="18"/>
          <w:szCs w:val="18"/>
        </w:rPr>
        <w:t>m</w:t>
      </w:r>
      <w:r w:rsidRPr="002E6D94">
        <w:rPr>
          <w:rFonts w:cs="Arial"/>
          <w:sz w:val="18"/>
          <w:szCs w:val="18"/>
        </w:rPr>
        <w:t xml:space="preserve">ineral </w:t>
      </w:r>
      <w:r>
        <w:rPr>
          <w:rFonts w:cs="Arial"/>
          <w:sz w:val="18"/>
          <w:szCs w:val="18"/>
        </w:rPr>
        <w:t>r</w:t>
      </w:r>
      <w:r w:rsidRPr="002E6D94">
        <w:rPr>
          <w:rFonts w:cs="Arial"/>
          <w:sz w:val="18"/>
          <w:szCs w:val="18"/>
        </w:rPr>
        <w:t>esource discovery on the Fisher property</w:t>
      </w:r>
      <w:r>
        <w:rPr>
          <w:rFonts w:cs="Arial"/>
          <w:sz w:val="18"/>
          <w:szCs w:val="18"/>
        </w:rPr>
        <w:t xml:space="preserve"> </w:t>
      </w:r>
      <w:r w:rsidRPr="002E6D94">
        <w:rPr>
          <w:rFonts w:cs="Arial"/>
          <w:sz w:val="18"/>
          <w:szCs w:val="18"/>
        </w:rPr>
        <w:t xml:space="preserve">consisted of till sampling, soil geochemical sampling, geological mapping and prospecting. Results were encouraging, with numerous areas of elevated gold in soils documented within Fisher property boundaries. A cluster of elevated gold in soil anomalies correlate to areas of high strain and shearing, significant alteration and quartz veining that were identified during mapping. The anomalies also coincide with a bifurcation of the </w:t>
      </w:r>
      <w:proofErr w:type="spellStart"/>
      <w:r w:rsidRPr="002E6D94">
        <w:rPr>
          <w:rFonts w:cs="Arial"/>
          <w:sz w:val="18"/>
          <w:szCs w:val="18"/>
        </w:rPr>
        <w:t>Santoy</w:t>
      </w:r>
      <w:proofErr w:type="spellEnd"/>
      <w:r w:rsidRPr="002E6D94">
        <w:rPr>
          <w:rFonts w:cs="Arial"/>
          <w:sz w:val="18"/>
          <w:szCs w:val="18"/>
        </w:rPr>
        <w:t xml:space="preserve"> shear zone, with anomalous values following both branches of the structure. Despite poor exposure, the trend has been traced in outcrop over a strike length of 1.5-2.0 km. </w:t>
      </w:r>
    </w:p>
    <w:p w:rsidR="006A257E" w:rsidRPr="00E36DD0" w:rsidRDefault="006A257E" w:rsidP="006A257E">
      <w:pPr>
        <w:ind w:left="115"/>
        <w:jc w:val="both"/>
        <w:rPr>
          <w:rFonts w:cs="Arial"/>
          <w:sz w:val="12"/>
          <w:szCs w:val="12"/>
        </w:rPr>
      </w:pPr>
    </w:p>
    <w:p w:rsidR="006A257E" w:rsidRDefault="006A257E" w:rsidP="006A257E">
      <w:pPr>
        <w:ind w:left="115"/>
        <w:jc w:val="both"/>
        <w:rPr>
          <w:rFonts w:cs="Arial"/>
          <w:sz w:val="18"/>
          <w:szCs w:val="18"/>
        </w:rPr>
      </w:pPr>
      <w:r w:rsidRPr="002E6D94">
        <w:rPr>
          <w:rFonts w:cs="Arial"/>
          <w:sz w:val="18"/>
          <w:szCs w:val="18"/>
        </w:rPr>
        <w:t xml:space="preserve">A UAV-borne detailed aeromagnetic survey </w:t>
      </w:r>
      <w:r>
        <w:rPr>
          <w:rFonts w:cs="Arial"/>
          <w:sz w:val="18"/>
          <w:szCs w:val="18"/>
        </w:rPr>
        <w:t xml:space="preserve">was completed during </w:t>
      </w:r>
      <w:r w:rsidRPr="002E6D94">
        <w:rPr>
          <w:rFonts w:cs="Arial"/>
          <w:sz w:val="18"/>
          <w:szCs w:val="18"/>
        </w:rPr>
        <w:t>the fourth quarter of 2017</w:t>
      </w:r>
      <w:r>
        <w:rPr>
          <w:rFonts w:cs="Arial"/>
          <w:sz w:val="18"/>
          <w:szCs w:val="18"/>
        </w:rPr>
        <w:t>, to be</w:t>
      </w:r>
      <w:r w:rsidRPr="002E6D94">
        <w:rPr>
          <w:rFonts w:cs="Arial"/>
          <w:sz w:val="18"/>
          <w:szCs w:val="18"/>
        </w:rPr>
        <w:t xml:space="preserve"> followed by drilling activity in the first quarter of 2018.</w:t>
      </w:r>
    </w:p>
    <w:p w:rsidR="006A257E" w:rsidRPr="00B612EE" w:rsidRDefault="006A257E" w:rsidP="006A257E">
      <w:pPr>
        <w:ind w:left="115"/>
        <w:jc w:val="both"/>
        <w:rPr>
          <w:rFonts w:cs="Arial"/>
          <w:sz w:val="12"/>
          <w:szCs w:val="12"/>
        </w:rPr>
      </w:pPr>
    </w:p>
    <w:p w:rsidR="006A257E" w:rsidRDefault="006A257E" w:rsidP="006A257E">
      <w:pPr>
        <w:widowControl w:val="0"/>
        <w:ind w:left="113"/>
        <w:jc w:val="both"/>
        <w:rPr>
          <w:rFonts w:cs="Arial"/>
          <w:color w:val="333333"/>
          <w:sz w:val="18"/>
          <w:szCs w:val="18"/>
        </w:rPr>
      </w:pPr>
      <w:r w:rsidRPr="00BF76FF">
        <w:rPr>
          <w:rStyle w:val="Strong"/>
          <w:rFonts w:cs="Arial"/>
          <w:b w:val="0"/>
          <w:sz w:val="18"/>
          <w:szCs w:val="18"/>
          <w:bdr w:val="none" w:sz="0" w:space="0" w:color="auto" w:frame="1"/>
        </w:rPr>
        <w:t xml:space="preserve">On March 20, 2018, </w:t>
      </w:r>
      <w:r w:rsidRPr="00BF76FF">
        <w:rPr>
          <w:rFonts w:cs="Arial"/>
          <w:sz w:val="18"/>
          <w:szCs w:val="18"/>
        </w:rPr>
        <w:t>option partner </w:t>
      </w:r>
      <w:r w:rsidRPr="00BF76FF">
        <w:rPr>
          <w:rStyle w:val="Strong"/>
          <w:rFonts w:cs="Arial"/>
          <w:b w:val="0"/>
          <w:sz w:val="18"/>
          <w:szCs w:val="18"/>
          <w:bdr w:val="none" w:sz="0" w:space="0" w:color="auto" w:frame="1"/>
        </w:rPr>
        <w:t>SSR</w:t>
      </w:r>
      <w:r>
        <w:rPr>
          <w:rStyle w:val="Strong"/>
          <w:rFonts w:cs="Arial"/>
          <w:b w:val="0"/>
          <w:sz w:val="18"/>
          <w:szCs w:val="18"/>
          <w:bdr w:val="none" w:sz="0" w:space="0" w:color="auto" w:frame="1"/>
        </w:rPr>
        <w:t>M</w:t>
      </w:r>
      <w:r w:rsidRPr="00BF76FF">
        <w:rPr>
          <w:rStyle w:val="Strong"/>
          <w:rFonts w:cs="Arial"/>
          <w:b w:val="0"/>
          <w:sz w:val="18"/>
          <w:szCs w:val="18"/>
          <w:bdr w:val="none" w:sz="0" w:space="0" w:color="auto" w:frame="1"/>
        </w:rPr>
        <w:t xml:space="preserve"> </w:t>
      </w:r>
      <w:r w:rsidRPr="00BF76FF">
        <w:rPr>
          <w:rFonts w:cs="Arial"/>
          <w:sz w:val="18"/>
          <w:szCs w:val="18"/>
        </w:rPr>
        <w:t>commenced its 2018 drilling campaign on Eagle Plain’s 100%-owned Fisher Property.</w:t>
      </w:r>
      <w:r>
        <w:rPr>
          <w:rFonts w:cs="Arial"/>
          <w:sz w:val="18"/>
          <w:szCs w:val="18"/>
        </w:rPr>
        <w:t xml:space="preserve"> </w:t>
      </w:r>
      <w:r w:rsidRPr="00BF76FF">
        <w:rPr>
          <w:rFonts w:cs="Arial"/>
          <w:sz w:val="18"/>
          <w:szCs w:val="18"/>
        </w:rPr>
        <w:t xml:space="preserve">SSRM is planning </w:t>
      </w:r>
      <w:r w:rsidRPr="00BF76FF">
        <w:rPr>
          <w:rFonts w:cs="Arial"/>
          <w:sz w:val="18"/>
          <w:szCs w:val="18"/>
        </w:rPr>
        <w:lastRenderedPageBreak/>
        <w:t>approximately 18,000m (59,000’) of drilling for the property during 2018, with an initial program of 10,000m (33,000’)</w:t>
      </w:r>
      <w:r>
        <w:rPr>
          <w:rFonts w:cs="Arial"/>
          <w:sz w:val="18"/>
          <w:szCs w:val="18"/>
        </w:rPr>
        <w:t>.</w:t>
      </w:r>
      <w:r w:rsidRPr="00BF76FF">
        <w:rPr>
          <w:rFonts w:cs="Arial"/>
          <w:sz w:val="18"/>
          <w:szCs w:val="18"/>
        </w:rPr>
        <w:t xml:space="preserve"> </w:t>
      </w:r>
      <w:r>
        <w:rPr>
          <w:rFonts w:cs="Arial"/>
          <w:sz w:val="18"/>
          <w:szCs w:val="18"/>
        </w:rPr>
        <w:t xml:space="preserve"> </w:t>
      </w:r>
      <w:r w:rsidRPr="00B612EE">
        <w:rPr>
          <w:rFonts w:cs="Arial"/>
          <w:sz w:val="18"/>
          <w:szCs w:val="18"/>
        </w:rPr>
        <w:t xml:space="preserve">Exploration activity continues at </w:t>
      </w:r>
      <w:r>
        <w:rPr>
          <w:rFonts w:cs="Arial"/>
          <w:sz w:val="18"/>
          <w:szCs w:val="18"/>
        </w:rPr>
        <w:t xml:space="preserve">the </w:t>
      </w:r>
      <w:r w:rsidRPr="00B612EE">
        <w:rPr>
          <w:rFonts w:cs="Arial"/>
          <w:sz w:val="18"/>
          <w:szCs w:val="18"/>
        </w:rPr>
        <w:t>project with two drills currently on site and a total of approximately 8,550m ha</w:t>
      </w:r>
      <w:r>
        <w:rPr>
          <w:rFonts w:cs="Arial"/>
          <w:sz w:val="18"/>
          <w:szCs w:val="18"/>
        </w:rPr>
        <w:t>s</w:t>
      </w:r>
      <w:r w:rsidRPr="00B612EE">
        <w:rPr>
          <w:rFonts w:cs="Arial"/>
          <w:sz w:val="18"/>
          <w:szCs w:val="18"/>
        </w:rPr>
        <w:t xml:space="preserve"> been</w:t>
      </w:r>
      <w:r w:rsidRPr="00B612EE">
        <w:rPr>
          <w:rFonts w:cs="Arial"/>
          <w:color w:val="333333"/>
          <w:sz w:val="18"/>
          <w:szCs w:val="18"/>
        </w:rPr>
        <w:t xml:space="preserve"> </w:t>
      </w:r>
    </w:p>
    <w:p w:rsidR="006A257E" w:rsidRDefault="006A257E" w:rsidP="006A257E">
      <w:pPr>
        <w:widowControl w:val="0"/>
        <w:ind w:left="113"/>
        <w:jc w:val="both"/>
        <w:rPr>
          <w:rFonts w:cs="Arial"/>
          <w:sz w:val="18"/>
          <w:szCs w:val="18"/>
        </w:rPr>
      </w:pPr>
      <w:proofErr w:type="gramStart"/>
      <w:r w:rsidRPr="00B612EE">
        <w:rPr>
          <w:rFonts w:cs="Arial"/>
          <w:sz w:val="18"/>
          <w:szCs w:val="18"/>
        </w:rPr>
        <w:t>completed</w:t>
      </w:r>
      <w:proofErr w:type="gramEnd"/>
      <w:r w:rsidRPr="00B612EE">
        <w:rPr>
          <w:rFonts w:cs="Arial"/>
          <w:sz w:val="18"/>
          <w:szCs w:val="18"/>
        </w:rPr>
        <w:t xml:space="preserve"> in 14 holes up to the end of June. Results will be formally announced as they are received, compiled and interpreted. </w:t>
      </w:r>
    </w:p>
    <w:p w:rsidR="006A257E" w:rsidRPr="00B612EE" w:rsidRDefault="006A257E" w:rsidP="006A257E">
      <w:pPr>
        <w:widowControl w:val="0"/>
        <w:ind w:left="113"/>
        <w:jc w:val="both"/>
        <w:rPr>
          <w:rFonts w:cs="Arial"/>
          <w:sz w:val="18"/>
          <w:szCs w:val="18"/>
        </w:rPr>
      </w:pPr>
    </w:p>
    <w:p w:rsidR="006A257E" w:rsidRDefault="006A257E" w:rsidP="006A257E">
      <w:pPr>
        <w:widowControl w:val="0"/>
        <w:ind w:left="113"/>
        <w:jc w:val="both"/>
        <w:rPr>
          <w:rFonts w:cs="Arial"/>
          <w:sz w:val="18"/>
          <w:szCs w:val="18"/>
        </w:rPr>
      </w:pPr>
      <w:proofErr w:type="gramStart"/>
      <w:r w:rsidRPr="00B612EE">
        <w:rPr>
          <w:rFonts w:cs="Arial"/>
          <w:sz w:val="18"/>
          <w:szCs w:val="18"/>
        </w:rPr>
        <w:t>A field crew of 8 are</w:t>
      </w:r>
      <w:proofErr w:type="gramEnd"/>
      <w:r w:rsidRPr="00B612EE">
        <w:rPr>
          <w:rFonts w:cs="Arial"/>
          <w:sz w:val="18"/>
          <w:szCs w:val="18"/>
        </w:rPr>
        <w:t xml:space="preserve"> currently conducting surface exploration activity including prospecting, geological mapping and soil geochemical </w:t>
      </w:r>
    </w:p>
    <w:p w:rsidR="006A257E" w:rsidRDefault="006A257E" w:rsidP="006A257E">
      <w:pPr>
        <w:widowControl w:val="0"/>
        <w:ind w:left="113"/>
        <w:jc w:val="both"/>
        <w:rPr>
          <w:rFonts w:cs="Arial"/>
          <w:sz w:val="18"/>
          <w:szCs w:val="18"/>
        </w:rPr>
      </w:pPr>
    </w:p>
    <w:p w:rsidR="006A257E" w:rsidRPr="00410071" w:rsidRDefault="006A257E" w:rsidP="006A257E">
      <w:pPr>
        <w:widowControl w:val="0"/>
        <w:pBdr>
          <w:top w:val="single" w:sz="24" w:space="1"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widowControl w:val="0"/>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widowControl w:val="0"/>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widowControl w:val="0"/>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Pr="00F01519" w:rsidRDefault="006A257E" w:rsidP="006A257E">
      <w:pPr>
        <w:pStyle w:val="NormalWeb"/>
        <w:spacing w:before="0" w:beforeAutospacing="0" w:after="0" w:afterAutospacing="0"/>
        <w:ind w:left="115"/>
        <w:jc w:val="both"/>
        <w:rPr>
          <w:rFonts w:ascii="Arial" w:hAnsi="Arial" w:cs="Arial"/>
          <w:b/>
          <w:sz w:val="12"/>
          <w:szCs w:val="12"/>
          <w:u w:val="single"/>
        </w:rPr>
      </w:pPr>
    </w:p>
    <w:p w:rsidR="006A257E" w:rsidRPr="00F2384D" w:rsidRDefault="006A257E" w:rsidP="006A257E">
      <w:pPr>
        <w:pStyle w:val="NormalWeb"/>
        <w:spacing w:before="0" w:beforeAutospacing="0" w:after="0" w:afterAutospacing="0"/>
        <w:ind w:left="115"/>
        <w:jc w:val="both"/>
        <w:rPr>
          <w:rFonts w:ascii="Arial" w:hAnsi="Arial" w:cs="Arial"/>
          <w:sz w:val="18"/>
          <w:szCs w:val="18"/>
          <w:u w:val="single"/>
        </w:rPr>
      </w:pPr>
      <w:r>
        <w:rPr>
          <w:rFonts w:ascii="Arial" w:hAnsi="Arial" w:cs="Arial"/>
          <w:b/>
          <w:sz w:val="18"/>
          <w:szCs w:val="18"/>
          <w:u w:val="single"/>
        </w:rPr>
        <w:t>Fisher</w:t>
      </w:r>
      <w:r w:rsidRPr="00F2384D">
        <w:rPr>
          <w:rFonts w:ascii="Arial" w:hAnsi="Arial" w:cs="Arial"/>
          <w:b/>
          <w:sz w:val="18"/>
          <w:szCs w:val="18"/>
          <w:u w:val="single"/>
        </w:rPr>
        <w:t xml:space="preserve"> </w:t>
      </w:r>
      <w:r>
        <w:rPr>
          <w:rFonts w:ascii="Arial" w:hAnsi="Arial" w:cs="Arial"/>
          <w:b/>
          <w:sz w:val="18"/>
          <w:szCs w:val="18"/>
          <w:u w:val="single"/>
        </w:rPr>
        <w:t xml:space="preserve">Gold Project </w:t>
      </w:r>
      <w:r w:rsidRPr="00F2384D">
        <w:rPr>
          <w:rFonts w:ascii="Arial" w:hAnsi="Arial" w:cs="Arial"/>
          <w:sz w:val="18"/>
          <w:szCs w:val="18"/>
          <w:u w:val="single"/>
        </w:rPr>
        <w:t>(U, Au)</w:t>
      </w:r>
      <w:r>
        <w:rPr>
          <w:rFonts w:ascii="Arial" w:hAnsi="Arial" w:cs="Arial"/>
          <w:sz w:val="18"/>
          <w:szCs w:val="18"/>
          <w:u w:val="single"/>
        </w:rPr>
        <w:t xml:space="preserve"> - continued</w:t>
      </w:r>
    </w:p>
    <w:p w:rsidR="006A257E" w:rsidRDefault="006A257E" w:rsidP="006A257E">
      <w:pPr>
        <w:widowControl w:val="0"/>
        <w:ind w:left="113"/>
        <w:jc w:val="both"/>
        <w:rPr>
          <w:rFonts w:cs="Arial"/>
          <w:sz w:val="18"/>
          <w:szCs w:val="18"/>
        </w:rPr>
      </w:pPr>
      <w:proofErr w:type="gramStart"/>
      <w:r w:rsidRPr="00B612EE">
        <w:rPr>
          <w:rFonts w:cs="Arial"/>
          <w:sz w:val="18"/>
          <w:szCs w:val="18"/>
        </w:rPr>
        <w:t>sampling</w:t>
      </w:r>
      <w:proofErr w:type="gramEnd"/>
      <w:r w:rsidRPr="00B612EE">
        <w:rPr>
          <w:rFonts w:cs="Arial"/>
          <w:sz w:val="18"/>
          <w:szCs w:val="18"/>
        </w:rPr>
        <w:t>.  A high-resolution airborne geophysical program was completed over specific areas of the property earlier in the season to aid in structural interpretation. Areas of the property which were not accessible during 2017 due to extensive forest fire activity are now being explored and are found to display greatly enhanced outcrop exposure due to the intensity of the fires. </w:t>
      </w:r>
      <w:r w:rsidRPr="00B612EE">
        <w:rPr>
          <w:rFonts w:cs="Arial"/>
          <w:sz w:val="18"/>
          <w:szCs w:val="18"/>
        </w:rPr>
        <w:br/>
      </w:r>
    </w:p>
    <w:p w:rsidR="006A257E" w:rsidRPr="0093387C" w:rsidRDefault="006A257E" w:rsidP="006A257E">
      <w:pPr>
        <w:widowControl w:val="0"/>
        <w:ind w:left="113"/>
        <w:jc w:val="both"/>
        <w:rPr>
          <w:rFonts w:cs="Arial"/>
          <w:sz w:val="18"/>
          <w:szCs w:val="18"/>
        </w:rPr>
      </w:pPr>
      <w:r>
        <w:rPr>
          <w:rFonts w:cs="Arial"/>
          <w:sz w:val="18"/>
          <w:szCs w:val="18"/>
        </w:rPr>
        <w:t>An all-season road has been completed which links the Fisher property to the Seabee Gold Operation and planning is underway for construction of a year-round camp in the central region of the property.</w:t>
      </w:r>
    </w:p>
    <w:p w:rsidR="006A257E" w:rsidRDefault="006A257E" w:rsidP="006A257E">
      <w:pPr>
        <w:widowControl w:val="0"/>
        <w:ind w:left="113"/>
        <w:jc w:val="both"/>
        <w:rPr>
          <w:rFonts w:cs="Arial"/>
          <w:sz w:val="18"/>
          <w:szCs w:val="18"/>
        </w:rPr>
      </w:pPr>
    </w:p>
    <w:p w:rsidR="006A257E" w:rsidRDefault="006A257E" w:rsidP="006A257E">
      <w:pPr>
        <w:widowControl w:val="0"/>
        <w:ind w:left="113"/>
        <w:jc w:val="both"/>
        <w:rPr>
          <w:rFonts w:cs="Arial"/>
          <w:sz w:val="18"/>
          <w:szCs w:val="18"/>
        </w:rPr>
      </w:pPr>
      <w:r w:rsidRPr="00B612EE">
        <w:rPr>
          <w:rFonts w:cs="Arial"/>
          <w:sz w:val="18"/>
          <w:szCs w:val="18"/>
        </w:rPr>
        <w:t>SSR Mining recently stated that “</w:t>
      </w:r>
      <w:r w:rsidRPr="00B612EE">
        <w:rPr>
          <w:rStyle w:val="Emphasis"/>
          <w:rFonts w:cs="Arial"/>
          <w:sz w:val="18"/>
          <w:szCs w:val="18"/>
          <w:bdr w:val="none" w:sz="0" w:space="0" w:color="auto" w:frame="1"/>
        </w:rPr>
        <w:t xml:space="preserve">Surface exploration drilling in the second quarter of 2018 outside the </w:t>
      </w:r>
      <w:proofErr w:type="spellStart"/>
      <w:r w:rsidRPr="00B612EE">
        <w:rPr>
          <w:rStyle w:val="Emphasis"/>
          <w:rFonts w:cs="Arial"/>
          <w:sz w:val="18"/>
          <w:szCs w:val="18"/>
          <w:bdr w:val="none" w:sz="0" w:space="0" w:color="auto" w:frame="1"/>
        </w:rPr>
        <w:t>Santoy</w:t>
      </w:r>
      <w:proofErr w:type="spellEnd"/>
      <w:r w:rsidRPr="00B612EE">
        <w:rPr>
          <w:rStyle w:val="Emphasis"/>
          <w:rFonts w:cs="Arial"/>
          <w:sz w:val="18"/>
          <w:szCs w:val="18"/>
          <w:bdr w:val="none" w:sz="0" w:space="0" w:color="auto" w:frame="1"/>
        </w:rPr>
        <w:t xml:space="preserve"> mine area focused on three areas including CRJ, </w:t>
      </w:r>
      <w:proofErr w:type="spellStart"/>
      <w:r w:rsidRPr="00B612EE">
        <w:rPr>
          <w:rStyle w:val="Emphasis"/>
          <w:rFonts w:cs="Arial"/>
          <w:sz w:val="18"/>
          <w:szCs w:val="18"/>
          <w:bdr w:val="none" w:sz="0" w:space="0" w:color="auto" w:frame="1"/>
        </w:rPr>
        <w:t>Santoy</w:t>
      </w:r>
      <w:proofErr w:type="spellEnd"/>
      <w:r w:rsidRPr="00B612EE">
        <w:rPr>
          <w:rStyle w:val="Emphasis"/>
          <w:rFonts w:cs="Arial"/>
          <w:sz w:val="18"/>
          <w:szCs w:val="18"/>
          <w:bdr w:val="none" w:sz="0" w:space="0" w:color="auto" w:frame="1"/>
        </w:rPr>
        <w:t xml:space="preserve"> 3 and Fisher with 12,052 meters being completed in 23 </w:t>
      </w:r>
      <w:proofErr w:type="spellStart"/>
      <w:r w:rsidRPr="00B612EE">
        <w:rPr>
          <w:rStyle w:val="Emphasis"/>
          <w:rFonts w:cs="Arial"/>
          <w:sz w:val="18"/>
          <w:szCs w:val="18"/>
          <w:bdr w:val="none" w:sz="0" w:space="0" w:color="auto" w:frame="1"/>
        </w:rPr>
        <w:t>drillholes</w:t>
      </w:r>
      <w:proofErr w:type="spellEnd"/>
      <w:r w:rsidRPr="00B612EE">
        <w:rPr>
          <w:rStyle w:val="Emphasis"/>
          <w:rFonts w:cs="Arial"/>
          <w:sz w:val="18"/>
          <w:szCs w:val="18"/>
          <w:bdr w:val="none" w:sz="0" w:space="0" w:color="auto" w:frame="1"/>
        </w:rPr>
        <w:t xml:space="preserve">. Current activities are focused on testing first pass targets on the Fisher property identified along the length of the </w:t>
      </w:r>
      <w:proofErr w:type="spellStart"/>
      <w:r w:rsidRPr="00B612EE">
        <w:rPr>
          <w:rStyle w:val="Emphasis"/>
          <w:rFonts w:cs="Arial"/>
          <w:sz w:val="18"/>
          <w:szCs w:val="18"/>
          <w:bdr w:val="none" w:sz="0" w:space="0" w:color="auto" w:frame="1"/>
        </w:rPr>
        <w:t>Santoy</w:t>
      </w:r>
      <w:proofErr w:type="spellEnd"/>
      <w:r w:rsidRPr="00B612EE">
        <w:rPr>
          <w:rStyle w:val="Emphasis"/>
          <w:rFonts w:cs="Arial"/>
          <w:sz w:val="18"/>
          <w:szCs w:val="18"/>
          <w:bdr w:val="none" w:sz="0" w:space="0" w:color="auto" w:frame="1"/>
        </w:rPr>
        <w:t xml:space="preserve"> shear zone extension.  Holes completed during the quarter partially tested the </w:t>
      </w:r>
      <w:proofErr w:type="spellStart"/>
      <w:r w:rsidRPr="00B612EE">
        <w:rPr>
          <w:rStyle w:val="Emphasis"/>
          <w:rFonts w:cs="Arial"/>
          <w:sz w:val="18"/>
          <w:szCs w:val="18"/>
          <w:bdr w:val="none" w:sz="0" w:space="0" w:color="auto" w:frame="1"/>
        </w:rPr>
        <w:t>Santoy</w:t>
      </w:r>
      <w:proofErr w:type="spellEnd"/>
      <w:r w:rsidRPr="00B612EE">
        <w:rPr>
          <w:rStyle w:val="Emphasis"/>
          <w:rFonts w:cs="Arial"/>
          <w:sz w:val="18"/>
          <w:szCs w:val="18"/>
          <w:bdr w:val="none" w:sz="0" w:space="0" w:color="auto" w:frame="1"/>
        </w:rPr>
        <w:t xml:space="preserve"> shear zone extension and have intersected </w:t>
      </w:r>
      <w:proofErr w:type="spellStart"/>
      <w:r w:rsidRPr="00B612EE">
        <w:rPr>
          <w:rStyle w:val="Emphasis"/>
          <w:rFonts w:cs="Arial"/>
          <w:sz w:val="18"/>
          <w:szCs w:val="18"/>
          <w:bdr w:val="none" w:sz="0" w:space="0" w:color="auto" w:frame="1"/>
        </w:rPr>
        <w:t>favourable</w:t>
      </w:r>
      <w:proofErr w:type="spellEnd"/>
      <w:r w:rsidRPr="00B612EE">
        <w:rPr>
          <w:rStyle w:val="Emphasis"/>
          <w:rFonts w:cs="Arial"/>
          <w:sz w:val="18"/>
          <w:szCs w:val="18"/>
          <w:bdr w:val="none" w:sz="0" w:space="0" w:color="auto" w:frame="1"/>
        </w:rPr>
        <w:t xml:space="preserve"> </w:t>
      </w:r>
      <w:proofErr w:type="spellStart"/>
      <w:r w:rsidRPr="00B612EE">
        <w:rPr>
          <w:rStyle w:val="Emphasis"/>
          <w:rFonts w:cs="Arial"/>
          <w:sz w:val="18"/>
          <w:szCs w:val="18"/>
          <w:bdr w:val="none" w:sz="0" w:space="0" w:color="auto" w:frame="1"/>
        </w:rPr>
        <w:t>lithologies</w:t>
      </w:r>
      <w:proofErr w:type="spellEnd"/>
      <w:r w:rsidRPr="00B612EE">
        <w:rPr>
          <w:rStyle w:val="Emphasis"/>
          <w:rFonts w:cs="Arial"/>
          <w:sz w:val="18"/>
          <w:szCs w:val="18"/>
          <w:bdr w:val="none" w:sz="0" w:space="0" w:color="auto" w:frame="1"/>
        </w:rPr>
        <w:t>, alteration and mineralization. Analytical results are pending and we continue to be encouraged by the potential of this early stage property</w:t>
      </w:r>
      <w:r w:rsidRPr="00B612EE">
        <w:rPr>
          <w:rFonts w:cs="Arial"/>
          <w:sz w:val="18"/>
          <w:szCs w:val="18"/>
        </w:rPr>
        <w:t>” (SSRM NR August 9th, 2018).</w:t>
      </w:r>
    </w:p>
    <w:p w:rsidR="006A257E" w:rsidRDefault="006A257E" w:rsidP="006A257E">
      <w:pPr>
        <w:jc w:val="both"/>
        <w:rPr>
          <w:rFonts w:cs="Arial"/>
          <w:sz w:val="18"/>
          <w:szCs w:val="18"/>
        </w:rPr>
      </w:pPr>
    </w:p>
    <w:p w:rsidR="006A257E" w:rsidRDefault="006A257E" w:rsidP="006A257E">
      <w:pPr>
        <w:jc w:val="both"/>
        <w:rPr>
          <w:rFonts w:cs="Arial"/>
          <w:sz w:val="18"/>
          <w:szCs w:val="18"/>
        </w:rPr>
      </w:pPr>
    </w:p>
    <w:p w:rsidR="006A257E" w:rsidRPr="00EF6891" w:rsidRDefault="006A257E" w:rsidP="006A257E">
      <w:pPr>
        <w:jc w:val="both"/>
        <w:rPr>
          <w:rFonts w:cs="Arial"/>
          <w:sz w:val="18"/>
          <w:szCs w:val="18"/>
          <w:u w:val="single"/>
        </w:rPr>
      </w:pPr>
      <w:r w:rsidRPr="00EF6891">
        <w:rPr>
          <w:rFonts w:cs="Arial"/>
          <w:sz w:val="18"/>
          <w:szCs w:val="18"/>
          <w:u w:val="single"/>
        </w:rPr>
        <w:t xml:space="preserve">Following are synopses of current </w:t>
      </w:r>
      <w:r>
        <w:rPr>
          <w:rFonts w:cs="Arial"/>
          <w:sz w:val="18"/>
          <w:szCs w:val="18"/>
          <w:u w:val="single"/>
        </w:rPr>
        <w:t>Taiga</w:t>
      </w:r>
      <w:r w:rsidRPr="00EF6891">
        <w:rPr>
          <w:rFonts w:cs="Arial"/>
          <w:sz w:val="18"/>
          <w:szCs w:val="18"/>
          <w:u w:val="single"/>
        </w:rPr>
        <w:t xml:space="preserve"> properties with activity but not under option agreements:</w:t>
      </w:r>
    </w:p>
    <w:p w:rsidR="006A257E" w:rsidRPr="00892291" w:rsidRDefault="006A257E" w:rsidP="006A257E">
      <w:pPr>
        <w:autoSpaceDE w:val="0"/>
        <w:autoSpaceDN w:val="0"/>
        <w:adjustRightInd w:val="0"/>
        <w:rPr>
          <w:rFonts w:cs="Arial"/>
          <w:b/>
          <w:sz w:val="12"/>
          <w:szCs w:val="12"/>
        </w:rPr>
      </w:pPr>
    </w:p>
    <w:p w:rsidR="006A257E" w:rsidRDefault="006A257E" w:rsidP="006A257E">
      <w:pPr>
        <w:autoSpaceDE w:val="0"/>
        <w:autoSpaceDN w:val="0"/>
        <w:adjustRightInd w:val="0"/>
        <w:rPr>
          <w:rFonts w:cs="Arial"/>
          <w:b/>
          <w:sz w:val="18"/>
          <w:szCs w:val="18"/>
        </w:rPr>
      </w:pPr>
      <w:r w:rsidRPr="0003382D">
        <w:rPr>
          <w:rFonts w:cs="Arial"/>
          <w:b/>
          <w:sz w:val="18"/>
          <w:szCs w:val="18"/>
        </w:rPr>
        <w:t>Saskatchewan</w:t>
      </w:r>
    </w:p>
    <w:p w:rsidR="006A257E" w:rsidRPr="00F2384D" w:rsidRDefault="006A257E" w:rsidP="006A257E">
      <w:pPr>
        <w:pStyle w:val="NormalWeb"/>
        <w:spacing w:before="0" w:beforeAutospacing="0" w:after="0" w:afterAutospacing="0"/>
        <w:ind w:left="115"/>
        <w:jc w:val="both"/>
        <w:rPr>
          <w:rFonts w:ascii="Arial" w:hAnsi="Arial" w:cs="Arial"/>
          <w:sz w:val="18"/>
          <w:szCs w:val="18"/>
          <w:u w:val="single"/>
        </w:rPr>
      </w:pPr>
      <w:r w:rsidRPr="00F2384D">
        <w:rPr>
          <w:rFonts w:ascii="Arial" w:hAnsi="Arial" w:cs="Arial"/>
          <w:b/>
          <w:sz w:val="18"/>
          <w:szCs w:val="18"/>
          <w:u w:val="single"/>
        </w:rPr>
        <w:t xml:space="preserve">Orchid </w:t>
      </w:r>
      <w:r w:rsidRPr="00F2384D">
        <w:rPr>
          <w:rFonts w:ascii="Arial" w:hAnsi="Arial" w:cs="Arial"/>
          <w:sz w:val="18"/>
          <w:szCs w:val="18"/>
          <w:u w:val="single"/>
        </w:rPr>
        <w:t>(U, Au)</w:t>
      </w:r>
    </w:p>
    <w:p w:rsidR="006A257E" w:rsidRPr="00FD1A12" w:rsidRDefault="006A257E" w:rsidP="006A257E">
      <w:pPr>
        <w:pStyle w:val="NormalWeb"/>
        <w:spacing w:before="0" w:beforeAutospacing="0" w:after="0" w:afterAutospacing="0"/>
        <w:ind w:left="115"/>
        <w:jc w:val="both"/>
        <w:rPr>
          <w:rFonts w:ascii="Arial" w:hAnsi="Arial" w:cs="Arial"/>
          <w:sz w:val="18"/>
          <w:szCs w:val="18"/>
          <w:shd w:val="clear" w:color="auto" w:fill="FFFFFF"/>
        </w:rPr>
      </w:pPr>
      <w:r w:rsidRPr="00FD1A12">
        <w:rPr>
          <w:rFonts w:ascii="Arial" w:hAnsi="Arial" w:cs="Arial"/>
          <w:sz w:val="18"/>
          <w:szCs w:val="18"/>
        </w:rPr>
        <w:t xml:space="preserve">The Orchid project was staked by </w:t>
      </w:r>
      <w:r>
        <w:rPr>
          <w:rFonts w:ascii="Arial" w:hAnsi="Arial" w:cs="Arial"/>
          <w:sz w:val="18"/>
          <w:szCs w:val="18"/>
        </w:rPr>
        <w:t>Taiga</w:t>
      </w:r>
      <w:r w:rsidRPr="00FD1A12">
        <w:rPr>
          <w:rFonts w:ascii="Arial" w:hAnsi="Arial" w:cs="Arial"/>
          <w:sz w:val="18"/>
          <w:szCs w:val="18"/>
        </w:rPr>
        <w:t xml:space="preserve"> in 2014 and was optioned to North Arrow Minerals who explored the property for its diamond potential until relinquishing the option in 2016.  The property has historically been explored for its gold potential since the mid-1980s and contains numerous high-grade mineral occurrences grading from trace values to highs of 41.3 g/t (Orchid Au Zone), 19.2 g/t Au (Tim’s Showing), 12.7 g/t (Eureka), and 8.5 g/t (Terra Zone) as well as significant Ag (144.5 g/t), Cu (3.9%), and Mo (2600 ppm) - </w:t>
      </w:r>
      <w:r w:rsidRPr="00FD1A12">
        <w:rPr>
          <w:rStyle w:val="Emphasis"/>
          <w:rFonts w:ascii="Arial" w:hAnsi="Arial" w:cs="Arial"/>
          <w:sz w:val="18"/>
          <w:szCs w:val="18"/>
          <w:bdr w:val="none" w:sz="0" w:space="0" w:color="auto" w:frame="1"/>
        </w:rPr>
        <w:t>all values returned from grab samples.</w:t>
      </w:r>
    </w:p>
    <w:p w:rsidR="006A257E" w:rsidRDefault="006A257E" w:rsidP="006A257E">
      <w:pPr>
        <w:pStyle w:val="NormalWeb"/>
        <w:spacing w:before="0" w:beforeAutospacing="0" w:after="0" w:afterAutospacing="0"/>
        <w:ind w:left="115"/>
        <w:jc w:val="both"/>
        <w:rPr>
          <w:rFonts w:ascii="Arial" w:hAnsi="Arial" w:cs="Arial"/>
          <w:sz w:val="18"/>
          <w:szCs w:val="18"/>
          <w:shd w:val="clear" w:color="auto" w:fill="FFFFFF"/>
        </w:rPr>
      </w:pPr>
    </w:p>
    <w:p w:rsidR="006A257E" w:rsidRPr="00E36C88" w:rsidRDefault="006A257E" w:rsidP="006A257E">
      <w:pPr>
        <w:pStyle w:val="NormalWeb"/>
        <w:spacing w:before="0" w:beforeAutospacing="0" w:after="0" w:afterAutospacing="0"/>
        <w:ind w:left="115"/>
        <w:jc w:val="both"/>
        <w:rPr>
          <w:rStyle w:val="apple-converted-space"/>
          <w:rFonts w:ascii="Arial" w:hAnsi="Arial" w:cs="Arial"/>
          <w:sz w:val="18"/>
          <w:szCs w:val="18"/>
          <w:shd w:val="clear" w:color="auto" w:fill="FFFFFF"/>
        </w:rPr>
      </w:pPr>
      <w:r>
        <w:rPr>
          <w:rFonts w:ascii="Arial" w:hAnsi="Arial" w:cs="Arial"/>
          <w:sz w:val="18"/>
          <w:szCs w:val="18"/>
          <w:shd w:val="clear" w:color="auto" w:fill="FFFFFF"/>
        </w:rPr>
        <w:t>T</w:t>
      </w:r>
      <w:r w:rsidRPr="00E36C88">
        <w:rPr>
          <w:rFonts w:ascii="Arial" w:hAnsi="Arial" w:cs="Arial"/>
          <w:sz w:val="18"/>
          <w:szCs w:val="18"/>
          <w:shd w:val="clear" w:color="auto" w:fill="FFFFFF"/>
        </w:rPr>
        <w:t xml:space="preserve">he </w:t>
      </w:r>
      <w:r>
        <w:rPr>
          <w:rFonts w:ascii="Arial" w:hAnsi="Arial" w:cs="Arial"/>
          <w:sz w:val="18"/>
          <w:szCs w:val="18"/>
          <w:shd w:val="clear" w:color="auto" w:fill="FFFFFF"/>
        </w:rPr>
        <w:t xml:space="preserve">property is </w:t>
      </w:r>
      <w:r w:rsidRPr="00E36C88">
        <w:rPr>
          <w:rFonts w:ascii="Arial" w:hAnsi="Arial" w:cs="Arial"/>
          <w:sz w:val="18"/>
          <w:szCs w:val="18"/>
          <w:shd w:val="clear" w:color="auto" w:fill="FFFFFF"/>
        </w:rPr>
        <w:t xml:space="preserve">located in east-central Saskatchewan, approximately 140 km east of </w:t>
      </w:r>
      <w:proofErr w:type="spellStart"/>
      <w:r w:rsidRPr="00E36C88">
        <w:rPr>
          <w:rFonts w:ascii="Arial" w:hAnsi="Arial" w:cs="Arial"/>
          <w:sz w:val="18"/>
          <w:szCs w:val="18"/>
          <w:shd w:val="clear" w:color="auto" w:fill="FFFFFF"/>
        </w:rPr>
        <w:t>LaRonge</w:t>
      </w:r>
      <w:proofErr w:type="spellEnd"/>
      <w:r w:rsidRPr="00E36C88">
        <w:rPr>
          <w:rFonts w:ascii="Arial" w:hAnsi="Arial" w:cs="Arial"/>
          <w:sz w:val="18"/>
          <w:szCs w:val="18"/>
          <w:shd w:val="clear" w:color="auto" w:fill="FFFFFF"/>
        </w:rPr>
        <w:t xml:space="preserve"> and 15 kilometers east of North</w:t>
      </w:r>
      <w:r w:rsidRPr="00E36C88">
        <w:rPr>
          <w:rStyle w:val="apple-converted-space"/>
          <w:rFonts w:ascii="Arial" w:hAnsi="Arial" w:cs="Arial"/>
          <w:sz w:val="18"/>
          <w:szCs w:val="18"/>
          <w:shd w:val="clear" w:color="auto" w:fill="FFFFFF"/>
        </w:rPr>
        <w:t xml:space="preserve"> Arrow’s </w:t>
      </w:r>
      <w:proofErr w:type="spellStart"/>
      <w:r w:rsidRPr="00E36C88">
        <w:rPr>
          <w:rStyle w:val="apple-converted-space"/>
          <w:rFonts w:ascii="Arial" w:hAnsi="Arial" w:cs="Arial"/>
          <w:sz w:val="18"/>
          <w:szCs w:val="18"/>
          <w:shd w:val="clear" w:color="auto" w:fill="FFFFFF"/>
        </w:rPr>
        <w:t>Pikoo</w:t>
      </w:r>
      <w:proofErr w:type="spellEnd"/>
      <w:r w:rsidRPr="00E36C88">
        <w:rPr>
          <w:rStyle w:val="apple-converted-space"/>
          <w:rFonts w:ascii="Arial" w:hAnsi="Arial" w:cs="Arial"/>
          <w:sz w:val="18"/>
          <w:szCs w:val="18"/>
          <w:shd w:val="clear" w:color="auto" w:fill="FFFFFF"/>
        </w:rPr>
        <w:t xml:space="preserve"> diamond discovery.</w:t>
      </w:r>
      <w:r>
        <w:rPr>
          <w:rStyle w:val="apple-converted-space"/>
          <w:rFonts w:ascii="Arial" w:hAnsi="Arial" w:cs="Arial"/>
          <w:sz w:val="18"/>
          <w:szCs w:val="18"/>
          <w:shd w:val="clear" w:color="auto" w:fill="FFFFFF"/>
        </w:rPr>
        <w:t xml:space="preserve"> </w:t>
      </w:r>
      <w:r w:rsidRPr="00FD1A12">
        <w:rPr>
          <w:rFonts w:ascii="Arial" w:hAnsi="Arial" w:cs="Arial"/>
          <w:sz w:val="18"/>
          <w:szCs w:val="18"/>
        </w:rPr>
        <w:t>The 2</w:t>
      </w:r>
      <w:r>
        <w:rPr>
          <w:rFonts w:ascii="Arial" w:hAnsi="Arial" w:cs="Arial"/>
          <w:sz w:val="18"/>
          <w:szCs w:val="18"/>
        </w:rPr>
        <w:t>,</w:t>
      </w:r>
      <w:r w:rsidRPr="00FD1A12">
        <w:rPr>
          <w:rFonts w:ascii="Arial" w:hAnsi="Arial" w:cs="Arial"/>
          <w:sz w:val="18"/>
          <w:szCs w:val="18"/>
        </w:rPr>
        <w:t>250 ha property is situated along the same structural corridor and within rocks similar to those currently being mined at Seabee. The property is considered to hold significant potential to host gold mineralization.</w:t>
      </w:r>
    </w:p>
    <w:p w:rsidR="006A257E" w:rsidRDefault="006A257E" w:rsidP="006A257E">
      <w:pPr>
        <w:shd w:val="clear" w:color="auto" w:fill="FFFFFF"/>
        <w:ind w:left="115"/>
        <w:jc w:val="both"/>
        <w:rPr>
          <w:rFonts w:cs="Arial"/>
          <w:sz w:val="18"/>
          <w:szCs w:val="18"/>
        </w:rPr>
      </w:pPr>
    </w:p>
    <w:p w:rsidR="006A257E" w:rsidRDefault="006A257E" w:rsidP="006A257E">
      <w:pPr>
        <w:shd w:val="clear" w:color="auto" w:fill="FFFFFF"/>
        <w:ind w:left="115"/>
        <w:jc w:val="both"/>
        <w:rPr>
          <w:rFonts w:cs="Arial"/>
          <w:sz w:val="18"/>
          <w:szCs w:val="18"/>
        </w:rPr>
      </w:pPr>
      <w:r w:rsidRPr="00E36C88">
        <w:rPr>
          <w:rFonts w:cs="Arial"/>
          <w:sz w:val="18"/>
          <w:szCs w:val="18"/>
        </w:rPr>
        <w:t>The Orchid</w:t>
      </w:r>
      <w:r>
        <w:rPr>
          <w:rFonts w:cs="Arial"/>
          <w:sz w:val="18"/>
          <w:szCs w:val="18"/>
        </w:rPr>
        <w:t xml:space="preserve"> property</w:t>
      </w:r>
      <w:r w:rsidRPr="00E36C88">
        <w:rPr>
          <w:rFonts w:cs="Arial"/>
          <w:sz w:val="18"/>
          <w:szCs w:val="18"/>
        </w:rPr>
        <w:t xml:space="preserve"> has seen extensive historical work including geological mapping, prospecting, soil sampling, trenching and ground-based geophysics with the last significant work programs reported in 1995. </w:t>
      </w:r>
      <w:r>
        <w:rPr>
          <w:rFonts w:cs="Arial"/>
          <w:sz w:val="18"/>
          <w:szCs w:val="18"/>
        </w:rPr>
        <w:t>A</w:t>
      </w:r>
      <w:r w:rsidRPr="00E36C88">
        <w:rPr>
          <w:rFonts w:cs="Arial"/>
          <w:sz w:val="18"/>
          <w:szCs w:val="18"/>
        </w:rPr>
        <w:t xml:space="preserve"> single drill hole</w:t>
      </w:r>
      <w:r>
        <w:rPr>
          <w:rFonts w:cs="Arial"/>
          <w:sz w:val="18"/>
          <w:szCs w:val="18"/>
        </w:rPr>
        <w:t xml:space="preserve"> </w:t>
      </w:r>
      <w:r w:rsidRPr="00E36C88">
        <w:rPr>
          <w:rFonts w:cs="Arial"/>
          <w:sz w:val="18"/>
          <w:szCs w:val="18"/>
        </w:rPr>
        <w:t>which was</w:t>
      </w:r>
      <w:r>
        <w:rPr>
          <w:rFonts w:cs="Arial"/>
          <w:sz w:val="18"/>
          <w:szCs w:val="18"/>
        </w:rPr>
        <w:t xml:space="preserve"> </w:t>
      </w:r>
      <w:r w:rsidRPr="00E36C88">
        <w:rPr>
          <w:rFonts w:cs="Arial"/>
          <w:sz w:val="18"/>
          <w:szCs w:val="18"/>
        </w:rPr>
        <w:t>completed in the Tim’s Au Zone area returned 1.3 g/t Au over two separate 0.5 meter intervals. Results from historical work on the Orchid</w:t>
      </w:r>
      <w:r>
        <w:rPr>
          <w:rFonts w:cs="Arial"/>
          <w:sz w:val="18"/>
          <w:szCs w:val="18"/>
        </w:rPr>
        <w:t xml:space="preserve"> property’s</w:t>
      </w:r>
      <w:r w:rsidRPr="00E36C88">
        <w:rPr>
          <w:rFonts w:cs="Arial"/>
          <w:sz w:val="18"/>
          <w:szCs w:val="18"/>
        </w:rPr>
        <w:t xml:space="preserve"> mineral occurrences include:</w:t>
      </w:r>
    </w:p>
    <w:p w:rsidR="006A257E" w:rsidRPr="00B24B8C" w:rsidRDefault="006A257E" w:rsidP="006A257E">
      <w:pPr>
        <w:shd w:val="clear" w:color="auto" w:fill="FFFFFF"/>
        <w:ind w:left="432"/>
        <w:rPr>
          <w:rFonts w:cs="Arial"/>
          <w:sz w:val="10"/>
          <w:szCs w:val="10"/>
        </w:rPr>
      </w:pPr>
    </w:p>
    <w:p w:rsidR="006A257E" w:rsidRPr="00E36C88" w:rsidRDefault="006A257E" w:rsidP="006A257E">
      <w:pPr>
        <w:shd w:val="clear" w:color="auto" w:fill="FFFFFF"/>
        <w:ind w:left="432"/>
        <w:rPr>
          <w:rFonts w:cs="Arial"/>
          <w:sz w:val="18"/>
          <w:szCs w:val="18"/>
        </w:rPr>
      </w:pPr>
      <w:r w:rsidRPr="00E36C88">
        <w:rPr>
          <w:rFonts w:cs="Arial"/>
          <w:sz w:val="18"/>
          <w:szCs w:val="18"/>
        </w:rPr>
        <w:t>SMDI 2646 Orchid Zone</w:t>
      </w:r>
    </w:p>
    <w:tbl>
      <w:tblPr>
        <w:tblW w:w="6012" w:type="dxa"/>
        <w:tblCellSpacing w:w="15" w:type="dxa"/>
        <w:tblInd w:w="4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516"/>
        <w:gridCol w:w="484"/>
        <w:gridCol w:w="3864"/>
      </w:tblGrid>
      <w:tr w:rsidR="006A257E" w:rsidRPr="006A16C0" w:rsidTr="00186ED6">
        <w:trPr>
          <w:tblCellSpacing w:w="15" w:type="dxa"/>
        </w:trPr>
        <w:tc>
          <w:tcPr>
            <w:tcW w:w="1103" w:type="dxa"/>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SAMPLE #</w:t>
            </w:r>
          </w:p>
        </w:tc>
        <w:tc>
          <w:tcPr>
            <w:tcW w:w="97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Au in g/t</w:t>
            </w:r>
          </w:p>
        </w:tc>
        <w:tc>
          <w:tcPr>
            <w:tcW w:w="3819" w:type="dxa"/>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Description</w:t>
            </w:r>
          </w:p>
        </w:tc>
      </w:tr>
      <w:tr w:rsidR="006A257E" w:rsidRPr="006A16C0" w:rsidTr="00186ED6">
        <w:trPr>
          <w:tblCellSpacing w:w="15" w:type="dxa"/>
        </w:trPr>
        <w:tc>
          <w:tcPr>
            <w:tcW w:w="1103"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34075</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10.03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Orchid grab sample pyritic quartz veins with tourmaline</w:t>
            </w:r>
          </w:p>
        </w:tc>
      </w:tr>
      <w:tr w:rsidR="006A257E" w:rsidRPr="006A16C0" w:rsidTr="00186ED6">
        <w:trPr>
          <w:tblCellSpacing w:w="15" w:type="dxa"/>
        </w:trPr>
        <w:tc>
          <w:tcPr>
            <w:tcW w:w="1103"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34080</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41.36</w:t>
            </w:r>
          </w:p>
        </w:tc>
        <w:tc>
          <w:tcPr>
            <w:tcW w:w="43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Orchid grab sample pyritic quartz veins with tourmaline</w:t>
            </w:r>
          </w:p>
        </w:tc>
      </w:tr>
      <w:tr w:rsidR="006A257E" w:rsidRPr="006A16C0" w:rsidTr="00186ED6">
        <w:trPr>
          <w:tblCellSpacing w:w="15" w:type="dxa"/>
        </w:trPr>
        <w:tc>
          <w:tcPr>
            <w:tcW w:w="1103"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34914</w:t>
            </w:r>
          </w:p>
        </w:tc>
        <w:tc>
          <w:tcPr>
            <w:tcW w:w="486"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36.0</w:t>
            </w:r>
          </w:p>
        </w:tc>
        <w:tc>
          <w:tcPr>
            <w:tcW w:w="43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Grab sample 230 m northwest of Orchid</w:t>
            </w:r>
          </w:p>
        </w:tc>
      </w:tr>
    </w:tbl>
    <w:p w:rsidR="006A257E" w:rsidRPr="001105A8" w:rsidRDefault="006A257E" w:rsidP="006A257E">
      <w:pPr>
        <w:shd w:val="clear" w:color="auto" w:fill="FFFFFF"/>
        <w:ind w:left="432"/>
        <w:rPr>
          <w:rFonts w:cs="Arial"/>
          <w:sz w:val="12"/>
          <w:szCs w:val="12"/>
        </w:rPr>
      </w:pPr>
    </w:p>
    <w:p w:rsidR="006A257E" w:rsidRPr="00E36C88" w:rsidRDefault="006A257E" w:rsidP="006A257E">
      <w:pPr>
        <w:shd w:val="clear" w:color="auto" w:fill="FFFFFF"/>
        <w:ind w:left="432"/>
        <w:rPr>
          <w:rFonts w:cs="Arial"/>
          <w:sz w:val="18"/>
          <w:szCs w:val="18"/>
        </w:rPr>
      </w:pPr>
      <w:r w:rsidRPr="00E36C88">
        <w:rPr>
          <w:rFonts w:cs="Arial"/>
          <w:sz w:val="18"/>
          <w:szCs w:val="18"/>
        </w:rPr>
        <w:t xml:space="preserve">SMDI 2645 Tim’s Au / South </w:t>
      </w:r>
      <w:proofErr w:type="spellStart"/>
      <w:r w:rsidRPr="00E36C88">
        <w:rPr>
          <w:rFonts w:cs="Arial"/>
          <w:sz w:val="18"/>
          <w:szCs w:val="18"/>
        </w:rPr>
        <w:t>Lariviere</w:t>
      </w:r>
      <w:proofErr w:type="spellEnd"/>
    </w:p>
    <w:tbl>
      <w:tblPr>
        <w:tblW w:w="6036" w:type="dxa"/>
        <w:tblCellSpacing w:w="15" w:type="dxa"/>
        <w:tblInd w:w="4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9"/>
        <w:gridCol w:w="1099"/>
        <w:gridCol w:w="3888"/>
      </w:tblGrid>
      <w:tr w:rsidR="006A257E" w:rsidRPr="006A16C0" w:rsidTr="00186ED6">
        <w:trPr>
          <w:tblCellSpacing w:w="15" w:type="dxa"/>
        </w:trPr>
        <w:tc>
          <w:tcPr>
            <w:tcW w:w="1004" w:type="dxa"/>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SAMPLE #</w:t>
            </w:r>
          </w:p>
        </w:tc>
        <w:tc>
          <w:tcPr>
            <w:tcW w:w="1069" w:type="dxa"/>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Au in g/t</w:t>
            </w:r>
          </w:p>
        </w:tc>
        <w:tc>
          <w:tcPr>
            <w:tcW w:w="3843" w:type="dxa"/>
            <w:tcBorders>
              <w:top w:val="outset" w:sz="6" w:space="0" w:color="auto"/>
              <w:left w:val="outset" w:sz="6" w:space="0" w:color="auto"/>
              <w:bottom w:val="outset" w:sz="6" w:space="0" w:color="auto"/>
              <w:right w:val="outset" w:sz="6" w:space="0" w:color="auto"/>
            </w:tcBorders>
            <w:shd w:val="clear" w:color="auto" w:fill="CCCCCC"/>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Description</w:t>
            </w:r>
          </w:p>
        </w:tc>
      </w:tr>
      <w:tr w:rsidR="006A257E" w:rsidRPr="006A16C0" w:rsidTr="00186ED6">
        <w:trPr>
          <w:tblCellSpacing w:w="15" w:type="dxa"/>
        </w:trPr>
        <w:tc>
          <w:tcPr>
            <w:tcW w:w="1004"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34012</w:t>
            </w:r>
          </w:p>
        </w:tc>
        <w:tc>
          <w:tcPr>
            <w:tcW w:w="1069"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19.2</w:t>
            </w:r>
          </w:p>
        </w:tc>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Tim’s Showing grab sample pyritic quartz veins with tourmaline</w:t>
            </w:r>
          </w:p>
        </w:tc>
      </w:tr>
      <w:tr w:rsidR="006A257E" w:rsidRPr="006A16C0" w:rsidTr="00186ED6">
        <w:trPr>
          <w:tblCellSpacing w:w="15" w:type="dxa"/>
        </w:trPr>
        <w:tc>
          <w:tcPr>
            <w:tcW w:w="1004"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35942</w:t>
            </w:r>
          </w:p>
        </w:tc>
        <w:tc>
          <w:tcPr>
            <w:tcW w:w="1069"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0.9</w:t>
            </w:r>
          </w:p>
        </w:tc>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6A257E" w:rsidRPr="006A16C0" w:rsidRDefault="006A257E" w:rsidP="00186ED6">
            <w:pPr>
              <w:spacing w:line="210" w:lineRule="atLeast"/>
              <w:rPr>
                <w:rFonts w:cs="Arial"/>
                <w:color w:val="333333"/>
                <w:sz w:val="17"/>
                <w:szCs w:val="17"/>
              </w:rPr>
            </w:pPr>
            <w:r w:rsidRPr="006A16C0">
              <w:rPr>
                <w:rFonts w:cs="Arial"/>
                <w:color w:val="333333"/>
                <w:sz w:val="17"/>
                <w:szCs w:val="17"/>
              </w:rPr>
              <w:t>Grab sample 320 m southwest of Tim’s showing</w:t>
            </w:r>
          </w:p>
        </w:tc>
      </w:tr>
    </w:tbl>
    <w:p w:rsidR="006A257E" w:rsidRDefault="006A257E" w:rsidP="006A257E">
      <w:pPr>
        <w:shd w:val="clear" w:color="auto" w:fill="FFFFFF"/>
        <w:ind w:left="115"/>
        <w:jc w:val="both"/>
        <w:rPr>
          <w:rFonts w:cs="Arial"/>
          <w:sz w:val="18"/>
          <w:szCs w:val="18"/>
        </w:rPr>
      </w:pPr>
    </w:p>
    <w:p w:rsidR="006A257E" w:rsidRDefault="006A257E" w:rsidP="006A257E">
      <w:pPr>
        <w:shd w:val="clear" w:color="auto" w:fill="FFFFFF"/>
        <w:ind w:left="115"/>
        <w:jc w:val="both"/>
        <w:rPr>
          <w:rFonts w:cs="Arial"/>
          <w:i/>
          <w:iCs/>
          <w:sz w:val="18"/>
          <w:szCs w:val="18"/>
        </w:rPr>
      </w:pPr>
      <w:r w:rsidRPr="00E36C88">
        <w:rPr>
          <w:rFonts w:cs="Arial"/>
          <w:sz w:val="18"/>
          <w:szCs w:val="18"/>
        </w:rPr>
        <w:lastRenderedPageBreak/>
        <w:t>Many of the other gold occurrences on the Property returned values in excess of 1 g/t Au in both rock and soil samples, with historical records indicating the presence of visible gold in some of the panned soil samples.</w:t>
      </w:r>
      <w:r w:rsidRPr="00E36C88">
        <w:rPr>
          <w:rFonts w:cs="Arial"/>
          <w:i/>
          <w:iCs/>
          <w:sz w:val="18"/>
          <w:szCs w:val="18"/>
        </w:rPr>
        <w:t> Management cautions it has neither verified nor</w:t>
      </w:r>
      <w:r>
        <w:rPr>
          <w:rFonts w:cs="Arial"/>
          <w:i/>
          <w:iCs/>
          <w:sz w:val="18"/>
          <w:szCs w:val="18"/>
        </w:rPr>
        <w:t xml:space="preserve"> </w:t>
      </w:r>
      <w:r w:rsidRPr="00E36C88">
        <w:rPr>
          <w:rFonts w:cs="Arial"/>
          <w:i/>
          <w:iCs/>
          <w:sz w:val="18"/>
          <w:szCs w:val="18"/>
        </w:rPr>
        <w:t>confirmed these results, which are considered to be historical in nature.</w:t>
      </w:r>
    </w:p>
    <w:p w:rsidR="006A257E" w:rsidRDefault="006A257E" w:rsidP="006A257E">
      <w:pPr>
        <w:shd w:val="clear" w:color="auto" w:fill="FFFFFF"/>
        <w:ind w:left="115"/>
        <w:jc w:val="both"/>
        <w:rPr>
          <w:rFonts w:cs="Arial"/>
          <w:iCs/>
          <w:sz w:val="18"/>
          <w:szCs w:val="18"/>
        </w:rPr>
      </w:pPr>
    </w:p>
    <w:p w:rsidR="006A257E" w:rsidRDefault="006A257E" w:rsidP="006A257E">
      <w:pPr>
        <w:shd w:val="clear" w:color="auto" w:fill="FFFFFF"/>
        <w:ind w:left="115"/>
        <w:jc w:val="both"/>
        <w:rPr>
          <w:rFonts w:cs="Arial"/>
          <w:sz w:val="18"/>
          <w:szCs w:val="18"/>
        </w:rPr>
      </w:pPr>
      <w:r>
        <w:rPr>
          <w:rFonts w:cs="Arial"/>
          <w:sz w:val="18"/>
          <w:szCs w:val="18"/>
        </w:rPr>
        <w:t>A 2017 field program</w:t>
      </w:r>
      <w:r w:rsidRPr="002E6D94">
        <w:rPr>
          <w:rFonts w:cs="Arial"/>
          <w:sz w:val="18"/>
          <w:szCs w:val="18"/>
        </w:rPr>
        <w:t xml:space="preserve"> was completed in late June</w:t>
      </w:r>
      <w:r>
        <w:rPr>
          <w:rFonts w:cs="Arial"/>
          <w:sz w:val="18"/>
          <w:szCs w:val="18"/>
        </w:rPr>
        <w:t xml:space="preserve"> 2017</w:t>
      </w:r>
      <w:r w:rsidRPr="002E6D94">
        <w:rPr>
          <w:rFonts w:cs="Arial"/>
          <w:sz w:val="18"/>
          <w:szCs w:val="18"/>
        </w:rPr>
        <w:t xml:space="preserve"> and consisted of geological mapping and sampling, trenching and soil geochemical surveys.</w:t>
      </w:r>
      <w:r>
        <w:rPr>
          <w:rFonts w:cs="Arial"/>
          <w:sz w:val="18"/>
          <w:szCs w:val="18"/>
        </w:rPr>
        <w:t xml:space="preserve"> </w:t>
      </w:r>
      <w:r w:rsidRPr="002E6D94">
        <w:rPr>
          <w:rFonts w:cs="Arial"/>
          <w:sz w:val="18"/>
          <w:szCs w:val="18"/>
        </w:rPr>
        <w:t xml:space="preserve">The purpose of the 2017 program was: </w:t>
      </w:r>
    </w:p>
    <w:p w:rsidR="006A257E" w:rsidRDefault="006A257E" w:rsidP="006A257E">
      <w:pPr>
        <w:shd w:val="clear" w:color="auto" w:fill="FFFFFF"/>
        <w:spacing w:before="60"/>
        <w:ind w:left="284"/>
        <w:jc w:val="both"/>
        <w:rPr>
          <w:rFonts w:cs="Arial"/>
          <w:sz w:val="18"/>
          <w:szCs w:val="18"/>
        </w:rPr>
      </w:pPr>
      <w:r w:rsidRPr="002E6D94">
        <w:rPr>
          <w:rFonts w:cs="Arial"/>
          <w:sz w:val="18"/>
          <w:szCs w:val="18"/>
        </w:rPr>
        <w:t xml:space="preserve">1) </w:t>
      </w:r>
      <w:proofErr w:type="gramStart"/>
      <w:r w:rsidRPr="002E6D94">
        <w:rPr>
          <w:rFonts w:cs="Arial"/>
          <w:sz w:val="18"/>
          <w:szCs w:val="18"/>
        </w:rPr>
        <w:t>to</w:t>
      </w:r>
      <w:proofErr w:type="gramEnd"/>
      <w:r w:rsidRPr="002E6D94">
        <w:rPr>
          <w:rFonts w:cs="Arial"/>
          <w:sz w:val="18"/>
          <w:szCs w:val="18"/>
        </w:rPr>
        <w:t xml:space="preserve"> verify gold grades at historical showings; </w:t>
      </w:r>
    </w:p>
    <w:p w:rsidR="006A257E" w:rsidRDefault="006A257E" w:rsidP="006A257E">
      <w:pPr>
        <w:shd w:val="clear" w:color="auto" w:fill="FFFFFF"/>
        <w:ind w:left="284"/>
        <w:jc w:val="both"/>
        <w:rPr>
          <w:rFonts w:cs="Arial"/>
          <w:sz w:val="18"/>
          <w:szCs w:val="18"/>
        </w:rPr>
      </w:pPr>
      <w:r w:rsidRPr="002E6D94">
        <w:rPr>
          <w:rFonts w:cs="Arial"/>
          <w:sz w:val="18"/>
          <w:szCs w:val="18"/>
        </w:rPr>
        <w:t xml:space="preserve">2) </w:t>
      </w:r>
      <w:proofErr w:type="gramStart"/>
      <w:r w:rsidRPr="002E6D94">
        <w:rPr>
          <w:rFonts w:cs="Arial"/>
          <w:sz w:val="18"/>
          <w:szCs w:val="18"/>
        </w:rPr>
        <w:t>to</w:t>
      </w:r>
      <w:proofErr w:type="gramEnd"/>
      <w:r w:rsidRPr="002E6D94">
        <w:rPr>
          <w:rFonts w:cs="Arial"/>
          <w:sz w:val="18"/>
          <w:szCs w:val="18"/>
        </w:rPr>
        <w:t xml:space="preserve"> follow-up previously underexplored geochemical targets, and; </w:t>
      </w:r>
    </w:p>
    <w:p w:rsidR="006A257E" w:rsidRDefault="006A257E" w:rsidP="006A257E">
      <w:pPr>
        <w:shd w:val="clear" w:color="auto" w:fill="FFFFFF"/>
        <w:ind w:left="284"/>
        <w:jc w:val="both"/>
        <w:rPr>
          <w:rFonts w:cs="Arial"/>
          <w:sz w:val="18"/>
          <w:szCs w:val="18"/>
        </w:rPr>
      </w:pPr>
      <w:r w:rsidRPr="002E6D94">
        <w:rPr>
          <w:rFonts w:cs="Arial"/>
          <w:sz w:val="18"/>
          <w:szCs w:val="18"/>
        </w:rPr>
        <w:t xml:space="preserve">3) </w:t>
      </w:r>
      <w:proofErr w:type="gramStart"/>
      <w:r w:rsidRPr="002E6D94">
        <w:rPr>
          <w:rFonts w:cs="Arial"/>
          <w:sz w:val="18"/>
          <w:szCs w:val="18"/>
        </w:rPr>
        <w:t>to</w:t>
      </w:r>
      <w:proofErr w:type="gramEnd"/>
      <w:r w:rsidRPr="002E6D94">
        <w:rPr>
          <w:rFonts w:cs="Arial"/>
          <w:sz w:val="18"/>
          <w:szCs w:val="18"/>
        </w:rPr>
        <w:t xml:space="preserve"> identify new targets through prospecting and completion of new soil geochemical surveys. </w:t>
      </w:r>
    </w:p>
    <w:p w:rsidR="006A257E" w:rsidRDefault="006A257E" w:rsidP="006A257E">
      <w:pPr>
        <w:shd w:val="clear" w:color="auto" w:fill="FFFFFF"/>
        <w:ind w:left="284"/>
        <w:jc w:val="both"/>
        <w:rPr>
          <w:rFonts w:cs="Arial"/>
          <w:sz w:val="18"/>
          <w:szCs w:val="18"/>
        </w:rPr>
      </w:pPr>
    </w:p>
    <w:p w:rsidR="006A257E" w:rsidRDefault="006A257E" w:rsidP="006A257E">
      <w:pPr>
        <w:shd w:val="clear" w:color="auto" w:fill="FFFFFF"/>
        <w:ind w:left="115"/>
        <w:jc w:val="both"/>
        <w:rPr>
          <w:rFonts w:cs="Arial"/>
          <w:sz w:val="18"/>
          <w:szCs w:val="18"/>
        </w:rPr>
      </w:pPr>
      <w:r w:rsidRPr="002E6D94">
        <w:rPr>
          <w:rFonts w:cs="Arial"/>
          <w:sz w:val="18"/>
          <w:szCs w:val="18"/>
        </w:rPr>
        <w:t xml:space="preserve">A total of 110 rock samples were collected, including 11 channel samples. Twenty-five rock samples returned greater than 1.0 g/t Au, with a best grab sample result of 61.30 g/t Au. Rock sample results included notable accessory metals, with up to 839 ppm Mo, 0.98% </w:t>
      </w:r>
    </w:p>
    <w:p w:rsidR="006A257E" w:rsidRDefault="006A257E" w:rsidP="006A257E">
      <w:pPr>
        <w:shd w:val="clear" w:color="auto" w:fill="FFFFFF"/>
        <w:ind w:left="115"/>
        <w:jc w:val="both"/>
        <w:rPr>
          <w:rFonts w:cs="Arial"/>
          <w:sz w:val="18"/>
          <w:szCs w:val="18"/>
        </w:rPr>
      </w:pPr>
    </w:p>
    <w:p w:rsidR="006A257E" w:rsidRPr="00410071" w:rsidRDefault="006A257E" w:rsidP="006A257E">
      <w:pPr>
        <w:widowControl w:val="0"/>
        <w:pBdr>
          <w:top w:val="single" w:sz="24" w:space="1"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widowControl w:val="0"/>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widowControl w:val="0"/>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widowControl w:val="0"/>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Pr="00892291" w:rsidRDefault="006A257E" w:rsidP="006A257E">
      <w:pPr>
        <w:pStyle w:val="NormalWeb"/>
        <w:spacing w:before="0" w:beforeAutospacing="0" w:after="0" w:afterAutospacing="0"/>
        <w:ind w:left="115"/>
        <w:jc w:val="both"/>
        <w:rPr>
          <w:rFonts w:ascii="Arial" w:hAnsi="Arial" w:cs="Arial"/>
          <w:b/>
          <w:sz w:val="12"/>
          <w:szCs w:val="12"/>
          <w:u w:val="single"/>
        </w:rPr>
      </w:pPr>
    </w:p>
    <w:p w:rsidR="006A257E" w:rsidRPr="00F2384D" w:rsidRDefault="006A257E" w:rsidP="006A257E">
      <w:pPr>
        <w:pStyle w:val="NormalWeb"/>
        <w:spacing w:before="0" w:beforeAutospacing="0" w:after="0" w:afterAutospacing="0"/>
        <w:ind w:left="115"/>
        <w:jc w:val="both"/>
        <w:rPr>
          <w:rFonts w:ascii="Arial" w:hAnsi="Arial" w:cs="Arial"/>
          <w:sz w:val="18"/>
          <w:szCs w:val="18"/>
          <w:u w:val="single"/>
        </w:rPr>
      </w:pPr>
      <w:r w:rsidRPr="00F2384D">
        <w:rPr>
          <w:rFonts w:ascii="Arial" w:hAnsi="Arial" w:cs="Arial"/>
          <w:b/>
          <w:sz w:val="18"/>
          <w:szCs w:val="18"/>
          <w:u w:val="single"/>
        </w:rPr>
        <w:t xml:space="preserve">Orchid </w:t>
      </w:r>
      <w:r w:rsidRPr="00F2384D">
        <w:rPr>
          <w:rFonts w:ascii="Arial" w:hAnsi="Arial" w:cs="Arial"/>
          <w:sz w:val="18"/>
          <w:szCs w:val="18"/>
          <w:u w:val="single"/>
        </w:rPr>
        <w:t>(U, Au)</w:t>
      </w:r>
      <w:r>
        <w:rPr>
          <w:rFonts w:ascii="Arial" w:hAnsi="Arial" w:cs="Arial"/>
          <w:sz w:val="18"/>
          <w:szCs w:val="18"/>
          <w:u w:val="single"/>
        </w:rPr>
        <w:t xml:space="preserve"> - continued</w:t>
      </w:r>
    </w:p>
    <w:p w:rsidR="006A257E" w:rsidRDefault="006A257E" w:rsidP="006A257E">
      <w:pPr>
        <w:shd w:val="clear" w:color="auto" w:fill="FFFFFF"/>
        <w:ind w:left="115"/>
        <w:jc w:val="both"/>
        <w:rPr>
          <w:rFonts w:cs="Arial"/>
        </w:rPr>
      </w:pPr>
      <w:proofErr w:type="gramStart"/>
      <w:r w:rsidRPr="002E6D94">
        <w:rPr>
          <w:rFonts w:cs="Arial"/>
          <w:sz w:val="18"/>
          <w:szCs w:val="18"/>
        </w:rPr>
        <w:t>Cu and 31.2 g/t Ag.</w:t>
      </w:r>
      <w:proofErr w:type="gramEnd"/>
      <w:r w:rsidRPr="002E6D94">
        <w:rPr>
          <w:rFonts w:cs="Arial"/>
          <w:sz w:val="18"/>
          <w:szCs w:val="18"/>
        </w:rPr>
        <w:t xml:space="preserve"> </w:t>
      </w:r>
      <w:r w:rsidRPr="00B612EE">
        <w:rPr>
          <w:rFonts w:cs="Arial"/>
          <w:sz w:val="18"/>
          <w:szCs w:val="18"/>
        </w:rPr>
        <w:t>Twenty-five rock samples returned greater than 1.0 g/t Au, with a best grab sample result of 61.30 g/t Au. </w:t>
      </w:r>
      <w:r>
        <w:rPr>
          <w:rFonts w:cs="Arial"/>
          <w:sz w:val="18"/>
          <w:szCs w:val="18"/>
        </w:rPr>
        <w:t xml:space="preserve"> </w:t>
      </w:r>
      <w:r w:rsidRPr="002E6D94">
        <w:rPr>
          <w:rFonts w:cs="Arial"/>
          <w:sz w:val="18"/>
          <w:szCs w:val="18"/>
        </w:rPr>
        <w:t>A total of 667 soil samples were taken with results of up to 847 ppb Au in soil providing coherent anomalies for follow-up mapping, prospecting, and soil sampling.</w:t>
      </w:r>
      <w:r w:rsidRPr="002E6D94">
        <w:rPr>
          <w:rFonts w:cs="Arial"/>
        </w:rPr>
        <w:t> </w:t>
      </w:r>
    </w:p>
    <w:p w:rsidR="006A257E" w:rsidRPr="00892291" w:rsidRDefault="006A257E" w:rsidP="006A257E">
      <w:pPr>
        <w:shd w:val="clear" w:color="auto" w:fill="FFFFFF"/>
        <w:ind w:left="115"/>
        <w:jc w:val="both"/>
        <w:rPr>
          <w:rFonts w:cs="Arial"/>
          <w:iCs/>
          <w:sz w:val="12"/>
          <w:szCs w:val="12"/>
        </w:rPr>
      </w:pPr>
    </w:p>
    <w:p w:rsidR="006A257E" w:rsidRPr="00B612EE" w:rsidRDefault="006A257E" w:rsidP="006A257E">
      <w:pPr>
        <w:jc w:val="both"/>
        <w:textAlignment w:val="baseline"/>
        <w:rPr>
          <w:rFonts w:cs="Arial"/>
          <w:sz w:val="18"/>
          <w:szCs w:val="18"/>
          <w:lang w:eastAsia="en-CA"/>
        </w:rPr>
      </w:pPr>
      <w:r w:rsidRPr="002E6D94">
        <w:rPr>
          <w:rFonts w:cs="Arial"/>
          <w:bCs/>
          <w:color w:val="333333"/>
          <w:sz w:val="18"/>
          <w:szCs w:val="18"/>
          <w:bdr w:val="none" w:sz="0" w:space="0" w:color="auto" w:frame="1"/>
          <w:lang w:eastAsia="en-CA"/>
        </w:rPr>
        <w:t xml:space="preserve">  </w:t>
      </w:r>
      <w:r w:rsidRPr="00B612EE">
        <w:rPr>
          <w:rFonts w:cs="Arial"/>
          <w:bCs/>
          <w:sz w:val="18"/>
          <w:szCs w:val="18"/>
          <w:bdr w:val="none" w:sz="0" w:space="0" w:color="auto" w:frame="1"/>
          <w:lang w:eastAsia="en-CA"/>
        </w:rPr>
        <w:t>2017 Exploration Highlights:</w:t>
      </w:r>
    </w:p>
    <w:p w:rsidR="006A257E" w:rsidRPr="00B612EE" w:rsidRDefault="006A257E" w:rsidP="00444A4B">
      <w:pPr>
        <w:numPr>
          <w:ilvl w:val="0"/>
          <w:numId w:val="23"/>
        </w:numPr>
        <w:ind w:right="301"/>
        <w:jc w:val="both"/>
        <w:textAlignment w:val="baseline"/>
        <w:rPr>
          <w:rFonts w:cs="Arial"/>
          <w:sz w:val="18"/>
          <w:szCs w:val="18"/>
          <w:lang w:eastAsia="en-CA"/>
        </w:rPr>
      </w:pPr>
      <w:r w:rsidRPr="00B612EE">
        <w:rPr>
          <w:rFonts w:cs="Arial"/>
          <w:sz w:val="18"/>
          <w:szCs w:val="18"/>
          <w:lang w:eastAsia="en-CA"/>
        </w:rPr>
        <w:t>Verification grab samples returned up to 61.30 g/t Au from the historical Orchid zone, and 52.43 g/t Au from Tim’s Showing</w:t>
      </w:r>
    </w:p>
    <w:p w:rsidR="006A257E" w:rsidRPr="00B612EE" w:rsidRDefault="006A257E" w:rsidP="00444A4B">
      <w:pPr>
        <w:numPr>
          <w:ilvl w:val="0"/>
          <w:numId w:val="23"/>
        </w:numPr>
        <w:ind w:right="301"/>
        <w:jc w:val="both"/>
        <w:textAlignment w:val="baseline"/>
        <w:rPr>
          <w:rFonts w:cs="Arial"/>
          <w:sz w:val="18"/>
          <w:szCs w:val="18"/>
          <w:lang w:eastAsia="en-CA"/>
        </w:rPr>
      </w:pPr>
      <w:r w:rsidRPr="00B612EE">
        <w:rPr>
          <w:rFonts w:cs="Arial"/>
          <w:sz w:val="18"/>
          <w:szCs w:val="18"/>
          <w:lang w:eastAsia="en-CA"/>
        </w:rPr>
        <w:t xml:space="preserve">Sampling in the eastern portion of the property over an untested </w:t>
      </w:r>
      <w:proofErr w:type="spellStart"/>
      <w:r w:rsidRPr="00B612EE">
        <w:rPr>
          <w:rFonts w:cs="Arial"/>
          <w:sz w:val="18"/>
          <w:szCs w:val="18"/>
          <w:lang w:eastAsia="en-CA"/>
        </w:rPr>
        <w:t>tonalite</w:t>
      </w:r>
      <w:proofErr w:type="spellEnd"/>
      <w:r w:rsidRPr="00B612EE">
        <w:rPr>
          <w:rFonts w:cs="Arial"/>
          <w:sz w:val="18"/>
          <w:szCs w:val="18"/>
          <w:lang w:eastAsia="en-CA"/>
        </w:rPr>
        <w:t>-volcanic contact returned prospective gold-in-soil anomalies up to 170 ppb Au</w:t>
      </w:r>
    </w:p>
    <w:p w:rsidR="006A257E" w:rsidRPr="00B612EE" w:rsidRDefault="006A257E" w:rsidP="00444A4B">
      <w:pPr>
        <w:numPr>
          <w:ilvl w:val="0"/>
          <w:numId w:val="23"/>
        </w:numPr>
        <w:ind w:right="301"/>
        <w:jc w:val="both"/>
        <w:textAlignment w:val="baseline"/>
        <w:rPr>
          <w:rFonts w:cs="Arial"/>
          <w:sz w:val="18"/>
          <w:szCs w:val="18"/>
          <w:lang w:eastAsia="en-CA"/>
        </w:rPr>
      </w:pPr>
      <w:r w:rsidRPr="00B612EE">
        <w:rPr>
          <w:rFonts w:cs="Arial"/>
          <w:sz w:val="18"/>
          <w:szCs w:val="18"/>
          <w:lang w:eastAsia="en-CA"/>
        </w:rPr>
        <w:t xml:space="preserve">High-grade mineralization discovered at the Tiger Lily Showing area returned 6.17 g/t over 1.0 </w:t>
      </w:r>
      <w:proofErr w:type="spellStart"/>
      <w:r w:rsidRPr="00B612EE">
        <w:rPr>
          <w:rFonts w:cs="Arial"/>
          <w:sz w:val="18"/>
          <w:szCs w:val="18"/>
          <w:lang w:eastAsia="en-CA"/>
        </w:rPr>
        <w:t>metre</w:t>
      </w:r>
      <w:proofErr w:type="spellEnd"/>
      <w:r w:rsidRPr="00B612EE">
        <w:rPr>
          <w:rFonts w:cs="Arial"/>
          <w:sz w:val="18"/>
          <w:szCs w:val="18"/>
          <w:lang w:eastAsia="en-CA"/>
        </w:rPr>
        <w:t xml:space="preserve"> including 10.11 g/t over 0.5 </w:t>
      </w:r>
      <w:proofErr w:type="spellStart"/>
      <w:r w:rsidRPr="00B612EE">
        <w:rPr>
          <w:rFonts w:cs="Arial"/>
          <w:sz w:val="18"/>
          <w:szCs w:val="18"/>
          <w:lang w:eastAsia="en-CA"/>
        </w:rPr>
        <w:t>metre</w:t>
      </w:r>
      <w:proofErr w:type="spellEnd"/>
      <w:r w:rsidRPr="00B612EE">
        <w:rPr>
          <w:rFonts w:cs="Arial"/>
          <w:sz w:val="18"/>
          <w:szCs w:val="18"/>
          <w:lang w:eastAsia="en-CA"/>
        </w:rPr>
        <w:t xml:space="preserve"> in channel sampling across a 1.5 </w:t>
      </w:r>
      <w:proofErr w:type="spellStart"/>
      <w:r w:rsidRPr="00B612EE">
        <w:rPr>
          <w:rFonts w:cs="Arial"/>
          <w:sz w:val="18"/>
          <w:szCs w:val="18"/>
          <w:lang w:eastAsia="en-CA"/>
        </w:rPr>
        <w:t>metre</w:t>
      </w:r>
      <w:proofErr w:type="spellEnd"/>
      <w:r w:rsidRPr="00B612EE">
        <w:rPr>
          <w:rFonts w:cs="Arial"/>
          <w:sz w:val="18"/>
          <w:szCs w:val="18"/>
          <w:lang w:eastAsia="en-CA"/>
        </w:rPr>
        <w:t xml:space="preserve"> quartz vein</w:t>
      </w:r>
    </w:p>
    <w:p w:rsidR="006A257E" w:rsidRPr="00B612EE" w:rsidRDefault="006A257E" w:rsidP="00444A4B">
      <w:pPr>
        <w:numPr>
          <w:ilvl w:val="0"/>
          <w:numId w:val="23"/>
        </w:numPr>
        <w:ind w:right="301"/>
        <w:jc w:val="both"/>
        <w:textAlignment w:val="baseline"/>
        <w:rPr>
          <w:rFonts w:cs="Arial"/>
          <w:sz w:val="18"/>
          <w:szCs w:val="18"/>
          <w:lang w:eastAsia="en-CA"/>
        </w:rPr>
      </w:pPr>
      <w:r w:rsidRPr="00B612EE">
        <w:rPr>
          <w:rFonts w:cs="Arial"/>
          <w:sz w:val="18"/>
          <w:szCs w:val="18"/>
          <w:lang w:eastAsia="en-CA"/>
        </w:rPr>
        <w:t>Soil geochemical sampling along strike from Tiger Lily Showing contains highly anomalous gold (up to 847 ppb Au) in an area extending approximately 400 m from known exposures</w:t>
      </w:r>
    </w:p>
    <w:p w:rsidR="006A257E" w:rsidRPr="00B612EE" w:rsidRDefault="006A257E" w:rsidP="00444A4B">
      <w:pPr>
        <w:numPr>
          <w:ilvl w:val="0"/>
          <w:numId w:val="23"/>
        </w:numPr>
        <w:ind w:right="301"/>
        <w:jc w:val="both"/>
        <w:textAlignment w:val="baseline"/>
        <w:rPr>
          <w:rFonts w:cs="Arial"/>
          <w:sz w:val="18"/>
          <w:szCs w:val="18"/>
          <w:lang w:eastAsia="en-CA"/>
        </w:rPr>
      </w:pPr>
      <w:r w:rsidRPr="00B612EE">
        <w:rPr>
          <w:rFonts w:cs="Arial"/>
          <w:sz w:val="18"/>
          <w:szCs w:val="18"/>
          <w:lang w:eastAsia="en-CA"/>
        </w:rPr>
        <w:t xml:space="preserve">Additional claims acquired </w:t>
      </w:r>
      <w:proofErr w:type="spellStart"/>
      <w:r w:rsidRPr="00B612EE">
        <w:rPr>
          <w:rFonts w:cs="Arial"/>
          <w:sz w:val="18"/>
          <w:szCs w:val="18"/>
          <w:lang w:eastAsia="en-CA"/>
        </w:rPr>
        <w:t>totalling</w:t>
      </w:r>
      <w:proofErr w:type="spellEnd"/>
      <w:r w:rsidRPr="00B612EE">
        <w:rPr>
          <w:rFonts w:cs="Arial"/>
          <w:sz w:val="18"/>
          <w:szCs w:val="18"/>
          <w:lang w:eastAsia="en-CA"/>
        </w:rPr>
        <w:t xml:space="preserve"> 1952 ha following Summer 2017 work program</w:t>
      </w:r>
    </w:p>
    <w:p w:rsidR="006A257E" w:rsidRDefault="006A257E" w:rsidP="006A257E">
      <w:pPr>
        <w:shd w:val="clear" w:color="auto" w:fill="FFFFFF"/>
        <w:ind w:left="115"/>
        <w:jc w:val="both"/>
        <w:rPr>
          <w:rFonts w:cs="Arial"/>
          <w:iCs/>
          <w:sz w:val="18"/>
          <w:szCs w:val="18"/>
        </w:rPr>
      </w:pPr>
    </w:p>
    <w:p w:rsidR="006A257E" w:rsidRPr="00B612EE" w:rsidRDefault="006A257E" w:rsidP="006A257E">
      <w:pPr>
        <w:shd w:val="clear" w:color="auto" w:fill="FFFFFF"/>
        <w:ind w:left="115"/>
        <w:jc w:val="both"/>
        <w:rPr>
          <w:rFonts w:cs="Arial"/>
          <w:iCs/>
          <w:sz w:val="18"/>
          <w:szCs w:val="18"/>
        </w:rPr>
      </w:pPr>
      <w:r w:rsidRPr="00B612EE">
        <w:rPr>
          <w:rFonts w:cs="Arial"/>
          <w:sz w:val="18"/>
          <w:szCs w:val="18"/>
        </w:rPr>
        <w:t>A 2018 field program was completed in August and was comprised of geologic mapping, prospecting and soil sampling which followed-up a 500 line-km high-resolution airborne (drone) magnetic survey which was conducted earlier in the summer. The objective of 2018 geological work was to establish drill targets for future exploration. All geochemical results for the program are pending.</w:t>
      </w:r>
    </w:p>
    <w:p w:rsidR="006A257E" w:rsidRPr="00B612EE" w:rsidRDefault="006A257E" w:rsidP="006A257E">
      <w:pPr>
        <w:shd w:val="clear" w:color="auto" w:fill="FFFFFF"/>
        <w:ind w:left="113"/>
        <w:jc w:val="both"/>
        <w:rPr>
          <w:rFonts w:cs="Arial"/>
          <w:iCs/>
          <w:sz w:val="18"/>
          <w:szCs w:val="18"/>
        </w:rPr>
      </w:pPr>
      <w:r w:rsidRPr="00B612EE">
        <w:rPr>
          <w:rFonts w:cs="Arial"/>
          <w:sz w:val="18"/>
          <w:szCs w:val="18"/>
        </w:rPr>
        <w:br/>
        <w:t>As previously announced, Taiga has recently increased the property area by 50% to 8,376ha which carries no underlying royalties or encumbrances (</w:t>
      </w:r>
      <w:r w:rsidRPr="00B612EE">
        <w:rPr>
          <w:rStyle w:val="Emphasis"/>
          <w:rFonts w:cs="Arial"/>
          <w:sz w:val="18"/>
          <w:szCs w:val="18"/>
          <w:bdr w:val="none" w:sz="0" w:space="0" w:color="auto" w:frame="1"/>
        </w:rPr>
        <w:t>Taiga NR June 28, 2018</w:t>
      </w:r>
      <w:r w:rsidRPr="00B612EE">
        <w:rPr>
          <w:rFonts w:cs="Arial"/>
          <w:sz w:val="18"/>
          <w:szCs w:val="18"/>
        </w:rPr>
        <w:t>). </w:t>
      </w:r>
    </w:p>
    <w:p w:rsidR="006A257E" w:rsidRDefault="006A257E" w:rsidP="006A257E">
      <w:pPr>
        <w:shd w:val="clear" w:color="auto" w:fill="FFFFFF"/>
        <w:ind w:left="115"/>
        <w:jc w:val="both"/>
        <w:rPr>
          <w:rFonts w:cs="Arial"/>
          <w:iCs/>
          <w:sz w:val="18"/>
          <w:szCs w:val="18"/>
        </w:rPr>
      </w:pPr>
    </w:p>
    <w:p w:rsidR="006A257E" w:rsidRDefault="006A257E" w:rsidP="006A257E">
      <w:pPr>
        <w:shd w:val="clear" w:color="auto" w:fill="FFFFFF"/>
        <w:ind w:left="115"/>
        <w:jc w:val="both"/>
        <w:rPr>
          <w:rFonts w:cs="Arial"/>
          <w:b/>
          <w:iCs/>
          <w:sz w:val="18"/>
          <w:szCs w:val="18"/>
          <w:u w:val="single"/>
        </w:rPr>
      </w:pPr>
      <w:r w:rsidRPr="002E6D94">
        <w:rPr>
          <w:rFonts w:cs="Arial"/>
          <w:b/>
          <w:iCs/>
          <w:sz w:val="18"/>
          <w:szCs w:val="18"/>
          <w:u w:val="single"/>
        </w:rPr>
        <w:t>SAM (Au)</w:t>
      </w:r>
    </w:p>
    <w:p w:rsidR="006A257E" w:rsidRDefault="006A257E" w:rsidP="006A257E">
      <w:pPr>
        <w:shd w:val="clear" w:color="auto" w:fill="FFFFFF"/>
        <w:ind w:left="115"/>
        <w:jc w:val="both"/>
        <w:rPr>
          <w:rFonts w:cs="Arial"/>
          <w:sz w:val="18"/>
          <w:szCs w:val="18"/>
        </w:rPr>
      </w:pPr>
      <w:r>
        <w:rPr>
          <w:rFonts w:cs="Arial"/>
          <w:sz w:val="18"/>
          <w:szCs w:val="18"/>
        </w:rPr>
        <w:t xml:space="preserve">The property was originally </w:t>
      </w:r>
      <w:r w:rsidRPr="002E6D94">
        <w:rPr>
          <w:rFonts w:cs="Arial"/>
          <w:sz w:val="18"/>
          <w:szCs w:val="18"/>
        </w:rPr>
        <w:t xml:space="preserve">acquired by </w:t>
      </w:r>
      <w:r>
        <w:rPr>
          <w:rFonts w:cs="Arial"/>
          <w:sz w:val="18"/>
          <w:szCs w:val="18"/>
        </w:rPr>
        <w:t xml:space="preserve">Eagle Plains by </w:t>
      </w:r>
      <w:r w:rsidRPr="002E6D94">
        <w:rPr>
          <w:rFonts w:cs="Arial"/>
          <w:sz w:val="18"/>
          <w:szCs w:val="18"/>
        </w:rPr>
        <w:t xml:space="preserve">staking a block of claims covering an area of 1,000 ha centered approximately 15km west of </w:t>
      </w:r>
      <w:proofErr w:type="spellStart"/>
      <w:r w:rsidRPr="002E6D94">
        <w:rPr>
          <w:rFonts w:cs="Arial"/>
          <w:sz w:val="18"/>
          <w:szCs w:val="18"/>
        </w:rPr>
        <w:t>Flin</w:t>
      </w:r>
      <w:proofErr w:type="spellEnd"/>
      <w:r w:rsidRPr="002E6D94">
        <w:rPr>
          <w:rFonts w:cs="Arial"/>
          <w:sz w:val="18"/>
          <w:szCs w:val="18"/>
        </w:rPr>
        <w:t xml:space="preserve"> </w:t>
      </w:r>
      <w:proofErr w:type="spellStart"/>
      <w:r w:rsidRPr="002E6D94">
        <w:rPr>
          <w:rFonts w:cs="Arial"/>
          <w:sz w:val="18"/>
          <w:szCs w:val="18"/>
        </w:rPr>
        <w:t>Flon</w:t>
      </w:r>
      <w:proofErr w:type="spellEnd"/>
      <w:r w:rsidRPr="002E6D94">
        <w:rPr>
          <w:rFonts w:cs="Arial"/>
          <w:sz w:val="18"/>
          <w:szCs w:val="18"/>
        </w:rPr>
        <w:t xml:space="preserve">, Manitoba. The property area has seen encouraging historical exploration activity targeting gold and base-metals. Numerous gold and base-metal occurrences have been documented by past operators. The claims are 100% owned by </w:t>
      </w:r>
      <w:r>
        <w:rPr>
          <w:rFonts w:cs="Arial"/>
          <w:sz w:val="18"/>
          <w:szCs w:val="18"/>
        </w:rPr>
        <w:t>Taiga</w:t>
      </w:r>
      <w:r w:rsidRPr="002E6D94">
        <w:rPr>
          <w:rFonts w:cs="Arial"/>
          <w:sz w:val="18"/>
          <w:szCs w:val="18"/>
        </w:rPr>
        <w:t xml:space="preserve"> and carry no underlying royalties or encumbrances. The property is contiguous with Cameco and SGO Mining Inc., which was recently acquired by SSR Mining</w:t>
      </w:r>
      <w:r>
        <w:rPr>
          <w:rFonts w:cs="Arial"/>
          <w:sz w:val="18"/>
          <w:szCs w:val="18"/>
        </w:rPr>
        <w:t xml:space="preserve"> Inc.</w:t>
      </w:r>
      <w:r w:rsidRPr="002E6D94">
        <w:rPr>
          <w:rFonts w:cs="Arial"/>
          <w:sz w:val="18"/>
          <w:szCs w:val="18"/>
        </w:rPr>
        <w:t> </w:t>
      </w:r>
      <w:r w:rsidRPr="002E6D94" w:rsidDel="00420681">
        <w:rPr>
          <w:rFonts w:cs="Arial"/>
          <w:sz w:val="18"/>
          <w:szCs w:val="18"/>
        </w:rPr>
        <w:t xml:space="preserve"> </w:t>
      </w:r>
    </w:p>
    <w:p w:rsidR="006A257E" w:rsidRDefault="006A257E" w:rsidP="006A257E">
      <w:pPr>
        <w:shd w:val="clear" w:color="auto" w:fill="FFFFFF"/>
        <w:ind w:left="113"/>
        <w:jc w:val="both"/>
        <w:rPr>
          <w:rFonts w:cs="Arial"/>
          <w:sz w:val="18"/>
          <w:szCs w:val="18"/>
        </w:rPr>
      </w:pPr>
    </w:p>
    <w:p w:rsidR="006A257E" w:rsidRPr="002E6D94" w:rsidRDefault="006A257E" w:rsidP="006A257E">
      <w:pPr>
        <w:shd w:val="clear" w:color="auto" w:fill="FFFFFF"/>
        <w:ind w:left="115"/>
        <w:jc w:val="both"/>
        <w:rPr>
          <w:rFonts w:cs="Arial"/>
          <w:iCs/>
          <w:sz w:val="18"/>
          <w:szCs w:val="18"/>
        </w:rPr>
      </w:pPr>
      <w:r>
        <w:rPr>
          <w:rFonts w:cs="Arial"/>
          <w:sz w:val="18"/>
          <w:szCs w:val="18"/>
        </w:rPr>
        <w:t>Historical Highlights</w:t>
      </w:r>
    </w:p>
    <w:p w:rsidR="006A257E" w:rsidRPr="002E6D94" w:rsidRDefault="006A257E" w:rsidP="00444A4B">
      <w:pPr>
        <w:numPr>
          <w:ilvl w:val="0"/>
          <w:numId w:val="24"/>
        </w:numPr>
        <w:jc w:val="both"/>
        <w:textAlignment w:val="baseline"/>
        <w:rPr>
          <w:rFonts w:cs="Arial"/>
          <w:sz w:val="18"/>
          <w:szCs w:val="18"/>
          <w:lang w:eastAsia="en-CA"/>
        </w:rPr>
      </w:pPr>
      <w:r w:rsidRPr="002E6D94">
        <w:rPr>
          <w:rFonts w:cs="Arial"/>
          <w:sz w:val="18"/>
          <w:szCs w:val="18"/>
          <w:lang w:eastAsia="en-CA"/>
        </w:rPr>
        <w:t>SAM Zone VMS mineralization drill intercepts include: 2.32m grading 1.86 g/t Au and 5.52% Cu; 2.16m grading 2.56 g/t Au, 3.26% Cu; 2.9m grading 0.36 g/t Au, 0.99% Cu; 1.6m grading 1.65 g/t Au, 4.48% Cu and 4.85m grading 0.53 g/t Au, 1.0% Cu </w:t>
      </w:r>
    </w:p>
    <w:p w:rsidR="006A257E" w:rsidRPr="002E6D94" w:rsidRDefault="006A257E" w:rsidP="00444A4B">
      <w:pPr>
        <w:numPr>
          <w:ilvl w:val="0"/>
          <w:numId w:val="24"/>
        </w:numPr>
        <w:jc w:val="both"/>
        <w:textAlignment w:val="baseline"/>
        <w:rPr>
          <w:rFonts w:cs="Arial"/>
          <w:sz w:val="18"/>
          <w:szCs w:val="18"/>
          <w:lang w:eastAsia="en-CA"/>
        </w:rPr>
      </w:pPr>
      <w:r w:rsidRPr="002E6D94">
        <w:rPr>
          <w:rFonts w:cs="Arial"/>
          <w:sz w:val="18"/>
          <w:szCs w:val="18"/>
          <w:lang w:eastAsia="en-CA"/>
        </w:rPr>
        <w:t>Numerous underexplored gold and VMS occurrences on property </w:t>
      </w:r>
    </w:p>
    <w:p w:rsidR="006A257E" w:rsidRPr="006133FD" w:rsidRDefault="006A257E" w:rsidP="006A257E">
      <w:pPr>
        <w:widowControl w:val="0"/>
        <w:autoSpaceDE w:val="0"/>
        <w:autoSpaceDN w:val="0"/>
        <w:adjustRightInd w:val="0"/>
        <w:jc w:val="both"/>
        <w:textAlignment w:val="baseline"/>
        <w:rPr>
          <w:rStyle w:val="Strong"/>
          <w:rFonts w:cs="Arial"/>
          <w:b w:val="0"/>
          <w:sz w:val="12"/>
          <w:szCs w:val="12"/>
          <w:bdr w:val="none" w:sz="0" w:space="0" w:color="auto" w:frame="1"/>
        </w:rPr>
      </w:pPr>
    </w:p>
    <w:p w:rsidR="006A257E" w:rsidRDefault="006A257E" w:rsidP="006A257E">
      <w:pPr>
        <w:widowControl w:val="0"/>
        <w:autoSpaceDE w:val="0"/>
        <w:autoSpaceDN w:val="0"/>
        <w:adjustRightInd w:val="0"/>
        <w:ind w:left="113"/>
        <w:jc w:val="both"/>
        <w:textAlignment w:val="baseline"/>
        <w:rPr>
          <w:rFonts w:cs="Arial"/>
          <w:b/>
          <w:sz w:val="18"/>
          <w:szCs w:val="18"/>
          <w:u w:val="single"/>
        </w:rPr>
      </w:pPr>
      <w:r>
        <w:rPr>
          <w:rFonts w:cs="Arial"/>
          <w:sz w:val="18"/>
          <w:szCs w:val="18"/>
        </w:rPr>
        <w:t>Taiga</w:t>
      </w:r>
      <w:r w:rsidRPr="002E6D94">
        <w:rPr>
          <w:rFonts w:cs="Arial"/>
          <w:sz w:val="18"/>
          <w:szCs w:val="18"/>
        </w:rPr>
        <w:t xml:space="preserve"> intends to carry out a detailed compilation of all historical work in the property area, and will work to create a</w:t>
      </w:r>
      <w:r>
        <w:rPr>
          <w:rFonts w:cs="Arial"/>
          <w:sz w:val="18"/>
          <w:szCs w:val="18"/>
        </w:rPr>
        <w:t xml:space="preserve"> </w:t>
      </w:r>
      <w:r w:rsidRPr="002E6D94">
        <w:rPr>
          <w:rFonts w:cs="Arial"/>
          <w:sz w:val="18"/>
          <w:szCs w:val="18"/>
        </w:rPr>
        <w:t>comprehensive database to aid in the planning and execution of future exploration programs on the property.</w:t>
      </w:r>
    </w:p>
    <w:p w:rsidR="006A257E" w:rsidRDefault="006A257E" w:rsidP="006A257E">
      <w:pPr>
        <w:rPr>
          <w:rFonts w:cs="Arial"/>
          <w:b/>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Transactions with Related Parties</w:t>
      </w:r>
    </w:p>
    <w:p w:rsidR="006A257E" w:rsidRPr="00BB6DF2" w:rsidRDefault="006A257E" w:rsidP="006A257E">
      <w:pPr>
        <w:ind w:left="119"/>
        <w:jc w:val="both"/>
        <w:rPr>
          <w:rFonts w:cs="Arial"/>
          <w:b/>
          <w:sz w:val="18"/>
          <w:szCs w:val="18"/>
          <w:u w:val="single"/>
        </w:rPr>
      </w:pPr>
    </w:p>
    <w:p w:rsidR="006A257E" w:rsidRDefault="006A257E" w:rsidP="006A257E">
      <w:pPr>
        <w:jc w:val="both"/>
        <w:rPr>
          <w:rFonts w:cs="Arial"/>
          <w:sz w:val="18"/>
          <w:szCs w:val="18"/>
        </w:rPr>
      </w:pPr>
      <w:r w:rsidRPr="00B41203">
        <w:rPr>
          <w:rFonts w:cs="Arial"/>
          <w:sz w:val="18"/>
          <w:szCs w:val="18"/>
        </w:rPr>
        <w:t xml:space="preserve">   The Company was involved in the following related party transactions during the </w:t>
      </w:r>
      <w:r>
        <w:rPr>
          <w:rFonts w:cs="Arial"/>
          <w:sz w:val="18"/>
          <w:szCs w:val="18"/>
        </w:rPr>
        <w:t>quarter:</w:t>
      </w:r>
    </w:p>
    <w:p w:rsidR="006A257E" w:rsidRPr="00B41203" w:rsidRDefault="006A257E" w:rsidP="006A257E">
      <w:pPr>
        <w:jc w:val="both"/>
        <w:rPr>
          <w:rFonts w:cs="Arial"/>
          <w:sz w:val="18"/>
          <w:szCs w:val="18"/>
        </w:rPr>
      </w:pPr>
    </w:p>
    <w:p w:rsidR="006A257E" w:rsidRDefault="006A257E" w:rsidP="00444A4B">
      <w:pPr>
        <w:numPr>
          <w:ilvl w:val="0"/>
          <w:numId w:val="19"/>
        </w:numPr>
        <w:tabs>
          <w:tab w:val="left" w:pos="432"/>
        </w:tabs>
        <w:jc w:val="both"/>
        <w:rPr>
          <w:rFonts w:cs="Arial"/>
          <w:sz w:val="18"/>
          <w:szCs w:val="18"/>
        </w:rPr>
      </w:pPr>
      <w:r w:rsidRPr="00B41203">
        <w:rPr>
          <w:rFonts w:cs="Arial"/>
          <w:sz w:val="18"/>
          <w:szCs w:val="18"/>
        </w:rPr>
        <w:t xml:space="preserve">The Company is related to </w:t>
      </w:r>
      <w:r>
        <w:rPr>
          <w:rFonts w:cs="Arial"/>
          <w:sz w:val="18"/>
          <w:szCs w:val="18"/>
        </w:rPr>
        <w:t>Taiga (“EPL”</w:t>
      </w:r>
      <w:r w:rsidRPr="00B41203">
        <w:rPr>
          <w:rFonts w:cs="Arial"/>
          <w:sz w:val="18"/>
          <w:szCs w:val="18"/>
        </w:rPr>
        <w:t xml:space="preserve">) through </w:t>
      </w:r>
      <w:r>
        <w:rPr>
          <w:rFonts w:cs="Arial"/>
          <w:sz w:val="18"/>
          <w:szCs w:val="18"/>
        </w:rPr>
        <w:t>common directors</w:t>
      </w:r>
      <w:r w:rsidRPr="00B41203">
        <w:rPr>
          <w:rFonts w:cs="Arial"/>
          <w:sz w:val="18"/>
          <w:szCs w:val="18"/>
        </w:rPr>
        <w:t xml:space="preserve">. </w:t>
      </w:r>
      <w:r>
        <w:rPr>
          <w:rFonts w:cs="Arial"/>
          <w:sz w:val="18"/>
          <w:szCs w:val="18"/>
        </w:rPr>
        <w:t>During the quarter the Company had the following transactions with the related company</w:t>
      </w:r>
      <w:r w:rsidRPr="00B41203">
        <w:rPr>
          <w:rFonts w:cs="Arial"/>
          <w:sz w:val="18"/>
          <w:szCs w:val="18"/>
        </w:rPr>
        <w:t>:</w:t>
      </w:r>
    </w:p>
    <w:p w:rsidR="006A257E" w:rsidRPr="002E6D94" w:rsidRDefault="006A257E" w:rsidP="006A257E">
      <w:pPr>
        <w:tabs>
          <w:tab w:val="left" w:pos="432"/>
        </w:tabs>
        <w:ind w:left="837"/>
        <w:jc w:val="both"/>
        <w:rPr>
          <w:rFonts w:cs="Arial"/>
          <w:sz w:val="18"/>
          <w:szCs w:val="18"/>
        </w:rPr>
      </w:pPr>
    </w:p>
    <w:tbl>
      <w:tblPr>
        <w:tblW w:w="0" w:type="auto"/>
        <w:tblInd w:w="1134" w:type="dxa"/>
        <w:tblLayout w:type="fixed"/>
        <w:tblLook w:val="0000" w:firstRow="0" w:lastRow="0" w:firstColumn="0" w:lastColumn="0" w:noHBand="0" w:noVBand="0"/>
      </w:tblPr>
      <w:tblGrid>
        <w:gridCol w:w="4554"/>
        <w:gridCol w:w="1318"/>
        <w:gridCol w:w="1318"/>
      </w:tblGrid>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RPr="00FE7FD1" w:rsidRDefault="006A257E" w:rsidP="00186ED6">
            <w:pPr>
              <w:rPr>
                <w:rFonts w:cs="Arial"/>
                <w:sz w:val="18"/>
                <w:szCs w:val="18"/>
              </w:rPr>
            </w:pPr>
          </w:p>
        </w:tc>
        <w:tc>
          <w:tcPr>
            <w:tcW w:w="1318" w:type="dxa"/>
            <w:tcBorders>
              <w:top w:val="nil"/>
              <w:left w:val="nil"/>
              <w:bottom w:val="single" w:sz="4" w:space="0" w:color="auto"/>
              <w:right w:val="nil"/>
            </w:tcBorders>
            <w:shd w:val="clear" w:color="auto" w:fill="auto"/>
            <w:noWrap/>
            <w:vAlign w:val="bottom"/>
          </w:tcPr>
          <w:p w:rsidR="006A257E" w:rsidRPr="00FE7FD1" w:rsidRDefault="006A257E" w:rsidP="00186ED6">
            <w:pPr>
              <w:jc w:val="right"/>
              <w:rPr>
                <w:rFonts w:cs="Arial"/>
                <w:b/>
                <w:sz w:val="18"/>
                <w:szCs w:val="18"/>
              </w:rPr>
            </w:pPr>
            <w:r w:rsidRPr="00FE7FD1">
              <w:rPr>
                <w:rFonts w:cs="Arial"/>
                <w:b/>
                <w:sz w:val="18"/>
                <w:szCs w:val="18"/>
              </w:rPr>
              <w:t>20</w:t>
            </w:r>
            <w:r>
              <w:rPr>
                <w:rFonts w:cs="Arial"/>
                <w:b/>
                <w:sz w:val="18"/>
                <w:szCs w:val="18"/>
              </w:rPr>
              <w:t>18</w:t>
            </w:r>
          </w:p>
        </w:tc>
        <w:tc>
          <w:tcPr>
            <w:tcW w:w="1318" w:type="dxa"/>
            <w:tcBorders>
              <w:top w:val="nil"/>
              <w:left w:val="nil"/>
              <w:bottom w:val="single" w:sz="4" w:space="0" w:color="auto"/>
              <w:right w:val="nil"/>
            </w:tcBorders>
            <w:vAlign w:val="bottom"/>
          </w:tcPr>
          <w:p w:rsidR="006A257E" w:rsidRPr="00FE1DDB" w:rsidRDefault="006A257E" w:rsidP="00186ED6">
            <w:pPr>
              <w:jc w:val="right"/>
              <w:rPr>
                <w:rFonts w:cs="Arial"/>
                <w:sz w:val="18"/>
                <w:szCs w:val="18"/>
              </w:rPr>
            </w:pPr>
            <w:r w:rsidRPr="00FE1DDB">
              <w:rPr>
                <w:rFonts w:cs="Arial"/>
                <w:sz w:val="18"/>
                <w:szCs w:val="18"/>
              </w:rPr>
              <w:t>201</w:t>
            </w:r>
            <w:r>
              <w:rPr>
                <w:rFonts w:cs="Arial"/>
                <w:sz w:val="18"/>
                <w:szCs w:val="18"/>
              </w:rPr>
              <w:t>7</w:t>
            </w:r>
          </w:p>
        </w:tc>
      </w:tr>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RPr="00FE7FD1" w:rsidRDefault="006A257E" w:rsidP="00186ED6">
            <w:pPr>
              <w:rPr>
                <w:rFonts w:cs="Arial"/>
                <w:sz w:val="18"/>
                <w:szCs w:val="18"/>
              </w:rPr>
            </w:pPr>
            <w:r>
              <w:rPr>
                <w:rFonts w:cs="Arial"/>
                <w:sz w:val="18"/>
                <w:szCs w:val="18"/>
              </w:rPr>
              <w:t>Expenses paid</w:t>
            </w:r>
            <w:r w:rsidRPr="00FE7FD1">
              <w:rPr>
                <w:rFonts w:cs="Arial"/>
                <w:sz w:val="18"/>
                <w:szCs w:val="18"/>
              </w:rPr>
              <w:t xml:space="preserve"> by EPL</w:t>
            </w:r>
          </w:p>
        </w:tc>
        <w:tc>
          <w:tcPr>
            <w:tcW w:w="1318" w:type="dxa"/>
            <w:tcBorders>
              <w:top w:val="nil"/>
              <w:left w:val="nil"/>
              <w:right w:val="nil"/>
            </w:tcBorders>
            <w:shd w:val="clear" w:color="auto" w:fill="auto"/>
            <w:noWrap/>
            <w:vAlign w:val="bottom"/>
          </w:tcPr>
          <w:p w:rsidR="006A257E" w:rsidRPr="00FE7FD1" w:rsidRDefault="006A257E" w:rsidP="00186ED6">
            <w:pPr>
              <w:jc w:val="right"/>
              <w:rPr>
                <w:rFonts w:cs="Arial"/>
                <w:b/>
                <w:sz w:val="18"/>
                <w:szCs w:val="18"/>
              </w:rPr>
            </w:pPr>
            <w:r>
              <w:rPr>
                <w:rFonts w:cs="Arial"/>
                <w:b/>
                <w:sz w:val="18"/>
                <w:szCs w:val="18"/>
              </w:rPr>
              <w:t>$             -</w:t>
            </w:r>
          </w:p>
        </w:tc>
        <w:tc>
          <w:tcPr>
            <w:tcW w:w="1318" w:type="dxa"/>
            <w:tcBorders>
              <w:top w:val="nil"/>
              <w:left w:val="nil"/>
              <w:right w:val="nil"/>
            </w:tcBorders>
            <w:vAlign w:val="bottom"/>
          </w:tcPr>
          <w:p w:rsidR="006A257E" w:rsidRPr="00FE1DDB" w:rsidRDefault="006A257E" w:rsidP="00186ED6">
            <w:pPr>
              <w:jc w:val="right"/>
              <w:rPr>
                <w:rFonts w:cs="Arial"/>
                <w:sz w:val="18"/>
                <w:szCs w:val="18"/>
              </w:rPr>
            </w:pPr>
            <w:r w:rsidRPr="00FE1DDB">
              <w:rPr>
                <w:rFonts w:cs="Arial"/>
                <w:sz w:val="18"/>
                <w:szCs w:val="18"/>
              </w:rPr>
              <w:t xml:space="preserve">$   </w:t>
            </w:r>
            <w:r>
              <w:rPr>
                <w:rFonts w:cs="Arial"/>
                <w:sz w:val="18"/>
                <w:szCs w:val="18"/>
              </w:rPr>
              <w:t>38,390</w:t>
            </w:r>
          </w:p>
        </w:tc>
      </w:tr>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RDefault="006A257E" w:rsidP="00186ED6">
            <w:pPr>
              <w:rPr>
                <w:rFonts w:cs="Arial"/>
                <w:sz w:val="18"/>
                <w:szCs w:val="18"/>
              </w:rPr>
            </w:pPr>
            <w:r>
              <w:rPr>
                <w:rFonts w:cs="Arial"/>
                <w:sz w:val="18"/>
                <w:szCs w:val="18"/>
              </w:rPr>
              <w:t>Exploration costs paid by EPL</w:t>
            </w:r>
          </w:p>
        </w:tc>
        <w:tc>
          <w:tcPr>
            <w:tcW w:w="1318" w:type="dxa"/>
            <w:tcBorders>
              <w:top w:val="nil"/>
              <w:left w:val="nil"/>
              <w:right w:val="nil"/>
            </w:tcBorders>
            <w:shd w:val="clear" w:color="auto" w:fill="auto"/>
            <w:noWrap/>
            <w:vAlign w:val="bottom"/>
          </w:tcPr>
          <w:p w:rsidR="006A257E" w:rsidRDefault="006A257E" w:rsidP="00186ED6">
            <w:pPr>
              <w:jc w:val="right"/>
              <w:rPr>
                <w:rFonts w:cs="Arial"/>
                <w:b/>
                <w:sz w:val="18"/>
                <w:szCs w:val="18"/>
              </w:rPr>
            </w:pPr>
            <w:r>
              <w:rPr>
                <w:rFonts w:cs="Arial"/>
                <w:b/>
                <w:sz w:val="18"/>
                <w:szCs w:val="18"/>
              </w:rPr>
              <w:t>-</w:t>
            </w:r>
          </w:p>
        </w:tc>
        <w:tc>
          <w:tcPr>
            <w:tcW w:w="1318" w:type="dxa"/>
            <w:tcBorders>
              <w:top w:val="nil"/>
              <w:left w:val="nil"/>
              <w:right w:val="nil"/>
            </w:tcBorders>
            <w:vAlign w:val="bottom"/>
          </w:tcPr>
          <w:p w:rsidR="006A257E" w:rsidRPr="00FE1DDB" w:rsidRDefault="006A257E" w:rsidP="00186ED6">
            <w:pPr>
              <w:jc w:val="right"/>
              <w:rPr>
                <w:rFonts w:cs="Arial"/>
                <w:sz w:val="18"/>
                <w:szCs w:val="18"/>
              </w:rPr>
            </w:pPr>
            <w:r>
              <w:rPr>
                <w:rFonts w:cs="Arial"/>
                <w:sz w:val="18"/>
                <w:szCs w:val="18"/>
              </w:rPr>
              <w:t>55,660</w:t>
            </w:r>
          </w:p>
        </w:tc>
      </w:tr>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RDefault="006A257E" w:rsidP="00186ED6">
            <w:pPr>
              <w:rPr>
                <w:rFonts w:cs="Arial"/>
                <w:sz w:val="18"/>
                <w:szCs w:val="18"/>
              </w:rPr>
            </w:pPr>
            <w:r>
              <w:rPr>
                <w:rFonts w:cs="Arial"/>
                <w:sz w:val="18"/>
                <w:szCs w:val="18"/>
              </w:rPr>
              <w:t>Administrative services provided by EPL</w:t>
            </w:r>
          </w:p>
        </w:tc>
        <w:tc>
          <w:tcPr>
            <w:tcW w:w="1318" w:type="dxa"/>
            <w:tcBorders>
              <w:top w:val="nil"/>
              <w:left w:val="nil"/>
              <w:right w:val="nil"/>
            </w:tcBorders>
            <w:shd w:val="clear" w:color="auto" w:fill="auto"/>
            <w:noWrap/>
            <w:vAlign w:val="bottom"/>
          </w:tcPr>
          <w:p w:rsidR="006A257E" w:rsidRDefault="006A257E" w:rsidP="00186ED6">
            <w:pPr>
              <w:jc w:val="right"/>
              <w:rPr>
                <w:rFonts w:cs="Arial"/>
                <w:b/>
                <w:sz w:val="18"/>
                <w:szCs w:val="18"/>
              </w:rPr>
            </w:pPr>
            <w:r>
              <w:rPr>
                <w:rFonts w:cs="Arial"/>
                <w:b/>
                <w:sz w:val="18"/>
                <w:szCs w:val="18"/>
              </w:rPr>
              <w:t>6,200</w:t>
            </w:r>
          </w:p>
        </w:tc>
        <w:tc>
          <w:tcPr>
            <w:tcW w:w="1318" w:type="dxa"/>
            <w:tcBorders>
              <w:top w:val="nil"/>
              <w:left w:val="nil"/>
              <w:right w:val="nil"/>
            </w:tcBorders>
            <w:vAlign w:val="bottom"/>
          </w:tcPr>
          <w:p w:rsidR="006A257E" w:rsidRDefault="006A257E" w:rsidP="00186ED6">
            <w:pPr>
              <w:jc w:val="right"/>
              <w:rPr>
                <w:rFonts w:cs="Arial"/>
                <w:sz w:val="18"/>
                <w:szCs w:val="18"/>
              </w:rPr>
            </w:pPr>
            <w:r>
              <w:rPr>
                <w:rFonts w:cs="Arial"/>
                <w:sz w:val="18"/>
                <w:szCs w:val="18"/>
              </w:rPr>
              <w:t>-</w:t>
            </w:r>
          </w:p>
        </w:tc>
      </w:tr>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Del="00840DF0" w:rsidRDefault="006A257E" w:rsidP="00186ED6">
            <w:pPr>
              <w:rPr>
                <w:rFonts w:cs="Arial"/>
                <w:sz w:val="18"/>
                <w:szCs w:val="18"/>
              </w:rPr>
            </w:pPr>
            <w:r>
              <w:rPr>
                <w:rFonts w:cs="Arial"/>
                <w:sz w:val="18"/>
                <w:szCs w:val="18"/>
              </w:rPr>
              <w:t>Share of proceeds from exercise of EPL options</w:t>
            </w:r>
          </w:p>
        </w:tc>
        <w:tc>
          <w:tcPr>
            <w:tcW w:w="1318" w:type="dxa"/>
            <w:tcBorders>
              <w:left w:val="nil"/>
              <w:bottom w:val="single" w:sz="4" w:space="0" w:color="auto"/>
              <w:right w:val="nil"/>
            </w:tcBorders>
            <w:shd w:val="clear" w:color="auto" w:fill="auto"/>
            <w:noWrap/>
            <w:vAlign w:val="bottom"/>
          </w:tcPr>
          <w:p w:rsidR="006A257E" w:rsidDel="00840DF0" w:rsidRDefault="006A257E" w:rsidP="00186ED6">
            <w:pPr>
              <w:jc w:val="right"/>
              <w:rPr>
                <w:rFonts w:cs="Arial"/>
                <w:b/>
                <w:sz w:val="18"/>
                <w:szCs w:val="18"/>
              </w:rPr>
            </w:pPr>
            <w:r>
              <w:rPr>
                <w:rFonts w:cs="Arial"/>
                <w:b/>
                <w:sz w:val="18"/>
                <w:szCs w:val="18"/>
              </w:rPr>
              <w:t>(7,282)</w:t>
            </w:r>
          </w:p>
        </w:tc>
        <w:tc>
          <w:tcPr>
            <w:tcW w:w="1318" w:type="dxa"/>
            <w:tcBorders>
              <w:left w:val="nil"/>
              <w:bottom w:val="single" w:sz="4" w:space="0" w:color="auto"/>
              <w:right w:val="nil"/>
            </w:tcBorders>
            <w:vAlign w:val="bottom"/>
          </w:tcPr>
          <w:p w:rsidR="006A257E" w:rsidDel="0028229D" w:rsidRDefault="006A257E" w:rsidP="00186ED6">
            <w:pPr>
              <w:jc w:val="right"/>
              <w:rPr>
                <w:rFonts w:cs="Arial"/>
                <w:sz w:val="18"/>
                <w:szCs w:val="18"/>
              </w:rPr>
            </w:pPr>
            <w:r>
              <w:rPr>
                <w:rFonts w:cs="Arial"/>
                <w:sz w:val="18"/>
                <w:szCs w:val="18"/>
              </w:rPr>
              <w:t>-</w:t>
            </w:r>
          </w:p>
        </w:tc>
      </w:tr>
      <w:tr w:rsidR="006A257E" w:rsidRPr="00FE7FD1" w:rsidTr="00186ED6">
        <w:trPr>
          <w:trHeight w:val="68"/>
        </w:trPr>
        <w:tc>
          <w:tcPr>
            <w:tcW w:w="4554" w:type="dxa"/>
            <w:tcBorders>
              <w:top w:val="nil"/>
              <w:left w:val="nil"/>
              <w:bottom w:val="nil"/>
              <w:right w:val="nil"/>
            </w:tcBorders>
            <w:shd w:val="clear" w:color="auto" w:fill="auto"/>
            <w:noWrap/>
            <w:vAlign w:val="bottom"/>
          </w:tcPr>
          <w:p w:rsidR="006A257E" w:rsidRDefault="006A257E" w:rsidP="00186ED6">
            <w:pPr>
              <w:rPr>
                <w:rFonts w:cs="Arial"/>
                <w:sz w:val="18"/>
                <w:szCs w:val="18"/>
              </w:rPr>
            </w:pPr>
          </w:p>
        </w:tc>
        <w:tc>
          <w:tcPr>
            <w:tcW w:w="1318" w:type="dxa"/>
            <w:tcBorders>
              <w:top w:val="single" w:sz="4" w:space="0" w:color="auto"/>
              <w:left w:val="nil"/>
              <w:bottom w:val="single" w:sz="8" w:space="0" w:color="auto"/>
              <w:right w:val="nil"/>
            </w:tcBorders>
            <w:shd w:val="clear" w:color="auto" w:fill="auto"/>
            <w:noWrap/>
            <w:vAlign w:val="bottom"/>
          </w:tcPr>
          <w:p w:rsidR="006A257E" w:rsidRDefault="006A257E" w:rsidP="00186ED6">
            <w:pPr>
              <w:jc w:val="right"/>
              <w:rPr>
                <w:rFonts w:cs="Arial"/>
                <w:b/>
                <w:sz w:val="18"/>
                <w:szCs w:val="18"/>
              </w:rPr>
            </w:pPr>
            <w:r>
              <w:rPr>
                <w:rFonts w:cs="Arial"/>
                <w:b/>
                <w:sz w:val="18"/>
                <w:szCs w:val="18"/>
              </w:rPr>
              <w:t>$  (1,082)</w:t>
            </w:r>
          </w:p>
        </w:tc>
        <w:tc>
          <w:tcPr>
            <w:tcW w:w="1318" w:type="dxa"/>
            <w:tcBorders>
              <w:top w:val="single" w:sz="4" w:space="0" w:color="auto"/>
              <w:left w:val="nil"/>
              <w:bottom w:val="single" w:sz="8" w:space="0" w:color="auto"/>
              <w:right w:val="nil"/>
            </w:tcBorders>
            <w:vAlign w:val="bottom"/>
          </w:tcPr>
          <w:p w:rsidR="006A257E" w:rsidRPr="00FE1DDB" w:rsidRDefault="006A257E" w:rsidP="00186ED6">
            <w:pPr>
              <w:jc w:val="right"/>
              <w:rPr>
                <w:rFonts w:cs="Arial"/>
                <w:sz w:val="18"/>
                <w:szCs w:val="18"/>
              </w:rPr>
            </w:pPr>
            <w:r>
              <w:rPr>
                <w:rFonts w:cs="Arial"/>
                <w:sz w:val="18"/>
                <w:szCs w:val="18"/>
              </w:rPr>
              <w:t>$  94,050</w:t>
            </w:r>
          </w:p>
        </w:tc>
      </w:tr>
    </w:tbl>
    <w:p w:rsidR="006A257E" w:rsidRDefault="006A257E" w:rsidP="006A257E">
      <w:pPr>
        <w:tabs>
          <w:tab w:val="left" w:pos="432"/>
        </w:tabs>
        <w:jc w:val="both"/>
        <w:rPr>
          <w:rFonts w:cs="Arial"/>
          <w:sz w:val="18"/>
          <w:szCs w:val="18"/>
          <w:u w:val="single"/>
        </w:rPr>
      </w:pPr>
    </w:p>
    <w:p w:rsidR="006A257E" w:rsidRPr="0012120E" w:rsidRDefault="006A257E" w:rsidP="00444A4B">
      <w:pPr>
        <w:numPr>
          <w:ilvl w:val="0"/>
          <w:numId w:val="19"/>
        </w:numPr>
        <w:tabs>
          <w:tab w:val="left" w:pos="432"/>
        </w:tabs>
        <w:jc w:val="both"/>
        <w:rPr>
          <w:rFonts w:cs="Arial"/>
          <w:sz w:val="18"/>
          <w:szCs w:val="18"/>
          <w:u w:val="single"/>
        </w:rPr>
      </w:pPr>
      <w:r w:rsidRPr="0012120E">
        <w:rPr>
          <w:rFonts w:cs="Arial"/>
          <w:sz w:val="18"/>
          <w:szCs w:val="18"/>
          <w:u w:val="single"/>
        </w:rPr>
        <w:t>Compensation to key management</w:t>
      </w:r>
    </w:p>
    <w:p w:rsidR="006A257E" w:rsidRPr="004B3E5E" w:rsidRDefault="006A257E" w:rsidP="006A257E">
      <w:pPr>
        <w:tabs>
          <w:tab w:val="left" w:pos="432"/>
        </w:tabs>
        <w:jc w:val="both"/>
        <w:rPr>
          <w:rFonts w:cs="Arial"/>
          <w:sz w:val="12"/>
          <w:szCs w:val="12"/>
          <w:u w:val="thick"/>
        </w:rPr>
      </w:pPr>
    </w:p>
    <w:p w:rsidR="006A257E" w:rsidRDefault="006A257E" w:rsidP="006A257E">
      <w:pPr>
        <w:tabs>
          <w:tab w:val="left" w:pos="432"/>
        </w:tabs>
        <w:ind w:left="432"/>
        <w:jc w:val="both"/>
        <w:rPr>
          <w:rFonts w:cs="Arial"/>
          <w:sz w:val="18"/>
          <w:szCs w:val="18"/>
        </w:rPr>
      </w:pPr>
      <w:r>
        <w:rPr>
          <w:rFonts w:cs="Arial"/>
          <w:sz w:val="18"/>
          <w:szCs w:val="18"/>
        </w:rPr>
        <w:tab/>
        <w:t xml:space="preserve">  Compensation to key management personnel in the quarter:</w:t>
      </w:r>
    </w:p>
    <w:p w:rsidR="006A257E" w:rsidRDefault="006A257E" w:rsidP="006A257E">
      <w:pPr>
        <w:tabs>
          <w:tab w:val="left" w:pos="432"/>
        </w:tabs>
        <w:ind w:left="432"/>
        <w:jc w:val="both"/>
        <w:rPr>
          <w:rFonts w:cs="Arial"/>
          <w:sz w:val="18"/>
          <w:szCs w:val="18"/>
        </w:rPr>
      </w:pPr>
    </w:p>
    <w:tbl>
      <w:tblPr>
        <w:tblW w:w="0" w:type="auto"/>
        <w:tblInd w:w="851" w:type="dxa"/>
        <w:tblLayout w:type="fixed"/>
        <w:tblLook w:val="04A0" w:firstRow="1" w:lastRow="0" w:firstColumn="1" w:lastColumn="0" w:noHBand="0" w:noVBand="1"/>
      </w:tblPr>
      <w:tblGrid>
        <w:gridCol w:w="2234"/>
        <w:gridCol w:w="3560"/>
        <w:gridCol w:w="960"/>
        <w:gridCol w:w="1150"/>
      </w:tblGrid>
      <w:tr w:rsidR="006A257E" w:rsidRPr="00C83BA8" w:rsidTr="00186ED6">
        <w:trPr>
          <w:trHeight w:val="68"/>
        </w:trPr>
        <w:tc>
          <w:tcPr>
            <w:tcW w:w="2234" w:type="dxa"/>
            <w:tcBorders>
              <w:top w:val="nil"/>
              <w:left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Administration costs </w:t>
            </w:r>
          </w:p>
        </w:tc>
        <w:tc>
          <w:tcPr>
            <w:tcW w:w="3560" w:type="dxa"/>
            <w:tcBorders>
              <w:top w:val="nil"/>
              <w:left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rsidR="006A257E" w:rsidRPr="00C83BA8" w:rsidRDefault="006A257E" w:rsidP="00186ED6">
            <w:pPr>
              <w:jc w:val="right"/>
              <w:rPr>
                <w:rFonts w:cs="Arial"/>
                <w:b/>
                <w:color w:val="000000"/>
                <w:sz w:val="18"/>
                <w:szCs w:val="18"/>
              </w:rPr>
            </w:pPr>
            <w:r w:rsidRPr="00C83BA8">
              <w:rPr>
                <w:rFonts w:cs="Arial"/>
                <w:b/>
                <w:color w:val="000000"/>
                <w:sz w:val="18"/>
                <w:szCs w:val="18"/>
              </w:rPr>
              <w:t>2018</w:t>
            </w:r>
          </w:p>
        </w:tc>
        <w:tc>
          <w:tcPr>
            <w:tcW w:w="1150" w:type="dxa"/>
            <w:tcBorders>
              <w:top w:val="nil"/>
              <w:left w:val="nil"/>
              <w:bottom w:val="single" w:sz="8" w:space="0" w:color="auto"/>
              <w:right w:val="nil"/>
            </w:tcBorders>
            <w:shd w:val="clear" w:color="auto" w:fill="auto"/>
            <w:noWrap/>
            <w:vAlign w:val="bottom"/>
            <w:hideMark/>
          </w:tcPr>
          <w:p w:rsidR="006A257E" w:rsidRPr="00C83BA8" w:rsidRDefault="006A257E" w:rsidP="00186ED6">
            <w:pPr>
              <w:jc w:val="right"/>
              <w:rPr>
                <w:rFonts w:cs="Arial"/>
                <w:color w:val="000000"/>
                <w:sz w:val="18"/>
                <w:szCs w:val="18"/>
              </w:rPr>
            </w:pPr>
            <w:r w:rsidRPr="00C83BA8">
              <w:rPr>
                <w:rFonts w:cs="Arial"/>
                <w:color w:val="000000"/>
                <w:sz w:val="18"/>
                <w:szCs w:val="18"/>
              </w:rPr>
              <w:t>2017</w:t>
            </w:r>
          </w:p>
        </w:tc>
      </w:tr>
      <w:tr w:rsidR="006A257E" w:rsidRPr="00C83BA8" w:rsidTr="00186ED6">
        <w:trPr>
          <w:trHeight w:val="68"/>
        </w:trPr>
        <w:tc>
          <w:tcPr>
            <w:tcW w:w="2234" w:type="dxa"/>
            <w:tcBorders>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  Management fees</w:t>
            </w:r>
          </w:p>
        </w:tc>
        <w:tc>
          <w:tcPr>
            <w:tcW w:w="3560" w:type="dxa"/>
            <w:tcBorders>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to a company owned by a director</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rPr>
                <w:rFonts w:cs="Arial"/>
                <w:b/>
                <w:color w:val="000000"/>
                <w:sz w:val="18"/>
                <w:szCs w:val="18"/>
              </w:rPr>
            </w:pPr>
          </w:p>
        </w:tc>
        <w:tc>
          <w:tcPr>
            <w:tcW w:w="115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p>
        </w:tc>
      </w:tr>
      <w:tr w:rsidR="006A257E" w:rsidRPr="00C83BA8" w:rsidTr="00186ED6">
        <w:trPr>
          <w:trHeight w:val="68"/>
        </w:trPr>
        <w:tc>
          <w:tcPr>
            <w:tcW w:w="2234"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and officer of </w:t>
            </w:r>
            <w:r>
              <w:rPr>
                <w:rFonts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b/>
                <w:color w:val="000000"/>
                <w:sz w:val="18"/>
                <w:szCs w:val="18"/>
              </w:rPr>
            </w:pPr>
            <w:r>
              <w:rPr>
                <w:rFonts w:cs="Arial"/>
                <w:b/>
                <w:color w:val="000000"/>
                <w:sz w:val="18"/>
                <w:szCs w:val="18"/>
              </w:rPr>
              <w:t>$   7,000</w:t>
            </w:r>
          </w:p>
        </w:tc>
        <w:tc>
          <w:tcPr>
            <w:tcW w:w="1150" w:type="dxa"/>
            <w:tcBorders>
              <w:top w:val="nil"/>
              <w:left w:val="nil"/>
              <w:bottom w:val="nil"/>
              <w:right w:val="nil"/>
            </w:tcBorders>
            <w:shd w:val="clear" w:color="auto" w:fill="auto"/>
            <w:noWrap/>
            <w:vAlign w:val="bottom"/>
            <w:hideMark/>
          </w:tcPr>
          <w:p w:rsidR="006A257E" w:rsidRPr="00C83BA8" w:rsidRDefault="006A257E" w:rsidP="00186ED6">
            <w:pPr>
              <w:tabs>
                <w:tab w:val="left" w:pos="352"/>
              </w:tabs>
              <w:jc w:val="right"/>
              <w:rPr>
                <w:rFonts w:cs="Arial"/>
                <w:color w:val="000000"/>
                <w:sz w:val="18"/>
                <w:szCs w:val="18"/>
              </w:rPr>
            </w:pPr>
            <w:r>
              <w:rPr>
                <w:rFonts w:cs="Arial"/>
                <w:color w:val="000000"/>
                <w:sz w:val="18"/>
                <w:szCs w:val="18"/>
              </w:rPr>
              <w:t>$   6,835</w:t>
            </w:r>
            <w:r w:rsidRPr="00C83BA8">
              <w:rPr>
                <w:rFonts w:cs="Arial"/>
                <w:color w:val="000000"/>
                <w:sz w:val="18"/>
                <w:szCs w:val="18"/>
              </w:rPr>
              <w:t xml:space="preserve"> </w:t>
            </w:r>
          </w:p>
        </w:tc>
      </w:tr>
      <w:tr w:rsidR="006A257E" w:rsidRPr="00C83BA8" w:rsidTr="00186ED6">
        <w:trPr>
          <w:trHeight w:val="68"/>
        </w:trPr>
        <w:tc>
          <w:tcPr>
            <w:tcW w:w="2234"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 </w:t>
            </w:r>
            <w:r>
              <w:rPr>
                <w:rFonts w:cs="Arial"/>
                <w:color w:val="000000"/>
                <w:sz w:val="18"/>
                <w:szCs w:val="18"/>
              </w:rPr>
              <w:t xml:space="preserve"> </w:t>
            </w:r>
            <w:r w:rsidRPr="00C83BA8">
              <w:rPr>
                <w:rFonts w:cs="Arial"/>
                <w:color w:val="000000"/>
                <w:sz w:val="18"/>
                <w:szCs w:val="18"/>
              </w:rPr>
              <w:t>Wages and benefits</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to director</w:t>
            </w:r>
            <w:r>
              <w:rPr>
                <w:rFonts w:cs="Arial"/>
                <w:color w:val="000000"/>
                <w:sz w:val="18"/>
                <w:szCs w:val="18"/>
              </w:rPr>
              <w:t>s</w:t>
            </w:r>
            <w:r w:rsidRPr="00C83BA8">
              <w:rPr>
                <w:rFonts w:cs="Arial"/>
                <w:color w:val="000000"/>
                <w:sz w:val="18"/>
                <w:szCs w:val="18"/>
              </w:rPr>
              <w:t xml:space="preserve"> and officer</w:t>
            </w:r>
            <w:r>
              <w:rPr>
                <w:rFonts w:cs="Arial"/>
                <w:color w:val="000000"/>
                <w:sz w:val="18"/>
                <w:szCs w:val="18"/>
              </w:rPr>
              <w:t>s</w:t>
            </w:r>
            <w:r w:rsidRPr="00C83BA8">
              <w:rPr>
                <w:rFonts w:cs="Arial"/>
                <w:color w:val="000000"/>
                <w:sz w:val="18"/>
                <w:szCs w:val="18"/>
              </w:rPr>
              <w:t xml:space="preserve"> of </w:t>
            </w:r>
            <w:r>
              <w:rPr>
                <w:rFonts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b/>
                <w:color w:val="000000"/>
                <w:sz w:val="18"/>
                <w:szCs w:val="18"/>
              </w:rPr>
            </w:pPr>
            <w:r>
              <w:rPr>
                <w:rFonts w:cs="Arial"/>
                <w:b/>
                <w:color w:val="000000"/>
                <w:sz w:val="18"/>
                <w:szCs w:val="18"/>
              </w:rPr>
              <w:t>8,333</w:t>
            </w:r>
            <w:r w:rsidRPr="00C83BA8">
              <w:rPr>
                <w:rFonts w:cs="Arial"/>
                <w:b/>
                <w:color w:val="000000"/>
                <w:sz w:val="18"/>
                <w:szCs w:val="18"/>
              </w:rPr>
              <w:t xml:space="preserve"> </w:t>
            </w:r>
          </w:p>
        </w:tc>
        <w:tc>
          <w:tcPr>
            <w:tcW w:w="115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color w:val="000000"/>
                <w:sz w:val="18"/>
                <w:szCs w:val="18"/>
              </w:rPr>
            </w:pPr>
            <w:r>
              <w:rPr>
                <w:rFonts w:cs="Arial"/>
                <w:color w:val="000000"/>
                <w:sz w:val="18"/>
                <w:szCs w:val="18"/>
              </w:rPr>
              <w:t>7,910</w:t>
            </w:r>
            <w:r w:rsidRPr="00C83BA8">
              <w:rPr>
                <w:rFonts w:cs="Arial"/>
                <w:color w:val="000000"/>
                <w:sz w:val="18"/>
                <w:szCs w:val="18"/>
              </w:rPr>
              <w:t xml:space="preserve"> </w:t>
            </w:r>
          </w:p>
        </w:tc>
      </w:tr>
      <w:tr w:rsidR="006A257E" w:rsidRPr="00C83BA8" w:rsidTr="00186ED6">
        <w:trPr>
          <w:trHeight w:val="68"/>
        </w:trPr>
        <w:tc>
          <w:tcPr>
            <w:tcW w:w="2234"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 </w:t>
            </w:r>
            <w:r>
              <w:rPr>
                <w:rFonts w:cs="Arial"/>
                <w:color w:val="000000"/>
                <w:sz w:val="18"/>
                <w:szCs w:val="18"/>
              </w:rPr>
              <w:t xml:space="preserve"> </w:t>
            </w:r>
            <w:r w:rsidRPr="00C83BA8">
              <w:rPr>
                <w:rFonts w:cs="Arial"/>
                <w:color w:val="000000"/>
                <w:sz w:val="18"/>
                <w:szCs w:val="18"/>
              </w:rPr>
              <w:t>Professional fees</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to a director and officer of </w:t>
            </w:r>
            <w:r>
              <w:rPr>
                <w:rFonts w:cs="Arial"/>
                <w:color w:val="000000"/>
                <w:sz w:val="18"/>
                <w:szCs w:val="18"/>
              </w:rPr>
              <w:t>Taiga</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b/>
                <w:color w:val="000000"/>
                <w:sz w:val="18"/>
                <w:szCs w:val="18"/>
              </w:rPr>
            </w:pPr>
            <w:r>
              <w:rPr>
                <w:rFonts w:cs="Arial"/>
                <w:b/>
                <w:color w:val="000000"/>
                <w:sz w:val="18"/>
                <w:szCs w:val="18"/>
              </w:rPr>
              <w:t>3,500</w:t>
            </w:r>
            <w:r w:rsidRPr="00C83BA8">
              <w:rPr>
                <w:rFonts w:cs="Arial"/>
                <w:b/>
                <w:color w:val="000000"/>
                <w:sz w:val="18"/>
                <w:szCs w:val="18"/>
              </w:rPr>
              <w:t xml:space="preserve"> </w:t>
            </w:r>
          </w:p>
        </w:tc>
        <w:tc>
          <w:tcPr>
            <w:tcW w:w="115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color w:val="000000"/>
                <w:sz w:val="18"/>
                <w:szCs w:val="18"/>
              </w:rPr>
            </w:pPr>
            <w:r>
              <w:rPr>
                <w:rFonts w:cs="Arial"/>
                <w:color w:val="000000"/>
                <w:sz w:val="18"/>
                <w:szCs w:val="18"/>
              </w:rPr>
              <w:t>2,260</w:t>
            </w:r>
            <w:r w:rsidRPr="00C83BA8">
              <w:rPr>
                <w:rFonts w:cs="Arial"/>
                <w:color w:val="000000"/>
                <w:sz w:val="18"/>
                <w:szCs w:val="18"/>
              </w:rPr>
              <w:t xml:space="preserve"> </w:t>
            </w:r>
          </w:p>
        </w:tc>
      </w:tr>
      <w:tr w:rsidR="006A257E" w:rsidRPr="00C83BA8" w:rsidTr="00186ED6">
        <w:trPr>
          <w:trHeight w:val="68"/>
        </w:trPr>
        <w:tc>
          <w:tcPr>
            <w:tcW w:w="2234"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 xml:space="preserve"> </w:t>
            </w:r>
            <w:r>
              <w:rPr>
                <w:rFonts w:cs="Arial"/>
                <w:color w:val="000000"/>
                <w:sz w:val="18"/>
                <w:szCs w:val="18"/>
              </w:rPr>
              <w:t xml:space="preserve"> </w:t>
            </w:r>
            <w:r w:rsidRPr="00C83BA8">
              <w:rPr>
                <w:rFonts w:cs="Arial"/>
                <w:color w:val="000000"/>
                <w:sz w:val="18"/>
                <w:szCs w:val="18"/>
              </w:rPr>
              <w:t xml:space="preserve">Share-based payments </w:t>
            </w: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r w:rsidRPr="00C83BA8">
              <w:rPr>
                <w:rFonts w:cs="Arial"/>
                <w:color w:val="000000"/>
                <w:sz w:val="18"/>
                <w:szCs w:val="18"/>
              </w:rPr>
              <w:t>to directors and officers</w:t>
            </w:r>
          </w:p>
        </w:tc>
        <w:tc>
          <w:tcPr>
            <w:tcW w:w="96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b/>
                <w:color w:val="000000"/>
                <w:sz w:val="18"/>
                <w:szCs w:val="18"/>
              </w:rPr>
            </w:pPr>
            <w:r>
              <w:rPr>
                <w:rFonts w:cs="Arial"/>
                <w:b/>
                <w:color w:val="000000"/>
                <w:sz w:val="18"/>
                <w:szCs w:val="18"/>
              </w:rPr>
              <w:t>-</w:t>
            </w:r>
            <w:r w:rsidRPr="00C83BA8">
              <w:rPr>
                <w:rFonts w:cs="Arial"/>
                <w:b/>
                <w:color w:val="000000"/>
                <w:sz w:val="18"/>
                <w:szCs w:val="18"/>
              </w:rPr>
              <w:t xml:space="preserve"> </w:t>
            </w:r>
          </w:p>
        </w:tc>
        <w:tc>
          <w:tcPr>
            <w:tcW w:w="1150" w:type="dxa"/>
            <w:tcBorders>
              <w:top w:val="nil"/>
              <w:left w:val="nil"/>
              <w:bottom w:val="nil"/>
              <w:right w:val="nil"/>
            </w:tcBorders>
            <w:shd w:val="clear" w:color="auto" w:fill="auto"/>
            <w:noWrap/>
            <w:vAlign w:val="bottom"/>
            <w:hideMark/>
          </w:tcPr>
          <w:p w:rsidR="006A257E" w:rsidRPr="00C83BA8" w:rsidRDefault="006A257E" w:rsidP="00186ED6">
            <w:pPr>
              <w:jc w:val="right"/>
              <w:rPr>
                <w:rFonts w:cs="Arial"/>
                <w:color w:val="000000"/>
                <w:sz w:val="18"/>
                <w:szCs w:val="18"/>
              </w:rPr>
            </w:pPr>
            <w:r>
              <w:rPr>
                <w:rFonts w:cs="Arial"/>
                <w:color w:val="000000"/>
                <w:sz w:val="18"/>
                <w:szCs w:val="18"/>
              </w:rPr>
              <w:t>13,892</w:t>
            </w:r>
            <w:r w:rsidRPr="00C83BA8">
              <w:rPr>
                <w:rFonts w:cs="Arial"/>
                <w:color w:val="000000"/>
                <w:sz w:val="18"/>
                <w:szCs w:val="18"/>
              </w:rPr>
              <w:t xml:space="preserve"> </w:t>
            </w:r>
          </w:p>
        </w:tc>
      </w:tr>
      <w:tr w:rsidR="006A257E" w:rsidRPr="00C83BA8" w:rsidTr="00186ED6">
        <w:trPr>
          <w:trHeight w:val="68"/>
        </w:trPr>
        <w:tc>
          <w:tcPr>
            <w:tcW w:w="2234"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p>
        </w:tc>
        <w:tc>
          <w:tcPr>
            <w:tcW w:w="3560" w:type="dxa"/>
            <w:tcBorders>
              <w:top w:val="nil"/>
              <w:left w:val="nil"/>
              <w:bottom w:val="nil"/>
              <w:right w:val="nil"/>
            </w:tcBorders>
            <w:shd w:val="clear" w:color="auto" w:fill="auto"/>
            <w:noWrap/>
            <w:vAlign w:val="bottom"/>
            <w:hideMark/>
          </w:tcPr>
          <w:p w:rsidR="006A257E" w:rsidRPr="00C83BA8" w:rsidRDefault="006A257E" w:rsidP="00186ED6">
            <w:pPr>
              <w:rPr>
                <w:rFonts w:cs="Arial"/>
                <w:color w:val="000000"/>
                <w:sz w:val="18"/>
                <w:szCs w:val="18"/>
              </w:rPr>
            </w:pPr>
          </w:p>
        </w:tc>
        <w:tc>
          <w:tcPr>
            <w:tcW w:w="960" w:type="dxa"/>
            <w:tcBorders>
              <w:top w:val="single" w:sz="4" w:space="0" w:color="auto"/>
              <w:left w:val="nil"/>
              <w:bottom w:val="double" w:sz="6" w:space="0" w:color="auto"/>
              <w:right w:val="nil"/>
            </w:tcBorders>
            <w:shd w:val="clear" w:color="auto" w:fill="auto"/>
            <w:noWrap/>
            <w:vAlign w:val="bottom"/>
            <w:hideMark/>
          </w:tcPr>
          <w:p w:rsidR="006A257E" w:rsidRPr="00C83BA8" w:rsidRDefault="006A257E" w:rsidP="00186ED6">
            <w:pPr>
              <w:jc w:val="right"/>
              <w:rPr>
                <w:rFonts w:cs="Arial"/>
                <w:b/>
                <w:color w:val="000000"/>
                <w:sz w:val="18"/>
                <w:szCs w:val="18"/>
              </w:rPr>
            </w:pPr>
            <w:r>
              <w:rPr>
                <w:rFonts w:cs="Arial"/>
                <w:b/>
                <w:color w:val="000000"/>
                <w:sz w:val="18"/>
                <w:szCs w:val="18"/>
              </w:rPr>
              <w:t>$ 18,833</w:t>
            </w:r>
            <w:r w:rsidRPr="00C83BA8">
              <w:rPr>
                <w:rFonts w:cs="Arial"/>
                <w:b/>
                <w:color w:val="000000"/>
                <w:sz w:val="18"/>
                <w:szCs w:val="18"/>
              </w:rPr>
              <w:t xml:space="preserve"> </w:t>
            </w:r>
          </w:p>
        </w:tc>
        <w:tc>
          <w:tcPr>
            <w:tcW w:w="1150" w:type="dxa"/>
            <w:tcBorders>
              <w:top w:val="single" w:sz="4" w:space="0" w:color="auto"/>
              <w:left w:val="nil"/>
              <w:bottom w:val="double" w:sz="6" w:space="0" w:color="auto"/>
              <w:right w:val="nil"/>
            </w:tcBorders>
            <w:shd w:val="clear" w:color="auto" w:fill="auto"/>
            <w:noWrap/>
            <w:vAlign w:val="bottom"/>
            <w:hideMark/>
          </w:tcPr>
          <w:p w:rsidR="006A257E" w:rsidRPr="00C83BA8" w:rsidRDefault="006A257E" w:rsidP="00186ED6">
            <w:pPr>
              <w:jc w:val="right"/>
              <w:rPr>
                <w:rFonts w:cs="Arial"/>
                <w:color w:val="000000"/>
                <w:sz w:val="18"/>
                <w:szCs w:val="18"/>
              </w:rPr>
            </w:pPr>
            <w:r>
              <w:rPr>
                <w:rFonts w:cs="Arial"/>
                <w:color w:val="000000"/>
                <w:sz w:val="18"/>
                <w:szCs w:val="18"/>
              </w:rPr>
              <w:t>$ 30,897</w:t>
            </w:r>
            <w:r w:rsidRPr="00C83BA8">
              <w:rPr>
                <w:rFonts w:cs="Arial"/>
                <w:color w:val="000000"/>
                <w:sz w:val="18"/>
                <w:szCs w:val="18"/>
              </w:rPr>
              <w:t xml:space="preserve"> </w:t>
            </w:r>
          </w:p>
        </w:tc>
      </w:tr>
    </w:tbl>
    <w:p w:rsidR="006A257E" w:rsidRPr="00410071" w:rsidRDefault="006A257E" w:rsidP="006A257E">
      <w:pPr>
        <w:widowControl w:val="0"/>
        <w:pBdr>
          <w:top w:val="single" w:sz="24" w:space="1"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widowControl w:val="0"/>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widowControl w:val="0"/>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widowControl w:val="0"/>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Default="006A257E" w:rsidP="006A257E">
      <w:pPr>
        <w:tabs>
          <w:tab w:val="left" w:pos="432"/>
        </w:tabs>
        <w:ind w:left="837"/>
        <w:jc w:val="both"/>
        <w:rPr>
          <w:rFonts w:cs="Arial"/>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Transactions with Related Parties</w:t>
      </w:r>
      <w:r>
        <w:rPr>
          <w:rFonts w:cs="Arial"/>
          <w:b/>
          <w:sz w:val="18"/>
          <w:szCs w:val="18"/>
          <w:u w:val="single"/>
        </w:rPr>
        <w:t xml:space="preserve"> - </w:t>
      </w:r>
      <w:r w:rsidRPr="00F01519">
        <w:rPr>
          <w:rFonts w:cs="Arial"/>
          <w:sz w:val="18"/>
          <w:szCs w:val="18"/>
          <w:u w:val="single"/>
        </w:rPr>
        <w:t>continued</w:t>
      </w:r>
    </w:p>
    <w:p w:rsidR="006A257E" w:rsidRDefault="006A257E" w:rsidP="006A257E">
      <w:pPr>
        <w:tabs>
          <w:tab w:val="left" w:pos="450"/>
        </w:tabs>
        <w:ind w:left="432"/>
        <w:jc w:val="both"/>
        <w:rPr>
          <w:rFonts w:cs="Arial"/>
          <w:sz w:val="18"/>
          <w:szCs w:val="18"/>
        </w:rPr>
      </w:pPr>
    </w:p>
    <w:p w:rsidR="006A257E" w:rsidRDefault="006A257E" w:rsidP="006A257E">
      <w:pPr>
        <w:tabs>
          <w:tab w:val="left" w:pos="450"/>
        </w:tabs>
        <w:ind w:left="432"/>
        <w:jc w:val="both"/>
        <w:rPr>
          <w:rFonts w:cs="Arial"/>
          <w:bCs/>
          <w:sz w:val="18"/>
          <w:szCs w:val="18"/>
        </w:rPr>
      </w:pPr>
      <w:r w:rsidRPr="00B41203">
        <w:rPr>
          <w:rFonts w:cs="Arial"/>
          <w:sz w:val="18"/>
          <w:szCs w:val="18"/>
        </w:rPr>
        <w:t xml:space="preserve">All related party transactions in the normal course of business have been measured at the agreed upon exchange amounts, which is the amount of consideration established and agreed to by the related parties. </w:t>
      </w:r>
      <w:r w:rsidRPr="00054F0C">
        <w:rPr>
          <w:rFonts w:cs="Arial"/>
          <w:bCs/>
          <w:sz w:val="18"/>
          <w:szCs w:val="18"/>
        </w:rPr>
        <w:t>Amounts due to/from the related parties are non-interest bearing, unsecured and have no fixed terms of repayment</w:t>
      </w:r>
      <w:r>
        <w:rPr>
          <w:rFonts w:cs="Arial"/>
          <w:bCs/>
          <w:sz w:val="18"/>
          <w:szCs w:val="18"/>
        </w:rPr>
        <w:t xml:space="preserve"> unless otherwise specified</w:t>
      </w:r>
      <w:r w:rsidRPr="00054F0C">
        <w:rPr>
          <w:rFonts w:cs="Arial"/>
          <w:bCs/>
          <w:sz w:val="18"/>
          <w:szCs w:val="18"/>
        </w:rPr>
        <w:t>.</w:t>
      </w:r>
    </w:p>
    <w:p w:rsidR="006A257E" w:rsidRDefault="006A257E" w:rsidP="006A257E">
      <w:pPr>
        <w:jc w:val="both"/>
        <w:rPr>
          <w:rFonts w:cs="Arial"/>
          <w:b/>
          <w:sz w:val="18"/>
          <w:szCs w:val="18"/>
        </w:rPr>
      </w:pPr>
    </w:p>
    <w:p w:rsidR="006A257E" w:rsidRPr="00BB6DF2" w:rsidRDefault="006A257E" w:rsidP="006A257E">
      <w:pPr>
        <w:jc w:val="both"/>
        <w:rPr>
          <w:rFonts w:cs="Arial"/>
          <w:b/>
          <w:sz w:val="18"/>
          <w:szCs w:val="18"/>
          <w:u w:val="single"/>
        </w:rPr>
      </w:pPr>
      <w:r w:rsidRPr="00BB6DF2">
        <w:rPr>
          <w:rFonts w:cs="Arial"/>
          <w:b/>
          <w:sz w:val="18"/>
          <w:szCs w:val="18"/>
          <w:u w:val="single"/>
        </w:rPr>
        <w:t xml:space="preserve">Off-Balance Sheet Arrangements </w:t>
      </w:r>
    </w:p>
    <w:p w:rsidR="006A257E" w:rsidRDefault="006A257E" w:rsidP="006A257E">
      <w:pPr>
        <w:jc w:val="both"/>
        <w:rPr>
          <w:rFonts w:cs="Arial"/>
          <w:sz w:val="18"/>
          <w:szCs w:val="18"/>
        </w:rPr>
      </w:pPr>
    </w:p>
    <w:p w:rsidR="006A257E" w:rsidRPr="00F26291" w:rsidRDefault="006A257E" w:rsidP="006A257E">
      <w:pPr>
        <w:jc w:val="both"/>
        <w:rPr>
          <w:rFonts w:cs="Arial"/>
          <w:sz w:val="18"/>
          <w:szCs w:val="18"/>
        </w:rPr>
      </w:pPr>
      <w:r w:rsidRPr="00F26291">
        <w:rPr>
          <w:rFonts w:cs="Arial"/>
          <w:sz w:val="18"/>
          <w:szCs w:val="18"/>
        </w:rPr>
        <w:t>The Company has not entered into any off-balance sheet transactions.</w:t>
      </w:r>
    </w:p>
    <w:p w:rsidR="006A257E" w:rsidRDefault="006A257E" w:rsidP="006A257E">
      <w:pPr>
        <w:jc w:val="both"/>
        <w:rPr>
          <w:rFonts w:cs="Arial"/>
          <w:sz w:val="18"/>
          <w:szCs w:val="18"/>
        </w:rPr>
      </w:pPr>
    </w:p>
    <w:p w:rsidR="006A257E" w:rsidRPr="00BB6DF2" w:rsidRDefault="006A257E" w:rsidP="006A257E">
      <w:pPr>
        <w:jc w:val="both"/>
        <w:rPr>
          <w:rFonts w:cs="Arial"/>
          <w:b/>
          <w:sz w:val="18"/>
          <w:szCs w:val="18"/>
          <w:u w:val="single"/>
        </w:rPr>
      </w:pPr>
      <w:r w:rsidRPr="00BB6DF2">
        <w:rPr>
          <w:rFonts w:cs="Arial"/>
          <w:b/>
          <w:sz w:val="18"/>
          <w:szCs w:val="18"/>
          <w:u w:val="single"/>
        </w:rPr>
        <w:t>Critical Accounting Estimates</w:t>
      </w:r>
    </w:p>
    <w:p w:rsidR="006A257E" w:rsidRPr="00E50790" w:rsidRDefault="006A257E" w:rsidP="006A257E">
      <w:pPr>
        <w:jc w:val="both"/>
        <w:rPr>
          <w:rFonts w:cs="Arial"/>
          <w:b/>
          <w:sz w:val="12"/>
          <w:szCs w:val="12"/>
          <w:u w:val="single"/>
        </w:rPr>
      </w:pPr>
    </w:p>
    <w:p w:rsidR="006A257E" w:rsidRDefault="006A257E" w:rsidP="006A257E">
      <w:pPr>
        <w:jc w:val="both"/>
        <w:rPr>
          <w:rFonts w:cs="Arial"/>
          <w:sz w:val="18"/>
          <w:szCs w:val="18"/>
        </w:rPr>
      </w:pPr>
      <w:r w:rsidRPr="0014469A">
        <w:rPr>
          <w:rFonts w:cs="Arial"/>
          <w:sz w:val="18"/>
          <w:szCs w:val="18"/>
        </w:rPr>
        <w:t xml:space="preserve">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w:t>
      </w:r>
      <w:r>
        <w:rPr>
          <w:rFonts w:cs="Arial"/>
          <w:sz w:val="18"/>
          <w:szCs w:val="18"/>
        </w:rPr>
        <w:t xml:space="preserve">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w:t>
      </w:r>
      <w:r w:rsidRPr="0014469A">
        <w:rPr>
          <w:rFonts w:cs="Arial"/>
          <w:sz w:val="18"/>
          <w:szCs w:val="18"/>
        </w:rPr>
        <w:t>Financial results as determined by act</w:t>
      </w:r>
      <w:r>
        <w:rPr>
          <w:rFonts w:cs="Arial"/>
          <w:sz w:val="18"/>
          <w:szCs w:val="18"/>
        </w:rPr>
        <w:t>ual events could differ from the</w:t>
      </w:r>
      <w:r w:rsidRPr="0014469A">
        <w:rPr>
          <w:rFonts w:cs="Arial"/>
          <w:sz w:val="18"/>
          <w:szCs w:val="18"/>
        </w:rPr>
        <w:t>se estimates.</w:t>
      </w:r>
    </w:p>
    <w:p w:rsidR="006A257E" w:rsidRDefault="006A257E" w:rsidP="006A257E">
      <w:pPr>
        <w:jc w:val="both"/>
        <w:rPr>
          <w:rFonts w:cs="Arial"/>
          <w:b/>
          <w:bCs/>
          <w:sz w:val="18"/>
          <w:szCs w:val="18"/>
        </w:rPr>
      </w:pPr>
    </w:p>
    <w:p w:rsidR="006A257E" w:rsidRDefault="006A257E" w:rsidP="006A257E">
      <w:pPr>
        <w:widowControl w:val="0"/>
        <w:jc w:val="both"/>
        <w:rPr>
          <w:rFonts w:cs="Arial"/>
          <w:sz w:val="18"/>
          <w:szCs w:val="18"/>
        </w:rPr>
      </w:pPr>
      <w:r>
        <w:rPr>
          <w:rFonts w:cs="Arial"/>
          <w:sz w:val="18"/>
          <w:szCs w:val="18"/>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periods if the revision affects both current and future periods.</w:t>
      </w:r>
    </w:p>
    <w:p w:rsidR="006A257E" w:rsidRDefault="006A257E" w:rsidP="006A257E">
      <w:pPr>
        <w:jc w:val="both"/>
        <w:rPr>
          <w:rFonts w:cs="Arial"/>
          <w:sz w:val="18"/>
          <w:szCs w:val="18"/>
        </w:rPr>
      </w:pPr>
    </w:p>
    <w:p w:rsidR="006A257E" w:rsidRDefault="006A257E" w:rsidP="006A257E">
      <w:pPr>
        <w:jc w:val="both"/>
        <w:rPr>
          <w:rFonts w:cs="Arial"/>
          <w:sz w:val="18"/>
          <w:szCs w:val="18"/>
        </w:rPr>
      </w:pPr>
      <w:r w:rsidRPr="0014469A">
        <w:rPr>
          <w:rFonts w:cs="Arial"/>
          <w:sz w:val="18"/>
          <w:szCs w:val="18"/>
        </w:rPr>
        <w:t>Significant areas requiring the use of management estimates</w:t>
      </w:r>
      <w:r>
        <w:rPr>
          <w:rFonts w:cs="Arial"/>
          <w:sz w:val="18"/>
          <w:szCs w:val="18"/>
        </w:rPr>
        <w:t xml:space="preserve"> </w:t>
      </w:r>
      <w:r w:rsidRPr="0014469A">
        <w:rPr>
          <w:rFonts w:cs="Arial"/>
          <w:sz w:val="18"/>
          <w:szCs w:val="18"/>
        </w:rPr>
        <w:t xml:space="preserve">include impairment of </w:t>
      </w:r>
      <w:r>
        <w:rPr>
          <w:rFonts w:cs="Arial"/>
          <w:sz w:val="18"/>
          <w:szCs w:val="18"/>
        </w:rPr>
        <w:t>exploration and evaluation assets</w:t>
      </w:r>
      <w:r w:rsidRPr="0014469A">
        <w:rPr>
          <w:rFonts w:cs="Arial"/>
          <w:sz w:val="18"/>
          <w:szCs w:val="18"/>
        </w:rPr>
        <w:t>;</w:t>
      </w:r>
      <w:r>
        <w:rPr>
          <w:rFonts w:cs="Arial"/>
          <w:sz w:val="18"/>
          <w:szCs w:val="18"/>
        </w:rPr>
        <w:t xml:space="preserve"> provision of reclamation and environmental obligations; and inputs used in accounting for share-based payments in profit or loss. </w:t>
      </w:r>
    </w:p>
    <w:p w:rsidR="006A257E" w:rsidRDefault="006A257E" w:rsidP="006A257E">
      <w:pPr>
        <w:jc w:val="both"/>
        <w:rPr>
          <w:rFonts w:cs="Arial"/>
          <w:sz w:val="18"/>
          <w:szCs w:val="18"/>
        </w:rPr>
      </w:pPr>
    </w:p>
    <w:p w:rsidR="006A257E" w:rsidRDefault="006A257E" w:rsidP="006A257E">
      <w:pPr>
        <w:jc w:val="both"/>
        <w:rPr>
          <w:rFonts w:cs="Arial"/>
          <w:sz w:val="18"/>
          <w:szCs w:val="18"/>
        </w:rPr>
      </w:pPr>
      <w:r>
        <w:rPr>
          <w:rFonts w:cs="Arial"/>
          <w:sz w:val="18"/>
          <w:szCs w:val="18"/>
        </w:rPr>
        <w:t>Areas of significant judgment include the classification of financial instruments; recognition of deferred income taxes and</w:t>
      </w:r>
      <w:r w:rsidRPr="0014469A">
        <w:rPr>
          <w:rFonts w:cs="Arial"/>
          <w:sz w:val="18"/>
          <w:szCs w:val="18"/>
        </w:rPr>
        <w:t xml:space="preserve"> contingencies reported in the notes to the</w:t>
      </w:r>
      <w:r>
        <w:rPr>
          <w:rFonts w:cs="Arial"/>
          <w:sz w:val="18"/>
          <w:szCs w:val="18"/>
        </w:rPr>
        <w:t xml:space="preserve"> </w:t>
      </w:r>
      <w:r w:rsidRPr="0014469A">
        <w:rPr>
          <w:rFonts w:cs="Arial"/>
          <w:sz w:val="18"/>
          <w:szCs w:val="18"/>
        </w:rPr>
        <w:t>financial statements</w:t>
      </w:r>
      <w:r>
        <w:rPr>
          <w:rFonts w:cs="Arial"/>
          <w:sz w:val="18"/>
          <w:szCs w:val="18"/>
        </w:rPr>
        <w:t>;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rsidR="006A257E" w:rsidRPr="00BB6DF2" w:rsidRDefault="006A257E" w:rsidP="006A257E">
      <w:pPr>
        <w:jc w:val="both"/>
        <w:rPr>
          <w:rFonts w:cs="Arial"/>
          <w:sz w:val="18"/>
          <w:szCs w:val="18"/>
        </w:rPr>
      </w:pPr>
    </w:p>
    <w:p w:rsidR="006A257E" w:rsidRPr="00BB6DF2" w:rsidRDefault="006A257E" w:rsidP="006A257E">
      <w:pPr>
        <w:jc w:val="both"/>
        <w:rPr>
          <w:rFonts w:cs="Arial"/>
          <w:b/>
          <w:sz w:val="18"/>
          <w:szCs w:val="18"/>
          <w:u w:val="single"/>
        </w:rPr>
      </w:pPr>
      <w:r w:rsidRPr="00BB6DF2">
        <w:rPr>
          <w:rFonts w:cs="Arial"/>
          <w:b/>
          <w:sz w:val="18"/>
          <w:szCs w:val="18"/>
          <w:u w:val="single"/>
        </w:rPr>
        <w:t>Disclosure of Outstanding Share Data</w:t>
      </w:r>
    </w:p>
    <w:p w:rsidR="006A257E" w:rsidRPr="00BB6DF2" w:rsidRDefault="006A257E" w:rsidP="006A257E">
      <w:pPr>
        <w:jc w:val="both"/>
        <w:rPr>
          <w:rFonts w:cs="Arial"/>
          <w:sz w:val="18"/>
          <w:szCs w:val="18"/>
        </w:rPr>
      </w:pPr>
    </w:p>
    <w:p w:rsidR="006A257E" w:rsidRPr="00BB6DF2" w:rsidRDefault="006A257E" w:rsidP="006A257E">
      <w:pPr>
        <w:jc w:val="both"/>
        <w:rPr>
          <w:rFonts w:cs="Arial"/>
          <w:sz w:val="18"/>
          <w:szCs w:val="18"/>
        </w:rPr>
      </w:pPr>
      <w:r w:rsidRPr="00BB6DF2">
        <w:rPr>
          <w:rFonts w:cs="Arial"/>
          <w:sz w:val="18"/>
          <w:szCs w:val="18"/>
        </w:rPr>
        <w:t>The Company has an unlimited number of common shares without nominal or par value authorized for issuance.</w:t>
      </w:r>
    </w:p>
    <w:p w:rsidR="006A257E" w:rsidRPr="00BB6DF2" w:rsidRDefault="006A257E" w:rsidP="006A257E">
      <w:pPr>
        <w:spacing w:line="180" w:lineRule="exact"/>
        <w:jc w:val="both"/>
        <w:rPr>
          <w:rFonts w:cs="Arial"/>
          <w:sz w:val="18"/>
          <w:szCs w:val="18"/>
        </w:rPr>
      </w:pPr>
    </w:p>
    <w:p w:rsidR="006A257E" w:rsidRDefault="006A257E" w:rsidP="006A257E">
      <w:pPr>
        <w:jc w:val="both"/>
        <w:rPr>
          <w:rFonts w:cs="Arial"/>
          <w:sz w:val="18"/>
          <w:szCs w:val="18"/>
        </w:rPr>
      </w:pPr>
      <w:r w:rsidRPr="00BB6DF2">
        <w:rPr>
          <w:rFonts w:cs="Arial"/>
          <w:sz w:val="18"/>
          <w:szCs w:val="18"/>
        </w:rPr>
        <w:t>At</w:t>
      </w:r>
      <w:r>
        <w:rPr>
          <w:rFonts w:cs="Arial"/>
          <w:sz w:val="18"/>
          <w:szCs w:val="18"/>
        </w:rPr>
        <w:t xml:space="preserve"> August 15, 2018</w:t>
      </w:r>
      <w:r w:rsidRPr="00BB6DF2">
        <w:rPr>
          <w:rFonts w:cs="Arial"/>
          <w:sz w:val="18"/>
          <w:szCs w:val="18"/>
        </w:rPr>
        <w:t xml:space="preserve">, the Company had </w:t>
      </w:r>
      <w:r>
        <w:rPr>
          <w:rFonts w:cs="Arial"/>
          <w:sz w:val="18"/>
          <w:szCs w:val="18"/>
        </w:rPr>
        <w:t xml:space="preserve">60,274,050 </w:t>
      </w:r>
      <w:r w:rsidRPr="00BB6DF2">
        <w:rPr>
          <w:rFonts w:cs="Arial"/>
          <w:sz w:val="18"/>
          <w:szCs w:val="18"/>
        </w:rPr>
        <w:t>(20</w:t>
      </w:r>
      <w:r>
        <w:rPr>
          <w:rFonts w:cs="Arial"/>
          <w:sz w:val="18"/>
          <w:szCs w:val="18"/>
        </w:rPr>
        <w:t>17</w:t>
      </w:r>
      <w:r w:rsidRPr="00BB6DF2">
        <w:rPr>
          <w:rFonts w:cs="Arial"/>
          <w:sz w:val="18"/>
          <w:szCs w:val="18"/>
        </w:rPr>
        <w:t xml:space="preserve"> – </w:t>
      </w:r>
      <w:r>
        <w:rPr>
          <w:rFonts w:cs="Arial"/>
          <w:sz w:val="18"/>
          <w:szCs w:val="18"/>
        </w:rPr>
        <w:t>nil</w:t>
      </w:r>
      <w:r w:rsidRPr="00BB6DF2">
        <w:rPr>
          <w:rFonts w:cs="Arial"/>
          <w:sz w:val="18"/>
          <w:szCs w:val="18"/>
        </w:rPr>
        <w:t>) common share</w:t>
      </w:r>
      <w:r>
        <w:rPr>
          <w:rFonts w:cs="Arial"/>
          <w:sz w:val="18"/>
          <w:szCs w:val="18"/>
        </w:rPr>
        <w:t>s</w:t>
      </w:r>
      <w:r w:rsidRPr="00BB6DF2">
        <w:rPr>
          <w:rFonts w:cs="Arial"/>
          <w:sz w:val="18"/>
          <w:szCs w:val="18"/>
        </w:rPr>
        <w:t xml:space="preserve"> issued and outstanding</w:t>
      </w:r>
      <w:r>
        <w:rPr>
          <w:rFonts w:cs="Arial"/>
          <w:sz w:val="18"/>
          <w:szCs w:val="18"/>
        </w:rPr>
        <w:t>,</w:t>
      </w:r>
      <w:r w:rsidRPr="00D64586">
        <w:rPr>
          <w:rFonts w:cs="Arial"/>
          <w:sz w:val="18"/>
          <w:szCs w:val="18"/>
        </w:rPr>
        <w:t xml:space="preserve"> </w:t>
      </w:r>
      <w:r>
        <w:rPr>
          <w:rFonts w:cs="Arial"/>
          <w:sz w:val="18"/>
          <w:szCs w:val="18"/>
        </w:rPr>
        <w:t>upon completion of the Plan of Arrangement</w:t>
      </w:r>
      <w:r w:rsidRPr="00BB6DF2">
        <w:rPr>
          <w:rFonts w:cs="Arial"/>
          <w:sz w:val="18"/>
          <w:szCs w:val="18"/>
        </w:rPr>
        <w:t xml:space="preserve">. There are no other classes of shares outstanding.  </w:t>
      </w:r>
      <w:r>
        <w:rPr>
          <w:rFonts w:cs="Arial"/>
          <w:sz w:val="18"/>
          <w:szCs w:val="18"/>
        </w:rPr>
        <w:t>The Company issued 72,500 shares on the exercise of options in Taiga subsequent to the quarter.</w:t>
      </w:r>
    </w:p>
    <w:p w:rsidR="006A257E" w:rsidRDefault="006A257E" w:rsidP="006A257E">
      <w:pPr>
        <w:jc w:val="both"/>
        <w:rPr>
          <w:rFonts w:cs="Arial"/>
          <w:sz w:val="18"/>
          <w:szCs w:val="18"/>
        </w:rPr>
      </w:pPr>
    </w:p>
    <w:p w:rsidR="006A257E" w:rsidRDefault="006A257E" w:rsidP="006A257E">
      <w:pPr>
        <w:jc w:val="both"/>
        <w:rPr>
          <w:rFonts w:cs="Arial"/>
          <w:sz w:val="18"/>
          <w:szCs w:val="18"/>
        </w:rPr>
      </w:pPr>
      <w:r w:rsidRPr="00BB6DF2">
        <w:rPr>
          <w:rFonts w:cs="Arial"/>
          <w:sz w:val="18"/>
          <w:szCs w:val="18"/>
        </w:rPr>
        <w:t xml:space="preserve">At </w:t>
      </w:r>
      <w:r>
        <w:rPr>
          <w:rFonts w:cs="Arial"/>
          <w:sz w:val="18"/>
          <w:szCs w:val="18"/>
        </w:rPr>
        <w:t xml:space="preserve">August 15, 2018, </w:t>
      </w:r>
      <w:r w:rsidRPr="00BB6DF2">
        <w:rPr>
          <w:rFonts w:cs="Arial"/>
          <w:sz w:val="18"/>
          <w:szCs w:val="18"/>
        </w:rPr>
        <w:t>the Company has</w:t>
      </w:r>
      <w:r>
        <w:rPr>
          <w:rFonts w:cs="Arial"/>
          <w:sz w:val="18"/>
          <w:szCs w:val="18"/>
        </w:rPr>
        <w:t xml:space="preserve"> 5,200,000</w:t>
      </w:r>
      <w:r w:rsidRPr="00BB6DF2">
        <w:rPr>
          <w:rFonts w:cs="Arial"/>
          <w:sz w:val="18"/>
          <w:szCs w:val="18"/>
        </w:rPr>
        <w:t xml:space="preserve"> (20</w:t>
      </w:r>
      <w:r>
        <w:rPr>
          <w:rFonts w:cs="Arial"/>
          <w:sz w:val="18"/>
          <w:szCs w:val="18"/>
        </w:rPr>
        <w:t>17</w:t>
      </w:r>
      <w:r w:rsidRPr="00BB6DF2">
        <w:rPr>
          <w:rFonts w:cs="Arial"/>
          <w:sz w:val="18"/>
          <w:szCs w:val="18"/>
        </w:rPr>
        <w:t xml:space="preserve"> – </w:t>
      </w:r>
      <w:r>
        <w:rPr>
          <w:rFonts w:cs="Arial"/>
          <w:sz w:val="18"/>
          <w:szCs w:val="18"/>
        </w:rPr>
        <w:t>nil</w:t>
      </w:r>
      <w:r w:rsidRPr="00BB6DF2">
        <w:rPr>
          <w:rFonts w:cs="Arial"/>
          <w:sz w:val="18"/>
          <w:szCs w:val="18"/>
        </w:rPr>
        <w:t xml:space="preserve">) </w:t>
      </w:r>
      <w:r>
        <w:rPr>
          <w:rFonts w:cs="Arial"/>
          <w:sz w:val="18"/>
          <w:szCs w:val="18"/>
        </w:rPr>
        <w:t>options</w:t>
      </w:r>
      <w:r w:rsidRPr="00BB6DF2">
        <w:rPr>
          <w:rFonts w:cs="Arial"/>
          <w:sz w:val="18"/>
          <w:szCs w:val="18"/>
        </w:rPr>
        <w:t xml:space="preserve"> outstanding</w:t>
      </w:r>
      <w:r>
        <w:rPr>
          <w:rFonts w:cs="Arial"/>
          <w:sz w:val="18"/>
          <w:szCs w:val="18"/>
        </w:rPr>
        <w:t xml:space="preserve"> with exercise prices of $0.20 and expiry dates of July 20, 2023.</w:t>
      </w:r>
      <w:r w:rsidDel="00B24B8C">
        <w:rPr>
          <w:rFonts w:cs="Arial"/>
          <w:sz w:val="18"/>
          <w:szCs w:val="18"/>
        </w:rPr>
        <w:t xml:space="preserve"> </w:t>
      </w:r>
      <w:r>
        <w:rPr>
          <w:rFonts w:cs="Arial"/>
          <w:sz w:val="18"/>
          <w:szCs w:val="18"/>
        </w:rPr>
        <w:t xml:space="preserve"> </w:t>
      </w:r>
    </w:p>
    <w:p w:rsidR="006A257E" w:rsidRPr="00BB6DF2" w:rsidRDefault="006A257E" w:rsidP="00444A4B">
      <w:pPr>
        <w:numPr>
          <w:ilvl w:val="0"/>
          <w:numId w:val="25"/>
        </w:numPr>
        <w:jc w:val="both"/>
        <w:rPr>
          <w:rFonts w:cs="Arial"/>
          <w:sz w:val="18"/>
          <w:szCs w:val="18"/>
        </w:rPr>
      </w:pPr>
      <w:r>
        <w:rPr>
          <w:rFonts w:cs="Arial"/>
          <w:sz w:val="18"/>
          <w:szCs w:val="18"/>
        </w:rPr>
        <w:lastRenderedPageBreak/>
        <w:t>The Company has a commitment to 4,300,000 options outstanding in Taiga pursuant to the Plan of Arrangement.</w:t>
      </w:r>
    </w:p>
    <w:p w:rsidR="006A257E" w:rsidRDefault="006A257E" w:rsidP="006A257E">
      <w:pPr>
        <w:jc w:val="both"/>
        <w:rPr>
          <w:rFonts w:cs="Arial"/>
          <w:sz w:val="18"/>
          <w:szCs w:val="18"/>
        </w:rPr>
      </w:pPr>
    </w:p>
    <w:p w:rsidR="006A257E" w:rsidRDefault="006A257E" w:rsidP="006A257E">
      <w:pPr>
        <w:jc w:val="both"/>
        <w:rPr>
          <w:rFonts w:cs="Arial"/>
          <w:sz w:val="18"/>
          <w:szCs w:val="18"/>
        </w:rPr>
      </w:pPr>
      <w:r w:rsidRPr="00BB6DF2">
        <w:rPr>
          <w:rFonts w:cs="Arial"/>
          <w:sz w:val="18"/>
          <w:szCs w:val="18"/>
        </w:rPr>
        <w:t xml:space="preserve">At </w:t>
      </w:r>
      <w:r>
        <w:rPr>
          <w:rFonts w:cs="Arial"/>
          <w:sz w:val="18"/>
          <w:szCs w:val="18"/>
        </w:rPr>
        <w:t xml:space="preserve">August 15, 2018, </w:t>
      </w:r>
      <w:r w:rsidRPr="00BB6DF2">
        <w:rPr>
          <w:rFonts w:cs="Arial"/>
          <w:sz w:val="18"/>
          <w:szCs w:val="18"/>
        </w:rPr>
        <w:t xml:space="preserve">the Company has </w:t>
      </w:r>
      <w:r>
        <w:rPr>
          <w:rFonts w:cs="Arial"/>
          <w:sz w:val="18"/>
          <w:szCs w:val="18"/>
        </w:rPr>
        <w:t>3,937,500</w:t>
      </w:r>
      <w:r w:rsidRPr="00BB6DF2">
        <w:rPr>
          <w:rFonts w:cs="Arial"/>
          <w:sz w:val="18"/>
          <w:szCs w:val="18"/>
        </w:rPr>
        <w:t xml:space="preserve"> (20</w:t>
      </w:r>
      <w:r>
        <w:rPr>
          <w:rFonts w:cs="Arial"/>
          <w:sz w:val="18"/>
          <w:szCs w:val="18"/>
        </w:rPr>
        <w:t>17</w:t>
      </w:r>
      <w:r w:rsidRPr="00BB6DF2">
        <w:rPr>
          <w:rFonts w:cs="Arial"/>
          <w:sz w:val="18"/>
          <w:szCs w:val="18"/>
        </w:rPr>
        <w:t xml:space="preserve"> – </w:t>
      </w:r>
      <w:r>
        <w:rPr>
          <w:rFonts w:cs="Arial"/>
          <w:sz w:val="18"/>
          <w:szCs w:val="18"/>
        </w:rPr>
        <w:t>nil</w:t>
      </w:r>
      <w:r w:rsidRPr="00BB6DF2">
        <w:rPr>
          <w:rFonts w:cs="Arial"/>
          <w:sz w:val="18"/>
          <w:szCs w:val="18"/>
        </w:rPr>
        <w:t>) warrants outstanding</w:t>
      </w:r>
      <w:r>
        <w:rPr>
          <w:rFonts w:cs="Arial"/>
          <w:sz w:val="18"/>
          <w:szCs w:val="18"/>
        </w:rPr>
        <w:t xml:space="preserve"> with exercise prices of $0.40 and expiry dates of June 8, 2020.</w:t>
      </w:r>
    </w:p>
    <w:p w:rsidR="006A257E" w:rsidRPr="00BB6DF2" w:rsidRDefault="006A257E" w:rsidP="00444A4B">
      <w:pPr>
        <w:numPr>
          <w:ilvl w:val="0"/>
          <w:numId w:val="25"/>
        </w:numPr>
        <w:jc w:val="both"/>
        <w:rPr>
          <w:rFonts w:cs="Arial"/>
          <w:sz w:val="18"/>
          <w:szCs w:val="18"/>
        </w:rPr>
      </w:pPr>
      <w:r>
        <w:rPr>
          <w:rFonts w:cs="Arial"/>
          <w:sz w:val="18"/>
          <w:szCs w:val="18"/>
        </w:rPr>
        <w:t>The Company has a commitment to 2,217,000 warrants outstanding in Taiga pursuant to the Plan of Arrangement.</w:t>
      </w:r>
    </w:p>
    <w:p w:rsidR="006A257E" w:rsidRPr="00B612EE" w:rsidRDefault="006A257E" w:rsidP="006A257E">
      <w:pPr>
        <w:jc w:val="both"/>
        <w:rPr>
          <w:rFonts w:cs="Arial"/>
          <w:sz w:val="18"/>
          <w:szCs w:val="18"/>
        </w:rPr>
      </w:pPr>
    </w:p>
    <w:p w:rsidR="006A257E" w:rsidRPr="00BB6DF2" w:rsidRDefault="006A257E" w:rsidP="006A257E">
      <w:pPr>
        <w:jc w:val="both"/>
        <w:rPr>
          <w:rFonts w:cs="Arial"/>
          <w:sz w:val="18"/>
          <w:szCs w:val="18"/>
        </w:rPr>
      </w:pPr>
      <w:r w:rsidRPr="00BB6DF2">
        <w:rPr>
          <w:rFonts w:cs="Arial"/>
          <w:sz w:val="18"/>
          <w:szCs w:val="18"/>
        </w:rPr>
        <w:t xml:space="preserve">A detailed schedule of Share Capital is included in the Company’s </w:t>
      </w:r>
      <w:r>
        <w:rPr>
          <w:rFonts w:cs="Arial"/>
          <w:sz w:val="18"/>
          <w:szCs w:val="18"/>
        </w:rPr>
        <w:t xml:space="preserve">condensed interim </w:t>
      </w:r>
      <w:r w:rsidRPr="00BB6DF2">
        <w:rPr>
          <w:rFonts w:cs="Arial"/>
          <w:sz w:val="18"/>
          <w:szCs w:val="18"/>
        </w:rPr>
        <w:t>financial statements.</w:t>
      </w:r>
    </w:p>
    <w:p w:rsidR="006A257E" w:rsidRDefault="006A257E" w:rsidP="006A257E">
      <w:pPr>
        <w:jc w:val="both"/>
        <w:rPr>
          <w:rFonts w:cs="Arial"/>
          <w:sz w:val="18"/>
          <w:szCs w:val="18"/>
        </w:rPr>
      </w:pPr>
    </w:p>
    <w:p w:rsidR="006A257E" w:rsidRPr="00BB6DF2" w:rsidRDefault="006A257E" w:rsidP="006A257E">
      <w:pPr>
        <w:jc w:val="both"/>
        <w:rPr>
          <w:rFonts w:cs="Arial"/>
          <w:b/>
          <w:sz w:val="18"/>
          <w:szCs w:val="18"/>
          <w:u w:val="single"/>
        </w:rPr>
      </w:pPr>
      <w:r w:rsidRPr="00BB6DF2">
        <w:rPr>
          <w:rFonts w:cs="Arial"/>
          <w:b/>
          <w:sz w:val="18"/>
          <w:szCs w:val="18"/>
          <w:u w:val="single"/>
        </w:rPr>
        <w:t>Accounting Policies</w:t>
      </w:r>
      <w:r>
        <w:rPr>
          <w:rFonts w:cs="Arial"/>
          <w:b/>
          <w:sz w:val="18"/>
          <w:szCs w:val="18"/>
          <w:u w:val="single"/>
        </w:rPr>
        <w:t xml:space="preserve"> </w:t>
      </w:r>
    </w:p>
    <w:p w:rsidR="006A257E" w:rsidRPr="00E50790" w:rsidRDefault="006A257E" w:rsidP="006A257E">
      <w:pPr>
        <w:widowControl w:val="0"/>
        <w:jc w:val="both"/>
        <w:rPr>
          <w:rFonts w:cs="Arial"/>
          <w:b/>
          <w:sz w:val="12"/>
          <w:szCs w:val="12"/>
          <w:u w:val="single"/>
        </w:rPr>
      </w:pPr>
    </w:p>
    <w:p w:rsidR="006A257E" w:rsidRPr="00BB6DF2" w:rsidRDefault="006A257E" w:rsidP="006A257E">
      <w:pPr>
        <w:widowControl w:val="0"/>
        <w:jc w:val="both"/>
        <w:rPr>
          <w:rFonts w:cs="Arial"/>
          <w:sz w:val="18"/>
          <w:szCs w:val="18"/>
        </w:rPr>
      </w:pPr>
      <w:r w:rsidRPr="00A773EC">
        <w:rPr>
          <w:rFonts w:cs="Arial"/>
          <w:bCs/>
          <w:sz w:val="18"/>
          <w:szCs w:val="18"/>
        </w:rPr>
        <w:t xml:space="preserve">The </w:t>
      </w:r>
      <w:r>
        <w:rPr>
          <w:rFonts w:cs="Arial"/>
          <w:bCs/>
          <w:sz w:val="18"/>
          <w:szCs w:val="18"/>
        </w:rPr>
        <w:t xml:space="preserve">condensed interim </w:t>
      </w:r>
      <w:r w:rsidRPr="00A773EC">
        <w:rPr>
          <w:rFonts w:cs="Arial"/>
          <w:bCs/>
          <w:sz w:val="18"/>
          <w:szCs w:val="18"/>
        </w:rPr>
        <w:t xml:space="preserve">financial statements for the Company for the </w:t>
      </w:r>
      <w:r>
        <w:rPr>
          <w:rFonts w:cs="Arial"/>
          <w:bCs/>
          <w:sz w:val="18"/>
          <w:szCs w:val="18"/>
        </w:rPr>
        <w:t xml:space="preserve">periods </w:t>
      </w:r>
      <w:r w:rsidRPr="00A773EC">
        <w:rPr>
          <w:rFonts w:cs="Arial"/>
          <w:bCs/>
          <w:sz w:val="18"/>
          <w:szCs w:val="18"/>
        </w:rPr>
        <w:t xml:space="preserve">ending </w:t>
      </w:r>
      <w:r>
        <w:rPr>
          <w:rFonts w:cs="Arial"/>
          <w:bCs/>
          <w:sz w:val="18"/>
          <w:szCs w:val="18"/>
        </w:rPr>
        <w:t>June 30</w:t>
      </w:r>
      <w:r w:rsidRPr="00A773EC">
        <w:rPr>
          <w:rFonts w:cs="Arial"/>
          <w:bCs/>
          <w:sz w:val="18"/>
          <w:szCs w:val="18"/>
        </w:rPr>
        <w:t xml:space="preserve">, </w:t>
      </w:r>
      <w:r>
        <w:rPr>
          <w:rFonts w:cs="Arial"/>
          <w:bCs/>
          <w:sz w:val="18"/>
          <w:szCs w:val="18"/>
        </w:rPr>
        <w:t>2018 and 2017</w:t>
      </w:r>
      <w:r w:rsidRPr="00A773EC">
        <w:rPr>
          <w:rFonts w:cs="Arial"/>
          <w:bCs/>
          <w:sz w:val="18"/>
          <w:szCs w:val="18"/>
        </w:rPr>
        <w:t xml:space="preserve"> </w:t>
      </w:r>
      <w:r>
        <w:rPr>
          <w:rFonts w:cs="Arial"/>
          <w:bCs/>
          <w:sz w:val="18"/>
          <w:szCs w:val="18"/>
        </w:rPr>
        <w:t>are</w:t>
      </w:r>
      <w:r w:rsidRPr="00A773EC">
        <w:rPr>
          <w:rFonts w:cs="Arial"/>
          <w:bCs/>
          <w:sz w:val="18"/>
          <w:szCs w:val="18"/>
        </w:rPr>
        <w:t xml:space="preserve"> prepared in</w:t>
      </w:r>
      <w:r>
        <w:rPr>
          <w:rFonts w:cs="Arial"/>
          <w:bCs/>
          <w:sz w:val="18"/>
          <w:szCs w:val="18"/>
        </w:rPr>
        <w:t xml:space="preserve"> </w:t>
      </w:r>
      <w:r w:rsidRPr="00A773EC">
        <w:rPr>
          <w:rFonts w:cs="Arial"/>
          <w:bCs/>
          <w:sz w:val="18"/>
          <w:szCs w:val="18"/>
        </w:rPr>
        <w:t xml:space="preserve">accordance with </w:t>
      </w:r>
      <w:r>
        <w:rPr>
          <w:rFonts w:cs="Arial"/>
          <w:bCs/>
          <w:sz w:val="18"/>
          <w:szCs w:val="18"/>
        </w:rPr>
        <w:t xml:space="preserve">International </w:t>
      </w:r>
      <w:r w:rsidRPr="00A773EC">
        <w:rPr>
          <w:rFonts w:cs="Arial"/>
          <w:bCs/>
          <w:sz w:val="18"/>
          <w:szCs w:val="18"/>
        </w:rPr>
        <w:t>Financial Reporting Standard</w:t>
      </w:r>
      <w:r>
        <w:rPr>
          <w:rFonts w:cs="Arial"/>
          <w:bCs/>
          <w:sz w:val="18"/>
          <w:szCs w:val="18"/>
        </w:rPr>
        <w:t xml:space="preserve"> 34 (“IAS 34”), Interim Financial Reporting, using</w:t>
      </w:r>
      <w:r w:rsidRPr="00A773EC">
        <w:rPr>
          <w:rFonts w:cs="Arial"/>
          <w:bCs/>
          <w:sz w:val="18"/>
          <w:szCs w:val="18"/>
        </w:rPr>
        <w:t xml:space="preserve"> </w:t>
      </w:r>
      <w:r>
        <w:rPr>
          <w:rFonts w:cs="Arial"/>
          <w:bCs/>
          <w:sz w:val="18"/>
          <w:szCs w:val="18"/>
        </w:rPr>
        <w:t xml:space="preserve">accounting policies which are consistent with International </w:t>
      </w:r>
      <w:r w:rsidRPr="00A773EC">
        <w:rPr>
          <w:rFonts w:cs="Arial"/>
          <w:bCs/>
          <w:sz w:val="18"/>
          <w:szCs w:val="18"/>
        </w:rPr>
        <w:t>Financial Reporting Standards (“IFRS”) as issued by the International Accounting Standards Board</w:t>
      </w:r>
      <w:r>
        <w:rPr>
          <w:rFonts w:cs="Arial"/>
          <w:bCs/>
          <w:sz w:val="18"/>
          <w:szCs w:val="18"/>
        </w:rPr>
        <w:t xml:space="preserve"> (</w:t>
      </w:r>
      <w:r w:rsidRPr="00A773EC">
        <w:rPr>
          <w:rFonts w:cs="Arial"/>
          <w:bCs/>
          <w:sz w:val="18"/>
          <w:szCs w:val="18"/>
        </w:rPr>
        <w:t>“IASB”)</w:t>
      </w:r>
      <w:r>
        <w:rPr>
          <w:rFonts w:cs="Arial"/>
          <w:bCs/>
          <w:sz w:val="18"/>
          <w:szCs w:val="18"/>
        </w:rPr>
        <w:t xml:space="preserve"> and the International Financial Reporting Interpretations Committee (“IFRIC”) and in accordance with a financial reporting framework specified in subsection 3.11(6) of the National Instrument 52-107 </w:t>
      </w:r>
      <w:r w:rsidRPr="00F26291">
        <w:rPr>
          <w:rFonts w:cs="Arial"/>
          <w:bCs/>
          <w:i/>
          <w:sz w:val="18"/>
          <w:szCs w:val="18"/>
        </w:rPr>
        <w:t xml:space="preserve">Acceptable Accounting </w:t>
      </w:r>
      <w:r>
        <w:rPr>
          <w:rFonts w:cs="Arial"/>
          <w:bCs/>
          <w:i/>
          <w:sz w:val="18"/>
          <w:szCs w:val="18"/>
        </w:rPr>
        <w:t>P</w:t>
      </w:r>
      <w:r w:rsidRPr="00F26291">
        <w:rPr>
          <w:rFonts w:cs="Arial"/>
          <w:bCs/>
          <w:i/>
          <w:sz w:val="18"/>
          <w:szCs w:val="18"/>
        </w:rPr>
        <w:t>rinciples and Auditing Standards</w:t>
      </w:r>
      <w:r>
        <w:rPr>
          <w:rFonts w:cs="Arial"/>
          <w:bCs/>
          <w:sz w:val="18"/>
          <w:szCs w:val="18"/>
          <w:u w:val="single"/>
        </w:rPr>
        <w:t xml:space="preserve"> </w:t>
      </w:r>
      <w:r>
        <w:rPr>
          <w:rFonts w:cs="Arial"/>
          <w:bCs/>
          <w:sz w:val="18"/>
          <w:szCs w:val="18"/>
        </w:rPr>
        <w:t xml:space="preserve">for carve-out financial statements. </w:t>
      </w:r>
      <w:r w:rsidRPr="00A773EC">
        <w:rPr>
          <w:rFonts w:cs="Arial"/>
          <w:bCs/>
          <w:sz w:val="18"/>
          <w:szCs w:val="18"/>
        </w:rPr>
        <w:t xml:space="preserve"> </w:t>
      </w:r>
    </w:p>
    <w:p w:rsidR="006A257E" w:rsidRPr="00B24B8C" w:rsidRDefault="006A257E" w:rsidP="006A257E">
      <w:pPr>
        <w:jc w:val="both"/>
        <w:rPr>
          <w:rFonts w:cs="Arial"/>
          <w:b/>
          <w:sz w:val="18"/>
          <w:szCs w:val="18"/>
          <w:u w:val="single"/>
        </w:rPr>
      </w:pPr>
    </w:p>
    <w:p w:rsidR="006A257E" w:rsidRPr="0003382D" w:rsidRDefault="006A257E" w:rsidP="006A257E">
      <w:pPr>
        <w:jc w:val="both"/>
        <w:rPr>
          <w:rFonts w:cs="Arial"/>
          <w:b/>
          <w:sz w:val="18"/>
          <w:szCs w:val="18"/>
          <w:u w:val="single"/>
        </w:rPr>
      </w:pPr>
      <w:r w:rsidRPr="0003382D">
        <w:rPr>
          <w:rFonts w:cs="Arial"/>
          <w:b/>
          <w:sz w:val="18"/>
          <w:szCs w:val="18"/>
          <w:u w:val="single"/>
        </w:rPr>
        <w:t>Risk Factors</w:t>
      </w:r>
      <w:r>
        <w:rPr>
          <w:rFonts w:cs="Arial"/>
          <w:b/>
          <w:sz w:val="18"/>
          <w:szCs w:val="18"/>
          <w:u w:val="single"/>
        </w:rPr>
        <w:t xml:space="preserve"> </w:t>
      </w:r>
    </w:p>
    <w:p w:rsidR="006A257E" w:rsidRPr="0003382D" w:rsidRDefault="006A257E" w:rsidP="006A257E">
      <w:pPr>
        <w:keepLines/>
        <w:spacing w:before="240"/>
        <w:jc w:val="both"/>
        <w:rPr>
          <w:rFonts w:cs="Arial"/>
          <w:b/>
          <w:bCs/>
          <w:sz w:val="18"/>
          <w:szCs w:val="18"/>
        </w:rPr>
      </w:pPr>
      <w:r w:rsidRPr="0003382D">
        <w:rPr>
          <w:rFonts w:cs="Arial"/>
          <w:b/>
          <w:bCs/>
          <w:sz w:val="18"/>
          <w:szCs w:val="18"/>
        </w:rPr>
        <w:t>Exploration and Development</w:t>
      </w:r>
    </w:p>
    <w:p w:rsidR="006A257E" w:rsidRDefault="006A257E" w:rsidP="006A257E">
      <w:pPr>
        <w:widowControl w:val="0"/>
        <w:jc w:val="both"/>
        <w:rPr>
          <w:rFonts w:cs="Arial"/>
          <w:bCs/>
          <w:sz w:val="18"/>
          <w:szCs w:val="18"/>
        </w:rPr>
      </w:pPr>
      <w:r w:rsidRPr="0003382D">
        <w:rPr>
          <w:rFonts w:cs="Arial"/>
          <w:bCs/>
          <w:sz w:val="18"/>
          <w:szCs w:val="18"/>
        </w:rPr>
        <w:t>Resource exploration and development is a speculative business, characterized by a number of significant risks including, among other</w:t>
      </w:r>
      <w:r>
        <w:rPr>
          <w:rFonts w:cs="Arial"/>
          <w:bCs/>
          <w:sz w:val="18"/>
          <w:szCs w:val="18"/>
        </w:rPr>
        <w:t xml:space="preserve"> </w:t>
      </w:r>
      <w:r w:rsidRPr="0003382D">
        <w:rPr>
          <w:rFonts w:cs="Arial"/>
          <w:bCs/>
          <w:sz w:val="18"/>
          <w:szCs w:val="18"/>
        </w:rPr>
        <w:t xml:space="preserve">things, unprofitable efforts resulting not only from the failure to discover mineral deposits but also from finding mineral deposits that, </w:t>
      </w:r>
    </w:p>
    <w:p w:rsidR="006A257E" w:rsidRPr="00410071" w:rsidRDefault="006A257E" w:rsidP="006A257E">
      <w:pPr>
        <w:pBdr>
          <w:top w:val="single" w:sz="24" w:space="3"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Default="006A257E" w:rsidP="006A257E">
      <w:pPr>
        <w:jc w:val="both"/>
        <w:rPr>
          <w:rFonts w:cs="Arial"/>
          <w:b/>
          <w:sz w:val="18"/>
          <w:szCs w:val="18"/>
          <w:u w:val="single"/>
        </w:rPr>
      </w:pPr>
    </w:p>
    <w:p w:rsidR="006A257E" w:rsidRPr="0003382D" w:rsidRDefault="006A257E" w:rsidP="006A257E">
      <w:pPr>
        <w:jc w:val="both"/>
        <w:rPr>
          <w:rFonts w:cs="Arial"/>
          <w:b/>
          <w:sz w:val="18"/>
          <w:szCs w:val="18"/>
          <w:u w:val="single"/>
        </w:rPr>
      </w:pPr>
      <w:r w:rsidRPr="0003382D">
        <w:rPr>
          <w:rFonts w:cs="Arial"/>
          <w:b/>
          <w:sz w:val="18"/>
          <w:szCs w:val="18"/>
          <w:u w:val="single"/>
        </w:rPr>
        <w:t>Risk Factors</w:t>
      </w:r>
      <w:r>
        <w:rPr>
          <w:rFonts w:cs="Arial"/>
          <w:b/>
          <w:sz w:val="18"/>
          <w:szCs w:val="18"/>
          <w:u w:val="single"/>
        </w:rPr>
        <w:t xml:space="preserve"> - continued</w:t>
      </w:r>
    </w:p>
    <w:p w:rsidR="006A257E" w:rsidRPr="0003382D" w:rsidRDefault="006A257E" w:rsidP="006A257E">
      <w:pPr>
        <w:widowControl w:val="0"/>
        <w:jc w:val="both"/>
        <w:rPr>
          <w:rFonts w:cs="Arial"/>
          <w:bCs/>
          <w:sz w:val="18"/>
          <w:szCs w:val="18"/>
        </w:rPr>
      </w:pPr>
      <w:proofErr w:type="gramStart"/>
      <w:r w:rsidRPr="0003382D">
        <w:rPr>
          <w:rFonts w:cs="Arial"/>
          <w:bCs/>
          <w:sz w:val="18"/>
          <w:szCs w:val="18"/>
        </w:rPr>
        <w:t>though</w:t>
      </w:r>
      <w:proofErr w:type="gramEnd"/>
      <w:r w:rsidRPr="0003382D">
        <w:rPr>
          <w:rFonts w:cs="Arial"/>
          <w:bCs/>
          <w:sz w:val="18"/>
          <w:szCs w:val="18"/>
        </w:rPr>
        <w:t xml:space="preserve"> present, are insufficient in quantity and quality to return a profit from production. The Company’s properties are in the</w:t>
      </w:r>
      <w:r>
        <w:rPr>
          <w:rFonts w:cs="Arial"/>
          <w:bCs/>
          <w:sz w:val="18"/>
          <w:szCs w:val="18"/>
        </w:rPr>
        <w:t xml:space="preserve"> e</w:t>
      </w:r>
      <w:r w:rsidRPr="0003382D">
        <w:rPr>
          <w:rFonts w:cs="Arial"/>
          <w:bCs/>
          <w:sz w:val="18"/>
          <w:szCs w:val="18"/>
        </w:rPr>
        <w:t xml:space="preserve">xploration stage. There is no assurance that the Company’s mineral exploration and development activities will result in any discoveries of commercial bodies of minerals. The long-term profitability of the Company’s operations will in part be directly related to the costs and success of its exploration and development programs, which may be affected by a number of factors. </w:t>
      </w:r>
    </w:p>
    <w:p w:rsidR="006A257E" w:rsidRDefault="006A257E" w:rsidP="006A257E">
      <w:pPr>
        <w:widowControl w:val="0"/>
        <w:jc w:val="both"/>
        <w:rPr>
          <w:rFonts w:cs="Arial"/>
          <w:bCs/>
          <w:sz w:val="18"/>
          <w:szCs w:val="18"/>
        </w:rPr>
      </w:pPr>
    </w:p>
    <w:p w:rsidR="006A257E" w:rsidRPr="0003382D" w:rsidRDefault="006A257E" w:rsidP="006A257E">
      <w:pPr>
        <w:widowControl w:val="0"/>
        <w:jc w:val="both"/>
        <w:rPr>
          <w:rFonts w:cs="Arial"/>
          <w:bCs/>
          <w:sz w:val="18"/>
          <w:szCs w:val="18"/>
        </w:rPr>
      </w:pPr>
      <w:r w:rsidRPr="0003382D">
        <w:rPr>
          <w:rFonts w:cs="Arial"/>
          <w:bCs/>
          <w:sz w:val="18"/>
          <w:szCs w:val="18"/>
        </w:rPr>
        <w:t xml:space="preserve">Development of the Company’s properties will only be potentially pursued if </w:t>
      </w:r>
      <w:proofErr w:type="spellStart"/>
      <w:r w:rsidRPr="0003382D">
        <w:rPr>
          <w:rFonts w:cs="Arial"/>
          <w:bCs/>
          <w:sz w:val="18"/>
          <w:szCs w:val="18"/>
        </w:rPr>
        <w:t>favourable</w:t>
      </w:r>
      <w:proofErr w:type="spellEnd"/>
      <w:r w:rsidRPr="0003382D">
        <w:rPr>
          <w:rFonts w:cs="Arial"/>
          <w:bCs/>
          <w:sz w:val="18"/>
          <w:szCs w:val="18"/>
        </w:rPr>
        <w:t xml:space="preserve"> </w:t>
      </w:r>
      <w:proofErr w:type="gramStart"/>
      <w:r w:rsidRPr="0003382D">
        <w:rPr>
          <w:rFonts w:cs="Arial"/>
          <w:bCs/>
          <w:sz w:val="18"/>
          <w:szCs w:val="18"/>
        </w:rPr>
        <w:t>exploration</w:t>
      </w:r>
      <w:proofErr w:type="gramEnd"/>
      <w:r w:rsidRPr="0003382D">
        <w:rPr>
          <w:rFonts w:cs="Arial"/>
          <w:bCs/>
          <w:sz w:val="18"/>
          <w:szCs w:val="18"/>
        </w:rPr>
        <w:t xml:space="preserve"> results are obtained that demonstrate that potential economic extraction of minerals is justified. </w:t>
      </w:r>
    </w:p>
    <w:p w:rsidR="006A257E" w:rsidRPr="00B612EE" w:rsidRDefault="006A257E" w:rsidP="006A257E">
      <w:pPr>
        <w:jc w:val="both"/>
        <w:rPr>
          <w:rFonts w:cs="Arial"/>
          <w:b/>
          <w:sz w:val="18"/>
          <w:szCs w:val="18"/>
          <w:u w:val="single"/>
        </w:rPr>
      </w:pPr>
    </w:p>
    <w:p w:rsidR="006A257E" w:rsidRDefault="006A257E" w:rsidP="006A257E">
      <w:pPr>
        <w:widowControl w:val="0"/>
        <w:jc w:val="both"/>
        <w:rPr>
          <w:rFonts w:cs="Arial"/>
          <w:bCs/>
          <w:sz w:val="18"/>
          <w:szCs w:val="18"/>
        </w:rPr>
      </w:pPr>
      <w:r w:rsidRPr="0003382D">
        <w:rPr>
          <w:rFonts w:cs="Arial"/>
          <w:bCs/>
          <w:sz w:val="18"/>
          <w:szCs w:val="18"/>
        </w:rPr>
        <w:t>The business of exploration for minerals and mining involves a high degree of risk.  Whether a mineral deposit can be commercially viable depends upon a number of factors, including, but not limited to, the particular attributes of the deposit, including size, grade and proximity to infrastructure; metal prices, which can be highly variable; and government regulations, including environmental and reclamation obligations.  Few properties that are explored are ultimately developed into profitable, producing mines.</w:t>
      </w:r>
    </w:p>
    <w:p w:rsidR="006A257E" w:rsidRDefault="006A257E" w:rsidP="006A257E">
      <w:pPr>
        <w:keepLines/>
        <w:jc w:val="both"/>
        <w:rPr>
          <w:rFonts w:cs="Arial"/>
          <w:bCs/>
          <w:sz w:val="18"/>
          <w:szCs w:val="18"/>
        </w:rPr>
      </w:pPr>
    </w:p>
    <w:p w:rsidR="006A257E" w:rsidRPr="0003382D" w:rsidRDefault="006A257E" w:rsidP="006A257E">
      <w:pPr>
        <w:keepLines/>
        <w:jc w:val="both"/>
        <w:rPr>
          <w:rFonts w:cs="Arial"/>
          <w:bCs/>
          <w:sz w:val="18"/>
          <w:szCs w:val="18"/>
        </w:rPr>
      </w:pPr>
      <w:r w:rsidRPr="0003382D">
        <w:rPr>
          <w:rFonts w:cs="Arial"/>
          <w:bCs/>
          <w:sz w:val="18"/>
          <w:szCs w:val="18"/>
        </w:rPr>
        <w:t>Substantial expenditures are required to establish the continuity of mineralized zones through drilling and to develop and maintain the mining and processing facilities and infrastructure at any site chosen for mining. No assurance can be given that funds required for any proposed development of the Company’s properties can be obtained on a timely basis, if at all.</w:t>
      </w:r>
    </w:p>
    <w:p w:rsidR="006A257E" w:rsidRDefault="006A257E" w:rsidP="006A257E">
      <w:pPr>
        <w:widowControl w:val="0"/>
        <w:jc w:val="both"/>
        <w:rPr>
          <w:rFonts w:cs="Arial"/>
          <w:bCs/>
          <w:sz w:val="18"/>
          <w:szCs w:val="18"/>
        </w:rPr>
      </w:pPr>
    </w:p>
    <w:p w:rsidR="006A257E" w:rsidRPr="0003382D" w:rsidRDefault="006A257E" w:rsidP="006A257E">
      <w:pPr>
        <w:widowControl w:val="0"/>
        <w:jc w:val="both"/>
        <w:rPr>
          <w:rFonts w:cs="Arial"/>
          <w:bCs/>
          <w:sz w:val="18"/>
          <w:szCs w:val="18"/>
        </w:rPr>
      </w:pPr>
      <w:r w:rsidRPr="0003382D">
        <w:rPr>
          <w:rFonts w:cs="Arial"/>
          <w:bCs/>
          <w:sz w:val="18"/>
          <w:szCs w:val="18"/>
        </w:rPr>
        <w:t>The marketability of any minerals acquired or discovered by the Company in the future may be affected by numerous factors which are</w:t>
      </w:r>
      <w:r>
        <w:rPr>
          <w:rFonts w:cs="Arial"/>
          <w:bCs/>
          <w:sz w:val="18"/>
          <w:szCs w:val="18"/>
        </w:rPr>
        <w:t xml:space="preserve"> </w:t>
      </w:r>
      <w:r w:rsidRPr="0003382D">
        <w:rPr>
          <w:rFonts w:cs="Arial"/>
          <w:bCs/>
          <w:sz w:val="18"/>
          <w:szCs w:val="18"/>
        </w:rPr>
        <w:t>beyond the control of the Company and which cannot be accurately predicted, such as market fluctuations, the proximity and capacity</w:t>
      </w:r>
      <w:r>
        <w:rPr>
          <w:rFonts w:cs="Arial"/>
          <w:bCs/>
          <w:sz w:val="18"/>
          <w:szCs w:val="18"/>
        </w:rPr>
        <w:t xml:space="preserve"> </w:t>
      </w:r>
      <w:r w:rsidRPr="0003382D">
        <w:rPr>
          <w:rFonts w:cs="Arial"/>
          <w:bCs/>
          <w:sz w:val="18"/>
          <w:szCs w:val="18"/>
        </w:rPr>
        <w:t>of milling facilities, mineral markets and processing equipment, and such other factors as government regulations, including regulations relating to royalties, allowable production, importing and exporting of minerals, and environmental protection, the combination of which</w:t>
      </w:r>
      <w:r>
        <w:rPr>
          <w:rFonts w:cs="Arial"/>
          <w:bCs/>
          <w:sz w:val="18"/>
          <w:szCs w:val="18"/>
        </w:rPr>
        <w:t xml:space="preserve"> </w:t>
      </w:r>
      <w:r w:rsidRPr="0003382D">
        <w:rPr>
          <w:rFonts w:cs="Arial"/>
          <w:bCs/>
          <w:sz w:val="18"/>
          <w:szCs w:val="18"/>
        </w:rPr>
        <w:t>may result in the Company not receiving an adequate return on investment capital.</w:t>
      </w:r>
    </w:p>
    <w:p w:rsidR="006A257E" w:rsidRPr="0003382D" w:rsidRDefault="006A257E" w:rsidP="006A257E">
      <w:pPr>
        <w:widowControl w:val="0"/>
        <w:jc w:val="both"/>
        <w:rPr>
          <w:rFonts w:cs="Arial"/>
          <w:bCs/>
          <w:sz w:val="18"/>
          <w:szCs w:val="18"/>
        </w:rPr>
      </w:pPr>
    </w:p>
    <w:p w:rsidR="006A257E" w:rsidRPr="0003382D" w:rsidRDefault="006A257E" w:rsidP="006A257E">
      <w:pPr>
        <w:widowControl w:val="0"/>
        <w:jc w:val="both"/>
        <w:rPr>
          <w:rFonts w:cs="Arial"/>
          <w:bCs/>
          <w:sz w:val="18"/>
          <w:szCs w:val="18"/>
        </w:rPr>
      </w:pPr>
      <w:r>
        <w:rPr>
          <w:rFonts w:cs="Arial"/>
          <w:noProof/>
          <w:sz w:val="18"/>
          <w:szCs w:val="18"/>
          <w:lang w:val="en-CA" w:eastAsia="en-CA"/>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8578850</wp:posOffset>
                </wp:positionV>
                <wp:extent cx="6083300" cy="1454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57E" w:rsidRDefault="006A257E" w:rsidP="006A257E">
                            <w:pPr>
                              <w:kinsoku w:val="0"/>
                              <w:spacing w:line="204" w:lineRule="auto"/>
                              <w:ind w:left="4608"/>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75.5pt;width:479pt;height:11.4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q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" o:allowincell="f" stroked="f">
                <v:fill opacity="0"/>
                <v:textbox inset="0,0,0,0">
                  <w:txbxContent>
                    <w:p w:rsidR="006A257E" w:rsidRDefault="006A257E" w:rsidP="006A257E">
                      <w:pPr>
                        <w:kinsoku w:val="0"/>
                        <w:spacing w:line="204" w:lineRule="auto"/>
                        <w:ind w:left="4608"/>
                        <w:rPr>
                          <w:rFonts w:ascii="Garamond" w:hAnsi="Garamond" w:cs="Garamond"/>
                        </w:rPr>
                      </w:pPr>
                    </w:p>
                  </w:txbxContent>
                </v:textbox>
                <w10:wrap type="square"/>
              </v:shape>
            </w:pict>
          </mc:Fallback>
        </mc:AlternateContent>
      </w:r>
      <w:r w:rsidRPr="0003382D">
        <w:rPr>
          <w:rFonts w:cs="Arial"/>
          <w:bCs/>
          <w:sz w:val="18"/>
          <w:szCs w:val="18"/>
        </w:rPr>
        <w:t xml:space="preserve">There is no assurance that the </w:t>
      </w:r>
      <w:r>
        <w:rPr>
          <w:rFonts w:cs="Arial"/>
          <w:bCs/>
          <w:sz w:val="18"/>
          <w:szCs w:val="18"/>
        </w:rPr>
        <w:t>CSE</w:t>
      </w:r>
      <w:r w:rsidRPr="0003382D">
        <w:rPr>
          <w:rFonts w:cs="Arial"/>
          <w:bCs/>
          <w:sz w:val="18"/>
          <w:szCs w:val="18"/>
        </w:rPr>
        <w:t xml:space="preserve"> or any regulatory authority having jurisdiction will approve the acquisition of any additional</w:t>
      </w:r>
      <w:r>
        <w:rPr>
          <w:rFonts w:cs="Arial"/>
          <w:bCs/>
          <w:sz w:val="18"/>
          <w:szCs w:val="18"/>
        </w:rPr>
        <w:t xml:space="preserve"> </w:t>
      </w:r>
      <w:r w:rsidRPr="0003382D">
        <w:rPr>
          <w:rFonts w:cs="Arial"/>
          <w:bCs/>
          <w:sz w:val="18"/>
          <w:szCs w:val="18"/>
        </w:rPr>
        <w:t>properties by the Company, whether by way of option or otherwise.</w:t>
      </w:r>
    </w:p>
    <w:p w:rsidR="006A257E" w:rsidRPr="0003382D" w:rsidRDefault="006A257E" w:rsidP="006A257E">
      <w:pPr>
        <w:keepNext/>
        <w:jc w:val="both"/>
        <w:rPr>
          <w:rFonts w:cs="Arial"/>
          <w:b/>
          <w:bCs/>
          <w:sz w:val="18"/>
          <w:szCs w:val="18"/>
        </w:rPr>
      </w:pPr>
    </w:p>
    <w:p w:rsidR="006A257E" w:rsidRPr="0003382D" w:rsidRDefault="006A257E" w:rsidP="006A257E">
      <w:pPr>
        <w:keepNext/>
        <w:jc w:val="both"/>
        <w:rPr>
          <w:rFonts w:cs="Arial"/>
          <w:b/>
          <w:bCs/>
          <w:sz w:val="18"/>
          <w:szCs w:val="18"/>
        </w:rPr>
      </w:pPr>
      <w:r w:rsidRPr="0003382D">
        <w:rPr>
          <w:rFonts w:cs="Arial"/>
          <w:b/>
          <w:bCs/>
          <w:sz w:val="18"/>
          <w:szCs w:val="18"/>
        </w:rPr>
        <w:t>Financial Capability and Additional Financing</w:t>
      </w:r>
    </w:p>
    <w:p w:rsidR="006A257E" w:rsidRDefault="006A257E" w:rsidP="006A257E">
      <w:pPr>
        <w:jc w:val="both"/>
        <w:rPr>
          <w:rFonts w:cs="Arial"/>
          <w:sz w:val="18"/>
          <w:szCs w:val="18"/>
        </w:rPr>
      </w:pPr>
      <w:r w:rsidRPr="0003382D">
        <w:rPr>
          <w:rFonts w:cs="Arial"/>
          <w:sz w:val="18"/>
          <w:szCs w:val="18"/>
        </w:rPr>
        <w:t xml:space="preserve">The Company has limited financial resources, with its only source of income being cash and share payments from current option agreements and </w:t>
      </w:r>
      <w:proofErr w:type="gramStart"/>
      <w:r w:rsidRPr="0003382D">
        <w:rPr>
          <w:rFonts w:cs="Arial"/>
          <w:sz w:val="18"/>
          <w:szCs w:val="18"/>
        </w:rPr>
        <w:t>have</w:t>
      </w:r>
      <w:proofErr w:type="gramEnd"/>
      <w:r w:rsidRPr="0003382D">
        <w:rPr>
          <w:rFonts w:cs="Arial"/>
          <w:sz w:val="18"/>
          <w:szCs w:val="18"/>
        </w:rPr>
        <w:t xml:space="preserve"> no assurance that additional funding will be available to it for further exploration and development of its projects. There can be no assurance that it will be able to obtain sufficient financing in the future to carry out exploration and development work on its projects</w:t>
      </w:r>
      <w:r>
        <w:rPr>
          <w:rFonts w:cs="Arial"/>
          <w:sz w:val="18"/>
          <w:szCs w:val="18"/>
        </w:rPr>
        <w:t xml:space="preserve">. </w:t>
      </w:r>
    </w:p>
    <w:p w:rsidR="006A257E" w:rsidRDefault="006A257E" w:rsidP="006A257E">
      <w:pPr>
        <w:jc w:val="both"/>
        <w:rPr>
          <w:rFonts w:cs="Arial"/>
          <w:sz w:val="18"/>
          <w:szCs w:val="18"/>
        </w:rPr>
      </w:pPr>
    </w:p>
    <w:p w:rsidR="006A257E" w:rsidRDefault="006A257E" w:rsidP="006A257E">
      <w:pPr>
        <w:jc w:val="both"/>
        <w:rPr>
          <w:rFonts w:cs="Arial"/>
          <w:sz w:val="18"/>
          <w:szCs w:val="18"/>
        </w:rPr>
      </w:pPr>
      <w:r>
        <w:rPr>
          <w:rFonts w:cs="Arial"/>
          <w:sz w:val="18"/>
          <w:szCs w:val="18"/>
        </w:rPr>
        <w:t>T</w:t>
      </w:r>
      <w:r w:rsidRPr="0003382D">
        <w:rPr>
          <w:rFonts w:cs="Arial"/>
          <w:sz w:val="18"/>
          <w:szCs w:val="18"/>
        </w:rPr>
        <w:t>he</w:t>
      </w:r>
      <w:r>
        <w:rPr>
          <w:rFonts w:cs="Arial"/>
          <w:sz w:val="18"/>
          <w:szCs w:val="18"/>
        </w:rPr>
        <w:t xml:space="preserve"> </w:t>
      </w:r>
      <w:r w:rsidRPr="0003382D">
        <w:rPr>
          <w:rFonts w:cs="Arial"/>
          <w:sz w:val="18"/>
          <w:szCs w:val="18"/>
        </w:rPr>
        <w:t>ability of the Company to arrange additional financing in the future will depend, in part, on the prevailing capital market conditions as well as the business performance of the Company.</w:t>
      </w:r>
    </w:p>
    <w:p w:rsidR="006A257E" w:rsidRDefault="006A257E" w:rsidP="006A257E">
      <w:pPr>
        <w:keepNext/>
        <w:jc w:val="both"/>
        <w:rPr>
          <w:rFonts w:cs="Arial"/>
          <w:b/>
          <w:bCs/>
          <w:sz w:val="18"/>
          <w:szCs w:val="18"/>
        </w:rPr>
      </w:pPr>
    </w:p>
    <w:p w:rsidR="006A257E" w:rsidRPr="0003382D" w:rsidRDefault="006A257E" w:rsidP="006A257E">
      <w:pPr>
        <w:keepNext/>
        <w:jc w:val="both"/>
        <w:rPr>
          <w:rFonts w:cs="Arial"/>
          <w:b/>
          <w:bCs/>
          <w:sz w:val="18"/>
          <w:szCs w:val="18"/>
        </w:rPr>
      </w:pPr>
      <w:r w:rsidRPr="0003382D">
        <w:rPr>
          <w:rFonts w:cs="Arial"/>
          <w:b/>
          <w:bCs/>
          <w:sz w:val="18"/>
          <w:szCs w:val="18"/>
        </w:rPr>
        <w:t>Mining Titles</w:t>
      </w:r>
    </w:p>
    <w:p w:rsidR="006A257E" w:rsidRPr="0003382D" w:rsidRDefault="006A257E" w:rsidP="006A257E">
      <w:pPr>
        <w:jc w:val="both"/>
        <w:rPr>
          <w:rFonts w:cs="Arial"/>
          <w:sz w:val="18"/>
          <w:szCs w:val="18"/>
        </w:rPr>
      </w:pPr>
      <w:r w:rsidRPr="0003382D">
        <w:rPr>
          <w:rFonts w:cs="Arial"/>
          <w:sz w:val="18"/>
          <w:szCs w:val="18"/>
        </w:rPr>
        <w:t>There is no guarantee that the Company’s title to or interests in the Company’s property interests will not be challenged or impugned.  The acquisition of title to mineral properties is a very detailed and time-consuming process.  Title to the area of mineral properties may be disputed.  There is no guarantee of title to any of the Company's properties.  The Company's properties may be subject to prior unregistered agreements or transfers and title may be affected by undetected defects.  With the exception of certain Crown Granted Mineral Claims and legacy tenures, the Company has not surveyed the boundaries of its properties and consequently the boundaries may be disputed.</w:t>
      </w:r>
    </w:p>
    <w:p w:rsidR="006A257E" w:rsidRPr="005F6C60" w:rsidRDefault="006A257E" w:rsidP="006A257E">
      <w:pPr>
        <w:jc w:val="both"/>
        <w:rPr>
          <w:rFonts w:cs="Arial"/>
          <w:sz w:val="12"/>
          <w:szCs w:val="12"/>
        </w:rPr>
      </w:pPr>
    </w:p>
    <w:p w:rsidR="006A257E" w:rsidRPr="0003382D" w:rsidRDefault="006A257E" w:rsidP="006A257E">
      <w:pPr>
        <w:jc w:val="both"/>
        <w:rPr>
          <w:rFonts w:cs="Arial"/>
          <w:sz w:val="18"/>
          <w:szCs w:val="18"/>
        </w:rPr>
      </w:pPr>
      <w:r w:rsidRPr="0003382D">
        <w:rPr>
          <w:rFonts w:cs="Arial"/>
          <w:sz w:val="18"/>
          <w:szCs w:val="18"/>
        </w:rPr>
        <w:t>There can be no assurance that the Company’s rights will not be challenged by third parties claiming an interest in the properties.</w:t>
      </w:r>
    </w:p>
    <w:p w:rsidR="006A257E" w:rsidRPr="005F6C60" w:rsidRDefault="006A257E" w:rsidP="006A257E">
      <w:pPr>
        <w:keepNext/>
        <w:jc w:val="both"/>
        <w:rPr>
          <w:rFonts w:cs="Arial"/>
          <w:b/>
          <w:bCs/>
          <w:sz w:val="12"/>
          <w:szCs w:val="12"/>
        </w:rPr>
      </w:pPr>
    </w:p>
    <w:p w:rsidR="006A257E" w:rsidRPr="0003382D" w:rsidRDefault="006A257E" w:rsidP="006A257E">
      <w:pPr>
        <w:keepNext/>
        <w:jc w:val="both"/>
        <w:rPr>
          <w:rFonts w:cs="Arial"/>
          <w:b/>
          <w:bCs/>
          <w:sz w:val="18"/>
          <w:szCs w:val="18"/>
        </w:rPr>
      </w:pPr>
      <w:r w:rsidRPr="0003382D">
        <w:rPr>
          <w:rFonts w:cs="Arial"/>
          <w:b/>
          <w:bCs/>
          <w:sz w:val="18"/>
          <w:szCs w:val="18"/>
        </w:rPr>
        <w:t>Management</w:t>
      </w:r>
    </w:p>
    <w:p w:rsidR="006A257E" w:rsidRPr="0003382D" w:rsidRDefault="006A257E" w:rsidP="006A257E">
      <w:pPr>
        <w:jc w:val="both"/>
        <w:rPr>
          <w:rFonts w:cs="Arial"/>
          <w:sz w:val="18"/>
          <w:szCs w:val="18"/>
        </w:rPr>
      </w:pPr>
      <w:r w:rsidRPr="0003382D">
        <w:rPr>
          <w:rFonts w:cs="Arial"/>
          <w:sz w:val="18"/>
          <w:szCs w:val="18"/>
        </w:rPr>
        <w:t>The success of the Company is currently largely dependent on the performance of its officers. The loss of the services of these persons could have a materially adverse effect on the Company’s business and prospects. There is no assurance the Company can maintain the services of its officers or other qualified personnel required to operate its business. Failure to do so could have a material adverse effect on the Company and its prospects.</w:t>
      </w:r>
    </w:p>
    <w:p w:rsidR="006A257E" w:rsidRDefault="006A257E" w:rsidP="006A257E">
      <w:pPr>
        <w:keepNext/>
        <w:jc w:val="both"/>
        <w:rPr>
          <w:rFonts w:cs="Arial"/>
          <w:b/>
          <w:sz w:val="18"/>
          <w:szCs w:val="18"/>
        </w:rPr>
      </w:pPr>
    </w:p>
    <w:p w:rsidR="006A257E" w:rsidRPr="0003382D" w:rsidRDefault="006A257E" w:rsidP="006A257E">
      <w:pPr>
        <w:keepNext/>
        <w:jc w:val="both"/>
        <w:rPr>
          <w:rFonts w:cs="Arial"/>
          <w:b/>
          <w:sz w:val="18"/>
          <w:szCs w:val="18"/>
        </w:rPr>
      </w:pPr>
      <w:r w:rsidRPr="0003382D">
        <w:rPr>
          <w:rFonts w:cs="Arial"/>
          <w:b/>
          <w:sz w:val="18"/>
          <w:szCs w:val="18"/>
        </w:rPr>
        <w:t>Conflicts of Interest</w:t>
      </w:r>
    </w:p>
    <w:p w:rsidR="006A257E" w:rsidRPr="0003382D" w:rsidRDefault="006A257E" w:rsidP="006A257E">
      <w:pPr>
        <w:jc w:val="both"/>
        <w:rPr>
          <w:rFonts w:cs="Arial"/>
          <w:b/>
          <w:bCs/>
          <w:sz w:val="18"/>
          <w:szCs w:val="18"/>
        </w:rPr>
      </w:pPr>
      <w:r w:rsidRPr="0003382D">
        <w:rPr>
          <w:rFonts w:cs="Arial"/>
          <w:sz w:val="18"/>
          <w:szCs w:val="18"/>
        </w:rPr>
        <w:t>Certain directors and officers of the Company are, and may continue to be, involved in the mining and mineral exploration industry through</w:t>
      </w:r>
      <w:r>
        <w:rPr>
          <w:rFonts w:cs="Arial"/>
          <w:sz w:val="18"/>
          <w:szCs w:val="18"/>
        </w:rPr>
        <w:t xml:space="preserve"> </w:t>
      </w:r>
      <w:r w:rsidRPr="0003382D">
        <w:rPr>
          <w:rFonts w:cs="Arial"/>
          <w:sz w:val="18"/>
          <w:szCs w:val="18"/>
        </w:rPr>
        <w:t xml:space="preserve"> their</w:t>
      </w:r>
      <w:r>
        <w:rPr>
          <w:rFonts w:cs="Arial"/>
          <w:sz w:val="18"/>
          <w:szCs w:val="18"/>
        </w:rPr>
        <w:t xml:space="preserve"> </w:t>
      </w:r>
      <w:r w:rsidRPr="0003382D">
        <w:rPr>
          <w:rFonts w:cs="Arial"/>
          <w:sz w:val="18"/>
          <w:szCs w:val="18"/>
        </w:rPr>
        <w:t xml:space="preserve"> direct </w:t>
      </w:r>
      <w:r>
        <w:rPr>
          <w:rFonts w:cs="Arial"/>
          <w:sz w:val="18"/>
          <w:szCs w:val="18"/>
        </w:rPr>
        <w:t xml:space="preserve"> </w:t>
      </w:r>
      <w:r w:rsidRPr="0003382D">
        <w:rPr>
          <w:rFonts w:cs="Arial"/>
          <w:sz w:val="18"/>
          <w:szCs w:val="18"/>
        </w:rPr>
        <w:t xml:space="preserve">and </w:t>
      </w:r>
      <w:r>
        <w:rPr>
          <w:rFonts w:cs="Arial"/>
          <w:sz w:val="18"/>
          <w:szCs w:val="18"/>
        </w:rPr>
        <w:t xml:space="preserve"> </w:t>
      </w:r>
      <w:r w:rsidRPr="0003382D">
        <w:rPr>
          <w:rFonts w:cs="Arial"/>
          <w:sz w:val="18"/>
          <w:szCs w:val="18"/>
        </w:rPr>
        <w:t>indirect</w:t>
      </w:r>
      <w:r>
        <w:rPr>
          <w:rFonts w:cs="Arial"/>
          <w:sz w:val="18"/>
          <w:szCs w:val="18"/>
        </w:rPr>
        <w:t xml:space="preserve"> </w:t>
      </w:r>
      <w:r w:rsidRPr="0003382D">
        <w:rPr>
          <w:rFonts w:cs="Arial"/>
          <w:sz w:val="18"/>
          <w:szCs w:val="18"/>
        </w:rPr>
        <w:t xml:space="preserve"> participation</w:t>
      </w:r>
      <w:r>
        <w:rPr>
          <w:rFonts w:cs="Arial"/>
          <w:sz w:val="18"/>
          <w:szCs w:val="18"/>
        </w:rPr>
        <w:t xml:space="preserve"> </w:t>
      </w:r>
      <w:r w:rsidRPr="0003382D">
        <w:rPr>
          <w:rFonts w:cs="Arial"/>
          <w:sz w:val="18"/>
          <w:szCs w:val="18"/>
        </w:rPr>
        <w:t xml:space="preserve"> in </w:t>
      </w:r>
      <w:r>
        <w:rPr>
          <w:rFonts w:cs="Arial"/>
          <w:sz w:val="18"/>
          <w:szCs w:val="18"/>
        </w:rPr>
        <w:t xml:space="preserve"> </w:t>
      </w:r>
      <w:r w:rsidRPr="0003382D">
        <w:rPr>
          <w:rFonts w:cs="Arial"/>
          <w:sz w:val="18"/>
          <w:szCs w:val="18"/>
        </w:rPr>
        <w:t>corporations,</w:t>
      </w:r>
      <w:r>
        <w:rPr>
          <w:rFonts w:cs="Arial"/>
          <w:sz w:val="18"/>
          <w:szCs w:val="18"/>
        </w:rPr>
        <w:t xml:space="preserve"> </w:t>
      </w:r>
      <w:r w:rsidRPr="0003382D">
        <w:rPr>
          <w:rFonts w:cs="Arial"/>
          <w:sz w:val="18"/>
          <w:szCs w:val="18"/>
        </w:rPr>
        <w:t xml:space="preserve"> partnerships</w:t>
      </w:r>
      <w:r>
        <w:rPr>
          <w:rFonts w:cs="Arial"/>
          <w:sz w:val="18"/>
          <w:szCs w:val="18"/>
        </w:rPr>
        <w:t xml:space="preserve"> </w:t>
      </w:r>
      <w:r w:rsidRPr="0003382D">
        <w:rPr>
          <w:rFonts w:cs="Arial"/>
          <w:sz w:val="18"/>
          <w:szCs w:val="18"/>
        </w:rPr>
        <w:t xml:space="preserve"> or</w:t>
      </w:r>
      <w:r>
        <w:rPr>
          <w:rFonts w:cs="Arial"/>
          <w:sz w:val="18"/>
          <w:szCs w:val="18"/>
        </w:rPr>
        <w:t xml:space="preserve"> </w:t>
      </w:r>
      <w:r w:rsidRPr="0003382D">
        <w:rPr>
          <w:rFonts w:cs="Arial"/>
          <w:sz w:val="18"/>
          <w:szCs w:val="18"/>
        </w:rPr>
        <w:t xml:space="preserve"> joint</w:t>
      </w:r>
      <w:r>
        <w:rPr>
          <w:rFonts w:cs="Arial"/>
          <w:sz w:val="18"/>
          <w:szCs w:val="18"/>
        </w:rPr>
        <w:t xml:space="preserve"> </w:t>
      </w:r>
      <w:r w:rsidRPr="0003382D">
        <w:rPr>
          <w:rFonts w:cs="Arial"/>
          <w:sz w:val="18"/>
          <w:szCs w:val="18"/>
        </w:rPr>
        <w:t xml:space="preserve"> ventures</w:t>
      </w:r>
      <w:r>
        <w:rPr>
          <w:rFonts w:cs="Arial"/>
          <w:sz w:val="18"/>
          <w:szCs w:val="18"/>
        </w:rPr>
        <w:t xml:space="preserve"> </w:t>
      </w:r>
      <w:r w:rsidRPr="0003382D">
        <w:rPr>
          <w:rFonts w:cs="Arial"/>
          <w:sz w:val="18"/>
          <w:szCs w:val="18"/>
        </w:rPr>
        <w:t xml:space="preserve"> which are potential competitors of the</w:t>
      </w:r>
      <w:r>
        <w:rPr>
          <w:rFonts w:cs="Arial"/>
          <w:sz w:val="18"/>
          <w:szCs w:val="18"/>
        </w:rPr>
        <w:t xml:space="preserve"> </w:t>
      </w:r>
      <w:r w:rsidRPr="0003382D">
        <w:rPr>
          <w:rFonts w:cs="Arial"/>
          <w:sz w:val="18"/>
          <w:szCs w:val="18"/>
        </w:rPr>
        <w:t>Company.  Situations may arise in connection with potential acquisitions in investments where the other interests of these directors and</w:t>
      </w:r>
      <w:r>
        <w:rPr>
          <w:rFonts w:cs="Arial"/>
          <w:sz w:val="18"/>
          <w:szCs w:val="18"/>
        </w:rPr>
        <w:t xml:space="preserve"> </w:t>
      </w:r>
      <w:r w:rsidRPr="0003382D">
        <w:rPr>
          <w:rFonts w:cs="Arial"/>
          <w:sz w:val="18"/>
          <w:szCs w:val="18"/>
        </w:rPr>
        <w:t>officers may conflict with the interests of the Company.  Directors and officers of the Company with conflicts of interest will be subject to the applicable corporate and securities legislation, regulation, rules and policies.</w:t>
      </w:r>
    </w:p>
    <w:p w:rsidR="006A257E" w:rsidRDefault="006A257E" w:rsidP="006A257E">
      <w:pPr>
        <w:widowControl w:val="0"/>
        <w:jc w:val="both"/>
        <w:rPr>
          <w:rFonts w:cs="Arial"/>
          <w:b/>
          <w:bCs/>
          <w:sz w:val="12"/>
          <w:szCs w:val="12"/>
        </w:rPr>
      </w:pPr>
    </w:p>
    <w:p w:rsidR="006A257E" w:rsidRPr="00892291" w:rsidRDefault="006A257E" w:rsidP="006A257E">
      <w:pPr>
        <w:widowControl w:val="0"/>
        <w:jc w:val="both"/>
        <w:rPr>
          <w:rFonts w:cs="Arial"/>
          <w:b/>
          <w:bCs/>
          <w:sz w:val="12"/>
          <w:szCs w:val="12"/>
        </w:rPr>
      </w:pPr>
    </w:p>
    <w:p w:rsidR="006A257E" w:rsidRPr="0003382D" w:rsidRDefault="006A257E" w:rsidP="006A257E">
      <w:pPr>
        <w:widowControl w:val="0"/>
        <w:jc w:val="both"/>
        <w:rPr>
          <w:rFonts w:cs="Arial"/>
          <w:b/>
          <w:bCs/>
          <w:sz w:val="18"/>
          <w:szCs w:val="18"/>
        </w:rPr>
      </w:pPr>
      <w:r w:rsidRPr="0003382D">
        <w:rPr>
          <w:rFonts w:cs="Arial"/>
          <w:b/>
          <w:bCs/>
          <w:sz w:val="18"/>
          <w:szCs w:val="18"/>
        </w:rPr>
        <w:t>Dilution</w:t>
      </w:r>
    </w:p>
    <w:p w:rsidR="006A257E" w:rsidRPr="0003382D" w:rsidRDefault="006A257E" w:rsidP="006A257E">
      <w:pPr>
        <w:widowControl w:val="0"/>
        <w:jc w:val="both"/>
        <w:rPr>
          <w:rFonts w:cs="Arial"/>
          <w:sz w:val="18"/>
          <w:szCs w:val="18"/>
        </w:rPr>
      </w:pPr>
      <w:r w:rsidRPr="0003382D">
        <w:rPr>
          <w:rFonts w:cs="Arial"/>
          <w:sz w:val="18"/>
          <w:szCs w:val="18"/>
        </w:rPr>
        <w:t>There are a number of outstanding options and warrants pursuant to which additional common shares of the Company may be issued in the future. Exercise of such options and warrants may result in dilution to the Company’s shareholders. In addition, if the Company raises additional funds through the sale of equity securities, shareholders may have their investment further</w:t>
      </w:r>
      <w:r>
        <w:rPr>
          <w:rFonts w:cs="Arial"/>
          <w:sz w:val="18"/>
          <w:szCs w:val="18"/>
        </w:rPr>
        <w:t xml:space="preserve"> </w:t>
      </w:r>
      <w:r w:rsidRPr="0003382D">
        <w:rPr>
          <w:rFonts w:cs="Arial"/>
          <w:sz w:val="18"/>
          <w:szCs w:val="18"/>
        </w:rPr>
        <w:t>diluted.</w:t>
      </w:r>
    </w:p>
    <w:p w:rsidR="006A257E" w:rsidRPr="00410071" w:rsidRDefault="006A257E" w:rsidP="006A257E">
      <w:pPr>
        <w:pBdr>
          <w:top w:val="single" w:sz="24" w:space="3"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Pr="005F6C60" w:rsidRDefault="006A257E" w:rsidP="006A257E">
      <w:pPr>
        <w:jc w:val="both"/>
        <w:rPr>
          <w:rFonts w:cs="Arial"/>
          <w:b/>
          <w:sz w:val="12"/>
          <w:szCs w:val="12"/>
          <w:u w:val="single"/>
        </w:rPr>
      </w:pPr>
    </w:p>
    <w:p w:rsidR="006A257E" w:rsidRPr="0003382D" w:rsidRDefault="006A257E" w:rsidP="006A257E">
      <w:pPr>
        <w:jc w:val="both"/>
        <w:rPr>
          <w:rFonts w:cs="Arial"/>
          <w:b/>
          <w:sz w:val="18"/>
          <w:szCs w:val="18"/>
          <w:u w:val="single"/>
        </w:rPr>
      </w:pPr>
      <w:r w:rsidRPr="0003382D">
        <w:rPr>
          <w:rFonts w:cs="Arial"/>
          <w:b/>
          <w:sz w:val="18"/>
          <w:szCs w:val="18"/>
          <w:u w:val="single"/>
        </w:rPr>
        <w:t>Risk Factors</w:t>
      </w:r>
      <w:r>
        <w:rPr>
          <w:rFonts w:cs="Arial"/>
          <w:b/>
          <w:sz w:val="18"/>
          <w:szCs w:val="18"/>
          <w:u w:val="single"/>
        </w:rPr>
        <w:t xml:space="preserve"> - continued</w:t>
      </w:r>
    </w:p>
    <w:p w:rsidR="006A257E" w:rsidRDefault="006A257E" w:rsidP="006A257E">
      <w:pPr>
        <w:jc w:val="both"/>
        <w:rPr>
          <w:rFonts w:cs="Arial"/>
          <w:b/>
          <w:bCs/>
          <w:sz w:val="18"/>
          <w:szCs w:val="18"/>
        </w:rPr>
      </w:pPr>
    </w:p>
    <w:p w:rsidR="006A257E" w:rsidRPr="0003382D" w:rsidRDefault="006A257E" w:rsidP="006A257E">
      <w:pPr>
        <w:jc w:val="both"/>
        <w:rPr>
          <w:rFonts w:cs="Arial"/>
          <w:b/>
          <w:bCs/>
          <w:sz w:val="18"/>
          <w:szCs w:val="18"/>
        </w:rPr>
      </w:pPr>
      <w:r w:rsidRPr="0003382D">
        <w:rPr>
          <w:rFonts w:cs="Arial"/>
          <w:b/>
          <w:bCs/>
          <w:sz w:val="18"/>
          <w:szCs w:val="18"/>
        </w:rPr>
        <w:t>History of Losses and No Assurance of Profitable Operations</w:t>
      </w:r>
    </w:p>
    <w:p w:rsidR="006A257E" w:rsidRPr="0003382D" w:rsidRDefault="006A257E" w:rsidP="006A257E">
      <w:pPr>
        <w:jc w:val="both"/>
        <w:rPr>
          <w:rFonts w:cs="Arial"/>
          <w:sz w:val="18"/>
          <w:szCs w:val="18"/>
        </w:rPr>
      </w:pPr>
      <w:r w:rsidRPr="0003382D">
        <w:rPr>
          <w:rFonts w:cs="Arial"/>
          <w:sz w:val="18"/>
          <w:szCs w:val="18"/>
        </w:rPr>
        <w:t>The Company has incurred a loss since inception. There can be no assurance that the Company will be able to operate profitably during future periods. If the Company is unable to operate profitably during future periods, and is not successful in obtaining additional financing, the Company could be forced to cease its exploration and development plans as a result of lacking sufficient cash resources.</w:t>
      </w:r>
    </w:p>
    <w:p w:rsidR="006A257E" w:rsidRPr="00892291" w:rsidRDefault="006A257E" w:rsidP="006A257E">
      <w:pPr>
        <w:jc w:val="both"/>
        <w:rPr>
          <w:rFonts w:cs="Arial"/>
          <w:sz w:val="12"/>
          <w:szCs w:val="12"/>
        </w:rPr>
      </w:pPr>
    </w:p>
    <w:p w:rsidR="006A257E" w:rsidRPr="0003382D" w:rsidRDefault="006A257E" w:rsidP="006A257E">
      <w:pPr>
        <w:jc w:val="both"/>
        <w:rPr>
          <w:rFonts w:cs="Arial"/>
          <w:sz w:val="18"/>
          <w:szCs w:val="18"/>
        </w:rPr>
      </w:pPr>
      <w:r w:rsidRPr="0003382D">
        <w:rPr>
          <w:rFonts w:cs="Arial"/>
          <w:sz w:val="18"/>
          <w:szCs w:val="18"/>
        </w:rPr>
        <w:t xml:space="preserve">The Company has not paid dividends in the past and has no plans to pay dividends for the foreseeable future.  </w:t>
      </w:r>
    </w:p>
    <w:p w:rsidR="006A257E" w:rsidRPr="0003382D" w:rsidRDefault="006A257E" w:rsidP="006A257E">
      <w:pPr>
        <w:jc w:val="both"/>
        <w:rPr>
          <w:rFonts w:cs="Arial"/>
          <w:sz w:val="18"/>
          <w:szCs w:val="18"/>
        </w:rPr>
      </w:pPr>
    </w:p>
    <w:p w:rsidR="006A257E" w:rsidRPr="0003382D" w:rsidRDefault="006A257E" w:rsidP="006A257E">
      <w:pPr>
        <w:keepNext/>
        <w:jc w:val="both"/>
        <w:rPr>
          <w:rFonts w:cs="Arial"/>
          <w:sz w:val="18"/>
          <w:szCs w:val="18"/>
        </w:rPr>
      </w:pPr>
      <w:r w:rsidRPr="0003382D">
        <w:rPr>
          <w:rFonts w:cs="Arial"/>
          <w:b/>
          <w:bCs/>
          <w:sz w:val="18"/>
          <w:szCs w:val="18"/>
        </w:rPr>
        <w:t>Uninsurable Risks</w:t>
      </w:r>
    </w:p>
    <w:p w:rsidR="006A257E" w:rsidRPr="0003382D" w:rsidRDefault="006A257E" w:rsidP="006A257E">
      <w:pPr>
        <w:jc w:val="both"/>
        <w:rPr>
          <w:rFonts w:cs="Arial"/>
          <w:sz w:val="18"/>
          <w:szCs w:val="18"/>
        </w:rPr>
      </w:pPr>
      <w:r w:rsidRPr="0003382D">
        <w:rPr>
          <w:rFonts w:cs="Arial"/>
          <w:sz w:val="18"/>
          <w:szCs w:val="18"/>
        </w:rPr>
        <w:t>In the course of exploration, development and production of mineral properties, certain risks, and in particular, unexpected or unusual geological operating conditions may occur.  These unexpected or unusual conditions may include rock bursts, cave-ins, fires, flooding and earthquakes. It is not always possible to fully insure against such risks and the Company may decide not to take out insurance against such risks as a result of high premiums or other reasons. Should such liabilities arise, they could reduce or eliminate any future profitability and result in increasing costs and a decline in the value of the securities of the Company.</w:t>
      </w:r>
    </w:p>
    <w:p w:rsidR="006A257E" w:rsidRPr="00892291" w:rsidRDefault="006A257E" w:rsidP="006A257E">
      <w:pPr>
        <w:jc w:val="both"/>
        <w:rPr>
          <w:rFonts w:cs="Arial"/>
          <w:b/>
          <w:sz w:val="12"/>
          <w:szCs w:val="12"/>
          <w:u w:val="single"/>
        </w:rPr>
      </w:pPr>
    </w:p>
    <w:p w:rsidR="006A257E" w:rsidRPr="0003382D" w:rsidRDefault="006A257E" w:rsidP="006A257E">
      <w:pPr>
        <w:keepNext/>
        <w:jc w:val="both"/>
        <w:rPr>
          <w:rFonts w:cs="Arial"/>
          <w:b/>
          <w:bCs/>
          <w:sz w:val="18"/>
          <w:szCs w:val="18"/>
        </w:rPr>
      </w:pPr>
      <w:r w:rsidRPr="0003382D">
        <w:rPr>
          <w:rFonts w:cs="Arial"/>
          <w:b/>
          <w:bCs/>
          <w:sz w:val="18"/>
          <w:szCs w:val="18"/>
        </w:rPr>
        <w:t>Environmental and Safety Regulations and Risks</w:t>
      </w:r>
    </w:p>
    <w:p w:rsidR="006A257E" w:rsidRPr="0003382D" w:rsidRDefault="006A257E" w:rsidP="006A257E">
      <w:pPr>
        <w:jc w:val="both"/>
        <w:rPr>
          <w:rFonts w:cs="Arial"/>
          <w:sz w:val="18"/>
          <w:szCs w:val="18"/>
        </w:rPr>
      </w:pPr>
      <w:r w:rsidRPr="0003382D">
        <w:rPr>
          <w:rFonts w:cs="Arial"/>
          <w:sz w:val="18"/>
          <w:szCs w:val="18"/>
        </w:rPr>
        <w:t>Environmental laws and regulations may adversely affect the operations of the Company. These laws and regulations set various standards regulating certain aspects of health and environmental quality. They provide for penalties and other liabilities for the violation</w:t>
      </w:r>
      <w:r>
        <w:rPr>
          <w:rFonts w:cs="Arial"/>
          <w:sz w:val="18"/>
          <w:szCs w:val="18"/>
        </w:rPr>
        <w:t xml:space="preserve"> </w:t>
      </w:r>
      <w:r w:rsidRPr="0003382D">
        <w:rPr>
          <w:rFonts w:cs="Arial"/>
          <w:sz w:val="18"/>
          <w:szCs w:val="18"/>
        </w:rPr>
        <w:t>of such standards and establish, in certain circumstances, obligations to rehabilitate current and former facilities and locations where</w:t>
      </w:r>
      <w:r>
        <w:rPr>
          <w:rFonts w:cs="Arial"/>
          <w:sz w:val="18"/>
          <w:szCs w:val="18"/>
        </w:rPr>
        <w:t xml:space="preserve"> </w:t>
      </w:r>
      <w:r w:rsidRPr="0003382D">
        <w:rPr>
          <w:rFonts w:cs="Arial"/>
          <w:sz w:val="18"/>
          <w:szCs w:val="18"/>
        </w:rPr>
        <w:t>operations are or were conducted. Furthermore the permission to operate could be withdrawn temporarily where there is evidence of serious breaches of health and safety, or even permanently in the case of extreme breaches.</w:t>
      </w:r>
    </w:p>
    <w:p w:rsidR="006A257E" w:rsidRDefault="006A257E" w:rsidP="006A257E">
      <w:pPr>
        <w:jc w:val="both"/>
        <w:rPr>
          <w:rFonts w:cs="Arial"/>
          <w:sz w:val="18"/>
          <w:szCs w:val="18"/>
        </w:rPr>
      </w:pPr>
    </w:p>
    <w:p w:rsidR="006A257E" w:rsidRPr="0003382D" w:rsidRDefault="006A257E" w:rsidP="006A257E">
      <w:pPr>
        <w:jc w:val="both"/>
        <w:rPr>
          <w:rFonts w:cs="Arial"/>
          <w:sz w:val="18"/>
          <w:szCs w:val="18"/>
        </w:rPr>
      </w:pPr>
      <w:r w:rsidRPr="0003382D">
        <w:rPr>
          <w:rFonts w:cs="Arial"/>
          <w:sz w:val="18"/>
          <w:szCs w:val="18"/>
        </w:rPr>
        <w:t xml:space="preserve">Significant liabilities could be imposed on the Company for damages, clean-up costs or penalties in the event of certain discharges into the environment, environmental damage caused by previous owners of acquired properties or non-compliance with environmental laws or regulations. </w:t>
      </w:r>
    </w:p>
    <w:p w:rsidR="006A257E" w:rsidRDefault="006A257E" w:rsidP="006A257E">
      <w:pPr>
        <w:widowControl w:val="0"/>
        <w:jc w:val="both"/>
        <w:rPr>
          <w:rFonts w:cs="Arial"/>
          <w:b/>
          <w:bCs/>
          <w:sz w:val="18"/>
          <w:szCs w:val="18"/>
        </w:rPr>
      </w:pPr>
    </w:p>
    <w:p w:rsidR="006A257E" w:rsidRPr="0003382D" w:rsidRDefault="006A257E" w:rsidP="006A257E">
      <w:pPr>
        <w:widowControl w:val="0"/>
        <w:jc w:val="both"/>
        <w:rPr>
          <w:rFonts w:cs="Arial"/>
          <w:b/>
          <w:bCs/>
          <w:sz w:val="18"/>
          <w:szCs w:val="18"/>
        </w:rPr>
      </w:pPr>
      <w:r w:rsidRPr="0003382D">
        <w:rPr>
          <w:rFonts w:cs="Arial"/>
          <w:b/>
          <w:bCs/>
          <w:sz w:val="18"/>
          <w:szCs w:val="18"/>
        </w:rPr>
        <w:t>Fluctuating Mineral Prices</w:t>
      </w:r>
    </w:p>
    <w:p w:rsidR="006A257E" w:rsidRDefault="006A257E" w:rsidP="006A257E">
      <w:pPr>
        <w:widowControl w:val="0"/>
        <w:jc w:val="both"/>
        <w:rPr>
          <w:rFonts w:cs="Arial"/>
          <w:sz w:val="18"/>
          <w:szCs w:val="18"/>
        </w:rPr>
      </w:pPr>
      <w:r w:rsidRPr="0003382D">
        <w:rPr>
          <w:rFonts w:cs="Arial"/>
          <w:sz w:val="18"/>
          <w:szCs w:val="18"/>
        </w:rPr>
        <w:t>The Company’s revenues, if any, are expected to be in large part derived from the sale of gold, copper, and possibly other metals. The prices of gold, copper, and other commodities have fluctuated widely in recent years and are affected by factors beyond the control of the Company including, but not limited to, economic and political trends, currency exchange fluctuations, economic inflation and expectations for the level of economic inflation in the consuming economies, interest rates, global and local economic health and</w:t>
      </w:r>
      <w:r>
        <w:rPr>
          <w:rFonts w:cs="Arial"/>
          <w:sz w:val="18"/>
          <w:szCs w:val="18"/>
        </w:rPr>
        <w:t xml:space="preserve"> t</w:t>
      </w:r>
      <w:r w:rsidRPr="0003382D">
        <w:rPr>
          <w:rFonts w:cs="Arial"/>
          <w:sz w:val="18"/>
          <w:szCs w:val="18"/>
        </w:rPr>
        <w:t>rends, speculative activities and changes in the supply of gold and copper due to new mine developments, mine closures, and advances in various production and technological uses for gold and copper. All of these factors will have impacts on the viability of the</w:t>
      </w:r>
      <w:r>
        <w:rPr>
          <w:rFonts w:cs="Arial"/>
          <w:sz w:val="18"/>
          <w:szCs w:val="18"/>
        </w:rPr>
        <w:t xml:space="preserve"> </w:t>
      </w:r>
      <w:r w:rsidRPr="0003382D">
        <w:rPr>
          <w:rFonts w:cs="Arial"/>
          <w:sz w:val="18"/>
          <w:szCs w:val="18"/>
        </w:rPr>
        <w:lastRenderedPageBreak/>
        <w:t>Company’s exploration projects that</w:t>
      </w:r>
      <w:r>
        <w:rPr>
          <w:rFonts w:cs="Arial"/>
          <w:sz w:val="18"/>
          <w:szCs w:val="18"/>
        </w:rPr>
        <w:t xml:space="preserve"> </w:t>
      </w:r>
      <w:r w:rsidRPr="0003382D">
        <w:rPr>
          <w:rFonts w:cs="Arial"/>
          <w:sz w:val="18"/>
          <w:szCs w:val="18"/>
        </w:rPr>
        <w:t>are impossible to predict with certainty.</w:t>
      </w:r>
    </w:p>
    <w:p w:rsidR="006A257E" w:rsidRDefault="006A257E" w:rsidP="006A257E">
      <w:pPr>
        <w:widowControl w:val="0"/>
        <w:jc w:val="both"/>
        <w:rPr>
          <w:rFonts w:cs="Arial"/>
          <w:b/>
          <w:bCs/>
          <w:sz w:val="18"/>
          <w:szCs w:val="18"/>
        </w:rPr>
      </w:pPr>
    </w:p>
    <w:p w:rsidR="006A257E" w:rsidRPr="0003382D" w:rsidRDefault="006A257E" w:rsidP="006A257E">
      <w:pPr>
        <w:widowControl w:val="0"/>
        <w:jc w:val="both"/>
        <w:rPr>
          <w:rFonts w:cs="Arial"/>
          <w:b/>
          <w:bCs/>
          <w:sz w:val="18"/>
          <w:szCs w:val="18"/>
        </w:rPr>
      </w:pPr>
      <w:r>
        <w:rPr>
          <w:rFonts w:eastAsia="Calibri" w:cs="Arial"/>
          <w:noProof/>
          <w:sz w:val="18"/>
          <w:szCs w:val="18"/>
          <w:lang w:val="en-CA" w:eastAsia="en-CA"/>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8442960</wp:posOffset>
                </wp:positionV>
                <wp:extent cx="6083300" cy="1479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57E" w:rsidRDefault="006A257E" w:rsidP="006A257E">
                            <w:pPr>
                              <w:kinsoku w:val="0"/>
                              <w:spacing w:line="204" w:lineRule="auto"/>
                              <w:jc w:val="center"/>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664.8pt;width:479pt;height:11.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" o:allowincell="f" stroked="f">
                <v:fill opacity="0"/>
                <v:textbox inset="0,0,0,0">
                  <w:txbxContent>
                    <w:p w:rsidR="006A257E" w:rsidRDefault="006A257E" w:rsidP="006A257E">
                      <w:pPr>
                        <w:kinsoku w:val="0"/>
                        <w:spacing w:line="204" w:lineRule="auto"/>
                        <w:jc w:val="center"/>
                        <w:rPr>
                          <w:rFonts w:ascii="Garamond" w:hAnsi="Garamond" w:cs="Garamond"/>
                        </w:rPr>
                      </w:pPr>
                    </w:p>
                  </w:txbxContent>
                </v:textbox>
                <w10:wrap type="square"/>
              </v:shape>
            </w:pict>
          </mc:Fallback>
        </mc:AlternateContent>
      </w:r>
      <w:r w:rsidRPr="0003382D">
        <w:rPr>
          <w:rFonts w:cs="Arial"/>
          <w:b/>
          <w:bCs/>
          <w:sz w:val="18"/>
          <w:szCs w:val="18"/>
        </w:rPr>
        <w:t>Competitive Conditions</w:t>
      </w:r>
    </w:p>
    <w:p w:rsidR="006A257E" w:rsidRPr="0003382D" w:rsidRDefault="006A257E" w:rsidP="006A257E">
      <w:pPr>
        <w:widowControl w:val="0"/>
        <w:jc w:val="both"/>
        <w:rPr>
          <w:rFonts w:cs="Arial"/>
          <w:sz w:val="18"/>
          <w:szCs w:val="18"/>
        </w:rPr>
      </w:pPr>
      <w:r w:rsidRPr="0003382D">
        <w:rPr>
          <w:rFonts w:cs="Arial"/>
          <w:sz w:val="18"/>
          <w:szCs w:val="18"/>
        </w:rPr>
        <w:t xml:space="preserve">The mining industry is intensely competitive in all its phases, and the Company competes with other companies that have significantly greater financial resources and technical facilities. Competition in the precious metals mining industry is primarily for mineral rich properties which can be developed and produced economically; the technical expertise to find, develop, and produce such properties; the </w:t>
      </w:r>
      <w:proofErr w:type="spellStart"/>
      <w:r w:rsidRPr="0003382D">
        <w:rPr>
          <w:rFonts w:cs="Arial"/>
          <w:sz w:val="18"/>
          <w:szCs w:val="18"/>
        </w:rPr>
        <w:t>labour</w:t>
      </w:r>
      <w:proofErr w:type="spellEnd"/>
      <w:r w:rsidRPr="0003382D">
        <w:rPr>
          <w:rFonts w:cs="Arial"/>
          <w:sz w:val="18"/>
          <w:szCs w:val="18"/>
        </w:rPr>
        <w:t xml:space="preserve"> to operate the properties; and the capital for the purpose of financing development of such properties. Many competitors not only explore for and mine precious metals, but conduct refining and marketing operations on a world-wide basis and some of these companies have much greater financial and technical resources than the Company. Such competition may result in the Company being unable to acquire desired properties, recruit or retain qualified employees or acquire the capital necessary to fund its operations and develop its properties. The Company’s inability to compete with other mining companies for these mineral deposits could have a material adverse effect on the Company’s results.</w:t>
      </w:r>
    </w:p>
    <w:p w:rsidR="006A257E" w:rsidRPr="0003382D" w:rsidRDefault="006A257E" w:rsidP="006A257E">
      <w:pPr>
        <w:widowControl w:val="0"/>
        <w:jc w:val="both"/>
        <w:rPr>
          <w:rFonts w:cs="Arial"/>
          <w:sz w:val="18"/>
          <w:szCs w:val="18"/>
        </w:rPr>
      </w:pPr>
    </w:p>
    <w:p w:rsidR="006A257E" w:rsidRPr="0003382D" w:rsidRDefault="006A257E" w:rsidP="006A257E">
      <w:pPr>
        <w:keepNext/>
        <w:jc w:val="both"/>
        <w:rPr>
          <w:rFonts w:cs="Arial"/>
          <w:b/>
          <w:bCs/>
          <w:sz w:val="18"/>
          <w:szCs w:val="18"/>
        </w:rPr>
      </w:pPr>
      <w:r w:rsidRPr="0003382D">
        <w:rPr>
          <w:rFonts w:cs="Arial"/>
          <w:b/>
          <w:bCs/>
          <w:sz w:val="18"/>
          <w:szCs w:val="18"/>
        </w:rPr>
        <w:t>Price Volatility of Publicly Traded Securities</w:t>
      </w:r>
    </w:p>
    <w:p w:rsidR="006A257E" w:rsidRDefault="006A257E" w:rsidP="006A257E">
      <w:pPr>
        <w:jc w:val="both"/>
        <w:rPr>
          <w:rFonts w:cs="Arial"/>
          <w:sz w:val="18"/>
          <w:szCs w:val="18"/>
        </w:rPr>
      </w:pPr>
      <w:r w:rsidRPr="0003382D">
        <w:rPr>
          <w:rFonts w:cs="Arial"/>
          <w:sz w:val="18"/>
          <w:szCs w:val="18"/>
        </w:rPr>
        <w:t>In recent years, the securities markets in the United States and Canada have experienced high levels of price and volume volatility, and the market prices of securities of many companies have experienced wide fluctuations in price which have not necessarily been related</w:t>
      </w:r>
      <w:r>
        <w:rPr>
          <w:rFonts w:cs="Arial"/>
          <w:sz w:val="18"/>
          <w:szCs w:val="18"/>
        </w:rPr>
        <w:t xml:space="preserve"> </w:t>
      </w:r>
      <w:r w:rsidRPr="0003382D">
        <w:rPr>
          <w:rFonts w:cs="Arial"/>
          <w:sz w:val="18"/>
          <w:szCs w:val="18"/>
        </w:rPr>
        <w:t>to the operating performance, underlying asset values or prospects of such companies. There can be no assurance that continual</w:t>
      </w:r>
      <w:r>
        <w:rPr>
          <w:rFonts w:cs="Arial"/>
          <w:sz w:val="18"/>
          <w:szCs w:val="18"/>
        </w:rPr>
        <w:t xml:space="preserve"> </w:t>
      </w:r>
      <w:r w:rsidRPr="0003382D">
        <w:rPr>
          <w:rFonts w:cs="Arial"/>
          <w:sz w:val="18"/>
          <w:szCs w:val="18"/>
        </w:rPr>
        <w:t xml:space="preserve">fluctuations in price will not occur. Any quoted market for the common shares may be subject to market trends generally, notwithstanding any potential success of the Company in creating revenues, cash flows or earnings. </w:t>
      </w:r>
    </w:p>
    <w:p w:rsidR="006A257E" w:rsidRDefault="006A257E" w:rsidP="006A257E">
      <w:pPr>
        <w:jc w:val="both"/>
        <w:rPr>
          <w:rFonts w:cs="Arial"/>
          <w:sz w:val="18"/>
          <w:szCs w:val="18"/>
        </w:rPr>
      </w:pPr>
    </w:p>
    <w:p w:rsidR="006A257E" w:rsidRPr="0003382D" w:rsidRDefault="006A257E" w:rsidP="006A257E">
      <w:pPr>
        <w:keepNext/>
        <w:jc w:val="both"/>
        <w:rPr>
          <w:rFonts w:cs="Arial"/>
          <w:b/>
          <w:sz w:val="18"/>
          <w:szCs w:val="18"/>
        </w:rPr>
      </w:pPr>
      <w:r w:rsidRPr="0003382D">
        <w:rPr>
          <w:rFonts w:cs="Arial"/>
          <w:b/>
          <w:sz w:val="18"/>
          <w:szCs w:val="18"/>
        </w:rPr>
        <w:t>Inadequate Infrastructure May Affect the Company’s Operations</w:t>
      </w:r>
    </w:p>
    <w:p w:rsidR="006A257E" w:rsidRPr="0003382D" w:rsidRDefault="006A257E" w:rsidP="006A257E">
      <w:pPr>
        <w:widowControl w:val="0"/>
        <w:jc w:val="both"/>
        <w:rPr>
          <w:rFonts w:cs="Arial"/>
          <w:sz w:val="18"/>
          <w:szCs w:val="18"/>
        </w:rPr>
      </w:pPr>
      <w:r w:rsidRPr="0003382D">
        <w:rPr>
          <w:rFonts w:cs="Arial"/>
          <w:sz w:val="18"/>
          <w:szCs w:val="18"/>
        </w:rPr>
        <w:t>Mining, processing, development and exploration activities depend, to one degree or another, on adequate infrastructure.  Reliable</w:t>
      </w:r>
      <w:r>
        <w:rPr>
          <w:rFonts w:cs="Arial"/>
          <w:sz w:val="18"/>
          <w:szCs w:val="18"/>
        </w:rPr>
        <w:t xml:space="preserve"> </w:t>
      </w:r>
      <w:r w:rsidRPr="0003382D">
        <w:rPr>
          <w:rFonts w:cs="Arial"/>
          <w:sz w:val="18"/>
          <w:szCs w:val="18"/>
        </w:rPr>
        <w:t>roads, bridges, power sources and water supply are important determinants, which affect capital and operating costs. Unusual or</w:t>
      </w:r>
      <w:r>
        <w:rPr>
          <w:rFonts w:cs="Arial"/>
          <w:sz w:val="18"/>
          <w:szCs w:val="18"/>
        </w:rPr>
        <w:t xml:space="preserve"> </w:t>
      </w:r>
      <w:r w:rsidRPr="0003382D">
        <w:rPr>
          <w:rFonts w:cs="Arial"/>
          <w:sz w:val="18"/>
          <w:szCs w:val="18"/>
        </w:rPr>
        <w:t>infrequent weather phenomena, sabotage, community, government or other interference in the maintenance or provision of such infrastructure could adversely affect the Company’s operations, financial condition and results of operations.</w:t>
      </w:r>
    </w:p>
    <w:p w:rsidR="006A257E" w:rsidRPr="00892291" w:rsidRDefault="006A257E" w:rsidP="006A257E">
      <w:pPr>
        <w:jc w:val="both"/>
        <w:rPr>
          <w:rFonts w:cs="Arial"/>
          <w:b/>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Risks and Uncertainties</w:t>
      </w:r>
    </w:p>
    <w:p w:rsidR="006A257E" w:rsidRPr="00AE5C67" w:rsidRDefault="006A257E" w:rsidP="006A257E">
      <w:pPr>
        <w:jc w:val="both"/>
        <w:rPr>
          <w:rFonts w:cs="Arial"/>
          <w:b/>
          <w:sz w:val="12"/>
          <w:szCs w:val="12"/>
          <w:u w:val="single"/>
        </w:rPr>
      </w:pPr>
    </w:p>
    <w:p w:rsidR="006A257E" w:rsidRDefault="006A257E" w:rsidP="006A257E">
      <w:pPr>
        <w:widowControl w:val="0"/>
        <w:jc w:val="both"/>
        <w:rPr>
          <w:rFonts w:cs="Arial"/>
          <w:sz w:val="18"/>
          <w:szCs w:val="18"/>
        </w:rPr>
      </w:pPr>
      <w:r w:rsidRPr="00BB6DF2">
        <w:rPr>
          <w:rFonts w:cs="Arial"/>
          <w:sz w:val="18"/>
          <w:szCs w:val="18"/>
        </w:rPr>
        <w:t>Management’s estimates of mineral prices, mineral resources and operating costs are subject to certain risks and uncertainties which</w:t>
      </w:r>
      <w:r>
        <w:rPr>
          <w:rFonts w:cs="Arial"/>
          <w:sz w:val="18"/>
          <w:szCs w:val="18"/>
        </w:rPr>
        <w:t xml:space="preserve"> </w:t>
      </w:r>
      <w:r w:rsidRPr="00BB6DF2">
        <w:rPr>
          <w:rFonts w:cs="Arial"/>
          <w:sz w:val="18"/>
          <w:szCs w:val="18"/>
        </w:rPr>
        <w:t xml:space="preserve">may affect the Company’s operation. Although management has made its best estimate of these factors, it is possible that material </w:t>
      </w:r>
    </w:p>
    <w:p w:rsidR="006A257E" w:rsidRPr="00410071" w:rsidRDefault="006A257E" w:rsidP="006A257E">
      <w:pPr>
        <w:pBdr>
          <w:top w:val="single" w:sz="24" w:space="3" w:color="auto"/>
        </w:pBdr>
        <w:tabs>
          <w:tab w:val="right" w:pos="9360"/>
        </w:tabs>
        <w:jc w:val="right"/>
        <w:rPr>
          <w:rFonts w:cs="Arial"/>
          <w:b/>
          <w:sz w:val="18"/>
          <w:szCs w:val="18"/>
        </w:rPr>
      </w:pPr>
      <w:r>
        <w:rPr>
          <w:rFonts w:cs="Arial"/>
          <w:b/>
          <w:sz w:val="18"/>
          <w:szCs w:val="18"/>
        </w:rPr>
        <w:t>Taiga Gold Corp.</w:t>
      </w:r>
    </w:p>
    <w:p w:rsidR="006A257E" w:rsidRPr="00410071" w:rsidRDefault="006A257E" w:rsidP="006A257E">
      <w:pPr>
        <w:tabs>
          <w:tab w:val="right" w:pos="9360"/>
        </w:tabs>
        <w:jc w:val="right"/>
        <w:rPr>
          <w:rFonts w:cs="Arial"/>
          <w:sz w:val="18"/>
          <w:szCs w:val="18"/>
        </w:rPr>
      </w:pPr>
      <w:r w:rsidRPr="00410071">
        <w:rPr>
          <w:rFonts w:cs="Arial"/>
          <w:b/>
          <w:sz w:val="18"/>
          <w:szCs w:val="18"/>
        </w:rPr>
        <w:t>(An Exploration Stage Corporation)</w:t>
      </w:r>
    </w:p>
    <w:p w:rsidR="006A257E" w:rsidRPr="00410071" w:rsidRDefault="006A257E" w:rsidP="006A257E">
      <w:pPr>
        <w:tabs>
          <w:tab w:val="right" w:pos="9360"/>
        </w:tabs>
        <w:jc w:val="right"/>
        <w:rPr>
          <w:rFonts w:cs="Arial"/>
          <w:b/>
          <w:sz w:val="18"/>
          <w:szCs w:val="18"/>
        </w:rPr>
      </w:pPr>
      <w:r w:rsidRPr="00410071">
        <w:rPr>
          <w:rFonts w:cs="Arial"/>
          <w:b/>
          <w:sz w:val="18"/>
          <w:szCs w:val="18"/>
        </w:rPr>
        <w:t>Management Discussion and Analysis</w:t>
      </w:r>
    </w:p>
    <w:p w:rsidR="006A257E" w:rsidRPr="00410071" w:rsidRDefault="006A257E" w:rsidP="006A257E">
      <w:pPr>
        <w:pBdr>
          <w:bottom w:val="single" w:sz="8" w:space="1" w:color="auto"/>
        </w:pBdr>
        <w:tabs>
          <w:tab w:val="right" w:pos="9360"/>
        </w:tabs>
        <w:rPr>
          <w:rFonts w:cs="Arial"/>
          <w:b/>
          <w:sz w:val="18"/>
          <w:szCs w:val="18"/>
        </w:rPr>
      </w:pPr>
      <w:r>
        <w:rPr>
          <w:rFonts w:cs="Arial"/>
          <w:b/>
          <w:sz w:val="18"/>
          <w:szCs w:val="18"/>
        </w:rPr>
        <w:t>June 30</w:t>
      </w:r>
      <w:r w:rsidRPr="00410071">
        <w:rPr>
          <w:rFonts w:cs="Arial"/>
          <w:b/>
          <w:sz w:val="18"/>
          <w:szCs w:val="18"/>
        </w:rPr>
        <w:t xml:space="preserve">, </w:t>
      </w:r>
      <w:r>
        <w:rPr>
          <w:rFonts w:cs="Arial"/>
          <w:b/>
          <w:sz w:val="18"/>
          <w:szCs w:val="18"/>
        </w:rPr>
        <w:t>2018</w:t>
      </w:r>
      <w:r w:rsidRPr="00410071">
        <w:rPr>
          <w:rFonts w:cs="Arial"/>
          <w:b/>
          <w:sz w:val="18"/>
          <w:szCs w:val="18"/>
        </w:rPr>
        <w:t xml:space="preserve">                                                                    </w:t>
      </w:r>
    </w:p>
    <w:p w:rsidR="006A257E" w:rsidRDefault="006A257E" w:rsidP="006A257E">
      <w:pPr>
        <w:jc w:val="both"/>
        <w:rPr>
          <w:rFonts w:cs="Arial"/>
          <w:b/>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Risks and Uncertainties</w:t>
      </w:r>
      <w:r>
        <w:rPr>
          <w:rFonts w:cs="Arial"/>
          <w:b/>
          <w:sz w:val="18"/>
          <w:szCs w:val="18"/>
          <w:u w:val="single"/>
        </w:rPr>
        <w:t xml:space="preserve"> - continued</w:t>
      </w:r>
    </w:p>
    <w:p w:rsidR="006A257E" w:rsidRPr="00BB6DF2" w:rsidRDefault="006A257E" w:rsidP="006A257E">
      <w:pPr>
        <w:widowControl w:val="0"/>
        <w:jc w:val="both"/>
        <w:rPr>
          <w:rFonts w:cs="Arial"/>
          <w:sz w:val="18"/>
          <w:szCs w:val="18"/>
        </w:rPr>
      </w:pPr>
      <w:proofErr w:type="gramStart"/>
      <w:r w:rsidRPr="00BB6DF2">
        <w:rPr>
          <w:rFonts w:cs="Arial"/>
          <w:sz w:val="18"/>
          <w:szCs w:val="18"/>
        </w:rPr>
        <w:t>changes</w:t>
      </w:r>
      <w:proofErr w:type="gramEnd"/>
      <w:r w:rsidRPr="00BB6DF2">
        <w:rPr>
          <w:rFonts w:cs="Arial"/>
          <w:sz w:val="18"/>
          <w:szCs w:val="18"/>
        </w:rPr>
        <w:t xml:space="preserve"> could occur which may adversely affect management’s estimate of operating requirements. The Company’s success will be</w:t>
      </w:r>
      <w:r>
        <w:rPr>
          <w:rFonts w:cs="Arial"/>
          <w:sz w:val="18"/>
          <w:szCs w:val="18"/>
        </w:rPr>
        <w:t xml:space="preserve"> </w:t>
      </w:r>
      <w:r w:rsidRPr="00BB6DF2">
        <w:rPr>
          <w:rFonts w:cs="Arial"/>
          <w:sz w:val="18"/>
          <w:szCs w:val="18"/>
        </w:rPr>
        <w:t>dependent upon the extent to which it can discover mineralization or acquire mineral properties and the economic viability of developing its properties.  Substantially all of the Company’s operating and exploration funding must be derived from external financing.  Should changes in equity market conditions prevent the Company from obtaining additional external financing; the Company will need to review its exploration and development programs and future planning.</w:t>
      </w:r>
    </w:p>
    <w:p w:rsidR="006A257E" w:rsidRPr="00A377E0" w:rsidRDefault="006A257E" w:rsidP="006A257E">
      <w:pPr>
        <w:jc w:val="both"/>
        <w:rPr>
          <w:rFonts w:cs="Arial"/>
          <w:sz w:val="18"/>
          <w:szCs w:val="18"/>
        </w:rPr>
      </w:pPr>
    </w:p>
    <w:p w:rsidR="006A257E" w:rsidRPr="00BB6DF2" w:rsidRDefault="006A257E" w:rsidP="006A257E">
      <w:pPr>
        <w:jc w:val="both"/>
        <w:rPr>
          <w:rFonts w:cs="Arial"/>
          <w:b/>
          <w:sz w:val="18"/>
          <w:szCs w:val="18"/>
          <w:u w:val="single"/>
        </w:rPr>
      </w:pPr>
      <w:r w:rsidRPr="00BB6DF2">
        <w:rPr>
          <w:rFonts w:cs="Arial"/>
          <w:b/>
          <w:sz w:val="18"/>
          <w:szCs w:val="18"/>
          <w:u w:val="single"/>
        </w:rPr>
        <w:t>Forward Looking Statements</w:t>
      </w:r>
    </w:p>
    <w:p w:rsidR="006A257E" w:rsidRPr="00BB6DF2" w:rsidRDefault="006A257E" w:rsidP="006A257E">
      <w:pPr>
        <w:jc w:val="both"/>
        <w:rPr>
          <w:rFonts w:cs="Arial"/>
          <w:b/>
          <w:sz w:val="18"/>
          <w:szCs w:val="18"/>
          <w:u w:val="single"/>
        </w:rPr>
      </w:pPr>
    </w:p>
    <w:p w:rsidR="006A257E" w:rsidRDefault="006A257E" w:rsidP="006A257E">
      <w:pPr>
        <w:widowControl w:val="0"/>
        <w:jc w:val="both"/>
        <w:rPr>
          <w:rFonts w:cs="Arial"/>
          <w:sz w:val="18"/>
          <w:szCs w:val="18"/>
        </w:rPr>
      </w:pPr>
      <w:r w:rsidRPr="00BB6DF2">
        <w:rPr>
          <w:rFonts w:cs="Arial"/>
          <w:sz w:val="18"/>
          <w:szCs w:val="18"/>
        </w:rPr>
        <w:t>“All statements other than those of a historical nature are ‘forward-looking statements’ that may involve a number of unknown risks,</w:t>
      </w:r>
      <w:r>
        <w:rPr>
          <w:rFonts w:cs="Arial"/>
          <w:sz w:val="18"/>
          <w:szCs w:val="18"/>
        </w:rPr>
        <w:t xml:space="preserve"> </w:t>
      </w:r>
      <w:r w:rsidRPr="00BB6DF2">
        <w:rPr>
          <w:rFonts w:cs="Arial"/>
          <w:sz w:val="18"/>
          <w:szCs w:val="18"/>
        </w:rPr>
        <w:t>uncertainties and other factors.  Although the Company believes the expectations expressed in such forward-looking statements are based on reasonable assumptions, such statements are</w:t>
      </w:r>
      <w:r>
        <w:rPr>
          <w:rFonts w:cs="Arial"/>
          <w:sz w:val="18"/>
          <w:szCs w:val="18"/>
        </w:rPr>
        <w:t xml:space="preserve"> </w:t>
      </w:r>
      <w:r w:rsidRPr="00BB6DF2">
        <w:rPr>
          <w:rFonts w:cs="Arial"/>
          <w:sz w:val="18"/>
          <w:szCs w:val="18"/>
        </w:rPr>
        <w:t>not guarantees of future performance and actual results or developments may differ materially from those in forward-looking statements.</w:t>
      </w:r>
      <w:r>
        <w:rPr>
          <w:rFonts w:cs="Arial"/>
          <w:sz w:val="18"/>
          <w:szCs w:val="18"/>
        </w:rPr>
        <w:t>”</w:t>
      </w:r>
    </w:p>
    <w:p w:rsidR="006A257E" w:rsidRDefault="006A257E" w:rsidP="006A257E">
      <w:pPr>
        <w:jc w:val="both"/>
        <w:rPr>
          <w:rFonts w:cs="Arial"/>
          <w:b/>
          <w:sz w:val="18"/>
          <w:szCs w:val="18"/>
          <w:u w:val="single"/>
        </w:rPr>
      </w:pPr>
    </w:p>
    <w:p w:rsidR="006A257E" w:rsidRPr="00BB6DF2" w:rsidRDefault="006A257E" w:rsidP="006A257E">
      <w:pPr>
        <w:jc w:val="both"/>
        <w:rPr>
          <w:rFonts w:cs="Arial"/>
          <w:b/>
          <w:sz w:val="18"/>
          <w:szCs w:val="18"/>
          <w:u w:val="single"/>
        </w:rPr>
      </w:pPr>
      <w:r w:rsidRPr="00BB6DF2">
        <w:rPr>
          <w:rFonts w:cs="Arial"/>
          <w:b/>
          <w:sz w:val="18"/>
          <w:szCs w:val="18"/>
          <w:u w:val="single"/>
        </w:rPr>
        <w:t>Subsequent Event</w:t>
      </w:r>
    </w:p>
    <w:p w:rsidR="006A257E" w:rsidRDefault="006A257E" w:rsidP="006A257E">
      <w:pPr>
        <w:pStyle w:val="NormalWeb"/>
        <w:widowControl w:val="0"/>
        <w:spacing w:before="0" w:beforeAutospacing="0" w:after="0" w:afterAutospacing="0"/>
        <w:jc w:val="both"/>
        <w:rPr>
          <w:rFonts w:ascii="Arial" w:hAnsi="Arial" w:cs="Arial"/>
          <w:sz w:val="18"/>
          <w:szCs w:val="18"/>
          <w:bdr w:val="none" w:sz="0" w:space="0" w:color="auto" w:frame="1"/>
        </w:rPr>
      </w:pPr>
    </w:p>
    <w:p w:rsidR="006A257E" w:rsidRPr="00057E8A" w:rsidRDefault="006A257E" w:rsidP="006A257E">
      <w:pPr>
        <w:pStyle w:val="NormalWeb"/>
        <w:widowControl w:val="0"/>
        <w:spacing w:before="0" w:beforeAutospacing="0" w:after="0" w:afterAutospacing="0"/>
        <w:jc w:val="both"/>
        <w:rPr>
          <w:rFonts w:ascii="Arial" w:hAnsi="Arial" w:cs="Arial"/>
          <w:sz w:val="18"/>
          <w:szCs w:val="18"/>
        </w:rPr>
      </w:pPr>
      <w:r>
        <w:rPr>
          <w:rFonts w:ascii="Arial" w:hAnsi="Arial" w:cs="Arial"/>
          <w:sz w:val="18"/>
          <w:szCs w:val="18"/>
          <w:bdr w:val="none" w:sz="0" w:space="0" w:color="auto" w:frame="1"/>
        </w:rPr>
        <w:t xml:space="preserve">On July 20, 2018, </w:t>
      </w:r>
      <w:r>
        <w:rPr>
          <w:rFonts w:ascii="Arial" w:hAnsi="Arial" w:cs="Arial"/>
          <w:sz w:val="18"/>
          <w:szCs w:val="18"/>
        </w:rPr>
        <w:t>the Company granted 5,200,000 options with exercise prices of $0.20 and expiry dates of July 20, 2023 to directors, employees and key consultants.</w:t>
      </w:r>
    </w:p>
    <w:p w:rsidR="006A257E" w:rsidRDefault="006A257E" w:rsidP="006A257E">
      <w:pPr>
        <w:pStyle w:val="NormalWeb"/>
        <w:widowControl w:val="0"/>
        <w:spacing w:before="0" w:beforeAutospacing="0" w:after="0" w:afterAutospacing="0"/>
        <w:jc w:val="both"/>
        <w:rPr>
          <w:rFonts w:ascii="Arial" w:hAnsi="Arial" w:cs="Arial"/>
          <w:sz w:val="18"/>
          <w:szCs w:val="18"/>
          <w:bdr w:val="none" w:sz="0" w:space="0" w:color="auto" w:frame="1"/>
        </w:rPr>
      </w:pPr>
    </w:p>
    <w:p w:rsidR="006A257E" w:rsidRDefault="006A257E" w:rsidP="006A257E">
      <w:pPr>
        <w:jc w:val="both"/>
        <w:rPr>
          <w:rFonts w:cs="Arial"/>
          <w:b/>
          <w:sz w:val="18"/>
          <w:szCs w:val="18"/>
          <w:u w:val="single"/>
        </w:rPr>
      </w:pPr>
      <w:r w:rsidRPr="00BB6DF2">
        <w:rPr>
          <w:rFonts w:cs="Arial"/>
          <w:b/>
          <w:sz w:val="18"/>
          <w:szCs w:val="18"/>
          <w:u w:val="single"/>
        </w:rPr>
        <w:t>Outlook</w:t>
      </w:r>
    </w:p>
    <w:p w:rsidR="006A257E" w:rsidRDefault="006A257E" w:rsidP="006A257E">
      <w:pPr>
        <w:jc w:val="both"/>
        <w:rPr>
          <w:rFonts w:cs="Arial"/>
          <w:sz w:val="18"/>
          <w:szCs w:val="18"/>
        </w:rPr>
      </w:pPr>
    </w:p>
    <w:p w:rsidR="006A257E" w:rsidRDefault="006A257E" w:rsidP="006A257E">
      <w:pPr>
        <w:jc w:val="both"/>
        <w:rPr>
          <w:rFonts w:cs="Arial"/>
          <w:sz w:val="18"/>
          <w:szCs w:val="18"/>
        </w:rPr>
      </w:pPr>
      <w:r>
        <w:rPr>
          <w:rFonts w:cs="Arial"/>
          <w:sz w:val="18"/>
          <w:szCs w:val="18"/>
        </w:rPr>
        <w:t>As a new entity, Taiga Gold Corp. is entering the mineral exploration space with a firm foundation and significant potential. The company benefits from having many of the same seasoned directors, officers and support staff as its founding company, Eagle Plains Resources Ltd. Taiga benefits from having high-potential projects in Saskatchewan, a proven mining jurisdiction that is currently highly-rated by the Fraser Institute with respect to investment attractiveness.  In addition, Taiga has partners in place on both its’ Fisher and Chico projects (SSR Mining and Aben Resources respectively), who are funding aggressive exploration programs on the projects.</w:t>
      </w:r>
    </w:p>
    <w:p w:rsidR="006A257E" w:rsidRDefault="006A257E" w:rsidP="006A257E">
      <w:pPr>
        <w:jc w:val="both"/>
        <w:rPr>
          <w:rFonts w:cs="Arial"/>
          <w:sz w:val="18"/>
          <w:szCs w:val="18"/>
        </w:rPr>
      </w:pPr>
    </w:p>
    <w:p w:rsidR="006A257E" w:rsidRDefault="006A257E" w:rsidP="006A257E">
      <w:pPr>
        <w:jc w:val="both"/>
        <w:rPr>
          <w:rFonts w:cs="Arial"/>
          <w:sz w:val="18"/>
          <w:szCs w:val="18"/>
        </w:rPr>
      </w:pPr>
      <w:r>
        <w:rPr>
          <w:rFonts w:cs="Arial"/>
          <w:sz w:val="18"/>
          <w:szCs w:val="18"/>
        </w:rPr>
        <w:lastRenderedPageBreak/>
        <w:t xml:space="preserve">These are very early days for Taiga, and management </w:t>
      </w:r>
      <w:proofErr w:type="spellStart"/>
      <w:r>
        <w:rPr>
          <w:rFonts w:cs="Arial"/>
          <w:sz w:val="18"/>
          <w:szCs w:val="18"/>
        </w:rPr>
        <w:t>endeavours</w:t>
      </w:r>
      <w:proofErr w:type="spellEnd"/>
      <w:r>
        <w:rPr>
          <w:rFonts w:cs="Arial"/>
          <w:sz w:val="18"/>
          <w:szCs w:val="18"/>
        </w:rPr>
        <w:t xml:space="preserve"> to work diligently on behalf of the shareholders to deliver positive returns. Management feels strongly that ongoing exploration of our primary projects coincide with strengthening markets and more positive outlooks for the mining and exploration industry in general.  We thank our shareholders for their support and look forward to what the future may bring.</w:t>
      </w:r>
    </w:p>
    <w:p w:rsidR="006A257E" w:rsidRDefault="006A257E" w:rsidP="006A257E">
      <w:pPr>
        <w:jc w:val="both"/>
        <w:rPr>
          <w:rFonts w:cs="Arial"/>
          <w:sz w:val="18"/>
          <w:szCs w:val="18"/>
        </w:rPr>
      </w:pPr>
    </w:p>
    <w:p w:rsidR="006A257E" w:rsidRDefault="006A257E" w:rsidP="006A257E">
      <w:pPr>
        <w:jc w:val="both"/>
        <w:rPr>
          <w:rFonts w:cs="Arial"/>
          <w:sz w:val="18"/>
          <w:szCs w:val="18"/>
          <w:lang w:eastAsia="en-CA"/>
        </w:rPr>
      </w:pPr>
    </w:p>
    <w:p w:rsidR="006A257E" w:rsidRPr="00BB6DF2" w:rsidRDefault="006A257E" w:rsidP="006A257E">
      <w:pPr>
        <w:jc w:val="both"/>
        <w:rPr>
          <w:rFonts w:cs="Arial"/>
          <w:b/>
          <w:sz w:val="18"/>
          <w:szCs w:val="18"/>
          <w:u w:val="single"/>
        </w:rPr>
      </w:pPr>
    </w:p>
    <w:p w:rsidR="006A257E" w:rsidRPr="00BB6DF2" w:rsidRDefault="006A257E" w:rsidP="006A257E">
      <w:pPr>
        <w:pStyle w:val="Heading3"/>
        <w:jc w:val="both"/>
      </w:pPr>
      <w:r w:rsidRPr="00BB6DF2">
        <w:t>On behalf of the Board of Directors</w:t>
      </w:r>
    </w:p>
    <w:p w:rsidR="006A257E" w:rsidRPr="00BB6DF2" w:rsidRDefault="006A257E" w:rsidP="006A257E">
      <w:pPr>
        <w:jc w:val="both"/>
        <w:rPr>
          <w:rFonts w:cs="Arial"/>
          <w:sz w:val="18"/>
          <w:szCs w:val="18"/>
        </w:rPr>
      </w:pPr>
    </w:p>
    <w:p w:rsidR="006A257E" w:rsidRPr="00BB6DF2" w:rsidRDefault="006A257E" w:rsidP="006A257E">
      <w:pPr>
        <w:jc w:val="both"/>
        <w:rPr>
          <w:rFonts w:cs="Arial"/>
          <w:sz w:val="18"/>
          <w:szCs w:val="18"/>
        </w:rPr>
      </w:pPr>
    </w:p>
    <w:p w:rsidR="006A257E" w:rsidRPr="00BB6DF2" w:rsidRDefault="006A257E" w:rsidP="006A257E">
      <w:pPr>
        <w:jc w:val="both"/>
        <w:rPr>
          <w:rFonts w:cs="Arial"/>
          <w:b/>
          <w:i/>
          <w:sz w:val="18"/>
          <w:szCs w:val="18"/>
        </w:rPr>
      </w:pPr>
      <w:r w:rsidRPr="00BB6DF2">
        <w:rPr>
          <w:rFonts w:cs="Arial"/>
          <w:b/>
          <w:i/>
          <w:sz w:val="18"/>
          <w:szCs w:val="18"/>
        </w:rPr>
        <w:t>“Timothy J. Termuende”</w:t>
      </w:r>
    </w:p>
    <w:p w:rsidR="006A257E" w:rsidRPr="00BB6DF2" w:rsidRDefault="006A257E" w:rsidP="006A257E">
      <w:pPr>
        <w:jc w:val="both"/>
        <w:rPr>
          <w:rFonts w:cs="Arial"/>
          <w:sz w:val="18"/>
          <w:szCs w:val="18"/>
        </w:rPr>
      </w:pPr>
    </w:p>
    <w:p w:rsidR="006A257E" w:rsidRPr="00BB6DF2" w:rsidRDefault="006A257E" w:rsidP="006A257E">
      <w:pPr>
        <w:jc w:val="both"/>
        <w:rPr>
          <w:rFonts w:cs="Arial"/>
          <w:sz w:val="18"/>
          <w:szCs w:val="18"/>
        </w:rPr>
      </w:pPr>
      <w:r w:rsidRPr="00BB6DF2">
        <w:rPr>
          <w:rFonts w:cs="Arial"/>
          <w:sz w:val="18"/>
          <w:szCs w:val="18"/>
        </w:rPr>
        <w:t xml:space="preserve">Timothy J. Termuende, </w:t>
      </w:r>
      <w:proofErr w:type="spellStart"/>
      <w:r w:rsidRPr="00BB6DF2">
        <w:rPr>
          <w:rFonts w:cs="Arial"/>
          <w:sz w:val="18"/>
          <w:szCs w:val="18"/>
        </w:rPr>
        <w:t>P.Geo</w:t>
      </w:r>
      <w:proofErr w:type="spellEnd"/>
      <w:r w:rsidRPr="00BB6DF2">
        <w:rPr>
          <w:rFonts w:cs="Arial"/>
          <w:sz w:val="18"/>
          <w:szCs w:val="18"/>
        </w:rPr>
        <w:t>.</w:t>
      </w:r>
    </w:p>
    <w:p w:rsidR="006A257E" w:rsidRPr="00BB6DF2" w:rsidRDefault="006A257E" w:rsidP="006A257E">
      <w:pPr>
        <w:jc w:val="both"/>
        <w:rPr>
          <w:rFonts w:cs="Arial"/>
          <w:sz w:val="18"/>
          <w:szCs w:val="18"/>
        </w:rPr>
      </w:pPr>
      <w:r w:rsidRPr="00BB6DF2">
        <w:rPr>
          <w:rFonts w:cs="Arial"/>
          <w:sz w:val="18"/>
          <w:szCs w:val="18"/>
        </w:rPr>
        <w:t>President and CEO</w:t>
      </w:r>
      <w:r>
        <w:rPr>
          <w:rFonts w:cs="Arial"/>
          <w:sz w:val="18"/>
          <w:szCs w:val="18"/>
        </w:rPr>
        <w:t xml:space="preserve"> </w:t>
      </w:r>
    </w:p>
    <w:p w:rsidR="006A257E" w:rsidRDefault="006A257E">
      <w:pPr>
        <w:pStyle w:val="BodyText"/>
      </w:pPr>
    </w:p>
    <w:sectPr w:rsidR="006A257E" w:rsidSect="006A257E">
      <w:pgSz w:w="12240" w:h="15840" w:code="1"/>
      <w:pgMar w:top="284" w:right="323" w:bottom="284" w:left="284"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C8" w:rsidRDefault="005121C8">
      <w:r>
        <w:separator/>
      </w:r>
    </w:p>
  </w:endnote>
  <w:endnote w:type="continuationSeparator" w:id="0">
    <w:p w:rsidR="005121C8" w:rsidRDefault="005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0p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CONA F+ Times New Roman 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E" w:rsidRPr="00134545" w:rsidRDefault="006A257E" w:rsidP="00400889">
    <w:pPr>
      <w:pStyle w:val="Footer"/>
      <w:rPr>
        <w:rFonts w:ascii="Arial" w:hAnsi="Arial" w:cs="Arial"/>
        <w:b/>
        <w:sz w:val="16"/>
        <w:szCs w:val="16"/>
      </w:rPr>
    </w:pPr>
    <w:r w:rsidRPr="00134545">
      <w:rPr>
        <w:rFonts w:ascii="Arial" w:hAnsi="Arial" w:cs="Arial"/>
        <w:b/>
        <w:sz w:val="16"/>
        <w:szCs w:val="16"/>
      </w:rPr>
      <w:t xml:space="preserve">The accompanying notes are an integral part of these </w:t>
    </w:r>
    <w:r>
      <w:rPr>
        <w:rFonts w:ascii="Arial" w:hAnsi="Arial" w:cs="Arial"/>
        <w:b/>
        <w:sz w:val="16"/>
        <w:szCs w:val="16"/>
      </w:rPr>
      <w:t>condensed</w:t>
    </w:r>
    <w:r w:rsidRPr="00134545">
      <w:rPr>
        <w:rFonts w:ascii="Arial" w:hAnsi="Arial" w:cs="Arial"/>
        <w:b/>
        <w:sz w:val="16"/>
        <w:szCs w:val="16"/>
      </w:rPr>
      <w:t xml:space="preserve"> </w:t>
    </w:r>
    <w:r>
      <w:rPr>
        <w:rFonts w:ascii="Arial" w:hAnsi="Arial" w:cs="Arial"/>
        <w:b/>
        <w:sz w:val="16"/>
        <w:szCs w:val="16"/>
      </w:rPr>
      <w:t xml:space="preserve">interim </w:t>
    </w:r>
    <w:r w:rsidRPr="00134545">
      <w:rPr>
        <w:rFonts w:ascii="Arial" w:hAnsi="Arial" w:cs="Arial"/>
        <w:b/>
        <w:sz w:val="16"/>
        <w:szCs w:val="16"/>
      </w:rPr>
      <w:t>financial statements.</w:t>
    </w:r>
  </w:p>
  <w:p w:rsidR="006A257E" w:rsidRPr="00D83EB4" w:rsidRDefault="006A257E">
    <w:pPr>
      <w:pStyle w:val="Footer"/>
      <w:rPr>
        <w:rFonts w:ascii="Arial" w:hAnsi="Arial"/>
        <w:b/>
        <w:sz w:val="16"/>
        <w:szCs w:val="16"/>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E" w:rsidRPr="006C2B3C" w:rsidRDefault="006A257E" w:rsidP="00E8143A">
    <w:pPr>
      <w:pStyle w:val="Footer"/>
      <w:rPr>
        <w:rFonts w:ascii="Arial" w:hAnsi="Arial" w:cs="Arial"/>
        <w:b/>
        <w:sz w:val="16"/>
        <w:szCs w:val="16"/>
      </w:rPr>
    </w:pPr>
    <w:r w:rsidRPr="006C2B3C">
      <w:rPr>
        <w:rFonts w:ascii="Arial" w:hAnsi="Arial" w:cs="Arial"/>
        <w:b/>
        <w:sz w:val="16"/>
        <w:szCs w:val="16"/>
      </w:rPr>
      <w:t xml:space="preserve">The accompanying notes are an integral part of these </w:t>
    </w:r>
    <w:r>
      <w:rPr>
        <w:rFonts w:ascii="Arial" w:hAnsi="Arial" w:cs="Arial"/>
        <w:b/>
        <w:sz w:val="16"/>
        <w:szCs w:val="16"/>
      </w:rPr>
      <w:t xml:space="preserve">condensed interim </w:t>
    </w:r>
    <w:r w:rsidRPr="006C2B3C">
      <w:rPr>
        <w:rFonts w:ascii="Arial" w:hAnsi="Arial" w:cs="Arial"/>
        <w:b/>
        <w:sz w:val="16"/>
        <w:szCs w:val="16"/>
      </w:rPr>
      <w:t>financial statements.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E" w:rsidRPr="00134545" w:rsidRDefault="006A257E" w:rsidP="00400889">
    <w:pPr>
      <w:pStyle w:val="Footer"/>
      <w:rPr>
        <w:rFonts w:ascii="Arial" w:hAnsi="Arial" w:cs="Arial"/>
        <w:b/>
        <w:sz w:val="16"/>
        <w:szCs w:val="16"/>
      </w:rPr>
    </w:pPr>
  </w:p>
  <w:p w:rsidR="006A257E" w:rsidRPr="00D83EB4" w:rsidRDefault="006A257E">
    <w:pPr>
      <w:pStyle w:val="Footer"/>
      <w:rPr>
        <w:rFonts w:ascii="Arial" w:hAnsi="Arial"/>
        <w:b/>
        <w:sz w:val="16"/>
        <w:szCs w:val="16"/>
        <w:lang w:val="en-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672041BE" wp14:editId="5B86F48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6A257E">
      <w:rPr>
        <w:rStyle w:val="PageNumber"/>
        <w:rFonts w:ascii="Arial" w:hAnsi="Arial" w:cs="Arial"/>
        <w:noProof/>
        <w:sz w:val="16"/>
        <w:szCs w:val="16"/>
      </w:rPr>
      <w:t>9</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6A257E">
    <w:pPr>
      <w:pStyle w:val="Footer"/>
      <w:tabs>
        <w:tab w:val="clear" w:pos="4320"/>
        <w:tab w:val="clear" w:pos="8640"/>
        <w:tab w:val="center" w:pos="4680"/>
        <w:tab w:val="right" w:pos="9360"/>
      </w:tabs>
      <w:rPr>
        <w:b/>
      </w:rPr>
    </w:pPr>
    <w:r>
      <w:rPr>
        <w:noProof/>
        <w:lang w:val="en-CA" w:eastAsia="en-CA"/>
      </w:rPr>
      <w:drawing>
        <wp:anchor distT="0" distB="0" distL="114300" distR="114300" simplePos="0" relativeHeight="251656704" behindDoc="0" locked="0" layoutInCell="1" allowOverlap="1" wp14:anchorId="635EFAF0" wp14:editId="4DCDAF9D">
          <wp:simplePos x="0" y="0"/>
          <wp:positionH relativeFrom="column">
            <wp:posOffset>36195</wp:posOffset>
          </wp:positionH>
          <wp:positionV relativeFrom="paragraph">
            <wp:posOffset>152400</wp:posOffset>
          </wp:positionV>
          <wp:extent cx="1085850" cy="4197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6D6FF7C" wp14:editId="6114360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C8" w:rsidRDefault="005121C8">
      <w:r>
        <w:separator/>
      </w:r>
    </w:p>
  </w:footnote>
  <w:footnote w:type="continuationSeparator" w:id="0">
    <w:p w:rsidR="005121C8" w:rsidRDefault="0051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7E" w:rsidRPr="00C83BA8" w:rsidRDefault="006A257E" w:rsidP="00E91FBF">
    <w:pPr>
      <w:pStyle w:val="Header"/>
      <w:pBdr>
        <w:top w:val="single" w:sz="12" w:space="1" w:color="auto"/>
      </w:pBdr>
      <w:jc w:val="right"/>
      <w:rPr>
        <w:rFonts w:ascii="Arial" w:hAnsi="Arial" w:cs="Arial"/>
        <w:b/>
        <w:sz w:val="18"/>
        <w:szCs w:val="18"/>
      </w:rPr>
    </w:pPr>
    <w:r w:rsidRPr="00C83BA8">
      <w:rPr>
        <w:sz w:val="18"/>
        <w:szCs w:val="18"/>
      </w:rPr>
      <w:t xml:space="preserve"> </w:t>
    </w:r>
    <w:r w:rsidRPr="00C83BA8">
      <w:rPr>
        <w:rFonts w:ascii="Arial" w:hAnsi="Arial" w:cs="Arial"/>
        <w:b/>
        <w:sz w:val="18"/>
        <w:szCs w:val="18"/>
      </w:rPr>
      <w:t>Taiga Gold Corp.</w:t>
    </w:r>
  </w:p>
  <w:p w:rsidR="006A257E" w:rsidRPr="00C83BA8" w:rsidRDefault="006A257E" w:rsidP="00E91FBF">
    <w:pPr>
      <w:pStyle w:val="Header"/>
      <w:jc w:val="right"/>
      <w:rPr>
        <w:rFonts w:ascii="Arial" w:hAnsi="Arial" w:cs="Arial"/>
        <w:b/>
        <w:sz w:val="18"/>
        <w:szCs w:val="18"/>
      </w:rPr>
    </w:pPr>
    <w:r w:rsidRPr="00C83BA8">
      <w:rPr>
        <w:rFonts w:ascii="Arial" w:hAnsi="Arial" w:cs="Arial"/>
        <w:b/>
        <w:sz w:val="18"/>
        <w:szCs w:val="18"/>
      </w:rPr>
      <w:t>(An Exploration Stage Corporation)</w:t>
    </w:r>
  </w:p>
  <w:p w:rsidR="006A257E" w:rsidRPr="00C83BA8" w:rsidRDefault="006A257E" w:rsidP="00E91FBF">
    <w:pPr>
      <w:pStyle w:val="Header"/>
      <w:jc w:val="right"/>
      <w:rPr>
        <w:rFonts w:ascii="Arial" w:hAnsi="Arial" w:cs="Arial"/>
        <w:b/>
        <w:sz w:val="18"/>
        <w:szCs w:val="18"/>
      </w:rPr>
    </w:pPr>
    <w:r w:rsidRPr="00C83BA8">
      <w:rPr>
        <w:rFonts w:ascii="Arial" w:hAnsi="Arial" w:cs="Arial"/>
        <w:b/>
        <w:sz w:val="18"/>
        <w:szCs w:val="18"/>
      </w:rPr>
      <w:t xml:space="preserve">Notes to </w:t>
    </w:r>
    <w:r>
      <w:rPr>
        <w:rFonts w:ascii="Arial" w:hAnsi="Arial" w:cs="Arial"/>
        <w:b/>
        <w:sz w:val="18"/>
        <w:szCs w:val="18"/>
      </w:rPr>
      <w:t>Condensed interim</w:t>
    </w:r>
    <w:r w:rsidRPr="00C83BA8">
      <w:rPr>
        <w:rFonts w:ascii="Arial" w:hAnsi="Arial" w:cs="Arial"/>
        <w:b/>
        <w:sz w:val="18"/>
        <w:szCs w:val="18"/>
      </w:rPr>
      <w:t xml:space="preserve"> Financial Statements</w:t>
    </w:r>
  </w:p>
  <w:p w:rsidR="006A257E" w:rsidRPr="00C83BA8" w:rsidRDefault="006A257E" w:rsidP="00E91FBF">
    <w:pPr>
      <w:pStyle w:val="Header"/>
      <w:jc w:val="right"/>
      <w:rPr>
        <w:rFonts w:ascii="Arial" w:hAnsi="Arial" w:cs="Arial"/>
        <w:sz w:val="18"/>
        <w:szCs w:val="18"/>
      </w:rPr>
    </w:pPr>
    <w:r w:rsidRPr="00C83BA8">
      <w:rPr>
        <w:rFonts w:ascii="Arial" w:hAnsi="Arial" w:cs="Arial"/>
        <w:sz w:val="18"/>
        <w:szCs w:val="18"/>
      </w:rPr>
      <w:t>(Unaudited – prepared by management)</w:t>
    </w:r>
  </w:p>
  <w:p w:rsidR="006A257E" w:rsidRPr="00C83BA8" w:rsidRDefault="006A257E" w:rsidP="00E91FBF">
    <w:pPr>
      <w:pStyle w:val="Header"/>
      <w:jc w:val="right"/>
      <w:rPr>
        <w:rFonts w:ascii="Arial" w:hAnsi="Arial" w:cs="Arial"/>
        <w:sz w:val="18"/>
        <w:szCs w:val="18"/>
      </w:rPr>
    </w:pPr>
    <w:r w:rsidRPr="00C83BA8">
      <w:rPr>
        <w:rFonts w:ascii="Arial" w:hAnsi="Arial" w:cs="Arial"/>
        <w:sz w:val="18"/>
        <w:szCs w:val="18"/>
      </w:rPr>
      <w:t xml:space="preserve"> (Expressed in Canadian dollars)</w:t>
    </w:r>
  </w:p>
  <w:p w:rsidR="006A257E" w:rsidRPr="00C83BA8" w:rsidRDefault="006A257E" w:rsidP="00E91FBF">
    <w:pPr>
      <w:pStyle w:val="Header"/>
      <w:pBdr>
        <w:bottom w:val="single" w:sz="4" w:space="1" w:color="auto"/>
      </w:pBdr>
      <w:rPr>
        <w:rFonts w:ascii="Arial" w:hAnsi="Arial" w:cs="Arial"/>
        <w:b/>
        <w:sz w:val="18"/>
        <w:szCs w:val="18"/>
      </w:rPr>
    </w:pPr>
    <w:r>
      <w:rPr>
        <w:rFonts w:ascii="Arial" w:hAnsi="Arial" w:cs="Arial"/>
        <w:b/>
        <w:sz w:val="18"/>
        <w:szCs w:val="18"/>
      </w:rPr>
      <w:t>June 30,</w:t>
    </w:r>
    <w:r w:rsidRPr="00C83BA8">
      <w:rPr>
        <w:rFonts w:ascii="Arial" w:hAnsi="Arial" w:cs="Arial"/>
        <w:b/>
        <w:sz w:val="18"/>
        <w:szCs w:val="18"/>
      </w:rPr>
      <w:t xml:space="preserve"> 2018 and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A3F"/>
    <w:multiLevelType w:val="hybridMultilevel"/>
    <w:tmpl w:val="B064648C"/>
    <w:lvl w:ilvl="0" w:tplc="557E3552">
      <w:start w:val="9"/>
      <w:numFmt w:val="lowerLetter"/>
      <w:lvlText w:val="%1)"/>
      <w:lvlJc w:val="left"/>
      <w:pPr>
        <w:tabs>
          <w:tab w:val="num" w:pos="360"/>
        </w:tabs>
        <w:ind w:left="648" w:hanging="288"/>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5F2676"/>
    <w:multiLevelType w:val="hybridMultilevel"/>
    <w:tmpl w:val="735E6A68"/>
    <w:lvl w:ilvl="0" w:tplc="3084C132">
      <w:start w:val="1"/>
      <w:numFmt w:val="lowerLetter"/>
      <w:lvlText w:val="(%1)"/>
      <w:lvlJc w:val="left"/>
      <w:pPr>
        <w:ind w:left="792" w:hanging="360"/>
      </w:pPr>
      <w:rPr>
        <w:rFonts w:hint="default"/>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3A7BC0"/>
    <w:multiLevelType w:val="hybridMultilevel"/>
    <w:tmpl w:val="132E1D10"/>
    <w:lvl w:ilvl="0" w:tplc="8BA4AC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3C6221"/>
    <w:multiLevelType w:val="multilevel"/>
    <w:tmpl w:val="D494C96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0C781446"/>
    <w:multiLevelType w:val="hybridMultilevel"/>
    <w:tmpl w:val="394A58D4"/>
    <w:lvl w:ilvl="0" w:tplc="35BA7F3A">
      <w:start w:val="1"/>
      <w:numFmt w:val="lowerLetter"/>
      <w:lvlText w:val="%1)"/>
      <w:lvlJc w:val="left"/>
      <w:pPr>
        <w:tabs>
          <w:tab w:val="num" w:pos="432"/>
        </w:tabs>
        <w:ind w:left="720" w:hanging="288"/>
      </w:pPr>
      <w:rPr>
        <w:rFonts w:cs="Times New Roman" w:hint="default"/>
      </w:rPr>
    </w:lvl>
    <w:lvl w:ilvl="1" w:tplc="E33271CA">
      <w:start w:val="10"/>
      <w:numFmt w:val="decimal"/>
      <w:lvlText w:val="%2."/>
      <w:lvlJc w:val="left"/>
      <w:pPr>
        <w:tabs>
          <w:tab w:val="num" w:pos="1620"/>
        </w:tabs>
        <w:ind w:left="1620" w:hanging="540"/>
      </w:pPr>
      <w:rPr>
        <w:rFonts w:hint="default"/>
      </w:rPr>
    </w:lvl>
    <w:lvl w:ilvl="2" w:tplc="14A08C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684DD3"/>
    <w:multiLevelType w:val="hybridMultilevel"/>
    <w:tmpl w:val="D068A5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7">
    <w:nsid w:val="22512F4A"/>
    <w:multiLevelType w:val="hybridMultilevel"/>
    <w:tmpl w:val="7780F2AE"/>
    <w:lvl w:ilvl="0" w:tplc="F1944BA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5D4ADB"/>
    <w:multiLevelType w:val="hybridMultilevel"/>
    <w:tmpl w:val="C00874DA"/>
    <w:lvl w:ilvl="0" w:tplc="D53CFD68">
      <w:start w:val="3"/>
      <w:numFmt w:val="lowerLetter"/>
      <w:lvlText w:val="%1)"/>
      <w:lvlJc w:val="left"/>
      <w:pPr>
        <w:tabs>
          <w:tab w:val="num" w:pos="360"/>
        </w:tabs>
        <w:ind w:left="648" w:hanging="288"/>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422F20"/>
    <w:multiLevelType w:val="singleLevel"/>
    <w:tmpl w:val="3C4825B0"/>
    <w:lvl w:ilvl="0">
      <w:start w:val="1"/>
      <w:numFmt w:val="decimal"/>
      <w:lvlText w:val="%1."/>
      <w:lvlJc w:val="left"/>
      <w:pPr>
        <w:tabs>
          <w:tab w:val="num" w:pos="720"/>
        </w:tabs>
        <w:ind w:left="720" w:hanging="720"/>
      </w:pPr>
    </w:lvl>
  </w:abstractNum>
  <w:abstractNum w:abstractNumId="10">
    <w:nsid w:val="2ED31701"/>
    <w:multiLevelType w:val="hybridMultilevel"/>
    <w:tmpl w:val="33F462E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028AC"/>
    <w:multiLevelType w:val="hybridMultilevel"/>
    <w:tmpl w:val="2EA86022"/>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2">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13">
    <w:nsid w:val="420049AB"/>
    <w:multiLevelType w:val="hybridMultilevel"/>
    <w:tmpl w:val="B414D620"/>
    <w:lvl w:ilvl="0" w:tplc="30E2D262">
      <w:start w:val="1"/>
      <w:numFmt w:val="lowerLetter"/>
      <w:lvlText w:val="%1)"/>
      <w:lvlJc w:val="left"/>
      <w:pPr>
        <w:tabs>
          <w:tab w:val="num" w:pos="432"/>
        </w:tabs>
        <w:ind w:left="720" w:hanging="28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15">
    <w:nsid w:val="4D2D0598"/>
    <w:multiLevelType w:val="hybridMultilevel"/>
    <w:tmpl w:val="E85811A0"/>
    <w:lvl w:ilvl="0" w:tplc="D9C88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04BEB"/>
    <w:multiLevelType w:val="hybridMultilevel"/>
    <w:tmpl w:val="77F8FEB8"/>
    <w:lvl w:ilvl="0" w:tplc="6BDA1922">
      <w:start w:val="1"/>
      <w:numFmt w:val="lowerLetter"/>
      <w:lvlText w:val="(%1)"/>
      <w:lvlJc w:val="left"/>
      <w:pPr>
        <w:ind w:left="792" w:hanging="360"/>
      </w:pPr>
      <w:rPr>
        <w:rFonts w:hint="default"/>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6B55B9"/>
    <w:multiLevelType w:val="hybridMultilevel"/>
    <w:tmpl w:val="8D300C9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9">
    <w:nsid w:val="60B65FCD"/>
    <w:multiLevelType w:val="hybridMultilevel"/>
    <w:tmpl w:val="29A63920"/>
    <w:lvl w:ilvl="0" w:tplc="5204E370">
      <w:start w:val="3"/>
      <w:numFmt w:val="lowerLetter"/>
      <w:lvlText w:val="%1)"/>
      <w:lvlJc w:val="left"/>
      <w:pPr>
        <w:tabs>
          <w:tab w:val="num" w:pos="432"/>
        </w:tabs>
        <w:ind w:left="720" w:hanging="288"/>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7D6C9B"/>
    <w:multiLevelType w:val="hybridMultilevel"/>
    <w:tmpl w:val="5DF4C728"/>
    <w:lvl w:ilvl="0" w:tplc="209A3E26">
      <w:start w:val="1"/>
      <w:numFmt w:val="lowerLetter"/>
      <w:lvlText w:val="(%1)"/>
      <w:lvlJc w:val="left"/>
      <w:pPr>
        <w:tabs>
          <w:tab w:val="num" w:pos="837"/>
        </w:tabs>
        <w:ind w:left="837"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41542"/>
    <w:multiLevelType w:val="hybridMultilevel"/>
    <w:tmpl w:val="CAF6D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CED20C2"/>
    <w:multiLevelType w:val="hybridMultilevel"/>
    <w:tmpl w:val="E9DC1E18"/>
    <w:lvl w:ilvl="0" w:tplc="961C2C6E">
      <w:start w:val="5"/>
      <w:numFmt w:val="lowerLetter"/>
      <w:lvlText w:val="%1)"/>
      <w:lvlJc w:val="left"/>
      <w:pPr>
        <w:tabs>
          <w:tab w:val="num" w:pos="432"/>
        </w:tabs>
        <w:ind w:left="720"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4">
    <w:nsid w:val="7D4042CB"/>
    <w:multiLevelType w:val="hybridMultilevel"/>
    <w:tmpl w:val="57164D36"/>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num w:numId="1">
    <w:abstractNumId w:val="18"/>
  </w:num>
  <w:num w:numId="2">
    <w:abstractNumId w:val="23"/>
  </w:num>
  <w:num w:numId="3">
    <w:abstractNumId w:val="9"/>
  </w:num>
  <w:num w:numId="4">
    <w:abstractNumId w:val="6"/>
  </w:num>
  <w:num w:numId="5">
    <w:abstractNumId w:val="12"/>
  </w:num>
  <w:num w:numId="6">
    <w:abstractNumId w:val="14"/>
  </w:num>
  <w:num w:numId="7">
    <w:abstractNumId w:val="4"/>
  </w:num>
  <w:num w:numId="8">
    <w:abstractNumId w:val="15"/>
  </w:num>
  <w:num w:numId="9">
    <w:abstractNumId w:val="10"/>
  </w:num>
  <w:num w:numId="10">
    <w:abstractNumId w:val="16"/>
  </w:num>
  <w:num w:numId="11">
    <w:abstractNumId w:val="7"/>
  </w:num>
  <w:num w:numId="12">
    <w:abstractNumId w:val="8"/>
  </w:num>
  <w:num w:numId="13">
    <w:abstractNumId w:val="19"/>
  </w:num>
  <w:num w:numId="14">
    <w:abstractNumId w:val="0"/>
  </w:num>
  <w:num w:numId="15">
    <w:abstractNumId w:val="2"/>
  </w:num>
  <w:num w:numId="16">
    <w:abstractNumId w:val="13"/>
  </w:num>
  <w:num w:numId="17">
    <w:abstractNumId w:val="22"/>
  </w:num>
  <w:num w:numId="18">
    <w:abstractNumId w:val="1"/>
  </w:num>
  <w:num w:numId="19">
    <w:abstractNumId w:val="20"/>
  </w:num>
  <w:num w:numId="20">
    <w:abstractNumId w:val="5"/>
  </w:num>
  <w:num w:numId="21">
    <w:abstractNumId w:val="17"/>
  </w:num>
  <w:num w:numId="22">
    <w:abstractNumId w:val="3"/>
    <w:lvlOverride w:ilvl="0">
      <w:lvl w:ilvl="0">
        <w:numFmt w:val="bullet"/>
        <w:lvlText w:val=""/>
        <w:lvlJc w:val="left"/>
        <w:pPr>
          <w:tabs>
            <w:tab w:val="num" w:pos="1080"/>
          </w:tabs>
          <w:ind w:left="1080" w:hanging="360"/>
        </w:pPr>
        <w:rPr>
          <w:rFonts w:ascii="Wingdings" w:hAnsi="Wingdings" w:hint="default"/>
          <w:sz w:val="20"/>
        </w:rPr>
      </w:lvl>
    </w:lvlOverride>
  </w:num>
  <w:num w:numId="23">
    <w:abstractNumId w:val="11"/>
  </w:num>
  <w:num w:numId="24">
    <w:abstractNumId w:val="2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1831F4"/>
    <w:rsid w:val="003850A5"/>
    <w:rsid w:val="00444A4B"/>
    <w:rsid w:val="0048706B"/>
    <w:rsid w:val="005121C8"/>
    <w:rsid w:val="005D0320"/>
    <w:rsid w:val="006A257E"/>
    <w:rsid w:val="007C5E76"/>
    <w:rsid w:val="008501B2"/>
    <w:rsid w:val="00853D7E"/>
    <w:rsid w:val="009842EA"/>
    <w:rsid w:val="00AA2917"/>
    <w:rsid w:val="00BB6557"/>
    <w:rsid w:val="00CA3C94"/>
    <w:rsid w:val="00CF12A2"/>
    <w:rsid w:val="00D6364F"/>
    <w:rsid w:val="00D86A9E"/>
    <w:rsid w:val="00E12ECB"/>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Normal"/>
    <w:next w:val="Normal"/>
    <w:link w:val="Heading3Char"/>
    <w:qFormat/>
    <w:pPr>
      <w:keepNext/>
      <w:spacing w:line="280" w:lineRule="exact"/>
      <w:outlineLvl w:val="2"/>
    </w:pPr>
    <w:rPr>
      <w:rFonts w:ascii="Arial" w:hAnsi="Arial"/>
      <w:b/>
      <w:sz w:val="22"/>
    </w:rPr>
  </w:style>
  <w:style w:type="paragraph" w:styleId="Heading4">
    <w:name w:val="heading 4"/>
    <w:basedOn w:val="Normal"/>
    <w:next w:val="Normal"/>
    <w:link w:val="Heading4Char"/>
    <w:qFormat/>
    <w:pPr>
      <w:keepNext/>
      <w:spacing w:line="280" w:lineRule="exact"/>
      <w:outlineLvl w:val="3"/>
    </w:pPr>
    <w:rPr>
      <w:rFonts w:ascii="Arial" w:hAnsi="Arial"/>
      <w:b/>
    </w:rPr>
  </w:style>
  <w:style w:type="paragraph" w:styleId="Heading5">
    <w:name w:val="heading 5"/>
    <w:basedOn w:val="Normal"/>
    <w:next w:val="Normal"/>
    <w:link w:val="Heading5Char"/>
    <w:qFormat/>
    <w:rsid w:val="006A257E"/>
    <w:pPr>
      <w:keepNext/>
      <w:widowControl w:val="0"/>
      <w:autoSpaceDE w:val="0"/>
      <w:autoSpaceDN w:val="0"/>
      <w:adjustRightInd w:val="0"/>
      <w:ind w:left="432"/>
      <w:outlineLvl w:val="4"/>
    </w:pPr>
    <w:rPr>
      <w:rFonts w:ascii="Arial" w:hAnsi="Arial" w:cs="Arial"/>
      <w:b/>
      <w:bCs/>
    </w:rPr>
  </w:style>
  <w:style w:type="paragraph" w:styleId="Heading6">
    <w:name w:val="heading 6"/>
    <w:basedOn w:val="Normal"/>
    <w:next w:val="Normal"/>
    <w:link w:val="Heading6Char"/>
    <w:qFormat/>
    <w:rsid w:val="006A257E"/>
    <w:pPr>
      <w:keepNext/>
      <w:widowControl w:val="0"/>
      <w:suppressAutoHyphens/>
      <w:spacing w:before="20"/>
      <w:outlineLvl w:val="5"/>
    </w:pPr>
    <w:rPr>
      <w:rFonts w:ascii="Arial" w:hAnsi="Arial"/>
      <w:b/>
      <w:lang w:val="en-GB"/>
    </w:rPr>
  </w:style>
  <w:style w:type="paragraph" w:styleId="Heading7">
    <w:name w:val="heading 7"/>
    <w:basedOn w:val="Normal"/>
    <w:next w:val="Normal"/>
    <w:link w:val="Heading7Char"/>
    <w:uiPriority w:val="99"/>
    <w:qFormat/>
    <w:rsid w:val="006A257E"/>
    <w:pPr>
      <w:widowControl w:val="0"/>
      <w:spacing w:before="240" w:after="60"/>
      <w:outlineLvl w:val="6"/>
    </w:pPr>
    <w:rPr>
      <w:sz w:val="24"/>
      <w:szCs w:val="24"/>
    </w:rPr>
  </w:style>
  <w:style w:type="paragraph" w:styleId="Heading8">
    <w:name w:val="heading 8"/>
    <w:basedOn w:val="Normal"/>
    <w:next w:val="Normal"/>
    <w:link w:val="Heading8Char"/>
    <w:uiPriority w:val="99"/>
    <w:qFormat/>
    <w:rsid w:val="006A257E"/>
    <w:pPr>
      <w:keepNext/>
      <w:widowControl w:val="0"/>
      <w:tabs>
        <w:tab w:val="left" w:pos="2592"/>
        <w:tab w:val="right" w:pos="9360"/>
      </w:tabs>
      <w:autoSpaceDE w:val="0"/>
      <w:autoSpaceDN w:val="0"/>
      <w:adjustRightInd w:val="0"/>
      <w:outlineLvl w:val="7"/>
    </w:pPr>
    <w:rPr>
      <w:rFonts w:ascii="Arial" w:hAnsi="Arial" w:cs="Arial"/>
      <w:b/>
      <w:bCs/>
      <w:sz w:val="24"/>
      <w:szCs w:val="24"/>
    </w:rPr>
  </w:style>
  <w:style w:type="paragraph" w:styleId="Heading9">
    <w:name w:val="heading 9"/>
    <w:basedOn w:val="Normal"/>
    <w:next w:val="Normal"/>
    <w:link w:val="Heading9Char"/>
    <w:uiPriority w:val="99"/>
    <w:qFormat/>
    <w:rsid w:val="006A25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uiPriority w:val="99"/>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5Char">
    <w:name w:val="Heading 5 Char"/>
    <w:basedOn w:val="DefaultParagraphFont"/>
    <w:link w:val="Heading5"/>
    <w:rsid w:val="006A257E"/>
    <w:rPr>
      <w:rFonts w:ascii="Arial" w:hAnsi="Arial" w:cs="Arial"/>
      <w:b/>
      <w:bCs/>
    </w:rPr>
  </w:style>
  <w:style w:type="character" w:customStyle="1" w:styleId="Heading6Char">
    <w:name w:val="Heading 6 Char"/>
    <w:basedOn w:val="DefaultParagraphFont"/>
    <w:link w:val="Heading6"/>
    <w:rsid w:val="006A257E"/>
    <w:rPr>
      <w:rFonts w:ascii="Arial" w:hAnsi="Arial"/>
      <w:b/>
      <w:lang w:val="en-GB"/>
    </w:rPr>
  </w:style>
  <w:style w:type="character" w:customStyle="1" w:styleId="Heading7Char">
    <w:name w:val="Heading 7 Char"/>
    <w:basedOn w:val="DefaultParagraphFont"/>
    <w:link w:val="Heading7"/>
    <w:uiPriority w:val="99"/>
    <w:rsid w:val="006A257E"/>
    <w:rPr>
      <w:sz w:val="24"/>
      <w:szCs w:val="24"/>
    </w:rPr>
  </w:style>
  <w:style w:type="character" w:customStyle="1" w:styleId="Heading8Char">
    <w:name w:val="Heading 8 Char"/>
    <w:basedOn w:val="DefaultParagraphFont"/>
    <w:link w:val="Heading8"/>
    <w:uiPriority w:val="99"/>
    <w:rsid w:val="006A257E"/>
    <w:rPr>
      <w:rFonts w:ascii="Arial" w:hAnsi="Arial" w:cs="Arial"/>
      <w:b/>
      <w:bCs/>
      <w:sz w:val="24"/>
      <w:szCs w:val="24"/>
    </w:rPr>
  </w:style>
  <w:style w:type="character" w:customStyle="1" w:styleId="Heading9Char">
    <w:name w:val="Heading 9 Char"/>
    <w:basedOn w:val="DefaultParagraphFont"/>
    <w:link w:val="Heading9"/>
    <w:uiPriority w:val="99"/>
    <w:rsid w:val="006A257E"/>
    <w:rPr>
      <w:rFonts w:ascii="Arial" w:hAnsi="Arial"/>
      <w:b/>
      <w:color w:val="000000"/>
      <w:sz w:val="24"/>
    </w:rPr>
  </w:style>
  <w:style w:type="paragraph" w:styleId="TOAHeading">
    <w:name w:val="toa heading"/>
    <w:basedOn w:val="Normal"/>
    <w:next w:val="Normal"/>
    <w:uiPriority w:val="99"/>
    <w:semiHidden/>
    <w:rsid w:val="006A257E"/>
    <w:pPr>
      <w:widowControl w:val="0"/>
      <w:tabs>
        <w:tab w:val="right" w:pos="9360"/>
      </w:tabs>
      <w:suppressAutoHyphens/>
    </w:pPr>
    <w:rPr>
      <w:rFonts w:ascii="Helv 10pt" w:hAnsi="Helv 10pt"/>
    </w:rPr>
  </w:style>
  <w:style w:type="paragraph" w:styleId="BodyTextIndent2">
    <w:name w:val="Body Text Indent 2"/>
    <w:basedOn w:val="Normal"/>
    <w:link w:val="BodyTextIndent2Char"/>
    <w:uiPriority w:val="99"/>
    <w:rsid w:val="006A257E"/>
    <w:pPr>
      <w:widowControl w:val="0"/>
      <w:spacing w:after="120" w:line="480" w:lineRule="auto"/>
      <w:ind w:left="360"/>
    </w:pPr>
    <w:rPr>
      <w:rFonts w:ascii="Helv 10pt" w:hAnsi="Helv 10pt"/>
    </w:rPr>
  </w:style>
  <w:style w:type="character" w:customStyle="1" w:styleId="BodyTextIndent2Char">
    <w:name w:val="Body Text Indent 2 Char"/>
    <w:basedOn w:val="DefaultParagraphFont"/>
    <w:link w:val="BodyTextIndent2"/>
    <w:uiPriority w:val="99"/>
    <w:rsid w:val="006A257E"/>
    <w:rPr>
      <w:rFonts w:ascii="Helv 10pt" w:hAnsi="Helv 10pt"/>
    </w:rPr>
  </w:style>
  <w:style w:type="paragraph" w:customStyle="1" w:styleId="DisplayOnly">
    <w:name w:val="DisplayOnly"/>
    <w:uiPriority w:val="99"/>
    <w:rsid w:val="006A257E"/>
    <w:pPr>
      <w:widowControl w:val="0"/>
      <w:autoSpaceDE w:val="0"/>
      <w:autoSpaceDN w:val="0"/>
      <w:adjustRightInd w:val="0"/>
    </w:pPr>
    <w:rPr>
      <w:sz w:val="22"/>
      <w:szCs w:val="22"/>
    </w:rPr>
  </w:style>
  <w:style w:type="paragraph" w:customStyle="1" w:styleId="NormalBoldDS">
    <w:name w:val="NormalBoldDS"/>
    <w:uiPriority w:val="99"/>
    <w:rsid w:val="006A257E"/>
    <w:pPr>
      <w:widowControl w:val="0"/>
      <w:autoSpaceDE w:val="0"/>
      <w:autoSpaceDN w:val="0"/>
      <w:adjustRightInd w:val="0"/>
      <w:spacing w:line="480" w:lineRule="auto"/>
    </w:pPr>
    <w:rPr>
      <w:b/>
      <w:bCs/>
      <w:sz w:val="22"/>
      <w:szCs w:val="22"/>
    </w:rPr>
  </w:style>
  <w:style w:type="paragraph" w:customStyle="1" w:styleId="Note1-1Levels">
    <w:name w:val="Note1-1 Levels"/>
    <w:uiPriority w:val="99"/>
    <w:rsid w:val="006A257E"/>
    <w:pPr>
      <w:widowControl w:val="0"/>
      <w:tabs>
        <w:tab w:val="left" w:pos="288"/>
      </w:tabs>
      <w:autoSpaceDE w:val="0"/>
      <w:autoSpaceDN w:val="0"/>
      <w:adjustRightInd w:val="0"/>
      <w:spacing w:before="216"/>
      <w:ind w:left="288" w:hanging="288"/>
      <w:jc w:val="both"/>
    </w:pPr>
    <w:rPr>
      <w:sz w:val="22"/>
      <w:szCs w:val="22"/>
    </w:rPr>
  </w:style>
  <w:style w:type="paragraph" w:customStyle="1" w:styleId="Note3-2Levels">
    <w:name w:val="Note3-2 Levels"/>
    <w:uiPriority w:val="99"/>
    <w:rsid w:val="006A257E"/>
    <w:pPr>
      <w:widowControl w:val="0"/>
      <w:tabs>
        <w:tab w:val="left" w:pos="720"/>
      </w:tabs>
      <w:autoSpaceDE w:val="0"/>
      <w:autoSpaceDN w:val="0"/>
      <w:adjustRightInd w:val="0"/>
      <w:spacing w:before="216"/>
      <w:ind w:left="720" w:hanging="432"/>
      <w:jc w:val="both"/>
    </w:pPr>
    <w:rPr>
      <w:sz w:val="22"/>
      <w:szCs w:val="22"/>
    </w:rPr>
  </w:style>
  <w:style w:type="paragraph" w:customStyle="1" w:styleId="Header1-Left">
    <w:name w:val="Header1-Left"/>
    <w:uiPriority w:val="99"/>
    <w:rsid w:val="006A257E"/>
    <w:pPr>
      <w:widowControl w:val="0"/>
      <w:autoSpaceDE w:val="0"/>
      <w:autoSpaceDN w:val="0"/>
      <w:adjustRightInd w:val="0"/>
    </w:pPr>
    <w:rPr>
      <w:sz w:val="22"/>
      <w:szCs w:val="22"/>
    </w:rPr>
  </w:style>
  <w:style w:type="paragraph" w:customStyle="1" w:styleId="Header2-Right">
    <w:name w:val="Header2-Right"/>
    <w:uiPriority w:val="99"/>
    <w:rsid w:val="006A257E"/>
    <w:pPr>
      <w:widowControl w:val="0"/>
      <w:autoSpaceDE w:val="0"/>
      <w:autoSpaceDN w:val="0"/>
      <w:adjustRightInd w:val="0"/>
      <w:jc w:val="right"/>
    </w:pPr>
    <w:rPr>
      <w:sz w:val="22"/>
      <w:szCs w:val="22"/>
    </w:rPr>
  </w:style>
  <w:style w:type="paragraph" w:customStyle="1" w:styleId="Note8-2ColSpBef">
    <w:name w:val="Note8-2Col SpBef"/>
    <w:uiPriority w:val="99"/>
    <w:rsid w:val="006A257E"/>
    <w:pPr>
      <w:widowControl w:val="0"/>
      <w:tabs>
        <w:tab w:val="left" w:pos="1728"/>
        <w:tab w:val="center" w:pos="6336"/>
        <w:tab w:val="center" w:pos="7920"/>
      </w:tabs>
      <w:autoSpaceDE w:val="0"/>
      <w:autoSpaceDN w:val="0"/>
      <w:adjustRightInd w:val="0"/>
      <w:spacing w:before="216"/>
      <w:ind w:left="288"/>
      <w:jc w:val="both"/>
    </w:pPr>
    <w:rPr>
      <w:sz w:val="22"/>
      <w:szCs w:val="22"/>
    </w:rPr>
  </w:style>
  <w:style w:type="paragraph" w:customStyle="1" w:styleId="BodyTxt5-SpBef">
    <w:name w:val="Body Txt5-SpBef"/>
    <w:uiPriority w:val="99"/>
    <w:rsid w:val="006A257E"/>
    <w:pPr>
      <w:widowControl w:val="0"/>
      <w:autoSpaceDE w:val="0"/>
      <w:autoSpaceDN w:val="0"/>
      <w:adjustRightInd w:val="0"/>
      <w:spacing w:before="216"/>
      <w:jc w:val="both"/>
    </w:pPr>
    <w:rPr>
      <w:sz w:val="22"/>
      <w:szCs w:val="22"/>
    </w:rPr>
  </w:style>
  <w:style w:type="paragraph" w:customStyle="1" w:styleId="3Col3-2Indent">
    <w:name w:val="3Col3-.2Indent"/>
    <w:uiPriority w:val="99"/>
    <w:rsid w:val="006A257E"/>
    <w:pPr>
      <w:widowControl w:val="0"/>
      <w:tabs>
        <w:tab w:val="center" w:pos="4752"/>
        <w:tab w:val="center" w:pos="6336"/>
        <w:tab w:val="center" w:pos="7920"/>
      </w:tabs>
      <w:autoSpaceDE w:val="0"/>
      <w:autoSpaceDN w:val="0"/>
      <w:adjustRightInd w:val="0"/>
      <w:ind w:left="288"/>
    </w:pPr>
    <w:rPr>
      <w:sz w:val="22"/>
      <w:szCs w:val="22"/>
    </w:rPr>
  </w:style>
  <w:style w:type="paragraph" w:customStyle="1" w:styleId="4Col3-2Indent">
    <w:name w:val="4Col3-.2Indent"/>
    <w:uiPriority w:val="99"/>
    <w:rsid w:val="006A257E"/>
    <w:pPr>
      <w:widowControl w:val="0"/>
      <w:tabs>
        <w:tab w:val="center" w:pos="3456"/>
        <w:tab w:val="center" w:pos="4752"/>
        <w:tab w:val="center" w:pos="5904"/>
        <w:tab w:val="center" w:pos="7920"/>
      </w:tabs>
      <w:autoSpaceDE w:val="0"/>
      <w:autoSpaceDN w:val="0"/>
      <w:adjustRightInd w:val="0"/>
      <w:ind w:left="288"/>
    </w:pPr>
    <w:rPr>
      <w:sz w:val="22"/>
      <w:szCs w:val="22"/>
    </w:rPr>
  </w:style>
  <w:style w:type="paragraph" w:customStyle="1" w:styleId="5Col3-2Indent">
    <w:name w:val="5Col3-.2Indent"/>
    <w:uiPriority w:val="99"/>
    <w:rsid w:val="006A257E"/>
    <w:pPr>
      <w:widowControl w:val="0"/>
      <w:tabs>
        <w:tab w:val="center" w:pos="3168"/>
        <w:tab w:val="center" w:pos="4608"/>
        <w:tab w:val="center" w:pos="6048"/>
        <w:tab w:val="center" w:pos="7488"/>
        <w:tab w:val="center" w:pos="8928"/>
      </w:tabs>
      <w:autoSpaceDE w:val="0"/>
      <w:autoSpaceDN w:val="0"/>
      <w:adjustRightInd w:val="0"/>
      <w:ind w:left="288"/>
    </w:pPr>
    <w:rPr>
      <w:sz w:val="22"/>
      <w:szCs w:val="22"/>
    </w:rPr>
  </w:style>
  <w:style w:type="paragraph" w:customStyle="1" w:styleId="2Col3-2Indent">
    <w:name w:val="2Col3-.2Indent"/>
    <w:uiPriority w:val="99"/>
    <w:rsid w:val="006A257E"/>
    <w:pPr>
      <w:widowControl w:val="0"/>
      <w:tabs>
        <w:tab w:val="center" w:pos="6336"/>
        <w:tab w:val="center" w:pos="7920"/>
      </w:tabs>
      <w:autoSpaceDE w:val="0"/>
      <w:autoSpaceDN w:val="0"/>
      <w:adjustRightInd w:val="0"/>
      <w:ind w:left="288"/>
    </w:pPr>
    <w:rPr>
      <w:sz w:val="22"/>
      <w:szCs w:val="22"/>
    </w:rPr>
  </w:style>
  <w:style w:type="paragraph" w:customStyle="1" w:styleId="2Col4-4Indent">
    <w:name w:val="2Col4-.4Indent"/>
    <w:uiPriority w:val="99"/>
    <w:rsid w:val="006A257E"/>
    <w:pPr>
      <w:widowControl w:val="0"/>
      <w:tabs>
        <w:tab w:val="center" w:pos="6336"/>
        <w:tab w:val="center" w:pos="7920"/>
      </w:tabs>
      <w:autoSpaceDE w:val="0"/>
      <w:autoSpaceDN w:val="0"/>
      <w:adjustRightInd w:val="0"/>
      <w:ind w:left="576"/>
    </w:pPr>
    <w:rPr>
      <w:sz w:val="22"/>
      <w:szCs w:val="22"/>
    </w:rPr>
  </w:style>
  <w:style w:type="paragraph" w:customStyle="1" w:styleId="3Col1">
    <w:name w:val="3Col1"/>
    <w:uiPriority w:val="99"/>
    <w:rsid w:val="006A257E"/>
    <w:pPr>
      <w:widowControl w:val="0"/>
      <w:tabs>
        <w:tab w:val="center" w:pos="4752"/>
        <w:tab w:val="center" w:pos="6336"/>
        <w:tab w:val="center" w:pos="7920"/>
      </w:tabs>
      <w:autoSpaceDE w:val="0"/>
      <w:autoSpaceDN w:val="0"/>
      <w:adjustRightInd w:val="0"/>
    </w:pPr>
    <w:rPr>
      <w:sz w:val="22"/>
      <w:szCs w:val="22"/>
    </w:rPr>
  </w:style>
  <w:style w:type="paragraph" w:customStyle="1" w:styleId="2Col1">
    <w:name w:val="2Col1"/>
    <w:uiPriority w:val="99"/>
    <w:rsid w:val="006A257E"/>
    <w:pPr>
      <w:widowControl w:val="0"/>
      <w:tabs>
        <w:tab w:val="center" w:pos="6336"/>
        <w:tab w:val="center" w:pos="7920"/>
      </w:tabs>
      <w:autoSpaceDE w:val="0"/>
      <w:autoSpaceDN w:val="0"/>
      <w:adjustRightInd w:val="0"/>
    </w:pPr>
    <w:rPr>
      <w:sz w:val="22"/>
      <w:szCs w:val="22"/>
    </w:rPr>
  </w:style>
  <w:style w:type="paragraph" w:customStyle="1" w:styleId="5Col1">
    <w:name w:val="5Col1"/>
    <w:uiPriority w:val="99"/>
    <w:rsid w:val="006A257E"/>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4Col1">
    <w:name w:val="4Col1"/>
    <w:uiPriority w:val="99"/>
    <w:rsid w:val="006A257E"/>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3Col4-4Indent">
    <w:name w:val="3Col4-.4Indent"/>
    <w:uiPriority w:val="99"/>
    <w:rsid w:val="006A257E"/>
    <w:pPr>
      <w:widowControl w:val="0"/>
      <w:tabs>
        <w:tab w:val="center" w:pos="4752"/>
        <w:tab w:val="center" w:pos="6336"/>
        <w:tab w:val="center" w:pos="7920"/>
      </w:tabs>
      <w:autoSpaceDE w:val="0"/>
      <w:autoSpaceDN w:val="0"/>
      <w:adjustRightInd w:val="0"/>
      <w:ind w:left="576"/>
    </w:pPr>
    <w:rPr>
      <w:sz w:val="22"/>
      <w:szCs w:val="22"/>
    </w:rPr>
  </w:style>
  <w:style w:type="paragraph" w:customStyle="1" w:styleId="4Col4-4Indent">
    <w:name w:val="4Col4-.4Indent"/>
    <w:uiPriority w:val="99"/>
    <w:rsid w:val="006A257E"/>
    <w:pPr>
      <w:widowControl w:val="0"/>
      <w:tabs>
        <w:tab w:val="center" w:pos="3456"/>
        <w:tab w:val="center" w:pos="4752"/>
        <w:tab w:val="center" w:pos="5904"/>
        <w:tab w:val="center" w:pos="7920"/>
      </w:tabs>
      <w:autoSpaceDE w:val="0"/>
      <w:autoSpaceDN w:val="0"/>
      <w:adjustRightInd w:val="0"/>
      <w:ind w:left="576"/>
    </w:pPr>
    <w:rPr>
      <w:sz w:val="22"/>
      <w:szCs w:val="22"/>
    </w:rPr>
  </w:style>
  <w:style w:type="paragraph" w:customStyle="1" w:styleId="2Col6-Sub">
    <w:name w:val="2Col6-Sub"/>
    <w:uiPriority w:val="99"/>
    <w:rsid w:val="006A257E"/>
    <w:pPr>
      <w:widowControl w:val="0"/>
      <w:tabs>
        <w:tab w:val="center" w:pos="6336"/>
        <w:tab w:val="center" w:pos="7920"/>
      </w:tabs>
      <w:autoSpaceDE w:val="0"/>
      <w:autoSpaceDN w:val="0"/>
      <w:adjustRightInd w:val="0"/>
    </w:pPr>
    <w:rPr>
      <w:sz w:val="22"/>
      <w:szCs w:val="22"/>
    </w:rPr>
  </w:style>
  <w:style w:type="paragraph" w:customStyle="1" w:styleId="2Col2-DblSpace">
    <w:name w:val="2Col2-DblSpace"/>
    <w:uiPriority w:val="99"/>
    <w:rsid w:val="006A257E"/>
    <w:pPr>
      <w:widowControl w:val="0"/>
      <w:tabs>
        <w:tab w:val="center" w:pos="6336"/>
        <w:tab w:val="center" w:pos="7920"/>
      </w:tabs>
      <w:autoSpaceDE w:val="0"/>
      <w:autoSpaceDN w:val="0"/>
      <w:adjustRightInd w:val="0"/>
      <w:spacing w:line="480" w:lineRule="auto"/>
    </w:pPr>
    <w:rPr>
      <w:sz w:val="22"/>
      <w:szCs w:val="22"/>
    </w:rPr>
  </w:style>
  <w:style w:type="paragraph" w:customStyle="1" w:styleId="TOC1">
    <w:name w:val="TOC1"/>
    <w:uiPriority w:val="99"/>
    <w:rsid w:val="006A257E"/>
    <w:pPr>
      <w:widowControl w:val="0"/>
      <w:tabs>
        <w:tab w:val="center" w:pos="7920"/>
      </w:tabs>
      <w:autoSpaceDE w:val="0"/>
      <w:autoSpaceDN w:val="0"/>
      <w:adjustRightInd w:val="0"/>
      <w:spacing w:line="480" w:lineRule="auto"/>
    </w:pPr>
    <w:rPr>
      <w:b/>
      <w:bCs/>
      <w:sz w:val="22"/>
      <w:szCs w:val="22"/>
    </w:rPr>
  </w:style>
  <w:style w:type="paragraph" w:customStyle="1" w:styleId="3Col6-Sub">
    <w:name w:val="3Col6-Sub"/>
    <w:uiPriority w:val="99"/>
    <w:rsid w:val="006A257E"/>
    <w:pPr>
      <w:widowControl w:val="0"/>
      <w:tabs>
        <w:tab w:val="center" w:pos="4752"/>
        <w:tab w:val="center" w:pos="6336"/>
        <w:tab w:val="center" w:pos="7920"/>
      </w:tabs>
      <w:autoSpaceDE w:val="0"/>
      <w:autoSpaceDN w:val="0"/>
      <w:adjustRightInd w:val="0"/>
    </w:pPr>
    <w:rPr>
      <w:sz w:val="22"/>
      <w:szCs w:val="22"/>
    </w:rPr>
  </w:style>
  <w:style w:type="paragraph" w:customStyle="1" w:styleId="5Col2-DblSpace">
    <w:name w:val="5Col2-DblSpace"/>
    <w:uiPriority w:val="99"/>
    <w:rsid w:val="006A257E"/>
    <w:pPr>
      <w:widowControl w:val="0"/>
      <w:tabs>
        <w:tab w:val="center" w:pos="3168"/>
        <w:tab w:val="center" w:pos="4608"/>
        <w:tab w:val="center" w:pos="6048"/>
        <w:tab w:val="center" w:pos="7488"/>
        <w:tab w:val="center" w:pos="8928"/>
      </w:tabs>
      <w:autoSpaceDE w:val="0"/>
      <w:autoSpaceDN w:val="0"/>
      <w:adjustRightInd w:val="0"/>
      <w:spacing w:line="480" w:lineRule="auto"/>
    </w:pPr>
    <w:rPr>
      <w:sz w:val="22"/>
      <w:szCs w:val="22"/>
    </w:rPr>
  </w:style>
  <w:style w:type="paragraph" w:customStyle="1" w:styleId="4Col2-DblSpace">
    <w:name w:val="4Col2-DblSpace"/>
    <w:uiPriority w:val="99"/>
    <w:rsid w:val="006A257E"/>
    <w:pPr>
      <w:widowControl w:val="0"/>
      <w:tabs>
        <w:tab w:val="center" w:pos="3456"/>
        <w:tab w:val="center" w:pos="4752"/>
        <w:tab w:val="center" w:pos="5904"/>
        <w:tab w:val="center" w:pos="7920"/>
      </w:tabs>
      <w:autoSpaceDE w:val="0"/>
      <w:autoSpaceDN w:val="0"/>
      <w:adjustRightInd w:val="0"/>
      <w:spacing w:line="480" w:lineRule="auto"/>
    </w:pPr>
    <w:rPr>
      <w:sz w:val="22"/>
      <w:szCs w:val="22"/>
    </w:rPr>
  </w:style>
  <w:style w:type="paragraph" w:customStyle="1" w:styleId="Header3-Centre">
    <w:name w:val="Header3-Centre"/>
    <w:uiPriority w:val="99"/>
    <w:rsid w:val="006A257E"/>
    <w:pPr>
      <w:widowControl w:val="0"/>
      <w:autoSpaceDE w:val="0"/>
      <w:autoSpaceDN w:val="0"/>
      <w:adjustRightInd w:val="0"/>
      <w:jc w:val="center"/>
    </w:pPr>
    <w:rPr>
      <w:sz w:val="22"/>
      <w:szCs w:val="22"/>
    </w:rPr>
  </w:style>
  <w:style w:type="paragraph" w:customStyle="1" w:styleId="TOC2-2Indent">
    <w:name w:val="TOC2-.2Indent"/>
    <w:uiPriority w:val="99"/>
    <w:rsid w:val="006A257E"/>
    <w:pPr>
      <w:widowControl w:val="0"/>
      <w:tabs>
        <w:tab w:val="center" w:pos="7920"/>
      </w:tabs>
      <w:autoSpaceDE w:val="0"/>
      <w:autoSpaceDN w:val="0"/>
      <w:adjustRightInd w:val="0"/>
      <w:spacing w:line="480" w:lineRule="auto"/>
      <w:ind w:left="288"/>
    </w:pPr>
    <w:rPr>
      <w:sz w:val="22"/>
      <w:szCs w:val="22"/>
    </w:rPr>
  </w:style>
  <w:style w:type="paragraph" w:customStyle="1" w:styleId="BodyTxt6-SpBefBold">
    <w:name w:val="Body Txt6-SpBefBold"/>
    <w:uiPriority w:val="99"/>
    <w:rsid w:val="006A257E"/>
    <w:pPr>
      <w:widowControl w:val="0"/>
      <w:autoSpaceDE w:val="0"/>
      <w:autoSpaceDN w:val="0"/>
      <w:adjustRightInd w:val="0"/>
      <w:spacing w:before="216"/>
      <w:jc w:val="both"/>
    </w:pPr>
    <w:rPr>
      <w:b/>
      <w:bCs/>
      <w:sz w:val="22"/>
      <w:szCs w:val="22"/>
    </w:rPr>
  </w:style>
  <w:style w:type="paragraph" w:customStyle="1" w:styleId="2Col9-SubTopBotBor">
    <w:name w:val="2Col9-Sub TopBotBor"/>
    <w:uiPriority w:val="99"/>
    <w:rsid w:val="006A257E"/>
    <w:pPr>
      <w:widowControl w:val="0"/>
      <w:pBdr>
        <w:top w:val="single" w:sz="8" w:space="10" w:color="auto"/>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8-SubBotBor">
    <w:name w:val="3Col8-Sub BotBor"/>
    <w:uiPriority w:val="99"/>
    <w:rsid w:val="006A257E"/>
    <w:pPr>
      <w:widowControl w:val="0"/>
      <w:pBdr>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2Col10-Total">
    <w:name w:val="2Col10-Total"/>
    <w:uiPriority w:val="99"/>
    <w:rsid w:val="006A257E"/>
    <w:pPr>
      <w:widowControl w:val="0"/>
      <w:pBdr>
        <w:top w:val="single" w:sz="8" w:space="10" w:color="auto"/>
        <w:bottom w:val="single" w:sz="32" w:space="0" w:color="auto"/>
        <w:between w:val="single" w:sz="32" w:space="10" w:color="auto"/>
      </w:pBdr>
      <w:tabs>
        <w:tab w:val="center" w:pos="6336"/>
        <w:tab w:val="center" w:pos="7920"/>
      </w:tabs>
      <w:autoSpaceDE w:val="0"/>
      <w:autoSpaceDN w:val="0"/>
      <w:adjustRightInd w:val="0"/>
    </w:pPr>
    <w:rPr>
      <w:sz w:val="22"/>
      <w:szCs w:val="22"/>
    </w:rPr>
  </w:style>
  <w:style w:type="paragraph" w:customStyle="1" w:styleId="3Col10-Total">
    <w:name w:val="3Col10-Total"/>
    <w:uiPriority w:val="99"/>
    <w:rsid w:val="006A257E"/>
    <w:pPr>
      <w:widowControl w:val="0"/>
      <w:pBdr>
        <w:top w:val="single" w:sz="8" w:space="10" w:color="auto"/>
        <w:bottom w:val="single" w:sz="32" w:space="0" w:color="auto"/>
        <w:between w:val="single" w:sz="32" w:space="10" w:color="auto"/>
      </w:pBdr>
      <w:tabs>
        <w:tab w:val="center" w:pos="4752"/>
        <w:tab w:val="center" w:pos="6336"/>
        <w:tab w:val="center" w:pos="7920"/>
      </w:tabs>
      <w:autoSpaceDE w:val="0"/>
      <w:autoSpaceDN w:val="0"/>
      <w:adjustRightInd w:val="0"/>
    </w:pPr>
    <w:rPr>
      <w:sz w:val="22"/>
      <w:szCs w:val="22"/>
    </w:rPr>
  </w:style>
  <w:style w:type="paragraph" w:customStyle="1" w:styleId="2Col8-SubBotBor">
    <w:name w:val="2Col8-Sub BotBor"/>
    <w:uiPriority w:val="99"/>
    <w:rsid w:val="006A257E"/>
    <w:pPr>
      <w:widowControl w:val="0"/>
      <w:pBdr>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2Col7-SubTopBor">
    <w:name w:val="2Col7-Sub TopBor"/>
    <w:uiPriority w:val="99"/>
    <w:rsid w:val="006A257E"/>
    <w:pPr>
      <w:widowControl w:val="0"/>
      <w:pBdr>
        <w:top w:val="single" w:sz="8" w:space="1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7-SubTopBor">
    <w:name w:val="3Col7-Sub TopBor"/>
    <w:uiPriority w:val="99"/>
    <w:rsid w:val="006A257E"/>
    <w:pPr>
      <w:widowControl w:val="0"/>
      <w:pBdr>
        <w:top w:val="single" w:sz="8" w:space="1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9-SubTopBotBor">
    <w:name w:val="3Col9-Sub TopBotBor"/>
    <w:uiPriority w:val="99"/>
    <w:rsid w:val="006A257E"/>
    <w:pPr>
      <w:widowControl w:val="0"/>
      <w:pBdr>
        <w:top w:val="single" w:sz="8" w:space="10" w:color="auto"/>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2-DblSpace">
    <w:name w:val="3Col2-DblSpace"/>
    <w:uiPriority w:val="99"/>
    <w:rsid w:val="006A257E"/>
    <w:pPr>
      <w:widowControl w:val="0"/>
      <w:tabs>
        <w:tab w:val="center" w:pos="4752"/>
        <w:tab w:val="center" w:pos="6336"/>
        <w:tab w:val="center" w:pos="7920"/>
      </w:tabs>
      <w:autoSpaceDE w:val="0"/>
      <w:autoSpaceDN w:val="0"/>
      <w:adjustRightInd w:val="0"/>
      <w:spacing w:line="480" w:lineRule="auto"/>
    </w:pPr>
    <w:rPr>
      <w:sz w:val="22"/>
      <w:szCs w:val="22"/>
    </w:rPr>
  </w:style>
  <w:style w:type="paragraph" w:customStyle="1" w:styleId="4Col6-Sub">
    <w:name w:val="4Col6-Sub"/>
    <w:uiPriority w:val="99"/>
    <w:rsid w:val="006A257E"/>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4Col7-SubTopBor">
    <w:name w:val="4Col7-Sub TopBor"/>
    <w:uiPriority w:val="99"/>
    <w:rsid w:val="006A257E"/>
    <w:pPr>
      <w:widowControl w:val="0"/>
      <w:pBdr>
        <w:top w:val="single" w:sz="8" w:space="1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8-SubBotBor">
    <w:name w:val="4Col8-Sub BotBor"/>
    <w:uiPriority w:val="99"/>
    <w:rsid w:val="006A257E"/>
    <w:pPr>
      <w:widowControl w:val="0"/>
      <w:pBdr>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9-SubTopBotBor">
    <w:name w:val="4Col9-Sub TopBotBor"/>
    <w:uiPriority w:val="99"/>
    <w:rsid w:val="006A257E"/>
    <w:pPr>
      <w:widowControl w:val="0"/>
      <w:pBdr>
        <w:top w:val="single" w:sz="8" w:space="10" w:color="auto"/>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Note5-3Levels">
    <w:name w:val="Note5-3 Levels"/>
    <w:uiPriority w:val="99"/>
    <w:rsid w:val="006A257E"/>
    <w:pPr>
      <w:widowControl w:val="0"/>
      <w:tabs>
        <w:tab w:val="left" w:pos="1152"/>
      </w:tabs>
      <w:autoSpaceDE w:val="0"/>
      <w:autoSpaceDN w:val="0"/>
      <w:adjustRightInd w:val="0"/>
      <w:spacing w:before="216"/>
      <w:ind w:left="1152" w:hanging="720"/>
      <w:jc w:val="both"/>
    </w:pPr>
    <w:rPr>
      <w:sz w:val="22"/>
      <w:szCs w:val="22"/>
    </w:rPr>
  </w:style>
  <w:style w:type="paragraph" w:customStyle="1" w:styleId="Note7-2Col">
    <w:name w:val="Note7-2Col"/>
    <w:uiPriority w:val="99"/>
    <w:rsid w:val="006A257E"/>
    <w:pPr>
      <w:widowControl w:val="0"/>
      <w:tabs>
        <w:tab w:val="left" w:pos="1728"/>
        <w:tab w:val="center" w:pos="6336"/>
        <w:tab w:val="center" w:pos="7920"/>
      </w:tabs>
      <w:autoSpaceDE w:val="0"/>
      <w:autoSpaceDN w:val="0"/>
      <w:adjustRightInd w:val="0"/>
      <w:ind w:left="288"/>
      <w:jc w:val="both"/>
    </w:pPr>
    <w:rPr>
      <w:sz w:val="22"/>
      <w:szCs w:val="22"/>
    </w:rPr>
  </w:style>
  <w:style w:type="paragraph" w:customStyle="1" w:styleId="Title2-TopBor">
    <w:name w:val="Title2-Top Bor"/>
    <w:next w:val="Title1"/>
    <w:uiPriority w:val="99"/>
    <w:rsid w:val="006A257E"/>
    <w:pPr>
      <w:widowControl w:val="0"/>
      <w:pBdr>
        <w:top w:val="single" w:sz="40" w:space="0" w:color="auto"/>
        <w:between w:val="single" w:sz="40" w:space="0" w:color="auto"/>
      </w:pBdr>
      <w:shd w:val="pct15" w:color="auto" w:fill="auto"/>
      <w:autoSpaceDE w:val="0"/>
      <w:autoSpaceDN w:val="0"/>
      <w:adjustRightInd w:val="0"/>
      <w:spacing w:line="480" w:lineRule="auto"/>
    </w:pPr>
    <w:rPr>
      <w:sz w:val="22"/>
      <w:szCs w:val="22"/>
    </w:rPr>
  </w:style>
  <w:style w:type="paragraph" w:customStyle="1" w:styleId="Title1">
    <w:name w:val="Title1"/>
    <w:next w:val="Title3-BotBor"/>
    <w:uiPriority w:val="99"/>
    <w:rsid w:val="006A257E"/>
    <w:pPr>
      <w:widowControl w:val="0"/>
      <w:shd w:val="pct15" w:color="auto" w:fill="auto"/>
      <w:autoSpaceDE w:val="0"/>
      <w:autoSpaceDN w:val="0"/>
      <w:adjustRightInd w:val="0"/>
      <w:jc w:val="right"/>
    </w:pPr>
    <w:rPr>
      <w:b/>
      <w:bCs/>
      <w:sz w:val="36"/>
      <w:szCs w:val="36"/>
    </w:rPr>
  </w:style>
  <w:style w:type="paragraph" w:customStyle="1" w:styleId="Title3-BotBor">
    <w:name w:val="Title3-Bot Bor"/>
    <w:next w:val="Normal"/>
    <w:uiPriority w:val="99"/>
    <w:rsid w:val="006A257E"/>
    <w:pPr>
      <w:widowControl w:val="0"/>
      <w:pBdr>
        <w:bottom w:val="single" w:sz="40" w:space="10" w:color="auto"/>
        <w:between w:val="single" w:sz="40" w:space="10" w:color="auto"/>
      </w:pBdr>
      <w:shd w:val="pct15" w:color="auto" w:fill="auto"/>
      <w:autoSpaceDE w:val="0"/>
      <w:autoSpaceDN w:val="0"/>
      <w:adjustRightInd w:val="0"/>
    </w:pPr>
    <w:rPr>
      <w:sz w:val="22"/>
      <w:szCs w:val="22"/>
    </w:rPr>
  </w:style>
  <w:style w:type="paragraph" w:customStyle="1" w:styleId="BodyTxt1">
    <w:name w:val="Body Txt1"/>
    <w:uiPriority w:val="99"/>
    <w:rsid w:val="006A257E"/>
    <w:pPr>
      <w:widowControl w:val="0"/>
      <w:autoSpaceDE w:val="0"/>
      <w:autoSpaceDN w:val="0"/>
      <w:adjustRightInd w:val="0"/>
      <w:jc w:val="both"/>
    </w:pPr>
    <w:rPr>
      <w:sz w:val="22"/>
      <w:szCs w:val="22"/>
    </w:rPr>
  </w:style>
  <w:style w:type="paragraph" w:customStyle="1" w:styleId="BodyTxt2-2Indent">
    <w:name w:val="Body Txt2-.2Indent"/>
    <w:uiPriority w:val="99"/>
    <w:rsid w:val="006A257E"/>
    <w:pPr>
      <w:widowControl w:val="0"/>
      <w:autoSpaceDE w:val="0"/>
      <w:autoSpaceDN w:val="0"/>
      <w:adjustRightInd w:val="0"/>
      <w:ind w:left="288"/>
      <w:jc w:val="both"/>
    </w:pPr>
    <w:rPr>
      <w:sz w:val="22"/>
      <w:szCs w:val="22"/>
    </w:rPr>
  </w:style>
  <w:style w:type="paragraph" w:customStyle="1" w:styleId="BodyTxt3-4Indent">
    <w:name w:val="Body Txt3-.4Indent"/>
    <w:uiPriority w:val="99"/>
    <w:rsid w:val="006A257E"/>
    <w:pPr>
      <w:widowControl w:val="0"/>
      <w:autoSpaceDE w:val="0"/>
      <w:autoSpaceDN w:val="0"/>
      <w:adjustRightInd w:val="0"/>
      <w:ind w:left="576"/>
      <w:jc w:val="both"/>
    </w:pPr>
    <w:rPr>
      <w:sz w:val="22"/>
      <w:szCs w:val="22"/>
    </w:rPr>
  </w:style>
  <w:style w:type="paragraph" w:customStyle="1" w:styleId="BodyTxt4-Bold">
    <w:name w:val="Body Txt4-Bold"/>
    <w:uiPriority w:val="99"/>
    <w:rsid w:val="006A257E"/>
    <w:pPr>
      <w:widowControl w:val="0"/>
      <w:autoSpaceDE w:val="0"/>
      <w:autoSpaceDN w:val="0"/>
      <w:adjustRightInd w:val="0"/>
      <w:jc w:val="both"/>
    </w:pPr>
    <w:rPr>
      <w:b/>
      <w:bCs/>
      <w:sz w:val="22"/>
      <w:szCs w:val="22"/>
    </w:rPr>
  </w:style>
  <w:style w:type="paragraph" w:customStyle="1" w:styleId="Heading1-11Left">
    <w:name w:val="Heading1-11 Left"/>
    <w:uiPriority w:val="99"/>
    <w:rsid w:val="006A257E"/>
    <w:pPr>
      <w:widowControl w:val="0"/>
      <w:autoSpaceDE w:val="0"/>
      <w:autoSpaceDN w:val="0"/>
      <w:adjustRightInd w:val="0"/>
    </w:pPr>
    <w:rPr>
      <w:b/>
      <w:bCs/>
      <w:sz w:val="22"/>
      <w:szCs w:val="22"/>
    </w:rPr>
  </w:style>
  <w:style w:type="paragraph" w:customStyle="1" w:styleId="Heading2-11Right">
    <w:name w:val="Heading2-11 Right"/>
    <w:uiPriority w:val="99"/>
    <w:rsid w:val="006A257E"/>
    <w:pPr>
      <w:widowControl w:val="0"/>
      <w:autoSpaceDE w:val="0"/>
      <w:autoSpaceDN w:val="0"/>
      <w:adjustRightInd w:val="0"/>
      <w:jc w:val="right"/>
    </w:pPr>
    <w:rPr>
      <w:b/>
      <w:bCs/>
      <w:sz w:val="22"/>
      <w:szCs w:val="22"/>
    </w:rPr>
  </w:style>
  <w:style w:type="paragraph" w:customStyle="1" w:styleId="Heading3-11Centre">
    <w:name w:val="Heading3-11 Centre"/>
    <w:uiPriority w:val="99"/>
    <w:rsid w:val="006A257E"/>
    <w:pPr>
      <w:widowControl w:val="0"/>
      <w:autoSpaceDE w:val="0"/>
      <w:autoSpaceDN w:val="0"/>
      <w:adjustRightInd w:val="0"/>
      <w:jc w:val="center"/>
    </w:pPr>
    <w:rPr>
      <w:b/>
      <w:bCs/>
      <w:sz w:val="22"/>
      <w:szCs w:val="22"/>
    </w:rPr>
  </w:style>
  <w:style w:type="paragraph" w:customStyle="1" w:styleId="Heading4-14Left">
    <w:name w:val="Heading4-14 Left"/>
    <w:uiPriority w:val="99"/>
    <w:rsid w:val="006A257E"/>
    <w:pPr>
      <w:widowControl w:val="0"/>
      <w:autoSpaceDE w:val="0"/>
      <w:autoSpaceDN w:val="0"/>
      <w:adjustRightInd w:val="0"/>
    </w:pPr>
    <w:rPr>
      <w:b/>
      <w:bCs/>
      <w:sz w:val="28"/>
      <w:szCs w:val="28"/>
    </w:rPr>
  </w:style>
  <w:style w:type="paragraph" w:customStyle="1" w:styleId="Heading5-14Right">
    <w:name w:val="Heading5-14 Right"/>
    <w:uiPriority w:val="99"/>
    <w:rsid w:val="006A257E"/>
    <w:pPr>
      <w:widowControl w:val="0"/>
      <w:autoSpaceDE w:val="0"/>
      <w:autoSpaceDN w:val="0"/>
      <w:adjustRightInd w:val="0"/>
      <w:jc w:val="right"/>
    </w:pPr>
    <w:rPr>
      <w:b/>
      <w:bCs/>
      <w:sz w:val="28"/>
      <w:szCs w:val="28"/>
    </w:rPr>
  </w:style>
  <w:style w:type="paragraph" w:customStyle="1" w:styleId="Heading6-14Centre">
    <w:name w:val="Heading6-14 Centre"/>
    <w:uiPriority w:val="99"/>
    <w:rsid w:val="006A257E"/>
    <w:pPr>
      <w:widowControl w:val="0"/>
      <w:autoSpaceDE w:val="0"/>
      <w:autoSpaceDN w:val="0"/>
      <w:adjustRightInd w:val="0"/>
      <w:jc w:val="center"/>
    </w:pPr>
    <w:rPr>
      <w:b/>
      <w:bCs/>
      <w:sz w:val="28"/>
      <w:szCs w:val="28"/>
    </w:rPr>
  </w:style>
  <w:style w:type="paragraph" w:customStyle="1" w:styleId="Heading7-18Left">
    <w:name w:val="Heading7-18 Left"/>
    <w:uiPriority w:val="99"/>
    <w:rsid w:val="006A257E"/>
    <w:pPr>
      <w:widowControl w:val="0"/>
      <w:autoSpaceDE w:val="0"/>
      <w:autoSpaceDN w:val="0"/>
      <w:adjustRightInd w:val="0"/>
    </w:pPr>
    <w:rPr>
      <w:b/>
      <w:bCs/>
      <w:sz w:val="36"/>
      <w:szCs w:val="36"/>
    </w:rPr>
  </w:style>
  <w:style w:type="paragraph" w:customStyle="1" w:styleId="Heading8-18Right">
    <w:name w:val="Heading8-18 Right"/>
    <w:uiPriority w:val="99"/>
    <w:rsid w:val="006A257E"/>
    <w:pPr>
      <w:widowControl w:val="0"/>
      <w:autoSpaceDE w:val="0"/>
      <w:autoSpaceDN w:val="0"/>
      <w:adjustRightInd w:val="0"/>
      <w:jc w:val="right"/>
    </w:pPr>
    <w:rPr>
      <w:b/>
      <w:bCs/>
      <w:sz w:val="36"/>
      <w:szCs w:val="36"/>
    </w:rPr>
  </w:style>
  <w:style w:type="paragraph" w:customStyle="1" w:styleId="Heading9-18Centre">
    <w:name w:val="Heading9-18 Centre"/>
    <w:uiPriority w:val="99"/>
    <w:rsid w:val="006A257E"/>
    <w:pPr>
      <w:widowControl w:val="0"/>
      <w:autoSpaceDE w:val="0"/>
      <w:autoSpaceDN w:val="0"/>
      <w:adjustRightInd w:val="0"/>
      <w:jc w:val="center"/>
    </w:pPr>
    <w:rPr>
      <w:b/>
      <w:bCs/>
      <w:sz w:val="36"/>
      <w:szCs w:val="36"/>
    </w:rPr>
  </w:style>
  <w:style w:type="paragraph" w:customStyle="1" w:styleId="4Col10-Total">
    <w:name w:val="4Col10-Total"/>
    <w:uiPriority w:val="99"/>
    <w:rsid w:val="006A257E"/>
    <w:pPr>
      <w:widowControl w:val="0"/>
      <w:pBdr>
        <w:top w:val="single" w:sz="8" w:space="10" w:color="auto"/>
        <w:bottom w:val="single" w:sz="32" w:space="0" w:color="auto"/>
        <w:between w:val="single" w:sz="32"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ParaMod1">
    <w:name w:val="Para Mod1"/>
    <w:uiPriority w:val="99"/>
    <w:rsid w:val="006A257E"/>
    <w:pPr>
      <w:widowControl w:val="0"/>
      <w:autoSpaceDE w:val="0"/>
      <w:autoSpaceDN w:val="0"/>
      <w:adjustRightInd w:val="0"/>
    </w:pPr>
    <w:rPr>
      <w:sz w:val="22"/>
      <w:szCs w:val="22"/>
    </w:rPr>
  </w:style>
  <w:style w:type="paragraph" w:customStyle="1" w:styleId="ParaMod2-2Indent">
    <w:name w:val="Para Mod2-.2Indent"/>
    <w:uiPriority w:val="99"/>
    <w:rsid w:val="006A257E"/>
    <w:pPr>
      <w:widowControl w:val="0"/>
      <w:autoSpaceDE w:val="0"/>
      <w:autoSpaceDN w:val="0"/>
      <w:adjustRightInd w:val="0"/>
      <w:ind w:left="288"/>
    </w:pPr>
    <w:rPr>
      <w:sz w:val="22"/>
      <w:szCs w:val="22"/>
    </w:rPr>
  </w:style>
  <w:style w:type="paragraph" w:customStyle="1" w:styleId="ParaMod3-4Indent">
    <w:name w:val="Para Mod3-.4Indent"/>
    <w:uiPriority w:val="99"/>
    <w:rsid w:val="006A257E"/>
    <w:pPr>
      <w:widowControl w:val="0"/>
      <w:autoSpaceDE w:val="0"/>
      <w:autoSpaceDN w:val="0"/>
      <w:adjustRightInd w:val="0"/>
      <w:ind w:left="576"/>
    </w:pPr>
    <w:rPr>
      <w:sz w:val="22"/>
      <w:szCs w:val="22"/>
    </w:rPr>
  </w:style>
  <w:style w:type="paragraph" w:customStyle="1" w:styleId="ParaMod4-Bold">
    <w:name w:val="Para Mod4-Bold"/>
    <w:uiPriority w:val="99"/>
    <w:rsid w:val="006A257E"/>
    <w:pPr>
      <w:widowControl w:val="0"/>
      <w:autoSpaceDE w:val="0"/>
      <w:autoSpaceDN w:val="0"/>
      <w:adjustRightInd w:val="0"/>
    </w:pPr>
    <w:rPr>
      <w:b/>
      <w:bCs/>
      <w:sz w:val="22"/>
      <w:szCs w:val="22"/>
    </w:rPr>
  </w:style>
  <w:style w:type="paragraph" w:customStyle="1" w:styleId="ParaMod5-SpBef">
    <w:name w:val="Para Mod5-SpBef"/>
    <w:uiPriority w:val="99"/>
    <w:rsid w:val="006A257E"/>
    <w:pPr>
      <w:widowControl w:val="0"/>
      <w:autoSpaceDE w:val="0"/>
      <w:autoSpaceDN w:val="0"/>
      <w:adjustRightInd w:val="0"/>
      <w:spacing w:before="216"/>
    </w:pPr>
    <w:rPr>
      <w:sz w:val="22"/>
      <w:szCs w:val="22"/>
    </w:rPr>
  </w:style>
  <w:style w:type="paragraph" w:customStyle="1" w:styleId="ParaMod6-SpBefBold">
    <w:name w:val="Para Mod6-SpBefBold"/>
    <w:uiPriority w:val="99"/>
    <w:rsid w:val="006A257E"/>
    <w:pPr>
      <w:widowControl w:val="0"/>
      <w:autoSpaceDE w:val="0"/>
      <w:autoSpaceDN w:val="0"/>
      <w:adjustRightInd w:val="0"/>
      <w:spacing w:before="216"/>
      <w:jc w:val="both"/>
    </w:pPr>
    <w:rPr>
      <w:b/>
      <w:bCs/>
      <w:sz w:val="22"/>
      <w:szCs w:val="22"/>
    </w:rPr>
  </w:style>
  <w:style w:type="paragraph" w:customStyle="1" w:styleId="5Col4-4Indent">
    <w:name w:val="5Col4-.4Indent"/>
    <w:uiPriority w:val="99"/>
    <w:rsid w:val="006A257E"/>
    <w:pPr>
      <w:widowControl w:val="0"/>
      <w:tabs>
        <w:tab w:val="center" w:pos="3168"/>
        <w:tab w:val="center" w:pos="4608"/>
        <w:tab w:val="center" w:pos="6048"/>
        <w:tab w:val="center" w:pos="7488"/>
        <w:tab w:val="center" w:pos="8928"/>
      </w:tabs>
      <w:autoSpaceDE w:val="0"/>
      <w:autoSpaceDN w:val="0"/>
      <w:adjustRightInd w:val="0"/>
      <w:ind w:left="576"/>
    </w:pPr>
    <w:rPr>
      <w:sz w:val="22"/>
      <w:szCs w:val="22"/>
    </w:rPr>
  </w:style>
  <w:style w:type="paragraph" w:customStyle="1" w:styleId="5Col6-Sub">
    <w:name w:val="5Col6-Sub"/>
    <w:uiPriority w:val="99"/>
    <w:rsid w:val="006A257E"/>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7-SubTopBor">
    <w:name w:val="5Col7-Sub TopBor"/>
    <w:uiPriority w:val="99"/>
    <w:rsid w:val="006A257E"/>
    <w:pPr>
      <w:widowControl w:val="0"/>
      <w:pBdr>
        <w:top w:val="single" w:sz="8" w:space="1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8-SubBotBor">
    <w:name w:val="5Col8-Sub BotBor"/>
    <w:uiPriority w:val="99"/>
    <w:rsid w:val="006A257E"/>
    <w:pPr>
      <w:widowControl w:val="0"/>
      <w:pBdr>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9-SubTopBotBor">
    <w:name w:val="5Col9-Sub TopBotBor"/>
    <w:uiPriority w:val="99"/>
    <w:rsid w:val="006A257E"/>
    <w:pPr>
      <w:widowControl w:val="0"/>
      <w:pBdr>
        <w:top w:val="single" w:sz="8" w:space="10" w:color="auto"/>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10-Total">
    <w:name w:val="5Col10-Total"/>
    <w:uiPriority w:val="99"/>
    <w:rsid w:val="006A257E"/>
    <w:pPr>
      <w:widowControl w:val="0"/>
      <w:pBdr>
        <w:top w:val="single" w:sz="8" w:space="10" w:color="auto"/>
        <w:bottom w:val="single" w:sz="32" w:space="0" w:color="auto"/>
        <w:between w:val="single" w:sz="32"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2Col5-6Indent">
    <w:name w:val="2Col5-.6Indent"/>
    <w:uiPriority w:val="99"/>
    <w:rsid w:val="006A257E"/>
    <w:pPr>
      <w:widowControl w:val="0"/>
      <w:tabs>
        <w:tab w:val="center" w:pos="6336"/>
        <w:tab w:val="center" w:pos="7920"/>
      </w:tabs>
      <w:autoSpaceDE w:val="0"/>
      <w:autoSpaceDN w:val="0"/>
      <w:adjustRightInd w:val="0"/>
      <w:ind w:left="864"/>
    </w:pPr>
    <w:rPr>
      <w:sz w:val="22"/>
      <w:szCs w:val="22"/>
    </w:rPr>
  </w:style>
  <w:style w:type="paragraph" w:customStyle="1" w:styleId="3Col5-6Indent">
    <w:name w:val="3Col5-.6Indent"/>
    <w:uiPriority w:val="99"/>
    <w:rsid w:val="006A257E"/>
    <w:pPr>
      <w:widowControl w:val="0"/>
      <w:tabs>
        <w:tab w:val="center" w:pos="4752"/>
        <w:tab w:val="center" w:pos="6336"/>
        <w:tab w:val="center" w:pos="7920"/>
      </w:tabs>
      <w:autoSpaceDE w:val="0"/>
      <w:autoSpaceDN w:val="0"/>
      <w:adjustRightInd w:val="0"/>
      <w:ind w:left="864"/>
    </w:pPr>
    <w:rPr>
      <w:sz w:val="22"/>
      <w:szCs w:val="22"/>
    </w:rPr>
  </w:style>
  <w:style w:type="paragraph" w:customStyle="1" w:styleId="4Col5-6Indent">
    <w:name w:val="4Col5-.6Indent"/>
    <w:uiPriority w:val="99"/>
    <w:rsid w:val="006A257E"/>
    <w:pPr>
      <w:widowControl w:val="0"/>
      <w:tabs>
        <w:tab w:val="center" w:pos="3456"/>
        <w:tab w:val="center" w:pos="4752"/>
        <w:tab w:val="center" w:pos="5904"/>
        <w:tab w:val="center" w:pos="7920"/>
      </w:tabs>
      <w:autoSpaceDE w:val="0"/>
      <w:autoSpaceDN w:val="0"/>
      <w:adjustRightInd w:val="0"/>
      <w:ind w:left="864"/>
    </w:pPr>
    <w:rPr>
      <w:sz w:val="22"/>
      <w:szCs w:val="22"/>
    </w:rPr>
  </w:style>
  <w:style w:type="paragraph" w:customStyle="1" w:styleId="5Col5-6Indent">
    <w:name w:val="5Col5-.6Indent"/>
    <w:uiPriority w:val="99"/>
    <w:rsid w:val="006A257E"/>
    <w:pPr>
      <w:widowControl w:val="0"/>
      <w:tabs>
        <w:tab w:val="center" w:pos="3168"/>
        <w:tab w:val="center" w:pos="4608"/>
        <w:tab w:val="center" w:pos="6048"/>
        <w:tab w:val="center" w:pos="7488"/>
        <w:tab w:val="center" w:pos="8928"/>
      </w:tabs>
      <w:autoSpaceDE w:val="0"/>
      <w:autoSpaceDN w:val="0"/>
      <w:adjustRightInd w:val="0"/>
      <w:ind w:left="864"/>
    </w:pPr>
    <w:rPr>
      <w:sz w:val="22"/>
      <w:szCs w:val="22"/>
    </w:rPr>
  </w:style>
  <w:style w:type="paragraph" w:customStyle="1" w:styleId="Note2-1LevelsBold">
    <w:name w:val="Note2-1 Levels Bold"/>
    <w:uiPriority w:val="99"/>
    <w:rsid w:val="006A257E"/>
    <w:pPr>
      <w:widowControl w:val="0"/>
      <w:tabs>
        <w:tab w:val="left" w:pos="288"/>
      </w:tabs>
      <w:autoSpaceDE w:val="0"/>
      <w:autoSpaceDN w:val="0"/>
      <w:adjustRightInd w:val="0"/>
      <w:spacing w:before="216"/>
      <w:ind w:left="288" w:hanging="288"/>
      <w:jc w:val="both"/>
    </w:pPr>
    <w:rPr>
      <w:b/>
      <w:bCs/>
      <w:sz w:val="22"/>
      <w:szCs w:val="22"/>
    </w:rPr>
  </w:style>
  <w:style w:type="paragraph" w:customStyle="1" w:styleId="Note4-2LevelsBold">
    <w:name w:val="Note4-2 Levels Bold"/>
    <w:uiPriority w:val="99"/>
    <w:rsid w:val="006A257E"/>
    <w:pPr>
      <w:widowControl w:val="0"/>
      <w:tabs>
        <w:tab w:val="left" w:pos="720"/>
      </w:tabs>
      <w:autoSpaceDE w:val="0"/>
      <w:autoSpaceDN w:val="0"/>
      <w:adjustRightInd w:val="0"/>
      <w:spacing w:before="216"/>
      <w:ind w:left="720" w:hanging="432"/>
      <w:jc w:val="both"/>
    </w:pPr>
    <w:rPr>
      <w:sz w:val="22"/>
      <w:szCs w:val="22"/>
    </w:rPr>
  </w:style>
  <w:style w:type="paragraph" w:customStyle="1" w:styleId="Note6-3LevelsBold">
    <w:name w:val="Note6-3 Levels Bold"/>
    <w:uiPriority w:val="99"/>
    <w:rsid w:val="006A257E"/>
    <w:pPr>
      <w:widowControl w:val="0"/>
      <w:tabs>
        <w:tab w:val="left" w:pos="1152"/>
      </w:tabs>
      <w:autoSpaceDE w:val="0"/>
      <w:autoSpaceDN w:val="0"/>
      <w:adjustRightInd w:val="0"/>
      <w:spacing w:before="216"/>
      <w:ind w:left="1152" w:hanging="720"/>
      <w:jc w:val="both"/>
    </w:pPr>
    <w:rPr>
      <w:b/>
      <w:bCs/>
      <w:sz w:val="22"/>
      <w:szCs w:val="22"/>
    </w:rPr>
  </w:style>
  <w:style w:type="paragraph" w:styleId="BodyTextIndent3">
    <w:name w:val="Body Text Indent 3"/>
    <w:basedOn w:val="Normal"/>
    <w:link w:val="BodyTextIndent3Char"/>
    <w:uiPriority w:val="99"/>
    <w:rsid w:val="006A257E"/>
    <w:pPr>
      <w:widowControl w:val="0"/>
      <w:autoSpaceDE w:val="0"/>
      <w:autoSpaceDN w:val="0"/>
      <w:adjustRightInd w:val="0"/>
      <w:ind w:left="810" w:hanging="90"/>
      <w:jc w:val="both"/>
    </w:pPr>
    <w:rPr>
      <w:rFonts w:ascii="Arial" w:hAnsi="Arial" w:cs="Arial"/>
    </w:rPr>
  </w:style>
  <w:style w:type="character" w:customStyle="1" w:styleId="BodyTextIndent3Char">
    <w:name w:val="Body Text Indent 3 Char"/>
    <w:basedOn w:val="DefaultParagraphFont"/>
    <w:link w:val="BodyTextIndent3"/>
    <w:uiPriority w:val="99"/>
    <w:rsid w:val="006A257E"/>
    <w:rPr>
      <w:rFonts w:ascii="Arial" w:hAnsi="Arial" w:cs="Arial"/>
    </w:rPr>
  </w:style>
  <w:style w:type="paragraph" w:customStyle="1" w:styleId="Level7">
    <w:name w:val="Level 7"/>
    <w:basedOn w:val="Normal"/>
    <w:uiPriority w:val="99"/>
    <w:rsid w:val="006A257E"/>
    <w:pPr>
      <w:widowControl w:val="0"/>
      <w:outlineLvl w:val="6"/>
    </w:pPr>
    <w:rPr>
      <w:rFonts w:ascii="Arial" w:hAnsi="Arial"/>
      <w:snapToGrid w:val="0"/>
      <w:sz w:val="24"/>
    </w:rPr>
  </w:style>
  <w:style w:type="paragraph" w:styleId="NormalWeb">
    <w:name w:val="Normal (Web)"/>
    <w:basedOn w:val="Normal"/>
    <w:link w:val="NormalWebChar"/>
    <w:uiPriority w:val="99"/>
    <w:rsid w:val="006A257E"/>
    <w:pPr>
      <w:spacing w:before="100" w:beforeAutospacing="1" w:after="100" w:afterAutospacing="1"/>
    </w:pPr>
    <w:rPr>
      <w:rFonts w:ascii="Arial Unicode MS" w:eastAsia="Arial Unicode MS" w:hAnsi="Arial Unicode MS" w:cs="Arial Unicode MS"/>
      <w:sz w:val="24"/>
      <w:szCs w:val="24"/>
    </w:rPr>
  </w:style>
  <w:style w:type="paragraph" w:customStyle="1" w:styleId="NotesText">
    <w:name w:val="Notes Text"/>
    <w:basedOn w:val="Normal"/>
    <w:uiPriority w:val="99"/>
    <w:rsid w:val="006A257E"/>
    <w:pPr>
      <w:spacing w:before="200"/>
      <w:jc w:val="both"/>
    </w:pPr>
  </w:style>
  <w:style w:type="table" w:styleId="TableGrid">
    <w:name w:val="Table Grid"/>
    <w:basedOn w:val="TableNormal"/>
    <w:rsid w:val="006A257E"/>
    <w:pPr>
      <w:widowControl w:val="0"/>
      <w:autoSpaceDE w:val="0"/>
      <w:autoSpaceDN w:val="0"/>
      <w:adjustRightInd w:val="0"/>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link w:val="NormalArialChar"/>
    <w:rsid w:val="006A257E"/>
    <w:pPr>
      <w:widowControl w:val="0"/>
      <w:autoSpaceDE w:val="0"/>
      <w:autoSpaceDN w:val="0"/>
      <w:adjustRightInd w:val="0"/>
      <w:jc w:val="both"/>
    </w:pPr>
    <w:rPr>
      <w:rFonts w:ascii="Arial" w:hAnsi="Arial"/>
    </w:rPr>
  </w:style>
  <w:style w:type="character" w:customStyle="1" w:styleId="NormalArialChar">
    <w:name w:val="Normal + Arial Char"/>
    <w:aliases w:val="10 pt Char,Normal + Arial Char Char,Normal + Arial Char Char Char"/>
    <w:link w:val="NormalArial"/>
    <w:rsid w:val="006A257E"/>
    <w:rPr>
      <w:rFonts w:ascii="Arial" w:hAnsi="Arial"/>
    </w:rPr>
  </w:style>
  <w:style w:type="paragraph" w:styleId="List2">
    <w:name w:val="List 2"/>
    <w:basedOn w:val="Normal"/>
    <w:uiPriority w:val="99"/>
    <w:rsid w:val="006A257E"/>
    <w:pPr>
      <w:widowControl w:val="0"/>
      <w:autoSpaceDE w:val="0"/>
      <w:autoSpaceDN w:val="0"/>
      <w:adjustRightInd w:val="0"/>
      <w:ind w:left="720" w:hanging="360"/>
    </w:pPr>
    <w:rPr>
      <w:sz w:val="22"/>
      <w:szCs w:val="22"/>
    </w:rPr>
  </w:style>
  <w:style w:type="paragraph" w:styleId="Date">
    <w:name w:val="Date"/>
    <w:basedOn w:val="Normal"/>
    <w:next w:val="Normal"/>
    <w:link w:val="DateChar"/>
    <w:uiPriority w:val="99"/>
    <w:rsid w:val="006A257E"/>
    <w:pPr>
      <w:widowControl w:val="0"/>
      <w:autoSpaceDE w:val="0"/>
      <w:autoSpaceDN w:val="0"/>
      <w:adjustRightInd w:val="0"/>
    </w:pPr>
    <w:rPr>
      <w:sz w:val="22"/>
      <w:szCs w:val="22"/>
    </w:rPr>
  </w:style>
  <w:style w:type="character" w:customStyle="1" w:styleId="DateChar">
    <w:name w:val="Date Char"/>
    <w:basedOn w:val="DefaultParagraphFont"/>
    <w:link w:val="Date"/>
    <w:uiPriority w:val="99"/>
    <w:rsid w:val="006A257E"/>
    <w:rPr>
      <w:sz w:val="22"/>
      <w:szCs w:val="22"/>
    </w:rPr>
  </w:style>
  <w:style w:type="paragraph" w:styleId="ListContinue">
    <w:name w:val="List Continue"/>
    <w:basedOn w:val="Normal"/>
    <w:uiPriority w:val="99"/>
    <w:rsid w:val="006A257E"/>
    <w:pPr>
      <w:widowControl w:val="0"/>
      <w:autoSpaceDE w:val="0"/>
      <w:autoSpaceDN w:val="0"/>
      <w:adjustRightInd w:val="0"/>
      <w:spacing w:after="120"/>
      <w:ind w:left="360"/>
    </w:pPr>
    <w:rPr>
      <w:sz w:val="22"/>
      <w:szCs w:val="22"/>
    </w:rPr>
  </w:style>
  <w:style w:type="paragraph" w:styleId="ListContinue2">
    <w:name w:val="List Continue 2"/>
    <w:basedOn w:val="Normal"/>
    <w:uiPriority w:val="99"/>
    <w:rsid w:val="006A257E"/>
    <w:pPr>
      <w:widowControl w:val="0"/>
      <w:autoSpaceDE w:val="0"/>
      <w:autoSpaceDN w:val="0"/>
      <w:adjustRightInd w:val="0"/>
      <w:spacing w:after="120"/>
      <w:ind w:left="720"/>
    </w:pPr>
    <w:rPr>
      <w:sz w:val="22"/>
      <w:szCs w:val="22"/>
    </w:rPr>
  </w:style>
  <w:style w:type="paragraph" w:styleId="BodyText3">
    <w:name w:val="Body Text 3"/>
    <w:basedOn w:val="Normal"/>
    <w:link w:val="BodyText3Char"/>
    <w:uiPriority w:val="99"/>
    <w:rsid w:val="006A257E"/>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6A257E"/>
    <w:rPr>
      <w:sz w:val="16"/>
      <w:szCs w:val="16"/>
    </w:rPr>
  </w:style>
  <w:style w:type="paragraph" w:customStyle="1" w:styleId="textnotes">
    <w:name w:val="text notes"/>
    <w:aliases w:val="TN,tn"/>
    <w:basedOn w:val="Normal"/>
    <w:uiPriority w:val="99"/>
    <w:rsid w:val="006A257E"/>
    <w:pPr>
      <w:widowControl w:val="0"/>
      <w:tabs>
        <w:tab w:val="decimal" w:pos="6380"/>
        <w:tab w:val="decimal" w:pos="7920"/>
      </w:tabs>
      <w:jc w:val="both"/>
    </w:pPr>
    <w:rPr>
      <w:rFonts w:ascii="Helv 10pt" w:hAnsi="Helv 10pt"/>
      <w:lang w:val="en-CA"/>
    </w:rPr>
  </w:style>
  <w:style w:type="character" w:styleId="Strong">
    <w:name w:val="Strong"/>
    <w:uiPriority w:val="22"/>
    <w:qFormat/>
    <w:rsid w:val="006A257E"/>
    <w:rPr>
      <w:b/>
      <w:bCs/>
    </w:rPr>
  </w:style>
  <w:style w:type="paragraph" w:customStyle="1" w:styleId="style2">
    <w:name w:val="style2"/>
    <w:basedOn w:val="Normal"/>
    <w:uiPriority w:val="99"/>
    <w:rsid w:val="006A257E"/>
    <w:pPr>
      <w:spacing w:before="100" w:beforeAutospacing="1" w:after="100" w:afterAutospacing="1"/>
    </w:pPr>
    <w:rPr>
      <w:sz w:val="24"/>
      <w:szCs w:val="24"/>
    </w:rPr>
  </w:style>
  <w:style w:type="paragraph" w:customStyle="1" w:styleId="style4">
    <w:name w:val="style4"/>
    <w:basedOn w:val="Normal"/>
    <w:uiPriority w:val="99"/>
    <w:rsid w:val="006A257E"/>
    <w:pPr>
      <w:spacing w:before="100" w:beforeAutospacing="1" w:after="100" w:afterAutospacing="1"/>
    </w:pPr>
    <w:rPr>
      <w:color w:val="000000"/>
      <w:sz w:val="23"/>
      <w:szCs w:val="23"/>
    </w:rPr>
  </w:style>
  <w:style w:type="character" w:customStyle="1" w:styleId="style11">
    <w:name w:val="style11"/>
    <w:rsid w:val="006A257E"/>
    <w:rPr>
      <w:color w:val="000000"/>
    </w:rPr>
  </w:style>
  <w:style w:type="paragraph" w:styleId="CommentText">
    <w:name w:val="annotation text"/>
    <w:basedOn w:val="Normal"/>
    <w:link w:val="CommentTextChar"/>
    <w:uiPriority w:val="99"/>
    <w:semiHidden/>
    <w:rsid w:val="006A257E"/>
    <w:pPr>
      <w:widowControl w:val="0"/>
    </w:pPr>
    <w:rPr>
      <w:rFonts w:ascii="Helv 10pt" w:hAnsi="Helv 10pt"/>
      <w:lang w:val="x-none" w:eastAsia="x-none"/>
    </w:rPr>
  </w:style>
  <w:style w:type="character" w:customStyle="1" w:styleId="CommentTextChar">
    <w:name w:val="Comment Text Char"/>
    <w:basedOn w:val="DefaultParagraphFont"/>
    <w:link w:val="CommentText"/>
    <w:uiPriority w:val="99"/>
    <w:semiHidden/>
    <w:rsid w:val="006A257E"/>
    <w:rPr>
      <w:rFonts w:ascii="Helv 10pt" w:hAnsi="Helv 10pt"/>
      <w:lang w:val="x-none" w:eastAsia="x-none"/>
    </w:rPr>
  </w:style>
  <w:style w:type="paragraph" w:customStyle="1" w:styleId="style1">
    <w:name w:val="style1"/>
    <w:basedOn w:val="Normal"/>
    <w:uiPriority w:val="99"/>
    <w:rsid w:val="006A257E"/>
    <w:pPr>
      <w:spacing w:before="100" w:beforeAutospacing="1" w:after="100" w:afterAutospacing="1"/>
    </w:pPr>
    <w:rPr>
      <w:sz w:val="24"/>
      <w:szCs w:val="24"/>
    </w:rPr>
  </w:style>
  <w:style w:type="character" w:styleId="Emphasis">
    <w:name w:val="Emphasis"/>
    <w:uiPriority w:val="20"/>
    <w:qFormat/>
    <w:rsid w:val="006A257E"/>
    <w:rPr>
      <w:i/>
      <w:iCs/>
    </w:rPr>
  </w:style>
  <w:style w:type="paragraph" w:customStyle="1" w:styleId="style7">
    <w:name w:val="style7"/>
    <w:basedOn w:val="Normal"/>
    <w:uiPriority w:val="99"/>
    <w:rsid w:val="006A257E"/>
    <w:pPr>
      <w:spacing w:before="100" w:beforeAutospacing="1" w:after="100" w:afterAutospacing="1"/>
    </w:pPr>
    <w:rPr>
      <w:rFonts w:ascii="Arial" w:hAnsi="Arial" w:cs="Arial"/>
      <w:sz w:val="17"/>
      <w:szCs w:val="17"/>
    </w:rPr>
  </w:style>
  <w:style w:type="character" w:customStyle="1" w:styleId="style41">
    <w:name w:val="style41"/>
    <w:rsid w:val="006A257E"/>
    <w:rPr>
      <w:sz w:val="17"/>
      <w:szCs w:val="17"/>
    </w:rPr>
  </w:style>
  <w:style w:type="character" w:customStyle="1" w:styleId="style51">
    <w:name w:val="style51"/>
    <w:rsid w:val="006A257E"/>
    <w:rPr>
      <w:sz w:val="17"/>
      <w:szCs w:val="17"/>
    </w:rPr>
  </w:style>
  <w:style w:type="character" w:customStyle="1" w:styleId="style21">
    <w:name w:val="style21"/>
    <w:rsid w:val="006A257E"/>
    <w:rPr>
      <w:sz w:val="17"/>
      <w:szCs w:val="17"/>
    </w:rPr>
  </w:style>
  <w:style w:type="character" w:customStyle="1" w:styleId="style31">
    <w:name w:val="style31"/>
    <w:rsid w:val="006A257E"/>
    <w:rPr>
      <w:sz w:val="17"/>
      <w:szCs w:val="17"/>
    </w:rPr>
  </w:style>
  <w:style w:type="paragraph" w:styleId="CommentSubject">
    <w:name w:val="annotation subject"/>
    <w:basedOn w:val="CommentText"/>
    <w:next w:val="CommentText"/>
    <w:link w:val="CommentSubjectChar"/>
    <w:uiPriority w:val="99"/>
    <w:semiHidden/>
    <w:rsid w:val="006A257E"/>
    <w:rPr>
      <w:b/>
      <w:bCs/>
    </w:rPr>
  </w:style>
  <w:style w:type="character" w:customStyle="1" w:styleId="CommentSubjectChar">
    <w:name w:val="Comment Subject Char"/>
    <w:basedOn w:val="CommentTextChar"/>
    <w:link w:val="CommentSubject"/>
    <w:uiPriority w:val="99"/>
    <w:semiHidden/>
    <w:rsid w:val="006A257E"/>
    <w:rPr>
      <w:rFonts w:ascii="Helv 10pt" w:hAnsi="Helv 10pt"/>
      <w:b/>
      <w:bCs/>
      <w:lang w:val="x-none" w:eastAsia="x-none"/>
    </w:rPr>
  </w:style>
  <w:style w:type="paragraph" w:styleId="PlainText">
    <w:name w:val="Plain Text"/>
    <w:basedOn w:val="Normal"/>
    <w:link w:val="PlainTextChar"/>
    <w:uiPriority w:val="99"/>
    <w:rsid w:val="006A257E"/>
    <w:rPr>
      <w:rFonts w:ascii="Courier New" w:hAnsi="Courier New" w:cs="Courier New"/>
      <w:lang w:val="en-CA" w:eastAsia="en-CA"/>
    </w:rPr>
  </w:style>
  <w:style w:type="character" w:customStyle="1" w:styleId="PlainTextChar">
    <w:name w:val="Plain Text Char"/>
    <w:basedOn w:val="DefaultParagraphFont"/>
    <w:link w:val="PlainText"/>
    <w:uiPriority w:val="99"/>
    <w:rsid w:val="006A257E"/>
    <w:rPr>
      <w:rFonts w:ascii="Courier New" w:hAnsi="Courier New" w:cs="Courier New"/>
      <w:lang w:val="en-CA" w:eastAsia="en-CA"/>
    </w:rPr>
  </w:style>
  <w:style w:type="character" w:styleId="FootnoteReference">
    <w:name w:val="footnote reference"/>
    <w:semiHidden/>
    <w:rsid w:val="006A257E"/>
    <w:rPr>
      <w:vertAlign w:val="superscript"/>
    </w:rPr>
  </w:style>
  <w:style w:type="paragraph" w:styleId="FootnoteText">
    <w:name w:val="footnote text"/>
    <w:basedOn w:val="Normal"/>
    <w:link w:val="FootnoteTextChar"/>
    <w:uiPriority w:val="99"/>
    <w:semiHidden/>
    <w:rsid w:val="006A257E"/>
    <w:pPr>
      <w:widowControl w:val="0"/>
    </w:pPr>
    <w:rPr>
      <w:rFonts w:ascii="Helv 10pt" w:hAnsi="Helv 10pt"/>
    </w:rPr>
  </w:style>
  <w:style w:type="character" w:customStyle="1" w:styleId="FootnoteTextChar">
    <w:name w:val="Footnote Text Char"/>
    <w:basedOn w:val="DefaultParagraphFont"/>
    <w:link w:val="FootnoteText"/>
    <w:uiPriority w:val="99"/>
    <w:semiHidden/>
    <w:rsid w:val="006A257E"/>
    <w:rPr>
      <w:rFonts w:ascii="Helv 10pt" w:hAnsi="Helv 10pt"/>
    </w:rPr>
  </w:style>
  <w:style w:type="paragraph" w:customStyle="1" w:styleId="Default">
    <w:name w:val="Default"/>
    <w:uiPriority w:val="99"/>
    <w:rsid w:val="006A257E"/>
    <w:pPr>
      <w:autoSpaceDE w:val="0"/>
      <w:autoSpaceDN w:val="0"/>
      <w:adjustRightInd w:val="0"/>
    </w:pPr>
    <w:rPr>
      <w:rFonts w:ascii="Book Antiqua" w:hAnsi="Book Antiqua" w:cs="Book Antiqua"/>
      <w:color w:val="000000"/>
      <w:sz w:val="24"/>
      <w:szCs w:val="24"/>
    </w:rPr>
  </w:style>
  <w:style w:type="paragraph" w:customStyle="1" w:styleId="paragraph">
    <w:name w:val="paragraph"/>
    <w:basedOn w:val="Normal"/>
    <w:uiPriority w:val="99"/>
    <w:rsid w:val="006A257E"/>
    <w:pPr>
      <w:spacing w:before="86" w:after="86"/>
      <w:ind w:left="305"/>
    </w:pPr>
    <w:rPr>
      <w:rFonts w:ascii="Arial" w:hAnsi="Arial" w:cs="Arial"/>
      <w:color w:val="000000"/>
      <w:sz w:val="22"/>
      <w:szCs w:val="22"/>
    </w:rPr>
  </w:style>
  <w:style w:type="paragraph" w:customStyle="1" w:styleId="style6">
    <w:name w:val="style6"/>
    <w:basedOn w:val="Normal"/>
    <w:uiPriority w:val="99"/>
    <w:rsid w:val="006A257E"/>
    <w:pPr>
      <w:spacing w:before="100" w:beforeAutospacing="1" w:after="100" w:afterAutospacing="1"/>
    </w:pPr>
    <w:rPr>
      <w:sz w:val="17"/>
      <w:szCs w:val="17"/>
      <w:lang w:val="en-CA" w:eastAsia="en-CA"/>
    </w:rPr>
  </w:style>
  <w:style w:type="character" w:customStyle="1" w:styleId="style61">
    <w:name w:val="style61"/>
    <w:rsid w:val="006A257E"/>
    <w:rPr>
      <w:sz w:val="17"/>
      <w:szCs w:val="17"/>
    </w:rPr>
  </w:style>
  <w:style w:type="paragraph" w:styleId="Caption">
    <w:name w:val="caption"/>
    <w:basedOn w:val="Normal"/>
    <w:next w:val="Normal"/>
    <w:uiPriority w:val="99"/>
    <w:qFormat/>
    <w:rsid w:val="006A257E"/>
    <w:pPr>
      <w:widowControl w:val="0"/>
    </w:pPr>
    <w:rPr>
      <w:rFonts w:ascii="Helv 10pt" w:hAnsi="Helv 10pt"/>
      <w:b/>
      <w:bCs/>
    </w:rPr>
  </w:style>
  <w:style w:type="character" w:styleId="Hyperlink">
    <w:name w:val="Hyperlink"/>
    <w:rsid w:val="006A257E"/>
    <w:rPr>
      <w:color w:val="0000FF"/>
      <w:u w:val="single"/>
    </w:rPr>
  </w:style>
  <w:style w:type="character" w:styleId="CommentReference">
    <w:name w:val="annotation reference"/>
    <w:unhideWhenUsed/>
    <w:rsid w:val="006A257E"/>
    <w:rPr>
      <w:sz w:val="16"/>
      <w:szCs w:val="16"/>
    </w:rPr>
  </w:style>
  <w:style w:type="paragraph" w:styleId="ListParagraph">
    <w:name w:val="List Paragraph"/>
    <w:basedOn w:val="Normal"/>
    <w:uiPriority w:val="34"/>
    <w:qFormat/>
    <w:rsid w:val="006A257E"/>
    <w:pPr>
      <w:ind w:left="720"/>
    </w:pPr>
    <w:rPr>
      <w:sz w:val="24"/>
      <w:szCs w:val="24"/>
      <w:lang w:val="en-CA" w:eastAsia="en-CA"/>
    </w:rPr>
  </w:style>
  <w:style w:type="paragraph" w:styleId="Revision">
    <w:name w:val="Revision"/>
    <w:hidden/>
    <w:uiPriority w:val="99"/>
    <w:semiHidden/>
    <w:rsid w:val="006A257E"/>
    <w:rPr>
      <w:sz w:val="24"/>
      <w:szCs w:val="24"/>
      <w:lang w:val="en-CA" w:eastAsia="en-CA"/>
    </w:rPr>
  </w:style>
  <w:style w:type="character" w:customStyle="1" w:styleId="FooterChar">
    <w:name w:val="Footer Char"/>
    <w:link w:val="Footer"/>
    <w:uiPriority w:val="99"/>
    <w:rsid w:val="006A257E"/>
  </w:style>
  <w:style w:type="character" w:customStyle="1" w:styleId="Heading1Char">
    <w:name w:val="Heading 1 Char"/>
    <w:link w:val="Heading1"/>
    <w:rsid w:val="006A257E"/>
    <w:rPr>
      <w:b/>
      <w:sz w:val="24"/>
    </w:rPr>
  </w:style>
  <w:style w:type="character" w:customStyle="1" w:styleId="Heading2Char">
    <w:name w:val="Heading 2 Char"/>
    <w:link w:val="Heading2"/>
    <w:rsid w:val="006A257E"/>
    <w:rPr>
      <w:rFonts w:ascii="Arial" w:hAnsi="Arial"/>
      <w:b/>
      <w:sz w:val="28"/>
      <w:lang w:val="en-GB"/>
    </w:rPr>
  </w:style>
  <w:style w:type="character" w:customStyle="1" w:styleId="Heading3Char">
    <w:name w:val="Heading 3 Char"/>
    <w:link w:val="Heading3"/>
    <w:rsid w:val="006A257E"/>
    <w:rPr>
      <w:rFonts w:ascii="Arial" w:hAnsi="Arial"/>
      <w:b/>
      <w:sz w:val="22"/>
    </w:rPr>
  </w:style>
  <w:style w:type="character" w:customStyle="1" w:styleId="Heading4Char">
    <w:name w:val="Heading 4 Char"/>
    <w:link w:val="Heading4"/>
    <w:rsid w:val="006A257E"/>
    <w:rPr>
      <w:rFonts w:ascii="Arial" w:hAnsi="Arial"/>
      <w:b/>
    </w:rPr>
  </w:style>
  <w:style w:type="character" w:styleId="FollowedHyperlink">
    <w:name w:val="FollowedHyperlink"/>
    <w:uiPriority w:val="99"/>
    <w:unhideWhenUsed/>
    <w:rsid w:val="006A257E"/>
    <w:rPr>
      <w:color w:val="800080"/>
      <w:u w:val="single"/>
    </w:rPr>
  </w:style>
  <w:style w:type="character" w:customStyle="1" w:styleId="HeaderChar">
    <w:name w:val="Header Char"/>
    <w:link w:val="Header"/>
    <w:uiPriority w:val="99"/>
    <w:rsid w:val="006A257E"/>
  </w:style>
  <w:style w:type="character" w:customStyle="1" w:styleId="BodyTextChar">
    <w:name w:val="Body Text Char"/>
    <w:link w:val="BodyText"/>
    <w:uiPriority w:val="99"/>
    <w:rsid w:val="006A257E"/>
    <w:rPr>
      <w:sz w:val="24"/>
      <w:lang w:val="en-GB"/>
    </w:rPr>
  </w:style>
  <w:style w:type="character" w:customStyle="1" w:styleId="BodyTextIndentChar">
    <w:name w:val="Body Text Indent Char"/>
    <w:link w:val="BodyTextIndent"/>
    <w:uiPriority w:val="99"/>
    <w:rsid w:val="006A257E"/>
    <w:rPr>
      <w:sz w:val="24"/>
    </w:rPr>
  </w:style>
  <w:style w:type="character" w:customStyle="1" w:styleId="BalloonTextChar">
    <w:name w:val="Balloon Text Char"/>
    <w:link w:val="BalloonText"/>
    <w:uiPriority w:val="99"/>
    <w:semiHidden/>
    <w:rsid w:val="006A257E"/>
    <w:rPr>
      <w:rFonts w:ascii="Tahoma" w:hAnsi="Tahoma" w:cs="Tahoma"/>
      <w:sz w:val="16"/>
      <w:szCs w:val="16"/>
    </w:rPr>
  </w:style>
  <w:style w:type="character" w:customStyle="1" w:styleId="apple-converted-space">
    <w:name w:val="apple-converted-space"/>
    <w:rsid w:val="006A257E"/>
  </w:style>
  <w:style w:type="character" w:customStyle="1" w:styleId="NormalWebChar">
    <w:name w:val="Normal (Web) Char"/>
    <w:link w:val="NormalWeb"/>
    <w:uiPriority w:val="99"/>
    <w:rsid w:val="006A257E"/>
    <w:rPr>
      <w:rFonts w:ascii="Arial Unicode MS" w:eastAsia="Arial Unicode MS" w:hAnsi="Arial Unicode MS" w:cs="Arial Unicode MS"/>
      <w:sz w:val="24"/>
      <w:szCs w:val="24"/>
    </w:rPr>
  </w:style>
  <w:style w:type="paragraph" w:customStyle="1" w:styleId="cm29">
    <w:name w:val="cm29"/>
    <w:basedOn w:val="Normal"/>
    <w:rsid w:val="006A257E"/>
    <w:pPr>
      <w:autoSpaceDE w:val="0"/>
      <w:autoSpaceDN w:val="0"/>
    </w:pPr>
    <w:rPr>
      <w:rFonts w:ascii="PCONA F+ Times New Roman PSMT" w:eastAsia="Calibri" w:hAnsi="PCONA F+ Times New Roman PSMT"/>
      <w:sz w:val="24"/>
      <w:szCs w:val="24"/>
    </w:rPr>
  </w:style>
  <w:style w:type="paragraph" w:customStyle="1" w:styleId="rtejustify">
    <w:name w:val="rtejustify"/>
    <w:basedOn w:val="Normal"/>
    <w:rsid w:val="006A25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paragraph" w:styleId="Heading3">
    <w:name w:val="heading 3"/>
    <w:basedOn w:val="Normal"/>
    <w:next w:val="Normal"/>
    <w:link w:val="Heading3Char"/>
    <w:qFormat/>
    <w:pPr>
      <w:keepNext/>
      <w:spacing w:line="280" w:lineRule="exact"/>
      <w:outlineLvl w:val="2"/>
    </w:pPr>
    <w:rPr>
      <w:rFonts w:ascii="Arial" w:hAnsi="Arial"/>
      <w:b/>
      <w:sz w:val="22"/>
    </w:rPr>
  </w:style>
  <w:style w:type="paragraph" w:styleId="Heading4">
    <w:name w:val="heading 4"/>
    <w:basedOn w:val="Normal"/>
    <w:next w:val="Normal"/>
    <w:link w:val="Heading4Char"/>
    <w:qFormat/>
    <w:pPr>
      <w:keepNext/>
      <w:spacing w:line="280" w:lineRule="exact"/>
      <w:outlineLvl w:val="3"/>
    </w:pPr>
    <w:rPr>
      <w:rFonts w:ascii="Arial" w:hAnsi="Arial"/>
      <w:b/>
    </w:rPr>
  </w:style>
  <w:style w:type="paragraph" w:styleId="Heading5">
    <w:name w:val="heading 5"/>
    <w:basedOn w:val="Normal"/>
    <w:next w:val="Normal"/>
    <w:link w:val="Heading5Char"/>
    <w:qFormat/>
    <w:rsid w:val="006A257E"/>
    <w:pPr>
      <w:keepNext/>
      <w:widowControl w:val="0"/>
      <w:autoSpaceDE w:val="0"/>
      <w:autoSpaceDN w:val="0"/>
      <w:adjustRightInd w:val="0"/>
      <w:ind w:left="432"/>
      <w:outlineLvl w:val="4"/>
    </w:pPr>
    <w:rPr>
      <w:rFonts w:ascii="Arial" w:hAnsi="Arial" w:cs="Arial"/>
      <w:b/>
      <w:bCs/>
    </w:rPr>
  </w:style>
  <w:style w:type="paragraph" w:styleId="Heading6">
    <w:name w:val="heading 6"/>
    <w:basedOn w:val="Normal"/>
    <w:next w:val="Normal"/>
    <w:link w:val="Heading6Char"/>
    <w:qFormat/>
    <w:rsid w:val="006A257E"/>
    <w:pPr>
      <w:keepNext/>
      <w:widowControl w:val="0"/>
      <w:suppressAutoHyphens/>
      <w:spacing w:before="20"/>
      <w:outlineLvl w:val="5"/>
    </w:pPr>
    <w:rPr>
      <w:rFonts w:ascii="Arial" w:hAnsi="Arial"/>
      <w:b/>
      <w:lang w:val="en-GB"/>
    </w:rPr>
  </w:style>
  <w:style w:type="paragraph" w:styleId="Heading7">
    <w:name w:val="heading 7"/>
    <w:basedOn w:val="Normal"/>
    <w:next w:val="Normal"/>
    <w:link w:val="Heading7Char"/>
    <w:uiPriority w:val="99"/>
    <w:qFormat/>
    <w:rsid w:val="006A257E"/>
    <w:pPr>
      <w:widowControl w:val="0"/>
      <w:spacing w:before="240" w:after="60"/>
      <w:outlineLvl w:val="6"/>
    </w:pPr>
    <w:rPr>
      <w:sz w:val="24"/>
      <w:szCs w:val="24"/>
    </w:rPr>
  </w:style>
  <w:style w:type="paragraph" w:styleId="Heading8">
    <w:name w:val="heading 8"/>
    <w:basedOn w:val="Normal"/>
    <w:next w:val="Normal"/>
    <w:link w:val="Heading8Char"/>
    <w:uiPriority w:val="99"/>
    <w:qFormat/>
    <w:rsid w:val="006A257E"/>
    <w:pPr>
      <w:keepNext/>
      <w:widowControl w:val="0"/>
      <w:tabs>
        <w:tab w:val="left" w:pos="2592"/>
        <w:tab w:val="right" w:pos="9360"/>
      </w:tabs>
      <w:autoSpaceDE w:val="0"/>
      <w:autoSpaceDN w:val="0"/>
      <w:adjustRightInd w:val="0"/>
      <w:outlineLvl w:val="7"/>
    </w:pPr>
    <w:rPr>
      <w:rFonts w:ascii="Arial" w:hAnsi="Arial" w:cs="Arial"/>
      <w:b/>
      <w:bCs/>
      <w:sz w:val="24"/>
      <w:szCs w:val="24"/>
    </w:rPr>
  </w:style>
  <w:style w:type="paragraph" w:styleId="Heading9">
    <w:name w:val="heading 9"/>
    <w:basedOn w:val="Normal"/>
    <w:next w:val="Normal"/>
    <w:link w:val="Heading9Char"/>
    <w:uiPriority w:val="99"/>
    <w:qFormat/>
    <w:rsid w:val="006A25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before="240"/>
    </w:pPr>
    <w:rPr>
      <w:sz w:val="24"/>
      <w:lang w:val="en-GB"/>
    </w:rPr>
  </w:style>
  <w:style w:type="paragraph" w:styleId="List">
    <w:name w:val="List"/>
    <w:basedOn w:val="BodyText"/>
    <w:uiPriority w:val="99"/>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link w:val="BodyTextIndentChar"/>
    <w:uiPriority w:val="99"/>
    <w:pPr>
      <w:ind w:left="720"/>
      <w:jc w:val="both"/>
    </w:pPr>
    <w:rPr>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5Char">
    <w:name w:val="Heading 5 Char"/>
    <w:basedOn w:val="DefaultParagraphFont"/>
    <w:link w:val="Heading5"/>
    <w:rsid w:val="006A257E"/>
    <w:rPr>
      <w:rFonts w:ascii="Arial" w:hAnsi="Arial" w:cs="Arial"/>
      <w:b/>
      <w:bCs/>
    </w:rPr>
  </w:style>
  <w:style w:type="character" w:customStyle="1" w:styleId="Heading6Char">
    <w:name w:val="Heading 6 Char"/>
    <w:basedOn w:val="DefaultParagraphFont"/>
    <w:link w:val="Heading6"/>
    <w:rsid w:val="006A257E"/>
    <w:rPr>
      <w:rFonts w:ascii="Arial" w:hAnsi="Arial"/>
      <w:b/>
      <w:lang w:val="en-GB"/>
    </w:rPr>
  </w:style>
  <w:style w:type="character" w:customStyle="1" w:styleId="Heading7Char">
    <w:name w:val="Heading 7 Char"/>
    <w:basedOn w:val="DefaultParagraphFont"/>
    <w:link w:val="Heading7"/>
    <w:uiPriority w:val="99"/>
    <w:rsid w:val="006A257E"/>
    <w:rPr>
      <w:sz w:val="24"/>
      <w:szCs w:val="24"/>
    </w:rPr>
  </w:style>
  <w:style w:type="character" w:customStyle="1" w:styleId="Heading8Char">
    <w:name w:val="Heading 8 Char"/>
    <w:basedOn w:val="DefaultParagraphFont"/>
    <w:link w:val="Heading8"/>
    <w:uiPriority w:val="99"/>
    <w:rsid w:val="006A257E"/>
    <w:rPr>
      <w:rFonts w:ascii="Arial" w:hAnsi="Arial" w:cs="Arial"/>
      <w:b/>
      <w:bCs/>
      <w:sz w:val="24"/>
      <w:szCs w:val="24"/>
    </w:rPr>
  </w:style>
  <w:style w:type="character" w:customStyle="1" w:styleId="Heading9Char">
    <w:name w:val="Heading 9 Char"/>
    <w:basedOn w:val="DefaultParagraphFont"/>
    <w:link w:val="Heading9"/>
    <w:uiPriority w:val="99"/>
    <w:rsid w:val="006A257E"/>
    <w:rPr>
      <w:rFonts w:ascii="Arial" w:hAnsi="Arial"/>
      <w:b/>
      <w:color w:val="000000"/>
      <w:sz w:val="24"/>
    </w:rPr>
  </w:style>
  <w:style w:type="paragraph" w:styleId="TOAHeading">
    <w:name w:val="toa heading"/>
    <w:basedOn w:val="Normal"/>
    <w:next w:val="Normal"/>
    <w:uiPriority w:val="99"/>
    <w:semiHidden/>
    <w:rsid w:val="006A257E"/>
    <w:pPr>
      <w:widowControl w:val="0"/>
      <w:tabs>
        <w:tab w:val="right" w:pos="9360"/>
      </w:tabs>
      <w:suppressAutoHyphens/>
    </w:pPr>
    <w:rPr>
      <w:rFonts w:ascii="Helv 10pt" w:hAnsi="Helv 10pt"/>
    </w:rPr>
  </w:style>
  <w:style w:type="paragraph" w:styleId="BodyTextIndent2">
    <w:name w:val="Body Text Indent 2"/>
    <w:basedOn w:val="Normal"/>
    <w:link w:val="BodyTextIndent2Char"/>
    <w:uiPriority w:val="99"/>
    <w:rsid w:val="006A257E"/>
    <w:pPr>
      <w:widowControl w:val="0"/>
      <w:spacing w:after="120" w:line="480" w:lineRule="auto"/>
      <w:ind w:left="360"/>
    </w:pPr>
    <w:rPr>
      <w:rFonts w:ascii="Helv 10pt" w:hAnsi="Helv 10pt"/>
    </w:rPr>
  </w:style>
  <w:style w:type="character" w:customStyle="1" w:styleId="BodyTextIndent2Char">
    <w:name w:val="Body Text Indent 2 Char"/>
    <w:basedOn w:val="DefaultParagraphFont"/>
    <w:link w:val="BodyTextIndent2"/>
    <w:uiPriority w:val="99"/>
    <w:rsid w:val="006A257E"/>
    <w:rPr>
      <w:rFonts w:ascii="Helv 10pt" w:hAnsi="Helv 10pt"/>
    </w:rPr>
  </w:style>
  <w:style w:type="paragraph" w:customStyle="1" w:styleId="DisplayOnly">
    <w:name w:val="DisplayOnly"/>
    <w:uiPriority w:val="99"/>
    <w:rsid w:val="006A257E"/>
    <w:pPr>
      <w:widowControl w:val="0"/>
      <w:autoSpaceDE w:val="0"/>
      <w:autoSpaceDN w:val="0"/>
      <w:adjustRightInd w:val="0"/>
    </w:pPr>
    <w:rPr>
      <w:sz w:val="22"/>
      <w:szCs w:val="22"/>
    </w:rPr>
  </w:style>
  <w:style w:type="paragraph" w:customStyle="1" w:styleId="NormalBoldDS">
    <w:name w:val="NormalBoldDS"/>
    <w:uiPriority w:val="99"/>
    <w:rsid w:val="006A257E"/>
    <w:pPr>
      <w:widowControl w:val="0"/>
      <w:autoSpaceDE w:val="0"/>
      <w:autoSpaceDN w:val="0"/>
      <w:adjustRightInd w:val="0"/>
      <w:spacing w:line="480" w:lineRule="auto"/>
    </w:pPr>
    <w:rPr>
      <w:b/>
      <w:bCs/>
      <w:sz w:val="22"/>
      <w:szCs w:val="22"/>
    </w:rPr>
  </w:style>
  <w:style w:type="paragraph" w:customStyle="1" w:styleId="Note1-1Levels">
    <w:name w:val="Note1-1 Levels"/>
    <w:uiPriority w:val="99"/>
    <w:rsid w:val="006A257E"/>
    <w:pPr>
      <w:widowControl w:val="0"/>
      <w:tabs>
        <w:tab w:val="left" w:pos="288"/>
      </w:tabs>
      <w:autoSpaceDE w:val="0"/>
      <w:autoSpaceDN w:val="0"/>
      <w:adjustRightInd w:val="0"/>
      <w:spacing w:before="216"/>
      <w:ind w:left="288" w:hanging="288"/>
      <w:jc w:val="both"/>
    </w:pPr>
    <w:rPr>
      <w:sz w:val="22"/>
      <w:szCs w:val="22"/>
    </w:rPr>
  </w:style>
  <w:style w:type="paragraph" w:customStyle="1" w:styleId="Note3-2Levels">
    <w:name w:val="Note3-2 Levels"/>
    <w:uiPriority w:val="99"/>
    <w:rsid w:val="006A257E"/>
    <w:pPr>
      <w:widowControl w:val="0"/>
      <w:tabs>
        <w:tab w:val="left" w:pos="720"/>
      </w:tabs>
      <w:autoSpaceDE w:val="0"/>
      <w:autoSpaceDN w:val="0"/>
      <w:adjustRightInd w:val="0"/>
      <w:spacing w:before="216"/>
      <w:ind w:left="720" w:hanging="432"/>
      <w:jc w:val="both"/>
    </w:pPr>
    <w:rPr>
      <w:sz w:val="22"/>
      <w:szCs w:val="22"/>
    </w:rPr>
  </w:style>
  <w:style w:type="paragraph" w:customStyle="1" w:styleId="Header1-Left">
    <w:name w:val="Header1-Left"/>
    <w:uiPriority w:val="99"/>
    <w:rsid w:val="006A257E"/>
    <w:pPr>
      <w:widowControl w:val="0"/>
      <w:autoSpaceDE w:val="0"/>
      <w:autoSpaceDN w:val="0"/>
      <w:adjustRightInd w:val="0"/>
    </w:pPr>
    <w:rPr>
      <w:sz w:val="22"/>
      <w:szCs w:val="22"/>
    </w:rPr>
  </w:style>
  <w:style w:type="paragraph" w:customStyle="1" w:styleId="Header2-Right">
    <w:name w:val="Header2-Right"/>
    <w:uiPriority w:val="99"/>
    <w:rsid w:val="006A257E"/>
    <w:pPr>
      <w:widowControl w:val="0"/>
      <w:autoSpaceDE w:val="0"/>
      <w:autoSpaceDN w:val="0"/>
      <w:adjustRightInd w:val="0"/>
      <w:jc w:val="right"/>
    </w:pPr>
    <w:rPr>
      <w:sz w:val="22"/>
      <w:szCs w:val="22"/>
    </w:rPr>
  </w:style>
  <w:style w:type="paragraph" w:customStyle="1" w:styleId="Note8-2ColSpBef">
    <w:name w:val="Note8-2Col SpBef"/>
    <w:uiPriority w:val="99"/>
    <w:rsid w:val="006A257E"/>
    <w:pPr>
      <w:widowControl w:val="0"/>
      <w:tabs>
        <w:tab w:val="left" w:pos="1728"/>
        <w:tab w:val="center" w:pos="6336"/>
        <w:tab w:val="center" w:pos="7920"/>
      </w:tabs>
      <w:autoSpaceDE w:val="0"/>
      <w:autoSpaceDN w:val="0"/>
      <w:adjustRightInd w:val="0"/>
      <w:spacing w:before="216"/>
      <w:ind w:left="288"/>
      <w:jc w:val="both"/>
    </w:pPr>
    <w:rPr>
      <w:sz w:val="22"/>
      <w:szCs w:val="22"/>
    </w:rPr>
  </w:style>
  <w:style w:type="paragraph" w:customStyle="1" w:styleId="BodyTxt5-SpBef">
    <w:name w:val="Body Txt5-SpBef"/>
    <w:uiPriority w:val="99"/>
    <w:rsid w:val="006A257E"/>
    <w:pPr>
      <w:widowControl w:val="0"/>
      <w:autoSpaceDE w:val="0"/>
      <w:autoSpaceDN w:val="0"/>
      <w:adjustRightInd w:val="0"/>
      <w:spacing w:before="216"/>
      <w:jc w:val="both"/>
    </w:pPr>
    <w:rPr>
      <w:sz w:val="22"/>
      <w:szCs w:val="22"/>
    </w:rPr>
  </w:style>
  <w:style w:type="paragraph" w:customStyle="1" w:styleId="3Col3-2Indent">
    <w:name w:val="3Col3-.2Indent"/>
    <w:uiPriority w:val="99"/>
    <w:rsid w:val="006A257E"/>
    <w:pPr>
      <w:widowControl w:val="0"/>
      <w:tabs>
        <w:tab w:val="center" w:pos="4752"/>
        <w:tab w:val="center" w:pos="6336"/>
        <w:tab w:val="center" w:pos="7920"/>
      </w:tabs>
      <w:autoSpaceDE w:val="0"/>
      <w:autoSpaceDN w:val="0"/>
      <w:adjustRightInd w:val="0"/>
      <w:ind w:left="288"/>
    </w:pPr>
    <w:rPr>
      <w:sz w:val="22"/>
      <w:szCs w:val="22"/>
    </w:rPr>
  </w:style>
  <w:style w:type="paragraph" w:customStyle="1" w:styleId="4Col3-2Indent">
    <w:name w:val="4Col3-.2Indent"/>
    <w:uiPriority w:val="99"/>
    <w:rsid w:val="006A257E"/>
    <w:pPr>
      <w:widowControl w:val="0"/>
      <w:tabs>
        <w:tab w:val="center" w:pos="3456"/>
        <w:tab w:val="center" w:pos="4752"/>
        <w:tab w:val="center" w:pos="5904"/>
        <w:tab w:val="center" w:pos="7920"/>
      </w:tabs>
      <w:autoSpaceDE w:val="0"/>
      <w:autoSpaceDN w:val="0"/>
      <w:adjustRightInd w:val="0"/>
      <w:ind w:left="288"/>
    </w:pPr>
    <w:rPr>
      <w:sz w:val="22"/>
      <w:szCs w:val="22"/>
    </w:rPr>
  </w:style>
  <w:style w:type="paragraph" w:customStyle="1" w:styleId="5Col3-2Indent">
    <w:name w:val="5Col3-.2Indent"/>
    <w:uiPriority w:val="99"/>
    <w:rsid w:val="006A257E"/>
    <w:pPr>
      <w:widowControl w:val="0"/>
      <w:tabs>
        <w:tab w:val="center" w:pos="3168"/>
        <w:tab w:val="center" w:pos="4608"/>
        <w:tab w:val="center" w:pos="6048"/>
        <w:tab w:val="center" w:pos="7488"/>
        <w:tab w:val="center" w:pos="8928"/>
      </w:tabs>
      <w:autoSpaceDE w:val="0"/>
      <w:autoSpaceDN w:val="0"/>
      <w:adjustRightInd w:val="0"/>
      <w:ind w:left="288"/>
    </w:pPr>
    <w:rPr>
      <w:sz w:val="22"/>
      <w:szCs w:val="22"/>
    </w:rPr>
  </w:style>
  <w:style w:type="paragraph" w:customStyle="1" w:styleId="2Col3-2Indent">
    <w:name w:val="2Col3-.2Indent"/>
    <w:uiPriority w:val="99"/>
    <w:rsid w:val="006A257E"/>
    <w:pPr>
      <w:widowControl w:val="0"/>
      <w:tabs>
        <w:tab w:val="center" w:pos="6336"/>
        <w:tab w:val="center" w:pos="7920"/>
      </w:tabs>
      <w:autoSpaceDE w:val="0"/>
      <w:autoSpaceDN w:val="0"/>
      <w:adjustRightInd w:val="0"/>
      <w:ind w:left="288"/>
    </w:pPr>
    <w:rPr>
      <w:sz w:val="22"/>
      <w:szCs w:val="22"/>
    </w:rPr>
  </w:style>
  <w:style w:type="paragraph" w:customStyle="1" w:styleId="2Col4-4Indent">
    <w:name w:val="2Col4-.4Indent"/>
    <w:uiPriority w:val="99"/>
    <w:rsid w:val="006A257E"/>
    <w:pPr>
      <w:widowControl w:val="0"/>
      <w:tabs>
        <w:tab w:val="center" w:pos="6336"/>
        <w:tab w:val="center" w:pos="7920"/>
      </w:tabs>
      <w:autoSpaceDE w:val="0"/>
      <w:autoSpaceDN w:val="0"/>
      <w:adjustRightInd w:val="0"/>
      <w:ind w:left="576"/>
    </w:pPr>
    <w:rPr>
      <w:sz w:val="22"/>
      <w:szCs w:val="22"/>
    </w:rPr>
  </w:style>
  <w:style w:type="paragraph" w:customStyle="1" w:styleId="3Col1">
    <w:name w:val="3Col1"/>
    <w:uiPriority w:val="99"/>
    <w:rsid w:val="006A257E"/>
    <w:pPr>
      <w:widowControl w:val="0"/>
      <w:tabs>
        <w:tab w:val="center" w:pos="4752"/>
        <w:tab w:val="center" w:pos="6336"/>
        <w:tab w:val="center" w:pos="7920"/>
      </w:tabs>
      <w:autoSpaceDE w:val="0"/>
      <w:autoSpaceDN w:val="0"/>
      <w:adjustRightInd w:val="0"/>
    </w:pPr>
    <w:rPr>
      <w:sz w:val="22"/>
      <w:szCs w:val="22"/>
    </w:rPr>
  </w:style>
  <w:style w:type="paragraph" w:customStyle="1" w:styleId="2Col1">
    <w:name w:val="2Col1"/>
    <w:uiPriority w:val="99"/>
    <w:rsid w:val="006A257E"/>
    <w:pPr>
      <w:widowControl w:val="0"/>
      <w:tabs>
        <w:tab w:val="center" w:pos="6336"/>
        <w:tab w:val="center" w:pos="7920"/>
      </w:tabs>
      <w:autoSpaceDE w:val="0"/>
      <w:autoSpaceDN w:val="0"/>
      <w:adjustRightInd w:val="0"/>
    </w:pPr>
    <w:rPr>
      <w:sz w:val="22"/>
      <w:szCs w:val="22"/>
    </w:rPr>
  </w:style>
  <w:style w:type="paragraph" w:customStyle="1" w:styleId="5Col1">
    <w:name w:val="5Col1"/>
    <w:uiPriority w:val="99"/>
    <w:rsid w:val="006A257E"/>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4Col1">
    <w:name w:val="4Col1"/>
    <w:uiPriority w:val="99"/>
    <w:rsid w:val="006A257E"/>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3Col4-4Indent">
    <w:name w:val="3Col4-.4Indent"/>
    <w:uiPriority w:val="99"/>
    <w:rsid w:val="006A257E"/>
    <w:pPr>
      <w:widowControl w:val="0"/>
      <w:tabs>
        <w:tab w:val="center" w:pos="4752"/>
        <w:tab w:val="center" w:pos="6336"/>
        <w:tab w:val="center" w:pos="7920"/>
      </w:tabs>
      <w:autoSpaceDE w:val="0"/>
      <w:autoSpaceDN w:val="0"/>
      <w:adjustRightInd w:val="0"/>
      <w:ind w:left="576"/>
    </w:pPr>
    <w:rPr>
      <w:sz w:val="22"/>
      <w:szCs w:val="22"/>
    </w:rPr>
  </w:style>
  <w:style w:type="paragraph" w:customStyle="1" w:styleId="4Col4-4Indent">
    <w:name w:val="4Col4-.4Indent"/>
    <w:uiPriority w:val="99"/>
    <w:rsid w:val="006A257E"/>
    <w:pPr>
      <w:widowControl w:val="0"/>
      <w:tabs>
        <w:tab w:val="center" w:pos="3456"/>
        <w:tab w:val="center" w:pos="4752"/>
        <w:tab w:val="center" w:pos="5904"/>
        <w:tab w:val="center" w:pos="7920"/>
      </w:tabs>
      <w:autoSpaceDE w:val="0"/>
      <w:autoSpaceDN w:val="0"/>
      <w:adjustRightInd w:val="0"/>
      <w:ind w:left="576"/>
    </w:pPr>
    <w:rPr>
      <w:sz w:val="22"/>
      <w:szCs w:val="22"/>
    </w:rPr>
  </w:style>
  <w:style w:type="paragraph" w:customStyle="1" w:styleId="2Col6-Sub">
    <w:name w:val="2Col6-Sub"/>
    <w:uiPriority w:val="99"/>
    <w:rsid w:val="006A257E"/>
    <w:pPr>
      <w:widowControl w:val="0"/>
      <w:tabs>
        <w:tab w:val="center" w:pos="6336"/>
        <w:tab w:val="center" w:pos="7920"/>
      </w:tabs>
      <w:autoSpaceDE w:val="0"/>
      <w:autoSpaceDN w:val="0"/>
      <w:adjustRightInd w:val="0"/>
    </w:pPr>
    <w:rPr>
      <w:sz w:val="22"/>
      <w:szCs w:val="22"/>
    </w:rPr>
  </w:style>
  <w:style w:type="paragraph" w:customStyle="1" w:styleId="2Col2-DblSpace">
    <w:name w:val="2Col2-DblSpace"/>
    <w:uiPriority w:val="99"/>
    <w:rsid w:val="006A257E"/>
    <w:pPr>
      <w:widowControl w:val="0"/>
      <w:tabs>
        <w:tab w:val="center" w:pos="6336"/>
        <w:tab w:val="center" w:pos="7920"/>
      </w:tabs>
      <w:autoSpaceDE w:val="0"/>
      <w:autoSpaceDN w:val="0"/>
      <w:adjustRightInd w:val="0"/>
      <w:spacing w:line="480" w:lineRule="auto"/>
    </w:pPr>
    <w:rPr>
      <w:sz w:val="22"/>
      <w:szCs w:val="22"/>
    </w:rPr>
  </w:style>
  <w:style w:type="paragraph" w:customStyle="1" w:styleId="TOC1">
    <w:name w:val="TOC1"/>
    <w:uiPriority w:val="99"/>
    <w:rsid w:val="006A257E"/>
    <w:pPr>
      <w:widowControl w:val="0"/>
      <w:tabs>
        <w:tab w:val="center" w:pos="7920"/>
      </w:tabs>
      <w:autoSpaceDE w:val="0"/>
      <w:autoSpaceDN w:val="0"/>
      <w:adjustRightInd w:val="0"/>
      <w:spacing w:line="480" w:lineRule="auto"/>
    </w:pPr>
    <w:rPr>
      <w:b/>
      <w:bCs/>
      <w:sz w:val="22"/>
      <w:szCs w:val="22"/>
    </w:rPr>
  </w:style>
  <w:style w:type="paragraph" w:customStyle="1" w:styleId="3Col6-Sub">
    <w:name w:val="3Col6-Sub"/>
    <w:uiPriority w:val="99"/>
    <w:rsid w:val="006A257E"/>
    <w:pPr>
      <w:widowControl w:val="0"/>
      <w:tabs>
        <w:tab w:val="center" w:pos="4752"/>
        <w:tab w:val="center" w:pos="6336"/>
        <w:tab w:val="center" w:pos="7920"/>
      </w:tabs>
      <w:autoSpaceDE w:val="0"/>
      <w:autoSpaceDN w:val="0"/>
      <w:adjustRightInd w:val="0"/>
    </w:pPr>
    <w:rPr>
      <w:sz w:val="22"/>
      <w:szCs w:val="22"/>
    </w:rPr>
  </w:style>
  <w:style w:type="paragraph" w:customStyle="1" w:styleId="5Col2-DblSpace">
    <w:name w:val="5Col2-DblSpace"/>
    <w:uiPriority w:val="99"/>
    <w:rsid w:val="006A257E"/>
    <w:pPr>
      <w:widowControl w:val="0"/>
      <w:tabs>
        <w:tab w:val="center" w:pos="3168"/>
        <w:tab w:val="center" w:pos="4608"/>
        <w:tab w:val="center" w:pos="6048"/>
        <w:tab w:val="center" w:pos="7488"/>
        <w:tab w:val="center" w:pos="8928"/>
      </w:tabs>
      <w:autoSpaceDE w:val="0"/>
      <w:autoSpaceDN w:val="0"/>
      <w:adjustRightInd w:val="0"/>
      <w:spacing w:line="480" w:lineRule="auto"/>
    </w:pPr>
    <w:rPr>
      <w:sz w:val="22"/>
      <w:szCs w:val="22"/>
    </w:rPr>
  </w:style>
  <w:style w:type="paragraph" w:customStyle="1" w:styleId="4Col2-DblSpace">
    <w:name w:val="4Col2-DblSpace"/>
    <w:uiPriority w:val="99"/>
    <w:rsid w:val="006A257E"/>
    <w:pPr>
      <w:widowControl w:val="0"/>
      <w:tabs>
        <w:tab w:val="center" w:pos="3456"/>
        <w:tab w:val="center" w:pos="4752"/>
        <w:tab w:val="center" w:pos="5904"/>
        <w:tab w:val="center" w:pos="7920"/>
      </w:tabs>
      <w:autoSpaceDE w:val="0"/>
      <w:autoSpaceDN w:val="0"/>
      <w:adjustRightInd w:val="0"/>
      <w:spacing w:line="480" w:lineRule="auto"/>
    </w:pPr>
    <w:rPr>
      <w:sz w:val="22"/>
      <w:szCs w:val="22"/>
    </w:rPr>
  </w:style>
  <w:style w:type="paragraph" w:customStyle="1" w:styleId="Header3-Centre">
    <w:name w:val="Header3-Centre"/>
    <w:uiPriority w:val="99"/>
    <w:rsid w:val="006A257E"/>
    <w:pPr>
      <w:widowControl w:val="0"/>
      <w:autoSpaceDE w:val="0"/>
      <w:autoSpaceDN w:val="0"/>
      <w:adjustRightInd w:val="0"/>
      <w:jc w:val="center"/>
    </w:pPr>
    <w:rPr>
      <w:sz w:val="22"/>
      <w:szCs w:val="22"/>
    </w:rPr>
  </w:style>
  <w:style w:type="paragraph" w:customStyle="1" w:styleId="TOC2-2Indent">
    <w:name w:val="TOC2-.2Indent"/>
    <w:uiPriority w:val="99"/>
    <w:rsid w:val="006A257E"/>
    <w:pPr>
      <w:widowControl w:val="0"/>
      <w:tabs>
        <w:tab w:val="center" w:pos="7920"/>
      </w:tabs>
      <w:autoSpaceDE w:val="0"/>
      <w:autoSpaceDN w:val="0"/>
      <w:adjustRightInd w:val="0"/>
      <w:spacing w:line="480" w:lineRule="auto"/>
      <w:ind w:left="288"/>
    </w:pPr>
    <w:rPr>
      <w:sz w:val="22"/>
      <w:szCs w:val="22"/>
    </w:rPr>
  </w:style>
  <w:style w:type="paragraph" w:customStyle="1" w:styleId="BodyTxt6-SpBefBold">
    <w:name w:val="Body Txt6-SpBefBold"/>
    <w:uiPriority w:val="99"/>
    <w:rsid w:val="006A257E"/>
    <w:pPr>
      <w:widowControl w:val="0"/>
      <w:autoSpaceDE w:val="0"/>
      <w:autoSpaceDN w:val="0"/>
      <w:adjustRightInd w:val="0"/>
      <w:spacing w:before="216"/>
      <w:jc w:val="both"/>
    </w:pPr>
    <w:rPr>
      <w:b/>
      <w:bCs/>
      <w:sz w:val="22"/>
      <w:szCs w:val="22"/>
    </w:rPr>
  </w:style>
  <w:style w:type="paragraph" w:customStyle="1" w:styleId="2Col9-SubTopBotBor">
    <w:name w:val="2Col9-Sub TopBotBor"/>
    <w:uiPriority w:val="99"/>
    <w:rsid w:val="006A257E"/>
    <w:pPr>
      <w:widowControl w:val="0"/>
      <w:pBdr>
        <w:top w:val="single" w:sz="8" w:space="10" w:color="auto"/>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8-SubBotBor">
    <w:name w:val="3Col8-Sub BotBor"/>
    <w:uiPriority w:val="99"/>
    <w:rsid w:val="006A257E"/>
    <w:pPr>
      <w:widowControl w:val="0"/>
      <w:pBdr>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2Col10-Total">
    <w:name w:val="2Col10-Total"/>
    <w:uiPriority w:val="99"/>
    <w:rsid w:val="006A257E"/>
    <w:pPr>
      <w:widowControl w:val="0"/>
      <w:pBdr>
        <w:top w:val="single" w:sz="8" w:space="10" w:color="auto"/>
        <w:bottom w:val="single" w:sz="32" w:space="0" w:color="auto"/>
        <w:between w:val="single" w:sz="32" w:space="10" w:color="auto"/>
      </w:pBdr>
      <w:tabs>
        <w:tab w:val="center" w:pos="6336"/>
        <w:tab w:val="center" w:pos="7920"/>
      </w:tabs>
      <w:autoSpaceDE w:val="0"/>
      <w:autoSpaceDN w:val="0"/>
      <w:adjustRightInd w:val="0"/>
    </w:pPr>
    <w:rPr>
      <w:sz w:val="22"/>
      <w:szCs w:val="22"/>
    </w:rPr>
  </w:style>
  <w:style w:type="paragraph" w:customStyle="1" w:styleId="3Col10-Total">
    <w:name w:val="3Col10-Total"/>
    <w:uiPriority w:val="99"/>
    <w:rsid w:val="006A257E"/>
    <w:pPr>
      <w:widowControl w:val="0"/>
      <w:pBdr>
        <w:top w:val="single" w:sz="8" w:space="10" w:color="auto"/>
        <w:bottom w:val="single" w:sz="32" w:space="0" w:color="auto"/>
        <w:between w:val="single" w:sz="32" w:space="10" w:color="auto"/>
      </w:pBdr>
      <w:tabs>
        <w:tab w:val="center" w:pos="4752"/>
        <w:tab w:val="center" w:pos="6336"/>
        <w:tab w:val="center" w:pos="7920"/>
      </w:tabs>
      <w:autoSpaceDE w:val="0"/>
      <w:autoSpaceDN w:val="0"/>
      <w:adjustRightInd w:val="0"/>
    </w:pPr>
    <w:rPr>
      <w:sz w:val="22"/>
      <w:szCs w:val="22"/>
    </w:rPr>
  </w:style>
  <w:style w:type="paragraph" w:customStyle="1" w:styleId="2Col8-SubBotBor">
    <w:name w:val="2Col8-Sub BotBor"/>
    <w:uiPriority w:val="99"/>
    <w:rsid w:val="006A257E"/>
    <w:pPr>
      <w:widowControl w:val="0"/>
      <w:pBdr>
        <w:bottom w:val="single" w:sz="8" w:space="0" w:color="auto"/>
        <w:between w:val="single" w:sz="8" w:space="10" w:color="auto"/>
      </w:pBdr>
      <w:tabs>
        <w:tab w:val="center" w:pos="6336"/>
        <w:tab w:val="center" w:pos="7920"/>
      </w:tabs>
      <w:autoSpaceDE w:val="0"/>
      <w:autoSpaceDN w:val="0"/>
      <w:adjustRightInd w:val="0"/>
    </w:pPr>
    <w:rPr>
      <w:sz w:val="22"/>
      <w:szCs w:val="22"/>
    </w:rPr>
  </w:style>
  <w:style w:type="paragraph" w:customStyle="1" w:styleId="2Col7-SubTopBor">
    <w:name w:val="2Col7-Sub TopBor"/>
    <w:uiPriority w:val="99"/>
    <w:rsid w:val="006A257E"/>
    <w:pPr>
      <w:widowControl w:val="0"/>
      <w:pBdr>
        <w:top w:val="single" w:sz="8" w:space="10" w:color="auto"/>
        <w:between w:val="single" w:sz="8" w:space="10" w:color="auto"/>
      </w:pBdr>
      <w:tabs>
        <w:tab w:val="center" w:pos="6336"/>
        <w:tab w:val="center" w:pos="7920"/>
      </w:tabs>
      <w:autoSpaceDE w:val="0"/>
      <w:autoSpaceDN w:val="0"/>
      <w:adjustRightInd w:val="0"/>
    </w:pPr>
    <w:rPr>
      <w:sz w:val="22"/>
      <w:szCs w:val="22"/>
    </w:rPr>
  </w:style>
  <w:style w:type="paragraph" w:customStyle="1" w:styleId="3Col7-SubTopBor">
    <w:name w:val="3Col7-Sub TopBor"/>
    <w:uiPriority w:val="99"/>
    <w:rsid w:val="006A257E"/>
    <w:pPr>
      <w:widowControl w:val="0"/>
      <w:pBdr>
        <w:top w:val="single" w:sz="8" w:space="1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9-SubTopBotBor">
    <w:name w:val="3Col9-Sub TopBotBor"/>
    <w:uiPriority w:val="99"/>
    <w:rsid w:val="006A257E"/>
    <w:pPr>
      <w:widowControl w:val="0"/>
      <w:pBdr>
        <w:top w:val="single" w:sz="8" w:space="10" w:color="auto"/>
        <w:bottom w:val="single" w:sz="8" w:space="0" w:color="auto"/>
        <w:between w:val="single" w:sz="8" w:space="10" w:color="auto"/>
      </w:pBdr>
      <w:tabs>
        <w:tab w:val="center" w:pos="4752"/>
        <w:tab w:val="center" w:pos="6336"/>
        <w:tab w:val="center" w:pos="7920"/>
      </w:tabs>
      <w:autoSpaceDE w:val="0"/>
      <w:autoSpaceDN w:val="0"/>
      <w:adjustRightInd w:val="0"/>
    </w:pPr>
    <w:rPr>
      <w:sz w:val="22"/>
      <w:szCs w:val="22"/>
    </w:rPr>
  </w:style>
  <w:style w:type="paragraph" w:customStyle="1" w:styleId="3Col2-DblSpace">
    <w:name w:val="3Col2-DblSpace"/>
    <w:uiPriority w:val="99"/>
    <w:rsid w:val="006A257E"/>
    <w:pPr>
      <w:widowControl w:val="0"/>
      <w:tabs>
        <w:tab w:val="center" w:pos="4752"/>
        <w:tab w:val="center" w:pos="6336"/>
        <w:tab w:val="center" w:pos="7920"/>
      </w:tabs>
      <w:autoSpaceDE w:val="0"/>
      <w:autoSpaceDN w:val="0"/>
      <w:adjustRightInd w:val="0"/>
      <w:spacing w:line="480" w:lineRule="auto"/>
    </w:pPr>
    <w:rPr>
      <w:sz w:val="22"/>
      <w:szCs w:val="22"/>
    </w:rPr>
  </w:style>
  <w:style w:type="paragraph" w:customStyle="1" w:styleId="4Col6-Sub">
    <w:name w:val="4Col6-Sub"/>
    <w:uiPriority w:val="99"/>
    <w:rsid w:val="006A257E"/>
    <w:pPr>
      <w:widowControl w:val="0"/>
      <w:tabs>
        <w:tab w:val="center" w:pos="3456"/>
        <w:tab w:val="center" w:pos="4752"/>
        <w:tab w:val="center" w:pos="5904"/>
        <w:tab w:val="center" w:pos="7920"/>
      </w:tabs>
      <w:autoSpaceDE w:val="0"/>
      <w:autoSpaceDN w:val="0"/>
      <w:adjustRightInd w:val="0"/>
    </w:pPr>
    <w:rPr>
      <w:sz w:val="22"/>
      <w:szCs w:val="22"/>
    </w:rPr>
  </w:style>
  <w:style w:type="paragraph" w:customStyle="1" w:styleId="4Col7-SubTopBor">
    <w:name w:val="4Col7-Sub TopBor"/>
    <w:uiPriority w:val="99"/>
    <w:rsid w:val="006A257E"/>
    <w:pPr>
      <w:widowControl w:val="0"/>
      <w:pBdr>
        <w:top w:val="single" w:sz="8" w:space="1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8-SubBotBor">
    <w:name w:val="4Col8-Sub BotBor"/>
    <w:uiPriority w:val="99"/>
    <w:rsid w:val="006A257E"/>
    <w:pPr>
      <w:widowControl w:val="0"/>
      <w:pBdr>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4Col9-SubTopBotBor">
    <w:name w:val="4Col9-Sub TopBotBor"/>
    <w:uiPriority w:val="99"/>
    <w:rsid w:val="006A257E"/>
    <w:pPr>
      <w:widowControl w:val="0"/>
      <w:pBdr>
        <w:top w:val="single" w:sz="8" w:space="10" w:color="auto"/>
        <w:bottom w:val="single" w:sz="8" w:space="0" w:color="auto"/>
        <w:between w:val="single" w:sz="8"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Note5-3Levels">
    <w:name w:val="Note5-3 Levels"/>
    <w:uiPriority w:val="99"/>
    <w:rsid w:val="006A257E"/>
    <w:pPr>
      <w:widowControl w:val="0"/>
      <w:tabs>
        <w:tab w:val="left" w:pos="1152"/>
      </w:tabs>
      <w:autoSpaceDE w:val="0"/>
      <w:autoSpaceDN w:val="0"/>
      <w:adjustRightInd w:val="0"/>
      <w:spacing w:before="216"/>
      <w:ind w:left="1152" w:hanging="720"/>
      <w:jc w:val="both"/>
    </w:pPr>
    <w:rPr>
      <w:sz w:val="22"/>
      <w:szCs w:val="22"/>
    </w:rPr>
  </w:style>
  <w:style w:type="paragraph" w:customStyle="1" w:styleId="Note7-2Col">
    <w:name w:val="Note7-2Col"/>
    <w:uiPriority w:val="99"/>
    <w:rsid w:val="006A257E"/>
    <w:pPr>
      <w:widowControl w:val="0"/>
      <w:tabs>
        <w:tab w:val="left" w:pos="1728"/>
        <w:tab w:val="center" w:pos="6336"/>
        <w:tab w:val="center" w:pos="7920"/>
      </w:tabs>
      <w:autoSpaceDE w:val="0"/>
      <w:autoSpaceDN w:val="0"/>
      <w:adjustRightInd w:val="0"/>
      <w:ind w:left="288"/>
      <w:jc w:val="both"/>
    </w:pPr>
    <w:rPr>
      <w:sz w:val="22"/>
      <w:szCs w:val="22"/>
    </w:rPr>
  </w:style>
  <w:style w:type="paragraph" w:customStyle="1" w:styleId="Title2-TopBor">
    <w:name w:val="Title2-Top Bor"/>
    <w:next w:val="Title1"/>
    <w:uiPriority w:val="99"/>
    <w:rsid w:val="006A257E"/>
    <w:pPr>
      <w:widowControl w:val="0"/>
      <w:pBdr>
        <w:top w:val="single" w:sz="40" w:space="0" w:color="auto"/>
        <w:between w:val="single" w:sz="40" w:space="0" w:color="auto"/>
      </w:pBdr>
      <w:shd w:val="pct15" w:color="auto" w:fill="auto"/>
      <w:autoSpaceDE w:val="0"/>
      <w:autoSpaceDN w:val="0"/>
      <w:adjustRightInd w:val="0"/>
      <w:spacing w:line="480" w:lineRule="auto"/>
    </w:pPr>
    <w:rPr>
      <w:sz w:val="22"/>
      <w:szCs w:val="22"/>
    </w:rPr>
  </w:style>
  <w:style w:type="paragraph" w:customStyle="1" w:styleId="Title1">
    <w:name w:val="Title1"/>
    <w:next w:val="Title3-BotBor"/>
    <w:uiPriority w:val="99"/>
    <w:rsid w:val="006A257E"/>
    <w:pPr>
      <w:widowControl w:val="0"/>
      <w:shd w:val="pct15" w:color="auto" w:fill="auto"/>
      <w:autoSpaceDE w:val="0"/>
      <w:autoSpaceDN w:val="0"/>
      <w:adjustRightInd w:val="0"/>
      <w:jc w:val="right"/>
    </w:pPr>
    <w:rPr>
      <w:b/>
      <w:bCs/>
      <w:sz w:val="36"/>
      <w:szCs w:val="36"/>
    </w:rPr>
  </w:style>
  <w:style w:type="paragraph" w:customStyle="1" w:styleId="Title3-BotBor">
    <w:name w:val="Title3-Bot Bor"/>
    <w:next w:val="Normal"/>
    <w:uiPriority w:val="99"/>
    <w:rsid w:val="006A257E"/>
    <w:pPr>
      <w:widowControl w:val="0"/>
      <w:pBdr>
        <w:bottom w:val="single" w:sz="40" w:space="10" w:color="auto"/>
        <w:between w:val="single" w:sz="40" w:space="10" w:color="auto"/>
      </w:pBdr>
      <w:shd w:val="pct15" w:color="auto" w:fill="auto"/>
      <w:autoSpaceDE w:val="0"/>
      <w:autoSpaceDN w:val="0"/>
      <w:adjustRightInd w:val="0"/>
    </w:pPr>
    <w:rPr>
      <w:sz w:val="22"/>
      <w:szCs w:val="22"/>
    </w:rPr>
  </w:style>
  <w:style w:type="paragraph" w:customStyle="1" w:styleId="BodyTxt1">
    <w:name w:val="Body Txt1"/>
    <w:uiPriority w:val="99"/>
    <w:rsid w:val="006A257E"/>
    <w:pPr>
      <w:widowControl w:val="0"/>
      <w:autoSpaceDE w:val="0"/>
      <w:autoSpaceDN w:val="0"/>
      <w:adjustRightInd w:val="0"/>
      <w:jc w:val="both"/>
    </w:pPr>
    <w:rPr>
      <w:sz w:val="22"/>
      <w:szCs w:val="22"/>
    </w:rPr>
  </w:style>
  <w:style w:type="paragraph" w:customStyle="1" w:styleId="BodyTxt2-2Indent">
    <w:name w:val="Body Txt2-.2Indent"/>
    <w:uiPriority w:val="99"/>
    <w:rsid w:val="006A257E"/>
    <w:pPr>
      <w:widowControl w:val="0"/>
      <w:autoSpaceDE w:val="0"/>
      <w:autoSpaceDN w:val="0"/>
      <w:adjustRightInd w:val="0"/>
      <w:ind w:left="288"/>
      <w:jc w:val="both"/>
    </w:pPr>
    <w:rPr>
      <w:sz w:val="22"/>
      <w:szCs w:val="22"/>
    </w:rPr>
  </w:style>
  <w:style w:type="paragraph" w:customStyle="1" w:styleId="BodyTxt3-4Indent">
    <w:name w:val="Body Txt3-.4Indent"/>
    <w:uiPriority w:val="99"/>
    <w:rsid w:val="006A257E"/>
    <w:pPr>
      <w:widowControl w:val="0"/>
      <w:autoSpaceDE w:val="0"/>
      <w:autoSpaceDN w:val="0"/>
      <w:adjustRightInd w:val="0"/>
      <w:ind w:left="576"/>
      <w:jc w:val="both"/>
    </w:pPr>
    <w:rPr>
      <w:sz w:val="22"/>
      <w:szCs w:val="22"/>
    </w:rPr>
  </w:style>
  <w:style w:type="paragraph" w:customStyle="1" w:styleId="BodyTxt4-Bold">
    <w:name w:val="Body Txt4-Bold"/>
    <w:uiPriority w:val="99"/>
    <w:rsid w:val="006A257E"/>
    <w:pPr>
      <w:widowControl w:val="0"/>
      <w:autoSpaceDE w:val="0"/>
      <w:autoSpaceDN w:val="0"/>
      <w:adjustRightInd w:val="0"/>
      <w:jc w:val="both"/>
    </w:pPr>
    <w:rPr>
      <w:b/>
      <w:bCs/>
      <w:sz w:val="22"/>
      <w:szCs w:val="22"/>
    </w:rPr>
  </w:style>
  <w:style w:type="paragraph" w:customStyle="1" w:styleId="Heading1-11Left">
    <w:name w:val="Heading1-11 Left"/>
    <w:uiPriority w:val="99"/>
    <w:rsid w:val="006A257E"/>
    <w:pPr>
      <w:widowControl w:val="0"/>
      <w:autoSpaceDE w:val="0"/>
      <w:autoSpaceDN w:val="0"/>
      <w:adjustRightInd w:val="0"/>
    </w:pPr>
    <w:rPr>
      <w:b/>
      <w:bCs/>
      <w:sz w:val="22"/>
      <w:szCs w:val="22"/>
    </w:rPr>
  </w:style>
  <w:style w:type="paragraph" w:customStyle="1" w:styleId="Heading2-11Right">
    <w:name w:val="Heading2-11 Right"/>
    <w:uiPriority w:val="99"/>
    <w:rsid w:val="006A257E"/>
    <w:pPr>
      <w:widowControl w:val="0"/>
      <w:autoSpaceDE w:val="0"/>
      <w:autoSpaceDN w:val="0"/>
      <w:adjustRightInd w:val="0"/>
      <w:jc w:val="right"/>
    </w:pPr>
    <w:rPr>
      <w:b/>
      <w:bCs/>
      <w:sz w:val="22"/>
      <w:szCs w:val="22"/>
    </w:rPr>
  </w:style>
  <w:style w:type="paragraph" w:customStyle="1" w:styleId="Heading3-11Centre">
    <w:name w:val="Heading3-11 Centre"/>
    <w:uiPriority w:val="99"/>
    <w:rsid w:val="006A257E"/>
    <w:pPr>
      <w:widowControl w:val="0"/>
      <w:autoSpaceDE w:val="0"/>
      <w:autoSpaceDN w:val="0"/>
      <w:adjustRightInd w:val="0"/>
      <w:jc w:val="center"/>
    </w:pPr>
    <w:rPr>
      <w:b/>
      <w:bCs/>
      <w:sz w:val="22"/>
      <w:szCs w:val="22"/>
    </w:rPr>
  </w:style>
  <w:style w:type="paragraph" w:customStyle="1" w:styleId="Heading4-14Left">
    <w:name w:val="Heading4-14 Left"/>
    <w:uiPriority w:val="99"/>
    <w:rsid w:val="006A257E"/>
    <w:pPr>
      <w:widowControl w:val="0"/>
      <w:autoSpaceDE w:val="0"/>
      <w:autoSpaceDN w:val="0"/>
      <w:adjustRightInd w:val="0"/>
    </w:pPr>
    <w:rPr>
      <w:b/>
      <w:bCs/>
      <w:sz w:val="28"/>
      <w:szCs w:val="28"/>
    </w:rPr>
  </w:style>
  <w:style w:type="paragraph" w:customStyle="1" w:styleId="Heading5-14Right">
    <w:name w:val="Heading5-14 Right"/>
    <w:uiPriority w:val="99"/>
    <w:rsid w:val="006A257E"/>
    <w:pPr>
      <w:widowControl w:val="0"/>
      <w:autoSpaceDE w:val="0"/>
      <w:autoSpaceDN w:val="0"/>
      <w:adjustRightInd w:val="0"/>
      <w:jc w:val="right"/>
    </w:pPr>
    <w:rPr>
      <w:b/>
      <w:bCs/>
      <w:sz w:val="28"/>
      <w:szCs w:val="28"/>
    </w:rPr>
  </w:style>
  <w:style w:type="paragraph" w:customStyle="1" w:styleId="Heading6-14Centre">
    <w:name w:val="Heading6-14 Centre"/>
    <w:uiPriority w:val="99"/>
    <w:rsid w:val="006A257E"/>
    <w:pPr>
      <w:widowControl w:val="0"/>
      <w:autoSpaceDE w:val="0"/>
      <w:autoSpaceDN w:val="0"/>
      <w:adjustRightInd w:val="0"/>
      <w:jc w:val="center"/>
    </w:pPr>
    <w:rPr>
      <w:b/>
      <w:bCs/>
      <w:sz w:val="28"/>
      <w:szCs w:val="28"/>
    </w:rPr>
  </w:style>
  <w:style w:type="paragraph" w:customStyle="1" w:styleId="Heading7-18Left">
    <w:name w:val="Heading7-18 Left"/>
    <w:uiPriority w:val="99"/>
    <w:rsid w:val="006A257E"/>
    <w:pPr>
      <w:widowControl w:val="0"/>
      <w:autoSpaceDE w:val="0"/>
      <w:autoSpaceDN w:val="0"/>
      <w:adjustRightInd w:val="0"/>
    </w:pPr>
    <w:rPr>
      <w:b/>
      <w:bCs/>
      <w:sz w:val="36"/>
      <w:szCs w:val="36"/>
    </w:rPr>
  </w:style>
  <w:style w:type="paragraph" w:customStyle="1" w:styleId="Heading8-18Right">
    <w:name w:val="Heading8-18 Right"/>
    <w:uiPriority w:val="99"/>
    <w:rsid w:val="006A257E"/>
    <w:pPr>
      <w:widowControl w:val="0"/>
      <w:autoSpaceDE w:val="0"/>
      <w:autoSpaceDN w:val="0"/>
      <w:adjustRightInd w:val="0"/>
      <w:jc w:val="right"/>
    </w:pPr>
    <w:rPr>
      <w:b/>
      <w:bCs/>
      <w:sz w:val="36"/>
      <w:szCs w:val="36"/>
    </w:rPr>
  </w:style>
  <w:style w:type="paragraph" w:customStyle="1" w:styleId="Heading9-18Centre">
    <w:name w:val="Heading9-18 Centre"/>
    <w:uiPriority w:val="99"/>
    <w:rsid w:val="006A257E"/>
    <w:pPr>
      <w:widowControl w:val="0"/>
      <w:autoSpaceDE w:val="0"/>
      <w:autoSpaceDN w:val="0"/>
      <w:adjustRightInd w:val="0"/>
      <w:jc w:val="center"/>
    </w:pPr>
    <w:rPr>
      <w:b/>
      <w:bCs/>
      <w:sz w:val="36"/>
      <w:szCs w:val="36"/>
    </w:rPr>
  </w:style>
  <w:style w:type="paragraph" w:customStyle="1" w:styleId="4Col10-Total">
    <w:name w:val="4Col10-Total"/>
    <w:uiPriority w:val="99"/>
    <w:rsid w:val="006A257E"/>
    <w:pPr>
      <w:widowControl w:val="0"/>
      <w:pBdr>
        <w:top w:val="single" w:sz="8" w:space="10" w:color="auto"/>
        <w:bottom w:val="single" w:sz="32" w:space="0" w:color="auto"/>
        <w:between w:val="single" w:sz="32" w:space="10" w:color="auto"/>
      </w:pBdr>
      <w:tabs>
        <w:tab w:val="center" w:pos="3456"/>
        <w:tab w:val="center" w:pos="4752"/>
        <w:tab w:val="center" w:pos="5904"/>
        <w:tab w:val="center" w:pos="7920"/>
      </w:tabs>
      <w:autoSpaceDE w:val="0"/>
      <w:autoSpaceDN w:val="0"/>
      <w:adjustRightInd w:val="0"/>
    </w:pPr>
    <w:rPr>
      <w:sz w:val="22"/>
      <w:szCs w:val="22"/>
    </w:rPr>
  </w:style>
  <w:style w:type="paragraph" w:customStyle="1" w:styleId="ParaMod1">
    <w:name w:val="Para Mod1"/>
    <w:uiPriority w:val="99"/>
    <w:rsid w:val="006A257E"/>
    <w:pPr>
      <w:widowControl w:val="0"/>
      <w:autoSpaceDE w:val="0"/>
      <w:autoSpaceDN w:val="0"/>
      <w:adjustRightInd w:val="0"/>
    </w:pPr>
    <w:rPr>
      <w:sz w:val="22"/>
      <w:szCs w:val="22"/>
    </w:rPr>
  </w:style>
  <w:style w:type="paragraph" w:customStyle="1" w:styleId="ParaMod2-2Indent">
    <w:name w:val="Para Mod2-.2Indent"/>
    <w:uiPriority w:val="99"/>
    <w:rsid w:val="006A257E"/>
    <w:pPr>
      <w:widowControl w:val="0"/>
      <w:autoSpaceDE w:val="0"/>
      <w:autoSpaceDN w:val="0"/>
      <w:adjustRightInd w:val="0"/>
      <w:ind w:left="288"/>
    </w:pPr>
    <w:rPr>
      <w:sz w:val="22"/>
      <w:szCs w:val="22"/>
    </w:rPr>
  </w:style>
  <w:style w:type="paragraph" w:customStyle="1" w:styleId="ParaMod3-4Indent">
    <w:name w:val="Para Mod3-.4Indent"/>
    <w:uiPriority w:val="99"/>
    <w:rsid w:val="006A257E"/>
    <w:pPr>
      <w:widowControl w:val="0"/>
      <w:autoSpaceDE w:val="0"/>
      <w:autoSpaceDN w:val="0"/>
      <w:adjustRightInd w:val="0"/>
      <w:ind w:left="576"/>
    </w:pPr>
    <w:rPr>
      <w:sz w:val="22"/>
      <w:szCs w:val="22"/>
    </w:rPr>
  </w:style>
  <w:style w:type="paragraph" w:customStyle="1" w:styleId="ParaMod4-Bold">
    <w:name w:val="Para Mod4-Bold"/>
    <w:uiPriority w:val="99"/>
    <w:rsid w:val="006A257E"/>
    <w:pPr>
      <w:widowControl w:val="0"/>
      <w:autoSpaceDE w:val="0"/>
      <w:autoSpaceDN w:val="0"/>
      <w:adjustRightInd w:val="0"/>
    </w:pPr>
    <w:rPr>
      <w:b/>
      <w:bCs/>
      <w:sz w:val="22"/>
      <w:szCs w:val="22"/>
    </w:rPr>
  </w:style>
  <w:style w:type="paragraph" w:customStyle="1" w:styleId="ParaMod5-SpBef">
    <w:name w:val="Para Mod5-SpBef"/>
    <w:uiPriority w:val="99"/>
    <w:rsid w:val="006A257E"/>
    <w:pPr>
      <w:widowControl w:val="0"/>
      <w:autoSpaceDE w:val="0"/>
      <w:autoSpaceDN w:val="0"/>
      <w:adjustRightInd w:val="0"/>
      <w:spacing w:before="216"/>
    </w:pPr>
    <w:rPr>
      <w:sz w:val="22"/>
      <w:szCs w:val="22"/>
    </w:rPr>
  </w:style>
  <w:style w:type="paragraph" w:customStyle="1" w:styleId="ParaMod6-SpBefBold">
    <w:name w:val="Para Mod6-SpBefBold"/>
    <w:uiPriority w:val="99"/>
    <w:rsid w:val="006A257E"/>
    <w:pPr>
      <w:widowControl w:val="0"/>
      <w:autoSpaceDE w:val="0"/>
      <w:autoSpaceDN w:val="0"/>
      <w:adjustRightInd w:val="0"/>
      <w:spacing w:before="216"/>
      <w:jc w:val="both"/>
    </w:pPr>
    <w:rPr>
      <w:b/>
      <w:bCs/>
      <w:sz w:val="22"/>
      <w:szCs w:val="22"/>
    </w:rPr>
  </w:style>
  <w:style w:type="paragraph" w:customStyle="1" w:styleId="5Col4-4Indent">
    <w:name w:val="5Col4-.4Indent"/>
    <w:uiPriority w:val="99"/>
    <w:rsid w:val="006A257E"/>
    <w:pPr>
      <w:widowControl w:val="0"/>
      <w:tabs>
        <w:tab w:val="center" w:pos="3168"/>
        <w:tab w:val="center" w:pos="4608"/>
        <w:tab w:val="center" w:pos="6048"/>
        <w:tab w:val="center" w:pos="7488"/>
        <w:tab w:val="center" w:pos="8928"/>
      </w:tabs>
      <w:autoSpaceDE w:val="0"/>
      <w:autoSpaceDN w:val="0"/>
      <w:adjustRightInd w:val="0"/>
      <w:ind w:left="576"/>
    </w:pPr>
    <w:rPr>
      <w:sz w:val="22"/>
      <w:szCs w:val="22"/>
    </w:rPr>
  </w:style>
  <w:style w:type="paragraph" w:customStyle="1" w:styleId="5Col6-Sub">
    <w:name w:val="5Col6-Sub"/>
    <w:uiPriority w:val="99"/>
    <w:rsid w:val="006A257E"/>
    <w:pPr>
      <w:widowControl w:val="0"/>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7-SubTopBor">
    <w:name w:val="5Col7-Sub TopBor"/>
    <w:uiPriority w:val="99"/>
    <w:rsid w:val="006A257E"/>
    <w:pPr>
      <w:widowControl w:val="0"/>
      <w:pBdr>
        <w:top w:val="single" w:sz="8" w:space="1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8-SubBotBor">
    <w:name w:val="5Col8-Sub BotBor"/>
    <w:uiPriority w:val="99"/>
    <w:rsid w:val="006A257E"/>
    <w:pPr>
      <w:widowControl w:val="0"/>
      <w:pBdr>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9-SubTopBotBor">
    <w:name w:val="5Col9-Sub TopBotBor"/>
    <w:uiPriority w:val="99"/>
    <w:rsid w:val="006A257E"/>
    <w:pPr>
      <w:widowControl w:val="0"/>
      <w:pBdr>
        <w:top w:val="single" w:sz="8" w:space="10" w:color="auto"/>
        <w:bottom w:val="single" w:sz="8" w:space="0" w:color="auto"/>
        <w:between w:val="single" w:sz="8"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5Col10-Total">
    <w:name w:val="5Col10-Total"/>
    <w:uiPriority w:val="99"/>
    <w:rsid w:val="006A257E"/>
    <w:pPr>
      <w:widowControl w:val="0"/>
      <w:pBdr>
        <w:top w:val="single" w:sz="8" w:space="10" w:color="auto"/>
        <w:bottom w:val="single" w:sz="32" w:space="0" w:color="auto"/>
        <w:between w:val="single" w:sz="32" w:space="10" w:color="auto"/>
      </w:pBdr>
      <w:tabs>
        <w:tab w:val="center" w:pos="3168"/>
        <w:tab w:val="center" w:pos="4608"/>
        <w:tab w:val="center" w:pos="6048"/>
        <w:tab w:val="center" w:pos="7488"/>
        <w:tab w:val="center" w:pos="8928"/>
      </w:tabs>
      <w:autoSpaceDE w:val="0"/>
      <w:autoSpaceDN w:val="0"/>
      <w:adjustRightInd w:val="0"/>
    </w:pPr>
    <w:rPr>
      <w:sz w:val="22"/>
      <w:szCs w:val="22"/>
    </w:rPr>
  </w:style>
  <w:style w:type="paragraph" w:customStyle="1" w:styleId="2Col5-6Indent">
    <w:name w:val="2Col5-.6Indent"/>
    <w:uiPriority w:val="99"/>
    <w:rsid w:val="006A257E"/>
    <w:pPr>
      <w:widowControl w:val="0"/>
      <w:tabs>
        <w:tab w:val="center" w:pos="6336"/>
        <w:tab w:val="center" w:pos="7920"/>
      </w:tabs>
      <w:autoSpaceDE w:val="0"/>
      <w:autoSpaceDN w:val="0"/>
      <w:adjustRightInd w:val="0"/>
      <w:ind w:left="864"/>
    </w:pPr>
    <w:rPr>
      <w:sz w:val="22"/>
      <w:szCs w:val="22"/>
    </w:rPr>
  </w:style>
  <w:style w:type="paragraph" w:customStyle="1" w:styleId="3Col5-6Indent">
    <w:name w:val="3Col5-.6Indent"/>
    <w:uiPriority w:val="99"/>
    <w:rsid w:val="006A257E"/>
    <w:pPr>
      <w:widowControl w:val="0"/>
      <w:tabs>
        <w:tab w:val="center" w:pos="4752"/>
        <w:tab w:val="center" w:pos="6336"/>
        <w:tab w:val="center" w:pos="7920"/>
      </w:tabs>
      <w:autoSpaceDE w:val="0"/>
      <w:autoSpaceDN w:val="0"/>
      <w:adjustRightInd w:val="0"/>
      <w:ind w:left="864"/>
    </w:pPr>
    <w:rPr>
      <w:sz w:val="22"/>
      <w:szCs w:val="22"/>
    </w:rPr>
  </w:style>
  <w:style w:type="paragraph" w:customStyle="1" w:styleId="4Col5-6Indent">
    <w:name w:val="4Col5-.6Indent"/>
    <w:uiPriority w:val="99"/>
    <w:rsid w:val="006A257E"/>
    <w:pPr>
      <w:widowControl w:val="0"/>
      <w:tabs>
        <w:tab w:val="center" w:pos="3456"/>
        <w:tab w:val="center" w:pos="4752"/>
        <w:tab w:val="center" w:pos="5904"/>
        <w:tab w:val="center" w:pos="7920"/>
      </w:tabs>
      <w:autoSpaceDE w:val="0"/>
      <w:autoSpaceDN w:val="0"/>
      <w:adjustRightInd w:val="0"/>
      <w:ind w:left="864"/>
    </w:pPr>
    <w:rPr>
      <w:sz w:val="22"/>
      <w:szCs w:val="22"/>
    </w:rPr>
  </w:style>
  <w:style w:type="paragraph" w:customStyle="1" w:styleId="5Col5-6Indent">
    <w:name w:val="5Col5-.6Indent"/>
    <w:uiPriority w:val="99"/>
    <w:rsid w:val="006A257E"/>
    <w:pPr>
      <w:widowControl w:val="0"/>
      <w:tabs>
        <w:tab w:val="center" w:pos="3168"/>
        <w:tab w:val="center" w:pos="4608"/>
        <w:tab w:val="center" w:pos="6048"/>
        <w:tab w:val="center" w:pos="7488"/>
        <w:tab w:val="center" w:pos="8928"/>
      </w:tabs>
      <w:autoSpaceDE w:val="0"/>
      <w:autoSpaceDN w:val="0"/>
      <w:adjustRightInd w:val="0"/>
      <w:ind w:left="864"/>
    </w:pPr>
    <w:rPr>
      <w:sz w:val="22"/>
      <w:szCs w:val="22"/>
    </w:rPr>
  </w:style>
  <w:style w:type="paragraph" w:customStyle="1" w:styleId="Note2-1LevelsBold">
    <w:name w:val="Note2-1 Levels Bold"/>
    <w:uiPriority w:val="99"/>
    <w:rsid w:val="006A257E"/>
    <w:pPr>
      <w:widowControl w:val="0"/>
      <w:tabs>
        <w:tab w:val="left" w:pos="288"/>
      </w:tabs>
      <w:autoSpaceDE w:val="0"/>
      <w:autoSpaceDN w:val="0"/>
      <w:adjustRightInd w:val="0"/>
      <w:spacing w:before="216"/>
      <w:ind w:left="288" w:hanging="288"/>
      <w:jc w:val="both"/>
    </w:pPr>
    <w:rPr>
      <w:b/>
      <w:bCs/>
      <w:sz w:val="22"/>
      <w:szCs w:val="22"/>
    </w:rPr>
  </w:style>
  <w:style w:type="paragraph" w:customStyle="1" w:styleId="Note4-2LevelsBold">
    <w:name w:val="Note4-2 Levels Bold"/>
    <w:uiPriority w:val="99"/>
    <w:rsid w:val="006A257E"/>
    <w:pPr>
      <w:widowControl w:val="0"/>
      <w:tabs>
        <w:tab w:val="left" w:pos="720"/>
      </w:tabs>
      <w:autoSpaceDE w:val="0"/>
      <w:autoSpaceDN w:val="0"/>
      <w:adjustRightInd w:val="0"/>
      <w:spacing w:before="216"/>
      <w:ind w:left="720" w:hanging="432"/>
      <w:jc w:val="both"/>
    </w:pPr>
    <w:rPr>
      <w:sz w:val="22"/>
      <w:szCs w:val="22"/>
    </w:rPr>
  </w:style>
  <w:style w:type="paragraph" w:customStyle="1" w:styleId="Note6-3LevelsBold">
    <w:name w:val="Note6-3 Levels Bold"/>
    <w:uiPriority w:val="99"/>
    <w:rsid w:val="006A257E"/>
    <w:pPr>
      <w:widowControl w:val="0"/>
      <w:tabs>
        <w:tab w:val="left" w:pos="1152"/>
      </w:tabs>
      <w:autoSpaceDE w:val="0"/>
      <w:autoSpaceDN w:val="0"/>
      <w:adjustRightInd w:val="0"/>
      <w:spacing w:before="216"/>
      <w:ind w:left="1152" w:hanging="720"/>
      <w:jc w:val="both"/>
    </w:pPr>
    <w:rPr>
      <w:b/>
      <w:bCs/>
      <w:sz w:val="22"/>
      <w:szCs w:val="22"/>
    </w:rPr>
  </w:style>
  <w:style w:type="paragraph" w:styleId="BodyTextIndent3">
    <w:name w:val="Body Text Indent 3"/>
    <w:basedOn w:val="Normal"/>
    <w:link w:val="BodyTextIndent3Char"/>
    <w:uiPriority w:val="99"/>
    <w:rsid w:val="006A257E"/>
    <w:pPr>
      <w:widowControl w:val="0"/>
      <w:autoSpaceDE w:val="0"/>
      <w:autoSpaceDN w:val="0"/>
      <w:adjustRightInd w:val="0"/>
      <w:ind w:left="810" w:hanging="90"/>
      <w:jc w:val="both"/>
    </w:pPr>
    <w:rPr>
      <w:rFonts w:ascii="Arial" w:hAnsi="Arial" w:cs="Arial"/>
    </w:rPr>
  </w:style>
  <w:style w:type="character" w:customStyle="1" w:styleId="BodyTextIndent3Char">
    <w:name w:val="Body Text Indent 3 Char"/>
    <w:basedOn w:val="DefaultParagraphFont"/>
    <w:link w:val="BodyTextIndent3"/>
    <w:uiPriority w:val="99"/>
    <w:rsid w:val="006A257E"/>
    <w:rPr>
      <w:rFonts w:ascii="Arial" w:hAnsi="Arial" w:cs="Arial"/>
    </w:rPr>
  </w:style>
  <w:style w:type="paragraph" w:customStyle="1" w:styleId="Level7">
    <w:name w:val="Level 7"/>
    <w:basedOn w:val="Normal"/>
    <w:uiPriority w:val="99"/>
    <w:rsid w:val="006A257E"/>
    <w:pPr>
      <w:widowControl w:val="0"/>
      <w:outlineLvl w:val="6"/>
    </w:pPr>
    <w:rPr>
      <w:rFonts w:ascii="Arial" w:hAnsi="Arial"/>
      <w:snapToGrid w:val="0"/>
      <w:sz w:val="24"/>
    </w:rPr>
  </w:style>
  <w:style w:type="paragraph" w:styleId="NormalWeb">
    <w:name w:val="Normal (Web)"/>
    <w:basedOn w:val="Normal"/>
    <w:link w:val="NormalWebChar"/>
    <w:uiPriority w:val="99"/>
    <w:rsid w:val="006A257E"/>
    <w:pPr>
      <w:spacing w:before="100" w:beforeAutospacing="1" w:after="100" w:afterAutospacing="1"/>
    </w:pPr>
    <w:rPr>
      <w:rFonts w:ascii="Arial Unicode MS" w:eastAsia="Arial Unicode MS" w:hAnsi="Arial Unicode MS" w:cs="Arial Unicode MS"/>
      <w:sz w:val="24"/>
      <w:szCs w:val="24"/>
    </w:rPr>
  </w:style>
  <w:style w:type="paragraph" w:customStyle="1" w:styleId="NotesText">
    <w:name w:val="Notes Text"/>
    <w:basedOn w:val="Normal"/>
    <w:uiPriority w:val="99"/>
    <w:rsid w:val="006A257E"/>
    <w:pPr>
      <w:spacing w:before="200"/>
      <w:jc w:val="both"/>
    </w:pPr>
  </w:style>
  <w:style w:type="table" w:styleId="TableGrid">
    <w:name w:val="Table Grid"/>
    <w:basedOn w:val="TableNormal"/>
    <w:rsid w:val="006A257E"/>
    <w:pPr>
      <w:widowControl w:val="0"/>
      <w:autoSpaceDE w:val="0"/>
      <w:autoSpaceDN w:val="0"/>
      <w:adjustRightInd w:val="0"/>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
    <w:basedOn w:val="Normal"/>
    <w:link w:val="NormalArialChar"/>
    <w:rsid w:val="006A257E"/>
    <w:pPr>
      <w:widowControl w:val="0"/>
      <w:autoSpaceDE w:val="0"/>
      <w:autoSpaceDN w:val="0"/>
      <w:adjustRightInd w:val="0"/>
      <w:jc w:val="both"/>
    </w:pPr>
    <w:rPr>
      <w:rFonts w:ascii="Arial" w:hAnsi="Arial"/>
    </w:rPr>
  </w:style>
  <w:style w:type="character" w:customStyle="1" w:styleId="NormalArialChar">
    <w:name w:val="Normal + Arial Char"/>
    <w:aliases w:val="10 pt Char,Normal + Arial Char Char,Normal + Arial Char Char Char"/>
    <w:link w:val="NormalArial"/>
    <w:rsid w:val="006A257E"/>
    <w:rPr>
      <w:rFonts w:ascii="Arial" w:hAnsi="Arial"/>
    </w:rPr>
  </w:style>
  <w:style w:type="paragraph" w:styleId="List2">
    <w:name w:val="List 2"/>
    <w:basedOn w:val="Normal"/>
    <w:uiPriority w:val="99"/>
    <w:rsid w:val="006A257E"/>
    <w:pPr>
      <w:widowControl w:val="0"/>
      <w:autoSpaceDE w:val="0"/>
      <w:autoSpaceDN w:val="0"/>
      <w:adjustRightInd w:val="0"/>
      <w:ind w:left="720" w:hanging="360"/>
    </w:pPr>
    <w:rPr>
      <w:sz w:val="22"/>
      <w:szCs w:val="22"/>
    </w:rPr>
  </w:style>
  <w:style w:type="paragraph" w:styleId="Date">
    <w:name w:val="Date"/>
    <w:basedOn w:val="Normal"/>
    <w:next w:val="Normal"/>
    <w:link w:val="DateChar"/>
    <w:uiPriority w:val="99"/>
    <w:rsid w:val="006A257E"/>
    <w:pPr>
      <w:widowControl w:val="0"/>
      <w:autoSpaceDE w:val="0"/>
      <w:autoSpaceDN w:val="0"/>
      <w:adjustRightInd w:val="0"/>
    </w:pPr>
    <w:rPr>
      <w:sz w:val="22"/>
      <w:szCs w:val="22"/>
    </w:rPr>
  </w:style>
  <w:style w:type="character" w:customStyle="1" w:styleId="DateChar">
    <w:name w:val="Date Char"/>
    <w:basedOn w:val="DefaultParagraphFont"/>
    <w:link w:val="Date"/>
    <w:uiPriority w:val="99"/>
    <w:rsid w:val="006A257E"/>
    <w:rPr>
      <w:sz w:val="22"/>
      <w:szCs w:val="22"/>
    </w:rPr>
  </w:style>
  <w:style w:type="paragraph" w:styleId="ListContinue">
    <w:name w:val="List Continue"/>
    <w:basedOn w:val="Normal"/>
    <w:uiPriority w:val="99"/>
    <w:rsid w:val="006A257E"/>
    <w:pPr>
      <w:widowControl w:val="0"/>
      <w:autoSpaceDE w:val="0"/>
      <w:autoSpaceDN w:val="0"/>
      <w:adjustRightInd w:val="0"/>
      <w:spacing w:after="120"/>
      <w:ind w:left="360"/>
    </w:pPr>
    <w:rPr>
      <w:sz w:val="22"/>
      <w:szCs w:val="22"/>
    </w:rPr>
  </w:style>
  <w:style w:type="paragraph" w:styleId="ListContinue2">
    <w:name w:val="List Continue 2"/>
    <w:basedOn w:val="Normal"/>
    <w:uiPriority w:val="99"/>
    <w:rsid w:val="006A257E"/>
    <w:pPr>
      <w:widowControl w:val="0"/>
      <w:autoSpaceDE w:val="0"/>
      <w:autoSpaceDN w:val="0"/>
      <w:adjustRightInd w:val="0"/>
      <w:spacing w:after="120"/>
      <w:ind w:left="720"/>
    </w:pPr>
    <w:rPr>
      <w:sz w:val="22"/>
      <w:szCs w:val="22"/>
    </w:rPr>
  </w:style>
  <w:style w:type="paragraph" w:styleId="BodyText3">
    <w:name w:val="Body Text 3"/>
    <w:basedOn w:val="Normal"/>
    <w:link w:val="BodyText3Char"/>
    <w:uiPriority w:val="99"/>
    <w:rsid w:val="006A257E"/>
    <w:pPr>
      <w:widowControl w:val="0"/>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rsid w:val="006A257E"/>
    <w:rPr>
      <w:sz w:val="16"/>
      <w:szCs w:val="16"/>
    </w:rPr>
  </w:style>
  <w:style w:type="paragraph" w:customStyle="1" w:styleId="textnotes">
    <w:name w:val="text notes"/>
    <w:aliases w:val="TN,tn"/>
    <w:basedOn w:val="Normal"/>
    <w:uiPriority w:val="99"/>
    <w:rsid w:val="006A257E"/>
    <w:pPr>
      <w:widowControl w:val="0"/>
      <w:tabs>
        <w:tab w:val="decimal" w:pos="6380"/>
        <w:tab w:val="decimal" w:pos="7920"/>
      </w:tabs>
      <w:jc w:val="both"/>
    </w:pPr>
    <w:rPr>
      <w:rFonts w:ascii="Helv 10pt" w:hAnsi="Helv 10pt"/>
      <w:lang w:val="en-CA"/>
    </w:rPr>
  </w:style>
  <w:style w:type="character" w:styleId="Strong">
    <w:name w:val="Strong"/>
    <w:uiPriority w:val="22"/>
    <w:qFormat/>
    <w:rsid w:val="006A257E"/>
    <w:rPr>
      <w:b/>
      <w:bCs/>
    </w:rPr>
  </w:style>
  <w:style w:type="paragraph" w:customStyle="1" w:styleId="style2">
    <w:name w:val="style2"/>
    <w:basedOn w:val="Normal"/>
    <w:uiPriority w:val="99"/>
    <w:rsid w:val="006A257E"/>
    <w:pPr>
      <w:spacing w:before="100" w:beforeAutospacing="1" w:after="100" w:afterAutospacing="1"/>
    </w:pPr>
    <w:rPr>
      <w:sz w:val="24"/>
      <w:szCs w:val="24"/>
    </w:rPr>
  </w:style>
  <w:style w:type="paragraph" w:customStyle="1" w:styleId="style4">
    <w:name w:val="style4"/>
    <w:basedOn w:val="Normal"/>
    <w:uiPriority w:val="99"/>
    <w:rsid w:val="006A257E"/>
    <w:pPr>
      <w:spacing w:before="100" w:beforeAutospacing="1" w:after="100" w:afterAutospacing="1"/>
    </w:pPr>
    <w:rPr>
      <w:color w:val="000000"/>
      <w:sz w:val="23"/>
      <w:szCs w:val="23"/>
    </w:rPr>
  </w:style>
  <w:style w:type="character" w:customStyle="1" w:styleId="style11">
    <w:name w:val="style11"/>
    <w:rsid w:val="006A257E"/>
    <w:rPr>
      <w:color w:val="000000"/>
    </w:rPr>
  </w:style>
  <w:style w:type="paragraph" w:styleId="CommentText">
    <w:name w:val="annotation text"/>
    <w:basedOn w:val="Normal"/>
    <w:link w:val="CommentTextChar"/>
    <w:uiPriority w:val="99"/>
    <w:semiHidden/>
    <w:rsid w:val="006A257E"/>
    <w:pPr>
      <w:widowControl w:val="0"/>
    </w:pPr>
    <w:rPr>
      <w:rFonts w:ascii="Helv 10pt" w:hAnsi="Helv 10pt"/>
      <w:lang w:val="x-none" w:eastAsia="x-none"/>
    </w:rPr>
  </w:style>
  <w:style w:type="character" w:customStyle="1" w:styleId="CommentTextChar">
    <w:name w:val="Comment Text Char"/>
    <w:basedOn w:val="DefaultParagraphFont"/>
    <w:link w:val="CommentText"/>
    <w:uiPriority w:val="99"/>
    <w:semiHidden/>
    <w:rsid w:val="006A257E"/>
    <w:rPr>
      <w:rFonts w:ascii="Helv 10pt" w:hAnsi="Helv 10pt"/>
      <w:lang w:val="x-none" w:eastAsia="x-none"/>
    </w:rPr>
  </w:style>
  <w:style w:type="paragraph" w:customStyle="1" w:styleId="style1">
    <w:name w:val="style1"/>
    <w:basedOn w:val="Normal"/>
    <w:uiPriority w:val="99"/>
    <w:rsid w:val="006A257E"/>
    <w:pPr>
      <w:spacing w:before="100" w:beforeAutospacing="1" w:after="100" w:afterAutospacing="1"/>
    </w:pPr>
    <w:rPr>
      <w:sz w:val="24"/>
      <w:szCs w:val="24"/>
    </w:rPr>
  </w:style>
  <w:style w:type="character" w:styleId="Emphasis">
    <w:name w:val="Emphasis"/>
    <w:uiPriority w:val="20"/>
    <w:qFormat/>
    <w:rsid w:val="006A257E"/>
    <w:rPr>
      <w:i/>
      <w:iCs/>
    </w:rPr>
  </w:style>
  <w:style w:type="paragraph" w:customStyle="1" w:styleId="style7">
    <w:name w:val="style7"/>
    <w:basedOn w:val="Normal"/>
    <w:uiPriority w:val="99"/>
    <w:rsid w:val="006A257E"/>
    <w:pPr>
      <w:spacing w:before="100" w:beforeAutospacing="1" w:after="100" w:afterAutospacing="1"/>
    </w:pPr>
    <w:rPr>
      <w:rFonts w:ascii="Arial" w:hAnsi="Arial" w:cs="Arial"/>
      <w:sz w:val="17"/>
      <w:szCs w:val="17"/>
    </w:rPr>
  </w:style>
  <w:style w:type="character" w:customStyle="1" w:styleId="style41">
    <w:name w:val="style41"/>
    <w:rsid w:val="006A257E"/>
    <w:rPr>
      <w:sz w:val="17"/>
      <w:szCs w:val="17"/>
    </w:rPr>
  </w:style>
  <w:style w:type="character" w:customStyle="1" w:styleId="style51">
    <w:name w:val="style51"/>
    <w:rsid w:val="006A257E"/>
    <w:rPr>
      <w:sz w:val="17"/>
      <w:szCs w:val="17"/>
    </w:rPr>
  </w:style>
  <w:style w:type="character" w:customStyle="1" w:styleId="style21">
    <w:name w:val="style21"/>
    <w:rsid w:val="006A257E"/>
    <w:rPr>
      <w:sz w:val="17"/>
      <w:szCs w:val="17"/>
    </w:rPr>
  </w:style>
  <w:style w:type="character" w:customStyle="1" w:styleId="style31">
    <w:name w:val="style31"/>
    <w:rsid w:val="006A257E"/>
    <w:rPr>
      <w:sz w:val="17"/>
      <w:szCs w:val="17"/>
    </w:rPr>
  </w:style>
  <w:style w:type="paragraph" w:styleId="CommentSubject">
    <w:name w:val="annotation subject"/>
    <w:basedOn w:val="CommentText"/>
    <w:next w:val="CommentText"/>
    <w:link w:val="CommentSubjectChar"/>
    <w:uiPriority w:val="99"/>
    <w:semiHidden/>
    <w:rsid w:val="006A257E"/>
    <w:rPr>
      <w:b/>
      <w:bCs/>
    </w:rPr>
  </w:style>
  <w:style w:type="character" w:customStyle="1" w:styleId="CommentSubjectChar">
    <w:name w:val="Comment Subject Char"/>
    <w:basedOn w:val="CommentTextChar"/>
    <w:link w:val="CommentSubject"/>
    <w:uiPriority w:val="99"/>
    <w:semiHidden/>
    <w:rsid w:val="006A257E"/>
    <w:rPr>
      <w:rFonts w:ascii="Helv 10pt" w:hAnsi="Helv 10pt"/>
      <w:b/>
      <w:bCs/>
      <w:lang w:val="x-none" w:eastAsia="x-none"/>
    </w:rPr>
  </w:style>
  <w:style w:type="paragraph" w:styleId="PlainText">
    <w:name w:val="Plain Text"/>
    <w:basedOn w:val="Normal"/>
    <w:link w:val="PlainTextChar"/>
    <w:uiPriority w:val="99"/>
    <w:rsid w:val="006A257E"/>
    <w:rPr>
      <w:rFonts w:ascii="Courier New" w:hAnsi="Courier New" w:cs="Courier New"/>
      <w:lang w:val="en-CA" w:eastAsia="en-CA"/>
    </w:rPr>
  </w:style>
  <w:style w:type="character" w:customStyle="1" w:styleId="PlainTextChar">
    <w:name w:val="Plain Text Char"/>
    <w:basedOn w:val="DefaultParagraphFont"/>
    <w:link w:val="PlainText"/>
    <w:uiPriority w:val="99"/>
    <w:rsid w:val="006A257E"/>
    <w:rPr>
      <w:rFonts w:ascii="Courier New" w:hAnsi="Courier New" w:cs="Courier New"/>
      <w:lang w:val="en-CA" w:eastAsia="en-CA"/>
    </w:rPr>
  </w:style>
  <w:style w:type="character" w:styleId="FootnoteReference">
    <w:name w:val="footnote reference"/>
    <w:semiHidden/>
    <w:rsid w:val="006A257E"/>
    <w:rPr>
      <w:vertAlign w:val="superscript"/>
    </w:rPr>
  </w:style>
  <w:style w:type="paragraph" w:styleId="FootnoteText">
    <w:name w:val="footnote text"/>
    <w:basedOn w:val="Normal"/>
    <w:link w:val="FootnoteTextChar"/>
    <w:uiPriority w:val="99"/>
    <w:semiHidden/>
    <w:rsid w:val="006A257E"/>
    <w:pPr>
      <w:widowControl w:val="0"/>
    </w:pPr>
    <w:rPr>
      <w:rFonts w:ascii="Helv 10pt" w:hAnsi="Helv 10pt"/>
    </w:rPr>
  </w:style>
  <w:style w:type="character" w:customStyle="1" w:styleId="FootnoteTextChar">
    <w:name w:val="Footnote Text Char"/>
    <w:basedOn w:val="DefaultParagraphFont"/>
    <w:link w:val="FootnoteText"/>
    <w:uiPriority w:val="99"/>
    <w:semiHidden/>
    <w:rsid w:val="006A257E"/>
    <w:rPr>
      <w:rFonts w:ascii="Helv 10pt" w:hAnsi="Helv 10pt"/>
    </w:rPr>
  </w:style>
  <w:style w:type="paragraph" w:customStyle="1" w:styleId="Default">
    <w:name w:val="Default"/>
    <w:uiPriority w:val="99"/>
    <w:rsid w:val="006A257E"/>
    <w:pPr>
      <w:autoSpaceDE w:val="0"/>
      <w:autoSpaceDN w:val="0"/>
      <w:adjustRightInd w:val="0"/>
    </w:pPr>
    <w:rPr>
      <w:rFonts w:ascii="Book Antiqua" w:hAnsi="Book Antiqua" w:cs="Book Antiqua"/>
      <w:color w:val="000000"/>
      <w:sz w:val="24"/>
      <w:szCs w:val="24"/>
    </w:rPr>
  </w:style>
  <w:style w:type="paragraph" w:customStyle="1" w:styleId="paragraph">
    <w:name w:val="paragraph"/>
    <w:basedOn w:val="Normal"/>
    <w:uiPriority w:val="99"/>
    <w:rsid w:val="006A257E"/>
    <w:pPr>
      <w:spacing w:before="86" w:after="86"/>
      <w:ind w:left="305"/>
    </w:pPr>
    <w:rPr>
      <w:rFonts w:ascii="Arial" w:hAnsi="Arial" w:cs="Arial"/>
      <w:color w:val="000000"/>
      <w:sz w:val="22"/>
      <w:szCs w:val="22"/>
    </w:rPr>
  </w:style>
  <w:style w:type="paragraph" w:customStyle="1" w:styleId="style6">
    <w:name w:val="style6"/>
    <w:basedOn w:val="Normal"/>
    <w:uiPriority w:val="99"/>
    <w:rsid w:val="006A257E"/>
    <w:pPr>
      <w:spacing w:before="100" w:beforeAutospacing="1" w:after="100" w:afterAutospacing="1"/>
    </w:pPr>
    <w:rPr>
      <w:sz w:val="17"/>
      <w:szCs w:val="17"/>
      <w:lang w:val="en-CA" w:eastAsia="en-CA"/>
    </w:rPr>
  </w:style>
  <w:style w:type="character" w:customStyle="1" w:styleId="style61">
    <w:name w:val="style61"/>
    <w:rsid w:val="006A257E"/>
    <w:rPr>
      <w:sz w:val="17"/>
      <w:szCs w:val="17"/>
    </w:rPr>
  </w:style>
  <w:style w:type="paragraph" w:styleId="Caption">
    <w:name w:val="caption"/>
    <w:basedOn w:val="Normal"/>
    <w:next w:val="Normal"/>
    <w:uiPriority w:val="99"/>
    <w:qFormat/>
    <w:rsid w:val="006A257E"/>
    <w:pPr>
      <w:widowControl w:val="0"/>
    </w:pPr>
    <w:rPr>
      <w:rFonts w:ascii="Helv 10pt" w:hAnsi="Helv 10pt"/>
      <w:b/>
      <w:bCs/>
    </w:rPr>
  </w:style>
  <w:style w:type="character" w:styleId="Hyperlink">
    <w:name w:val="Hyperlink"/>
    <w:rsid w:val="006A257E"/>
    <w:rPr>
      <w:color w:val="0000FF"/>
      <w:u w:val="single"/>
    </w:rPr>
  </w:style>
  <w:style w:type="character" w:styleId="CommentReference">
    <w:name w:val="annotation reference"/>
    <w:unhideWhenUsed/>
    <w:rsid w:val="006A257E"/>
    <w:rPr>
      <w:sz w:val="16"/>
      <w:szCs w:val="16"/>
    </w:rPr>
  </w:style>
  <w:style w:type="paragraph" w:styleId="ListParagraph">
    <w:name w:val="List Paragraph"/>
    <w:basedOn w:val="Normal"/>
    <w:uiPriority w:val="34"/>
    <w:qFormat/>
    <w:rsid w:val="006A257E"/>
    <w:pPr>
      <w:ind w:left="720"/>
    </w:pPr>
    <w:rPr>
      <w:sz w:val="24"/>
      <w:szCs w:val="24"/>
      <w:lang w:val="en-CA" w:eastAsia="en-CA"/>
    </w:rPr>
  </w:style>
  <w:style w:type="paragraph" w:styleId="Revision">
    <w:name w:val="Revision"/>
    <w:hidden/>
    <w:uiPriority w:val="99"/>
    <w:semiHidden/>
    <w:rsid w:val="006A257E"/>
    <w:rPr>
      <w:sz w:val="24"/>
      <w:szCs w:val="24"/>
      <w:lang w:val="en-CA" w:eastAsia="en-CA"/>
    </w:rPr>
  </w:style>
  <w:style w:type="character" w:customStyle="1" w:styleId="FooterChar">
    <w:name w:val="Footer Char"/>
    <w:link w:val="Footer"/>
    <w:uiPriority w:val="99"/>
    <w:rsid w:val="006A257E"/>
  </w:style>
  <w:style w:type="character" w:customStyle="1" w:styleId="Heading1Char">
    <w:name w:val="Heading 1 Char"/>
    <w:link w:val="Heading1"/>
    <w:rsid w:val="006A257E"/>
    <w:rPr>
      <w:b/>
      <w:sz w:val="24"/>
    </w:rPr>
  </w:style>
  <w:style w:type="character" w:customStyle="1" w:styleId="Heading2Char">
    <w:name w:val="Heading 2 Char"/>
    <w:link w:val="Heading2"/>
    <w:rsid w:val="006A257E"/>
    <w:rPr>
      <w:rFonts w:ascii="Arial" w:hAnsi="Arial"/>
      <w:b/>
      <w:sz w:val="28"/>
      <w:lang w:val="en-GB"/>
    </w:rPr>
  </w:style>
  <w:style w:type="character" w:customStyle="1" w:styleId="Heading3Char">
    <w:name w:val="Heading 3 Char"/>
    <w:link w:val="Heading3"/>
    <w:rsid w:val="006A257E"/>
    <w:rPr>
      <w:rFonts w:ascii="Arial" w:hAnsi="Arial"/>
      <w:b/>
      <w:sz w:val="22"/>
    </w:rPr>
  </w:style>
  <w:style w:type="character" w:customStyle="1" w:styleId="Heading4Char">
    <w:name w:val="Heading 4 Char"/>
    <w:link w:val="Heading4"/>
    <w:rsid w:val="006A257E"/>
    <w:rPr>
      <w:rFonts w:ascii="Arial" w:hAnsi="Arial"/>
      <w:b/>
    </w:rPr>
  </w:style>
  <w:style w:type="character" w:styleId="FollowedHyperlink">
    <w:name w:val="FollowedHyperlink"/>
    <w:uiPriority w:val="99"/>
    <w:unhideWhenUsed/>
    <w:rsid w:val="006A257E"/>
    <w:rPr>
      <w:color w:val="800080"/>
      <w:u w:val="single"/>
    </w:rPr>
  </w:style>
  <w:style w:type="character" w:customStyle="1" w:styleId="HeaderChar">
    <w:name w:val="Header Char"/>
    <w:link w:val="Header"/>
    <w:uiPriority w:val="99"/>
    <w:rsid w:val="006A257E"/>
  </w:style>
  <w:style w:type="character" w:customStyle="1" w:styleId="BodyTextChar">
    <w:name w:val="Body Text Char"/>
    <w:link w:val="BodyText"/>
    <w:uiPriority w:val="99"/>
    <w:rsid w:val="006A257E"/>
    <w:rPr>
      <w:sz w:val="24"/>
      <w:lang w:val="en-GB"/>
    </w:rPr>
  </w:style>
  <w:style w:type="character" w:customStyle="1" w:styleId="BodyTextIndentChar">
    <w:name w:val="Body Text Indent Char"/>
    <w:link w:val="BodyTextIndent"/>
    <w:uiPriority w:val="99"/>
    <w:rsid w:val="006A257E"/>
    <w:rPr>
      <w:sz w:val="24"/>
    </w:rPr>
  </w:style>
  <w:style w:type="character" w:customStyle="1" w:styleId="BalloonTextChar">
    <w:name w:val="Balloon Text Char"/>
    <w:link w:val="BalloonText"/>
    <w:uiPriority w:val="99"/>
    <w:semiHidden/>
    <w:rsid w:val="006A257E"/>
    <w:rPr>
      <w:rFonts w:ascii="Tahoma" w:hAnsi="Tahoma" w:cs="Tahoma"/>
      <w:sz w:val="16"/>
      <w:szCs w:val="16"/>
    </w:rPr>
  </w:style>
  <w:style w:type="character" w:customStyle="1" w:styleId="apple-converted-space">
    <w:name w:val="apple-converted-space"/>
    <w:rsid w:val="006A257E"/>
  </w:style>
  <w:style w:type="character" w:customStyle="1" w:styleId="NormalWebChar">
    <w:name w:val="Normal (Web) Char"/>
    <w:link w:val="NormalWeb"/>
    <w:uiPriority w:val="99"/>
    <w:rsid w:val="006A257E"/>
    <w:rPr>
      <w:rFonts w:ascii="Arial Unicode MS" w:eastAsia="Arial Unicode MS" w:hAnsi="Arial Unicode MS" w:cs="Arial Unicode MS"/>
      <w:sz w:val="24"/>
      <w:szCs w:val="24"/>
    </w:rPr>
  </w:style>
  <w:style w:type="paragraph" w:customStyle="1" w:styleId="cm29">
    <w:name w:val="cm29"/>
    <w:basedOn w:val="Normal"/>
    <w:rsid w:val="006A257E"/>
    <w:pPr>
      <w:autoSpaceDE w:val="0"/>
      <w:autoSpaceDN w:val="0"/>
    </w:pPr>
    <w:rPr>
      <w:rFonts w:ascii="PCONA F+ Times New Roman PSMT" w:eastAsia="Calibri" w:hAnsi="PCONA F+ Times New Roman PSMT"/>
      <w:sz w:val="24"/>
      <w:szCs w:val="24"/>
    </w:rPr>
  </w:style>
  <w:style w:type="paragraph" w:customStyle="1" w:styleId="rtejustify">
    <w:name w:val="rtejustify"/>
    <w:basedOn w:val="Normal"/>
    <w:rsid w:val="006A25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gleplains.com/news/eagle-plains-completes-land-consolidation-seabee-gold-minesantoy-lake-area-saskatchew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15271</Words>
  <Characters>87049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2004-05-10T18:26:00Z</cp:lastPrinted>
  <dcterms:created xsi:type="dcterms:W3CDTF">2018-08-28T15:35:00Z</dcterms:created>
  <dcterms:modified xsi:type="dcterms:W3CDTF">2018-08-28T15:35:00Z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