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5A3E" w14:textId="77777777" w:rsidR="007D37DC" w:rsidRPr="00AE4CEB" w:rsidRDefault="0071354F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14:paraId="2647C43B" w14:textId="77777777" w:rsidR="007D37DC" w:rsidRPr="00AE4CEB" w:rsidRDefault="0071354F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>AMENDMENT OF WARRANT TERMS</w:t>
      </w:r>
    </w:p>
    <w:p w14:paraId="2A3FDEC1" w14:textId="77777777" w:rsidR="007D37DC" w:rsidRPr="00AE4CEB" w:rsidRDefault="0071354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="00445162" w:rsidRPr="008104F8">
        <w:rPr>
          <w:rFonts w:ascii="Arial" w:hAnsi="Arial"/>
          <w:color w:val="000000"/>
          <w:u w:val="single"/>
          <w:lang w:val="en-CA"/>
        </w:rPr>
        <w:t>Sunniva Inc.</w:t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</w:rPr>
        <w:t xml:space="preserve"> </w:t>
      </w:r>
      <w:bookmarkStart w:id="9" w:name="_Toc370788722"/>
      <w:bookmarkStart w:id="10" w:name="_Toc398005578"/>
      <w:bookmarkStart w:id="11" w:name="_Toc412279997"/>
      <w:bookmarkStart w:id="12" w:name="_Toc419096500"/>
      <w:r w:rsidRPr="00AE4CEB">
        <w:rPr>
          <w:rFonts w:ascii="Arial" w:hAnsi="Arial"/>
        </w:rPr>
        <w:t>(the “Issuer”).</w:t>
      </w:r>
    </w:p>
    <w:p w14:paraId="6F516B5A" w14:textId="77777777" w:rsidR="007D37DC" w:rsidRDefault="0071354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="00445162" w:rsidRPr="00445162">
        <w:rPr>
          <w:rFonts w:ascii="Arial" w:hAnsi="Arial"/>
          <w:u w:val="single"/>
          <w:lang w:val="en-CA"/>
        </w:rPr>
        <w:t xml:space="preserve"> </w:t>
      </w:r>
      <w:r w:rsidR="00445162" w:rsidRPr="008104F8">
        <w:rPr>
          <w:rFonts w:ascii="Arial" w:hAnsi="Arial"/>
          <w:u w:val="single"/>
          <w:lang w:val="en-CA"/>
        </w:rPr>
        <w:t>SNN</w:t>
      </w:r>
      <w:r w:rsidRPr="00AE4CEB">
        <w:rPr>
          <w:rFonts w:ascii="Arial" w:hAnsi="Arial"/>
          <w:u w:val="single"/>
        </w:rPr>
        <w:tab/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 w:rsidR="00445162">
        <w:rPr>
          <w:rFonts w:ascii="Arial" w:hAnsi="Arial"/>
        </w:rPr>
        <w:t xml:space="preserve"> </w:t>
      </w:r>
      <w:r w:rsidR="00445162" w:rsidRPr="00445162">
        <w:rPr>
          <w:rFonts w:ascii="Arial" w:hAnsi="Arial"/>
          <w:u w:val="single"/>
        </w:rPr>
        <w:t xml:space="preserve">October </w:t>
      </w:r>
      <w:r w:rsidR="007C64A3">
        <w:rPr>
          <w:rFonts w:ascii="Arial" w:hAnsi="Arial"/>
          <w:u w:val="single"/>
        </w:rPr>
        <w:t>16</w:t>
      </w:r>
      <w:r w:rsidR="00445162" w:rsidRPr="00445162">
        <w:rPr>
          <w:rFonts w:ascii="Arial" w:hAnsi="Arial"/>
          <w:u w:val="single"/>
        </w:rPr>
        <w:t>, 2019</w:t>
      </w:r>
      <w:r w:rsidRPr="00AE4CEB">
        <w:rPr>
          <w:rFonts w:ascii="Arial" w:hAnsi="Arial"/>
          <w:u w:val="single"/>
        </w:rPr>
        <w:tab/>
      </w:r>
    </w:p>
    <w:p w14:paraId="21904259" w14:textId="77777777" w:rsidR="00DD4517" w:rsidRDefault="0071354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>Date of Press Release announcing amendment</w:t>
      </w:r>
      <w:r w:rsidR="00445162">
        <w:rPr>
          <w:rFonts w:ascii="Arial" w:hAnsi="Arial"/>
          <w:u w:val="single"/>
        </w:rPr>
        <w:t xml:space="preserve">: </w:t>
      </w:r>
      <w:r w:rsidR="00445162" w:rsidRPr="00445162">
        <w:rPr>
          <w:rFonts w:ascii="Arial" w:hAnsi="Arial"/>
          <w:u w:val="single"/>
        </w:rPr>
        <w:t xml:space="preserve">October </w:t>
      </w:r>
      <w:r w:rsidR="007C64A3" w:rsidRPr="007C64A3">
        <w:rPr>
          <w:rFonts w:ascii="Arial" w:hAnsi="Arial"/>
          <w:u w:val="single"/>
        </w:rPr>
        <w:t>16</w:t>
      </w:r>
      <w:r w:rsidR="00445162">
        <w:rPr>
          <w:rFonts w:ascii="Arial" w:hAnsi="Arial"/>
          <w:u w:val="single"/>
        </w:rPr>
        <w:t>,</w:t>
      </w:r>
      <w:r w:rsidR="007C64A3">
        <w:rPr>
          <w:rFonts w:ascii="Arial" w:hAnsi="Arial"/>
          <w:u w:val="single"/>
        </w:rPr>
        <w:t xml:space="preserve"> </w:t>
      </w:r>
      <w:r w:rsidR="00445162" w:rsidRPr="00445162">
        <w:rPr>
          <w:rFonts w:ascii="Arial" w:hAnsi="Arial"/>
          <w:u w:val="single"/>
        </w:rPr>
        <w:t>2019</w:t>
      </w:r>
      <w:r w:rsidR="00445162">
        <w:rPr>
          <w:rFonts w:ascii="Arial" w:hAnsi="Arial"/>
          <w:u w:val="single"/>
        </w:rPr>
        <w:t>________________</w:t>
      </w:r>
    </w:p>
    <w:p w14:paraId="364E247A" w14:textId="77777777" w:rsidR="002A5A0F" w:rsidRDefault="0071354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 xml:space="preserve">Closing price of </w:t>
      </w:r>
      <w:r w:rsidRPr="00DD4517">
        <w:rPr>
          <w:rFonts w:ascii="Arial" w:hAnsi="Arial"/>
        </w:rPr>
        <w:t xml:space="preserve">underlying shares on the day prior to the </w:t>
      </w:r>
      <w:proofErr w:type="gramStart"/>
      <w:r w:rsidRPr="00DD4517">
        <w:rPr>
          <w:rFonts w:ascii="Arial" w:hAnsi="Arial"/>
        </w:rPr>
        <w:t>announcement</w:t>
      </w:r>
      <w:r w:rsidR="00445162">
        <w:rPr>
          <w:rFonts w:ascii="Arial" w:hAnsi="Arial"/>
        </w:rPr>
        <w:t>:</w:t>
      </w:r>
      <w:r w:rsidR="007C64A3">
        <w:rPr>
          <w:rFonts w:ascii="Arial" w:hAnsi="Arial"/>
          <w:u w:val="single"/>
        </w:rPr>
        <w:t>$</w:t>
      </w:r>
      <w:proofErr w:type="gramEnd"/>
      <w:r w:rsidR="007C64A3">
        <w:rPr>
          <w:rFonts w:ascii="Arial" w:hAnsi="Arial"/>
          <w:u w:val="single"/>
        </w:rPr>
        <w:t>1.39</w:t>
      </w:r>
      <w:r w:rsidR="00445162">
        <w:rPr>
          <w:rFonts w:ascii="Arial" w:hAnsi="Arial"/>
        </w:rPr>
        <w:t>_______</w:t>
      </w:r>
    </w:p>
    <w:p w14:paraId="6EDA357C" w14:textId="77777777" w:rsidR="00065924" w:rsidRDefault="0071354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Closing price of underlying shares at the time of issuance_</w:t>
      </w:r>
      <w:r w:rsidR="00B15741" w:rsidRPr="00B15741">
        <w:rPr>
          <w:rFonts w:ascii="Arial" w:hAnsi="Arial"/>
          <w:u w:val="single"/>
        </w:rPr>
        <w:t>$2.85</w:t>
      </w:r>
      <w:r>
        <w:rPr>
          <w:rFonts w:ascii="Arial" w:hAnsi="Arial"/>
        </w:rPr>
        <w:t>___________________</w:t>
      </w:r>
      <w:r w:rsidR="00DD4517">
        <w:rPr>
          <w:rFonts w:ascii="Arial" w:hAnsi="Arial"/>
          <w:u w:val="single"/>
        </w:rPr>
        <w:t xml:space="preserve">    </w:t>
      </w:r>
    </w:p>
    <w:p w14:paraId="4442B5BB" w14:textId="77777777" w:rsidR="00DD4517" w:rsidRPr="002E66D4" w:rsidRDefault="0071354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 w:cs="Arial"/>
        </w:rPr>
      </w:pPr>
      <w:r w:rsidRPr="002E66D4">
        <w:rPr>
          <w:rFonts w:ascii="Arial" w:hAnsi="Arial" w:cs="Arial"/>
        </w:rPr>
        <w:t>As additional consideration for entering into a Membership Interest Purchase Agreement among the Iss</w:t>
      </w:r>
      <w:r w:rsidRPr="002E66D4">
        <w:rPr>
          <w:rFonts w:ascii="Arial" w:hAnsi="Arial" w:cs="Arial"/>
        </w:rPr>
        <w:t>uer, LTYR Logistics, LLC (“</w:t>
      </w:r>
      <w:r w:rsidRPr="002E66D4">
        <w:rPr>
          <w:rFonts w:ascii="Arial" w:hAnsi="Arial" w:cs="Arial"/>
          <w:b/>
        </w:rPr>
        <w:t>LTYR</w:t>
      </w:r>
      <w:r w:rsidRPr="002E66D4">
        <w:rPr>
          <w:rFonts w:ascii="Arial" w:hAnsi="Arial" w:cs="Arial"/>
        </w:rPr>
        <w:t>”), the members of LTYR (the “</w:t>
      </w:r>
      <w:r w:rsidRPr="002E66D4">
        <w:rPr>
          <w:rFonts w:ascii="Arial" w:hAnsi="Arial" w:cs="Arial"/>
          <w:b/>
        </w:rPr>
        <w:t>Members</w:t>
      </w:r>
      <w:r w:rsidRPr="002E66D4">
        <w:rPr>
          <w:rFonts w:ascii="Arial" w:hAnsi="Arial" w:cs="Arial"/>
        </w:rPr>
        <w:t>”) and CP Logistics, LLC</w:t>
      </w:r>
      <w:r>
        <w:rPr>
          <w:rFonts w:ascii="Arial" w:hAnsi="Arial" w:cs="Arial"/>
        </w:rPr>
        <w:t xml:space="preserve"> (the “</w:t>
      </w:r>
      <w:r w:rsidRPr="002E66D4">
        <w:rPr>
          <w:rFonts w:ascii="Arial" w:hAnsi="Arial" w:cs="Arial"/>
          <w:b/>
        </w:rPr>
        <w:t>Purchaser</w:t>
      </w:r>
      <w:r>
        <w:rPr>
          <w:rFonts w:ascii="Arial" w:hAnsi="Arial" w:cs="Arial"/>
        </w:rPr>
        <w:t>”)</w:t>
      </w:r>
      <w:r w:rsidRPr="002E66D4">
        <w:rPr>
          <w:rFonts w:ascii="Arial" w:hAnsi="Arial" w:cs="Arial"/>
        </w:rPr>
        <w:t xml:space="preserve"> dated effective December 21, 2018</w:t>
      </w:r>
      <w:r>
        <w:rPr>
          <w:rFonts w:ascii="Arial" w:hAnsi="Arial" w:cs="Arial"/>
        </w:rPr>
        <w:t>, the M</w:t>
      </w:r>
      <w:r w:rsidRPr="002E66D4">
        <w:rPr>
          <w:rFonts w:ascii="Arial" w:hAnsi="Arial" w:cs="Arial"/>
        </w:rPr>
        <w:t>embers received 718,473 performance warrants (“</w:t>
      </w:r>
      <w:r w:rsidRPr="002E66D4">
        <w:rPr>
          <w:rFonts w:ascii="Arial" w:hAnsi="Arial" w:cs="Arial"/>
          <w:b/>
        </w:rPr>
        <w:t>Performance Warrants</w:t>
      </w:r>
      <w:r w:rsidRPr="002E66D4">
        <w:rPr>
          <w:rFonts w:ascii="Arial" w:hAnsi="Arial" w:cs="Arial"/>
        </w:rPr>
        <w:t>”), which subject to certain Milestone</w:t>
      </w:r>
      <w:r w:rsidRPr="002E66D4">
        <w:rPr>
          <w:rFonts w:ascii="Arial" w:hAnsi="Arial" w:cs="Arial"/>
        </w:rPr>
        <w:t>s (as defined below), are convertible, for no additional consideration, into 718,473 shares of the voting common stock of the Issuer (the “</w:t>
      </w:r>
      <w:r w:rsidRPr="002E66D4">
        <w:rPr>
          <w:rFonts w:ascii="Arial" w:hAnsi="Arial" w:cs="Arial"/>
          <w:b/>
        </w:rPr>
        <w:t>Performance Shares</w:t>
      </w:r>
      <w:r w:rsidRPr="002E66D4">
        <w:rPr>
          <w:rFonts w:ascii="Arial" w:hAnsi="Arial" w:cs="Arial"/>
        </w:rPr>
        <w:t xml:space="preserve">”). </w:t>
      </w:r>
      <w:r w:rsidRPr="002E66D4">
        <w:rPr>
          <w:rFonts w:ascii="Arial" w:hAnsi="Arial" w:cs="Arial"/>
          <w:u w:val="single"/>
        </w:rPr>
        <w:t xml:space="preserve">    </w:t>
      </w:r>
      <w:r w:rsidRPr="002E66D4">
        <w:rPr>
          <w:rFonts w:ascii="Arial" w:hAnsi="Arial" w:cs="Arial"/>
        </w:rPr>
        <w:t xml:space="preserve"> </w:t>
      </w:r>
    </w:p>
    <w:p w14:paraId="4E429F20" w14:textId="77777777"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6CDF6072" w14:textId="77777777" w:rsidR="007D37DC" w:rsidRPr="00B055DD" w:rsidRDefault="0071354F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>Current terms of warrants</w:t>
      </w:r>
      <w:r w:rsidR="001310AC" w:rsidRPr="00B055DD">
        <w:rPr>
          <w:rFonts w:ascii="Arial" w:hAnsi="Arial"/>
          <w:b/>
        </w:rPr>
        <w:t xml:space="preserve"> to be amended</w:t>
      </w:r>
      <w:r w:rsidRPr="00B055DD">
        <w:rPr>
          <w:rFonts w:ascii="Arial" w:hAnsi="Arial"/>
          <w:b/>
        </w:rPr>
        <w:t>:</w:t>
      </w:r>
      <w:bookmarkEnd w:id="9"/>
      <w:bookmarkEnd w:id="10"/>
      <w:bookmarkEnd w:id="11"/>
      <w:bookmarkEnd w:id="12"/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275"/>
        <w:gridCol w:w="854"/>
        <w:gridCol w:w="1275"/>
        <w:gridCol w:w="1276"/>
        <w:gridCol w:w="1418"/>
        <w:gridCol w:w="1275"/>
        <w:gridCol w:w="1526"/>
      </w:tblGrid>
      <w:tr w:rsidR="00A272B2" w14:paraId="7C4A7DE6" w14:textId="77777777" w:rsidTr="00B15741"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5083DCBD" w14:textId="77777777" w:rsidR="00C22645" w:rsidRPr="00B055DD" w:rsidRDefault="0071354F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DB82B14" w14:textId="77777777" w:rsidR="00C22645" w:rsidRPr="00B055DD" w:rsidRDefault="0071354F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D599819" w14:textId="77777777" w:rsidR="00C22645" w:rsidRPr="00B055DD" w:rsidRDefault="0071354F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12CDE6A" w14:textId="77777777" w:rsidR="00C22645" w:rsidRPr="00B055DD" w:rsidRDefault="0071354F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15D2821" w14:textId="77777777" w:rsidR="00C22645" w:rsidRPr="00B055DD" w:rsidRDefault="0071354F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Number of 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DD9467D" w14:textId="77777777" w:rsidR="00C22645" w:rsidRPr="00B055DD" w:rsidRDefault="0071354F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3722035" w14:textId="77777777" w:rsidR="00C22645" w:rsidRPr="00B055DD" w:rsidRDefault="0071354F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A272B2" w14:paraId="7AD5C7C5" w14:textId="77777777" w:rsidTr="00B15741"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0CCC914" w14:textId="77777777" w:rsidR="00C22645" w:rsidRPr="00B055DD" w:rsidRDefault="0071354F">
            <w:pPr>
              <w:pStyle w:val="TableText"/>
            </w:pPr>
            <w:r>
              <w:t>December 21, 2018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4AED17" w14:textId="77777777" w:rsidR="00C22645" w:rsidRPr="00B055DD" w:rsidRDefault="0071354F">
            <w:pPr>
              <w:pStyle w:val="TableText"/>
            </w:pPr>
            <w:r>
              <w:t>N/A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76699D" w14:textId="77777777" w:rsidR="00C22645" w:rsidRPr="00B055DD" w:rsidRDefault="0071354F">
            <w:pPr>
              <w:pStyle w:val="TableText"/>
            </w:pPr>
            <w: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BE9935" w14:textId="77777777" w:rsidR="00C22645" w:rsidRPr="00B055DD" w:rsidRDefault="0071354F">
            <w:pPr>
              <w:pStyle w:val="TableText"/>
            </w:pPr>
            <w:r>
              <w:t>$2.85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0852AF" w14:textId="77777777" w:rsidR="00C22645" w:rsidRPr="00B055DD" w:rsidRDefault="0071354F">
            <w:pPr>
              <w:pStyle w:val="TableText"/>
            </w:pPr>
            <w:r>
              <w:t>718,473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58C18A" w14:textId="77777777" w:rsidR="00C22645" w:rsidRPr="00B055DD" w:rsidRDefault="0071354F">
            <w:pPr>
              <w:pStyle w:val="TableText"/>
            </w:pPr>
            <w:r>
              <w:t>December 28, 2020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E05AD4A" w14:textId="77777777" w:rsidR="00C22645" w:rsidRPr="00B055DD" w:rsidRDefault="0071354F">
            <w:pPr>
              <w:pStyle w:val="TableText"/>
            </w:pPr>
            <w:r>
              <w:t>33%</w:t>
            </w:r>
          </w:p>
        </w:tc>
      </w:tr>
      <w:tr w:rsidR="00A272B2" w14:paraId="5BAD8F04" w14:textId="77777777" w:rsidTr="006F12EF">
        <w:trPr>
          <w:trHeight w:val="635"/>
        </w:trPr>
        <w:tc>
          <w:tcPr>
            <w:tcW w:w="8899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65DD33D" w14:textId="77777777" w:rsidR="00B15741" w:rsidRPr="00B15741" w:rsidRDefault="0071354F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Performance </w:t>
            </w:r>
            <w:r w:rsidRPr="00B15741">
              <w:rPr>
                <w:b/>
              </w:rPr>
              <w:t>Warrant Terms:</w:t>
            </w:r>
          </w:p>
          <w:p w14:paraId="087DC2F9" w14:textId="77777777" w:rsidR="002E66D4" w:rsidRPr="002E66D4" w:rsidRDefault="0071354F">
            <w:pPr>
              <w:pStyle w:val="TableText"/>
            </w:pPr>
            <w:r>
              <w:t>The Performance Warrants are convertible</w:t>
            </w:r>
            <w:r w:rsidR="00A85398">
              <w:t xml:space="preserve"> into Performance Shares</w:t>
            </w:r>
            <w:r>
              <w:t xml:space="preserve"> upon the satisfaction of the following milestones (the “</w:t>
            </w:r>
            <w:r w:rsidRPr="002E66D4">
              <w:rPr>
                <w:b/>
              </w:rPr>
              <w:t>Milestones</w:t>
            </w:r>
            <w:r>
              <w:t>”) (</w:t>
            </w:r>
            <w:proofErr w:type="spellStart"/>
            <w:r>
              <w:t>i</w:t>
            </w:r>
            <w:proofErr w:type="spellEnd"/>
            <w:r>
              <w:t xml:space="preserve">) </w:t>
            </w:r>
            <w:r w:rsidRPr="002E66D4">
              <w:rPr>
                <w:lang w:val="en-US"/>
              </w:rPr>
              <w:t>the receipt by the Purchaser of all required licenses and permits to allow for operations of a cannabis distribution business in the State of Cal</w:t>
            </w:r>
            <w:r w:rsidR="00A85398">
              <w:rPr>
                <w:lang w:val="en-US"/>
              </w:rPr>
              <w:t xml:space="preserve">ifornia, and (ii) </w:t>
            </w:r>
            <w:r w:rsidRPr="002E66D4">
              <w:rPr>
                <w:lang w:val="en-US"/>
              </w:rPr>
              <w:t>the receipt of a Certificate of Occupancy and issuance of a business license to operate a cannabis distribution business at the property located at 1335 West 16th Street, Long Beach, CA 90813 from the Business License Division of the City of Long Beac</w:t>
            </w:r>
            <w:r w:rsidRPr="002E66D4">
              <w:rPr>
                <w:lang w:val="en-US"/>
              </w:rPr>
              <w:t>h to the satisfaction of Purchaser.</w:t>
            </w:r>
          </w:p>
        </w:tc>
      </w:tr>
      <w:tr w:rsidR="00A272B2" w14:paraId="643C49A3" w14:textId="77777777" w:rsidTr="00B15741"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2C546E03" w14:textId="77777777" w:rsidR="00065924" w:rsidRPr="00B055DD" w:rsidRDefault="00065924">
            <w:pPr>
              <w:pStyle w:val="TableTex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E0D2F99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AE7D780" w14:textId="77777777" w:rsidR="00065924" w:rsidRPr="00B055DD" w:rsidRDefault="00065924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B4317F3" w14:textId="77777777" w:rsidR="00065924" w:rsidRPr="00B055DD" w:rsidRDefault="00065924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67FAA5EF" w14:textId="77777777" w:rsidR="00065924" w:rsidRPr="00B055DD" w:rsidRDefault="00065924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5BCA7CE" w14:textId="77777777" w:rsidR="00065924" w:rsidRPr="00B055DD" w:rsidRDefault="00065924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017E457C" w14:textId="77777777" w:rsidR="00065924" w:rsidRPr="00B055DD" w:rsidRDefault="00065924">
            <w:pPr>
              <w:pStyle w:val="TableText"/>
            </w:pPr>
          </w:p>
        </w:tc>
      </w:tr>
    </w:tbl>
    <w:p w14:paraId="77E1D6C4" w14:textId="77777777" w:rsidR="00065924" w:rsidRDefault="00065924" w:rsidP="00DD4517">
      <w:pPr>
        <w:pStyle w:val="BodyText"/>
        <w:rPr>
          <w:rFonts w:ascii="Arial" w:hAnsi="Arial" w:cs="Arial"/>
        </w:rPr>
      </w:pPr>
      <w:bookmarkStart w:id="13" w:name="_Toc370788723"/>
      <w:bookmarkStart w:id="14" w:name="_Toc398005579"/>
      <w:bookmarkStart w:id="15" w:name="_Toc412279998"/>
      <w:bookmarkStart w:id="16" w:name="_Toc419096501"/>
    </w:p>
    <w:p w14:paraId="2DF91FBB" w14:textId="77777777" w:rsidR="00DD4517" w:rsidRDefault="0071354F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Pursuant to Policy 6, Section 7.4,</w:t>
      </w:r>
      <w:r>
        <w:tab/>
      </w:r>
      <w:r w:rsidR="007356F1">
        <w:rPr>
          <w:rFonts w:ascii="Arial" w:hAnsi="Arial" w:cs="Arial"/>
        </w:rPr>
        <w:t>Amendments are permitted provided that:</w:t>
      </w:r>
    </w:p>
    <w:p w14:paraId="49430C98" w14:textId="77777777" w:rsidR="00065924" w:rsidRDefault="00065924" w:rsidP="00DD4517">
      <w:pPr>
        <w:pStyle w:val="BodyText"/>
        <w:rPr>
          <w:rFonts w:ascii="Arial" w:hAnsi="Arial" w:cs="Arial"/>
        </w:rPr>
      </w:pPr>
    </w:p>
    <w:p w14:paraId="2C46FDE2" w14:textId="77777777" w:rsidR="007356F1" w:rsidRPr="007356F1" w:rsidRDefault="0071354F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14:paraId="3A8698B3" w14:textId="77777777" w:rsidR="007356F1" w:rsidRPr="007356F1" w:rsidRDefault="0071354F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14:paraId="589CDD73" w14:textId="77777777" w:rsidR="007356F1" w:rsidRPr="007356F1" w:rsidRDefault="0071354F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 xml:space="preserve">No warrants have been </w:t>
      </w:r>
      <w:r w:rsidRPr="007356F1">
        <w:rPr>
          <w:rFonts w:ascii="Arial" w:hAnsi="Arial" w:cs="Arial"/>
        </w:rPr>
        <w:t>exercised in the last 6 months;</w:t>
      </w:r>
    </w:p>
    <w:p w14:paraId="14E85720" w14:textId="77777777" w:rsidR="00065924" w:rsidRPr="002E66D4" w:rsidRDefault="0071354F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At least 10 trading days remain before expiry.</w:t>
      </w:r>
    </w:p>
    <w:p w14:paraId="30633201" w14:textId="77777777" w:rsidR="00DD4517" w:rsidRPr="0064152E" w:rsidRDefault="0071354F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 w:rsidRPr="0064152E">
        <w:rPr>
          <w:rFonts w:ascii="Arial" w:hAnsi="Arial" w:cs="Arial"/>
          <w:b/>
        </w:rPr>
        <w:t>Amendment(s)</w:t>
      </w:r>
    </w:p>
    <w:p w14:paraId="68821FDC" w14:textId="77777777" w:rsidR="0064152E" w:rsidRDefault="0071354F" w:rsidP="0064152E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</w:t>
      </w:r>
      <w:r w:rsidR="008027A7" w:rsidRPr="008027A7">
        <w:rPr>
          <w:rFonts w:ascii="Arial" w:hAnsi="Arial" w:cs="Arial"/>
          <w:u w:val="single"/>
        </w:rPr>
        <w:t>N/A</w:t>
      </w:r>
      <w:r w:rsidR="00800EA2">
        <w:rPr>
          <w:rFonts w:ascii="Arial" w:hAnsi="Arial" w:cs="Arial"/>
        </w:rPr>
        <w:t>_______________________</w:t>
      </w:r>
    </w:p>
    <w:p w14:paraId="630D3068" w14:textId="77777777" w:rsidR="0064152E" w:rsidRDefault="0071354F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14:paraId="0C06FECB" w14:textId="77777777" w:rsidR="00800EA2" w:rsidRPr="00800EA2" w:rsidRDefault="0071354F" w:rsidP="00800EA2">
      <w:pPr>
        <w:pStyle w:val="BodyText"/>
        <w:numPr>
          <w:ilvl w:val="3"/>
          <w:numId w:val="4"/>
        </w:numPr>
        <w:tabs>
          <w:tab w:val="clear" w:pos="2880"/>
        </w:tabs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Repricing – amended exercise </w:t>
      </w:r>
      <w:proofErr w:type="gramStart"/>
      <w:r>
        <w:rPr>
          <w:rFonts w:ascii="Arial" w:hAnsi="Arial" w:cs="Arial"/>
        </w:rPr>
        <w:t>price:</w:t>
      </w:r>
      <w:r>
        <w:rPr>
          <w:rFonts w:ascii="Arial" w:hAnsi="Arial" w:cs="Arial"/>
        </w:rPr>
        <w:softHyphen/>
      </w:r>
      <w:proofErr w:type="gramEnd"/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8027A7">
        <w:rPr>
          <w:rFonts w:ascii="Arial" w:hAnsi="Arial" w:cs="Arial"/>
        </w:rPr>
        <w:t xml:space="preserve"> </w:t>
      </w:r>
      <w:r w:rsidR="008027A7" w:rsidRPr="008027A7">
        <w:rPr>
          <w:rFonts w:ascii="Arial" w:hAnsi="Arial" w:cs="Arial"/>
          <w:u w:val="single"/>
        </w:rPr>
        <w:t>N/A</w:t>
      </w:r>
      <w:r>
        <w:rPr>
          <w:rFonts w:ascii="Arial" w:hAnsi="Arial" w:cs="Arial"/>
        </w:rPr>
        <w:t>___________________</w:t>
      </w:r>
      <w:r w:rsidR="0070090C">
        <w:rPr>
          <w:rFonts w:ascii="Arial" w:hAnsi="Arial" w:cs="Arial"/>
        </w:rPr>
        <w:t>__</w:t>
      </w:r>
    </w:p>
    <w:bookmarkEnd w:id="13"/>
    <w:bookmarkEnd w:id="14"/>
    <w:bookmarkEnd w:id="15"/>
    <w:bookmarkEnd w:id="16"/>
    <w:p w14:paraId="036972A3" w14:textId="77777777"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7F5F963A" w14:textId="77777777" w:rsidR="005D23D3" w:rsidRDefault="0071354F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 xml:space="preserve">If the amended price is below the market price </w:t>
      </w:r>
      <w:r w:rsidR="008612DA" w:rsidRPr="007B2032">
        <w:rPr>
          <w:rFonts w:ascii="Arial" w:hAnsi="Arial"/>
          <w:i/>
        </w:rPr>
        <w:t>of the underlying security</w:t>
      </w:r>
      <w:r w:rsidR="008612DA"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>at the time the warrants were issued</w:t>
      </w:r>
      <w:r w:rsidRPr="007B2032">
        <w:rPr>
          <w:rFonts w:ascii="Arial" w:hAnsi="Arial"/>
          <w:i/>
        </w:rPr>
        <w:t xml:space="preserve">, </w:t>
      </w:r>
      <w:r w:rsidR="001C506E" w:rsidRPr="007B2032">
        <w:rPr>
          <w:rFonts w:ascii="Arial" w:hAnsi="Arial"/>
          <w:i/>
        </w:rPr>
        <w:t>and following the amendment the exercise price is</w:t>
      </w:r>
      <w:r>
        <w:rPr>
          <w:rFonts w:ascii="Arial" w:hAnsi="Arial"/>
          <w:i/>
        </w:rPr>
        <w:t xml:space="preserve"> below the closing price</w:t>
      </w:r>
      <w:r w:rsidR="001C506E">
        <w:rPr>
          <w:rFonts w:ascii="Arial" w:hAnsi="Arial"/>
          <w:i/>
        </w:rPr>
        <w:t xml:space="preserve"> </w:t>
      </w:r>
      <w:r w:rsidR="001C506E" w:rsidRPr="007B2032">
        <w:rPr>
          <w:rFonts w:ascii="Arial" w:hAnsi="Arial"/>
          <w:i/>
        </w:rPr>
        <w:t>of the underlying security</w:t>
      </w:r>
      <w:r>
        <w:rPr>
          <w:rFonts w:ascii="Arial" w:hAnsi="Arial"/>
          <w:i/>
        </w:rPr>
        <w:t xml:space="preserve"> for </w:t>
      </w:r>
      <w:r w:rsidR="001C506E" w:rsidRPr="007B2032">
        <w:rPr>
          <w:rFonts w:ascii="Arial" w:hAnsi="Arial"/>
          <w:i/>
        </w:rPr>
        <w:t>any</w:t>
      </w:r>
      <w:r w:rsidR="001C506E"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>10</w:t>
      </w:r>
      <w:r w:rsidR="001C506E" w:rsidRPr="001C506E">
        <w:rPr>
          <w:rFonts w:ascii="Arial" w:hAnsi="Arial"/>
          <w:i/>
          <w:u w:val="single"/>
        </w:rPr>
        <w:t xml:space="preserve"> </w:t>
      </w:r>
      <w:r w:rsidR="001C506E" w:rsidRPr="007B2032">
        <w:rPr>
          <w:rFonts w:ascii="Arial" w:hAnsi="Arial"/>
          <w:i/>
        </w:rPr>
        <w:t>consecutive</w:t>
      </w:r>
      <w:r>
        <w:rPr>
          <w:rFonts w:ascii="Arial" w:hAnsi="Arial"/>
          <w:i/>
        </w:rPr>
        <w:t xml:space="preserve"> trading days by more than the permitted private placement discount, the term </w:t>
      </w:r>
      <w:r w:rsidR="001C506E" w:rsidRPr="007B2032">
        <w:rPr>
          <w:rFonts w:ascii="Arial" w:hAnsi="Arial"/>
          <w:i/>
        </w:rPr>
        <w:t>of the warrants</w:t>
      </w:r>
      <w:r w:rsidR="001C506E"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 xml:space="preserve">must be amended to 30 days.  </w:t>
      </w:r>
      <w:r w:rsidR="00627BBB" w:rsidRPr="007B2032">
        <w:rPr>
          <w:rFonts w:ascii="Arial" w:hAnsi="Arial" w:cs="Arial"/>
          <w:i/>
          <w:szCs w:val="24"/>
        </w:rPr>
        <w:t>The amended term must be announced by press release and Form 13 and</w:t>
      </w:r>
      <w:r w:rsidR="00627BBB">
        <w:rPr>
          <w:rFonts w:ascii="Arial" w:hAnsi="Arial" w:cs="Arial"/>
          <w:szCs w:val="24"/>
        </w:rPr>
        <w:t xml:space="preserve"> </w:t>
      </w:r>
      <w:r w:rsidR="00627BBB">
        <w:rPr>
          <w:rFonts w:ascii="Arial" w:hAnsi="Arial"/>
          <w:i/>
          <w:u w:val="single"/>
        </w:rPr>
        <w:t>t</w:t>
      </w:r>
      <w:r w:rsidRPr="00627BBB">
        <w:rPr>
          <w:rFonts w:ascii="Arial" w:hAnsi="Arial"/>
          <w:i/>
        </w:rPr>
        <w:t>he</w:t>
      </w:r>
      <w:r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30 day</w:t>
      </w:r>
      <w:proofErr w:type="gramEnd"/>
      <w:r>
        <w:rPr>
          <w:rFonts w:ascii="Arial" w:hAnsi="Arial"/>
          <w:i/>
        </w:rPr>
        <w:t xml:space="preserve"> term will commence 7 days from the</w:t>
      </w:r>
      <w:r w:rsidR="007B2032">
        <w:rPr>
          <w:rFonts w:ascii="Arial" w:hAnsi="Arial"/>
          <w:i/>
        </w:rPr>
        <w:t xml:space="preserve"> </w:t>
      </w:r>
      <w:r w:rsidR="00627BBB" w:rsidRPr="007B2032">
        <w:rPr>
          <w:rFonts w:ascii="Arial" w:hAnsi="Arial"/>
          <w:i/>
          <w:szCs w:val="24"/>
        </w:rPr>
        <w:t>end of the 10 day period</w:t>
      </w:r>
      <w:r w:rsidRPr="00065924">
        <w:rPr>
          <w:rFonts w:ascii="Arial" w:hAnsi="Arial"/>
          <w:i/>
        </w:rPr>
        <w:t>.</w:t>
      </w:r>
      <w:r w:rsidR="00627BBB" w:rsidRPr="00065924">
        <w:rPr>
          <w:rFonts w:ascii="Arial" w:hAnsi="Arial"/>
          <w:i/>
        </w:rPr>
        <w:t xml:space="preserve"> See Policy 6 section 7.4 for details.</w:t>
      </w:r>
    </w:p>
    <w:p w14:paraId="1113260F" w14:textId="77777777" w:rsidR="00065924" w:rsidRPr="00065924" w:rsidRDefault="0006592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</w:p>
    <w:p w14:paraId="26A7D203" w14:textId="77777777"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0F307849" w14:textId="77777777" w:rsidR="00800EA2" w:rsidRPr="00B055DD" w:rsidRDefault="0071354F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>terms of warrants: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275"/>
        <w:gridCol w:w="854"/>
        <w:gridCol w:w="1275"/>
        <w:gridCol w:w="1276"/>
        <w:gridCol w:w="1418"/>
        <w:gridCol w:w="1275"/>
        <w:gridCol w:w="1526"/>
      </w:tblGrid>
      <w:tr w:rsidR="00A272B2" w14:paraId="59455CCA" w14:textId="77777777" w:rsidTr="008027A7"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51834F07" w14:textId="77777777" w:rsidR="00800EA2" w:rsidRPr="00B055DD" w:rsidRDefault="0071354F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57B9676" w14:textId="77777777" w:rsidR="00800EA2" w:rsidRPr="00B055DD" w:rsidRDefault="0071354F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147FB51" w14:textId="77777777" w:rsidR="00800EA2" w:rsidRPr="00B055DD" w:rsidRDefault="0071354F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1813316" w14:textId="77777777" w:rsidR="00800EA2" w:rsidRPr="00B055DD" w:rsidRDefault="0071354F" w:rsidP="007A7669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491929A" w14:textId="77777777" w:rsidR="00800EA2" w:rsidRPr="00B055DD" w:rsidRDefault="0071354F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FB22651" w14:textId="77777777" w:rsidR="00800EA2" w:rsidRPr="00B055DD" w:rsidRDefault="0071354F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5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074BB61" w14:textId="77777777" w:rsidR="00800EA2" w:rsidRPr="00B055DD" w:rsidRDefault="0071354F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A272B2" w14:paraId="20BCA018" w14:textId="77777777" w:rsidTr="00931ADD"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505A871" w14:textId="77777777" w:rsidR="008027A7" w:rsidRPr="00B055DD" w:rsidRDefault="0071354F" w:rsidP="00931ADD">
            <w:pPr>
              <w:pStyle w:val="TableText"/>
            </w:pPr>
            <w:r>
              <w:t>December 21, 2018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1BE8F1" w14:textId="77777777" w:rsidR="008027A7" w:rsidRPr="00B055DD" w:rsidRDefault="0071354F" w:rsidP="00931ADD">
            <w:pPr>
              <w:pStyle w:val="TableText"/>
            </w:pPr>
            <w:r>
              <w:t>N/A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C442FD" w14:textId="77777777" w:rsidR="008027A7" w:rsidRPr="00B055DD" w:rsidRDefault="0071354F" w:rsidP="00931ADD">
            <w:pPr>
              <w:pStyle w:val="TableText"/>
            </w:pPr>
            <w:r>
              <w:t>N/A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4AAACB" w14:textId="77777777" w:rsidR="008027A7" w:rsidRPr="00B055DD" w:rsidRDefault="0071354F" w:rsidP="00931ADD">
            <w:pPr>
              <w:pStyle w:val="TableText"/>
            </w:pPr>
            <w:r>
              <w:t>$2.85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870124" w14:textId="77777777" w:rsidR="008027A7" w:rsidRPr="00B055DD" w:rsidRDefault="0071354F" w:rsidP="00931ADD">
            <w:pPr>
              <w:pStyle w:val="TableText"/>
            </w:pPr>
            <w:r>
              <w:t>718,473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3A24A" w14:textId="77777777" w:rsidR="008027A7" w:rsidRPr="00B055DD" w:rsidRDefault="0071354F" w:rsidP="00931ADD">
            <w:pPr>
              <w:pStyle w:val="TableText"/>
            </w:pPr>
            <w:r>
              <w:t>December 28, 2020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CB5AD0D" w14:textId="77777777" w:rsidR="008027A7" w:rsidRPr="00B055DD" w:rsidRDefault="0071354F" w:rsidP="00931ADD">
            <w:pPr>
              <w:pStyle w:val="TableText"/>
            </w:pPr>
            <w:r>
              <w:t>33%</w:t>
            </w:r>
          </w:p>
        </w:tc>
      </w:tr>
      <w:tr w:rsidR="00A272B2" w14:paraId="2022189D" w14:textId="77777777" w:rsidTr="0025647C">
        <w:trPr>
          <w:trHeight w:val="635"/>
        </w:trPr>
        <w:tc>
          <w:tcPr>
            <w:tcW w:w="8899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7F56806C" w14:textId="77777777" w:rsidR="008027A7" w:rsidRDefault="0071354F" w:rsidP="007A7669">
            <w:pPr>
              <w:pStyle w:val="TableText"/>
              <w:rPr>
                <w:b/>
              </w:rPr>
            </w:pPr>
            <w:r>
              <w:rPr>
                <w:b/>
              </w:rPr>
              <w:t>Amended Performance Warrant Terms:</w:t>
            </w:r>
          </w:p>
          <w:p w14:paraId="3489A8EB" w14:textId="77777777" w:rsidR="008027A7" w:rsidRPr="008027A7" w:rsidRDefault="0071354F" w:rsidP="00A85398">
            <w:pPr>
              <w:pStyle w:val="TableText"/>
            </w:pPr>
            <w:r w:rsidRPr="008027A7">
              <w:rPr>
                <w:lang w:val="en-US"/>
              </w:rPr>
              <w:t xml:space="preserve">The Performance Warrants are convertible </w:t>
            </w:r>
            <w:r w:rsidR="00A85398">
              <w:rPr>
                <w:lang w:val="en-US"/>
              </w:rPr>
              <w:t xml:space="preserve">into Performance Shares </w:t>
            </w:r>
            <w:r w:rsidRPr="008027A7">
              <w:rPr>
                <w:lang w:val="en-US"/>
              </w:rPr>
              <w:t>upon the satisfaction of the following milestones (the “</w:t>
            </w:r>
            <w:r w:rsidRPr="008027A7">
              <w:rPr>
                <w:b/>
                <w:lang w:val="en-US"/>
              </w:rPr>
              <w:t>Milestones</w:t>
            </w:r>
            <w:r w:rsidRPr="008027A7">
              <w:rPr>
                <w:lang w:val="en-US"/>
              </w:rPr>
              <w:t>”) (</w:t>
            </w:r>
            <w:proofErr w:type="spellStart"/>
            <w:r w:rsidRPr="008027A7">
              <w:rPr>
                <w:lang w:val="en-US"/>
              </w:rPr>
              <w:t>i</w:t>
            </w:r>
            <w:proofErr w:type="spellEnd"/>
            <w:r w:rsidRPr="008027A7">
              <w:rPr>
                <w:lang w:val="en-US"/>
              </w:rPr>
              <w:t>) the receipt by the Purchaser of all required licenses and permits to allow for operations of a cannabis distribution b</w:t>
            </w:r>
            <w:r w:rsidRPr="008027A7">
              <w:rPr>
                <w:lang w:val="en-US"/>
              </w:rPr>
              <w:t>usiness in the</w:t>
            </w:r>
            <w:r w:rsidR="00A85398">
              <w:rPr>
                <w:lang w:val="en-US"/>
              </w:rPr>
              <w:t xml:space="preserve"> State of California, and (ii) </w:t>
            </w:r>
            <w:r w:rsidRPr="008027A7">
              <w:rPr>
                <w:lang w:val="en-US"/>
              </w:rPr>
              <w:t xml:space="preserve">the receipt of a Certificate of Occupancy and issuance of a business license to operate a cannabis distribution business at the property located at </w:t>
            </w:r>
            <w:r w:rsidR="00A85398">
              <w:rPr>
                <w:lang w:val="en-US"/>
              </w:rPr>
              <w:t>84-845 Avenue 48, Suite 1, Coachella, CA, 92203</w:t>
            </w:r>
            <w:r w:rsidRPr="008027A7">
              <w:rPr>
                <w:lang w:val="en-US"/>
              </w:rPr>
              <w:t xml:space="preserve"> from the Busine</w:t>
            </w:r>
            <w:r w:rsidRPr="008027A7">
              <w:rPr>
                <w:lang w:val="en-US"/>
              </w:rPr>
              <w:t xml:space="preserve">ss License Division of the City of </w:t>
            </w:r>
            <w:r>
              <w:rPr>
                <w:lang w:val="en-US"/>
              </w:rPr>
              <w:t>Coachella</w:t>
            </w:r>
            <w:r w:rsidR="00BC45FB">
              <w:rPr>
                <w:lang w:val="en-US"/>
              </w:rPr>
              <w:t>, California</w:t>
            </w:r>
            <w:r w:rsidRPr="008027A7">
              <w:rPr>
                <w:lang w:val="en-US"/>
              </w:rPr>
              <w:t xml:space="preserve"> to the satisfaction of Purchaser.</w:t>
            </w:r>
          </w:p>
        </w:tc>
      </w:tr>
      <w:tr w:rsidR="00A272B2" w14:paraId="73A10100" w14:textId="77777777" w:rsidTr="008027A7"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716FF53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284DE726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FA96808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108E2D5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CF2DCBF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4C0B5D48" w14:textId="77777777" w:rsidR="00065924" w:rsidRPr="00B055DD" w:rsidRDefault="00065924" w:rsidP="007A7669">
            <w:pPr>
              <w:pStyle w:val="TableText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B068173" w14:textId="77777777" w:rsidR="00065924" w:rsidRPr="00B055DD" w:rsidRDefault="00065924" w:rsidP="007A7669">
            <w:pPr>
              <w:pStyle w:val="TableText"/>
            </w:pPr>
          </w:p>
        </w:tc>
      </w:tr>
    </w:tbl>
    <w:p w14:paraId="02B05052" w14:textId="77777777" w:rsidR="007D37DC" w:rsidRDefault="0071354F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listed</w:t>
      </w:r>
      <w:r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</w:t>
      </w:r>
      <w:proofErr w:type="gramStart"/>
      <w:r w:rsidR="00627BBB" w:rsidRPr="007B2032">
        <w:rPr>
          <w:rFonts w:ascii="Arial" w:hAnsi="Arial" w:cs="Arial"/>
          <w:szCs w:val="24"/>
        </w:rPr>
        <w:t>be considered to be</w:t>
      </w:r>
      <w:proofErr w:type="gramEnd"/>
      <w:r w:rsidR="00627BBB" w:rsidRPr="007B2032">
        <w:rPr>
          <w:rFonts w:ascii="Arial" w:hAnsi="Arial" w:cs="Arial"/>
          <w:szCs w:val="24"/>
        </w:rPr>
        <w:t xml:space="preserve"> the distribution of a new security under securities laws and require exemptions from legislative requirements.  Furthermore, the amendment of the terms of a security held by an insider or a related party may </w:t>
      </w:r>
      <w:proofErr w:type="gramStart"/>
      <w:r w:rsidR="00627BBB" w:rsidRPr="007B2032">
        <w:rPr>
          <w:rFonts w:ascii="Arial" w:hAnsi="Arial" w:cs="Arial"/>
          <w:szCs w:val="24"/>
        </w:rPr>
        <w:t>be considered to be</w:t>
      </w:r>
      <w:proofErr w:type="gramEnd"/>
      <w:r w:rsidR="00627BBB" w:rsidRPr="007B2032">
        <w:rPr>
          <w:rFonts w:ascii="Arial" w:hAnsi="Arial" w:cs="Arial"/>
          <w:szCs w:val="24"/>
        </w:rPr>
        <w:t xml:space="preserve">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14:paraId="4105FBE2" w14:textId="77777777" w:rsidR="00065924" w:rsidRPr="007B2032" w:rsidRDefault="0071354F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/>
          <w:strike/>
          <w:szCs w:val="24"/>
        </w:rPr>
      </w:pPr>
      <w:r>
        <w:rPr>
          <w:rFonts w:ascii="Arial" w:hAnsi="Arial" w:cs="Arial"/>
          <w:szCs w:val="24"/>
        </w:rPr>
        <w:br w:type="page"/>
      </w:r>
    </w:p>
    <w:bookmarkEnd w:id="4"/>
    <w:bookmarkEnd w:id="5"/>
    <w:bookmarkEnd w:id="6"/>
    <w:bookmarkEnd w:id="7"/>
    <w:bookmarkEnd w:id="8"/>
    <w:p w14:paraId="1D9CD962" w14:textId="77777777" w:rsidR="007D37DC" w:rsidRPr="00FC5E57" w:rsidRDefault="0071354F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lastRenderedPageBreak/>
        <w:t>4.</w:t>
      </w:r>
      <w:r w:rsidRPr="00FC5E57">
        <w:rPr>
          <w:rFonts w:ascii="Arial" w:hAnsi="Arial"/>
          <w:b/>
        </w:rPr>
        <w:tab/>
        <w:t>Certificate of Compliance</w:t>
      </w:r>
    </w:p>
    <w:p w14:paraId="254C4BA3" w14:textId="77777777" w:rsidR="007D37DC" w:rsidRPr="00FC5E57" w:rsidRDefault="0071354F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</w:t>
      </w:r>
      <w:r w:rsidRPr="00FC5E57">
        <w:rPr>
          <w:rFonts w:ascii="Arial" w:hAnsi="Arial"/>
        </w:rPr>
        <w:t>:</w:t>
      </w:r>
    </w:p>
    <w:p w14:paraId="7AFE672E" w14:textId="77777777" w:rsidR="007D37DC" w:rsidRPr="00FC5E57" w:rsidRDefault="0071354F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0CC94E0B" w14:textId="77777777" w:rsidR="007D37DC" w:rsidRPr="00FC5E57" w:rsidRDefault="0071354F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</w:t>
      </w:r>
      <w:r w:rsidRPr="00FC5E57">
        <w:rPr>
          <w:rFonts w:ascii="Arial" w:hAnsi="Arial"/>
        </w:rPr>
        <w:t>rning the Issuer which has not been publicly disclosed.</w:t>
      </w:r>
    </w:p>
    <w:p w14:paraId="21C3B911" w14:textId="77777777" w:rsidR="007D37DC" w:rsidRPr="00FC5E57" w:rsidRDefault="0071354F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</w:t>
      </w:r>
      <w:proofErr w:type="gramStart"/>
      <w:r w:rsidRPr="00FC5E57">
        <w:rPr>
          <w:rFonts w:ascii="Arial" w:hAnsi="Arial"/>
        </w:rPr>
        <w:t>is in compliance with</w:t>
      </w:r>
      <w:proofErr w:type="gramEnd"/>
      <w:r w:rsidRPr="00FC5E57">
        <w:rPr>
          <w:rFonts w:ascii="Arial" w:hAnsi="Arial"/>
        </w:rPr>
        <w:t xml:space="preserve">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14:paraId="6C9F7613" w14:textId="77777777" w:rsidR="007D37DC" w:rsidRPr="00FC5E57" w:rsidRDefault="0071354F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proofErr w:type="gramStart"/>
      <w:r w:rsidRPr="00FC5E57">
        <w:rPr>
          <w:rFonts w:ascii="Arial" w:hAnsi="Arial"/>
        </w:rPr>
        <w:t>All of</w:t>
      </w:r>
      <w:proofErr w:type="gramEnd"/>
      <w:r w:rsidRPr="00FC5E57">
        <w:rPr>
          <w:rFonts w:ascii="Arial" w:hAnsi="Arial"/>
        </w:rPr>
        <w:t xml:space="preserve">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14:paraId="3C8199E2" w14:textId="77777777" w:rsidR="007D37DC" w:rsidRPr="00FC5E57" w:rsidRDefault="0071354F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="00E0577E" w:rsidRPr="00445162">
        <w:rPr>
          <w:rFonts w:ascii="Arial" w:hAnsi="Arial"/>
          <w:u w:val="single"/>
        </w:rPr>
        <w:t xml:space="preserve">October </w:t>
      </w:r>
      <w:r w:rsidR="007C64A3">
        <w:rPr>
          <w:rFonts w:ascii="Arial" w:hAnsi="Arial"/>
          <w:u w:val="single"/>
        </w:rPr>
        <w:t>16</w:t>
      </w:r>
      <w:r w:rsidR="00E0577E" w:rsidRPr="00445162">
        <w:rPr>
          <w:rFonts w:ascii="Arial" w:hAnsi="Arial"/>
          <w:u w:val="single"/>
        </w:rPr>
        <w:t>, 2019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t>.</w:t>
      </w:r>
    </w:p>
    <w:p w14:paraId="52F94AFE" w14:textId="77777777" w:rsidR="007D37DC" w:rsidRPr="00FC5E57" w:rsidRDefault="0071354F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E0577E" w:rsidRPr="00E0577E">
        <w:rPr>
          <w:rFonts w:ascii="Arial" w:hAnsi="Arial"/>
          <w:u w:val="single"/>
        </w:rPr>
        <w:t>David Lyle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14:paraId="40BECE96" w14:textId="106B35CB" w:rsidR="007D37DC" w:rsidRPr="00FC5E57" w:rsidRDefault="0071354F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bookmarkStart w:id="17" w:name="_GoBack"/>
      <w:r w:rsidR="00B909E4" w:rsidRPr="00B909E4">
        <w:rPr>
          <w:rFonts w:ascii="Arial" w:hAnsi="Arial"/>
          <w:u w:val="single"/>
        </w:rPr>
        <w:t>/s/ David Lyle</w:t>
      </w:r>
      <w:bookmarkEnd w:id="17"/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>Signature</w:t>
      </w:r>
    </w:p>
    <w:p w14:paraId="730821F0" w14:textId="77777777" w:rsidR="007D37DC" w:rsidRPr="00FC5E57" w:rsidRDefault="0071354F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E0577E" w:rsidRPr="00E0577E">
        <w:rPr>
          <w:rFonts w:ascii="Arial" w:hAnsi="Arial"/>
          <w:u w:val="single"/>
        </w:rPr>
        <w:t>Chief Financial Officer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14:paraId="1A0ADF0A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14:paraId="2E1B3702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A89B" w14:textId="77777777" w:rsidR="0071354F" w:rsidRDefault="0071354F">
      <w:r>
        <w:separator/>
      </w:r>
    </w:p>
  </w:endnote>
  <w:endnote w:type="continuationSeparator" w:id="0">
    <w:p w14:paraId="194C3F67" w14:textId="77777777" w:rsidR="0071354F" w:rsidRDefault="0071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52AC" w14:textId="77777777" w:rsidR="007D37DC" w:rsidRDefault="007D37D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65209A80" w14:textId="77777777" w:rsidR="004C69F0" w:rsidRDefault="0071354F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D22979" wp14:editId="1D8DF1F5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5.7pt,-12pt" to="467.4pt,-12pt"/>
          </w:pict>
        </mc:Fallback>
      </mc:AlternateContent>
    </w:r>
    <w:r w:rsidR="007D37DC">
      <w:rPr>
        <w:rFonts w:ascii="Arial" w:hAnsi="Arial" w:cs="Arial"/>
        <w:b/>
      </w:rPr>
      <w:t>FORM 1</w:t>
    </w:r>
    <w:r w:rsidR="00AE4CEB">
      <w:rPr>
        <w:rFonts w:ascii="Arial" w:hAnsi="Arial" w:cs="Arial"/>
        <w:b/>
      </w:rPr>
      <w:t>3</w:t>
    </w:r>
    <w:r w:rsidR="007D37DC">
      <w:rPr>
        <w:rFonts w:ascii="Arial" w:hAnsi="Arial" w:cs="Arial"/>
        <w:b/>
      </w:rPr>
      <w:t xml:space="preserve"> – NOTICE OF </w:t>
    </w:r>
    <w:r w:rsidR="007D37DC">
      <w:rPr>
        <w:rStyle w:val="PageNumber"/>
        <w:rFonts w:ascii="Arial" w:hAnsi="Arial" w:cs="Arial"/>
        <w:b/>
      </w:rPr>
      <w:t>AMENDMENT</w:t>
    </w:r>
  </w:p>
  <w:p w14:paraId="2ED410D2" w14:textId="77777777" w:rsidR="007D37DC" w:rsidRDefault="0071354F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14:paraId="1896067B" w14:textId="77777777" w:rsidR="007D37DC" w:rsidRPr="00845ADB" w:rsidRDefault="0071354F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4E836D61" w14:textId="77777777" w:rsidR="00845ADB" w:rsidRPr="00845ADB" w:rsidRDefault="0071354F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CF0DB1">
      <w:rPr>
        <w:rStyle w:val="PageNumber"/>
        <w:rFonts w:ascii="Arial" w:hAnsi="Arial" w:cs="Arial"/>
        <w:noProof/>
        <w:sz w:val="16"/>
        <w:szCs w:val="16"/>
      </w:rPr>
      <w:t>1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14:paraId="23081422" w14:textId="77777777" w:rsidR="007D37DC" w:rsidRPr="00845ADB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3348D" w14:textId="77777777" w:rsidR="007D37DC" w:rsidRDefault="0071354F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 w14:anchorId="698806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left:0;text-align:left;margin-left:364.05pt;margin-top:15pt;width:100.8pt;height:31.6pt;z-index:251658240">
          <v:imagedata r:id="rId1" o:title=""/>
          <w10:wrap type="topAndBottom"/>
        </v:shape>
        <o:OLEObject Type="Embed" ProgID="PBrush" ShapeID="_x0000_s3074" DrawAspect="Content" ObjectID="_1632736642" r:id="rId2"/>
      </w:object>
    </w:r>
    <w:r>
      <w:rPr>
        <w:rFonts w:ascii="Century Gothic" w:hAnsi="Century Gothic"/>
        <w:b/>
        <w:sz w:val="24"/>
      </w:rPr>
      <w:br/>
    </w:r>
    <w:r>
      <w:rPr>
        <w:rStyle w:val="PageNumber"/>
        <w:rFonts w:ascii="Arial" w:hAnsi="Arial"/>
        <w:b/>
        <w:sz w:val="22"/>
      </w:rPr>
      <w:fldChar w:fldCharType="begin"/>
    </w:r>
    <w:r>
      <w:rPr>
        <w:rStyle w:val="PageNumber"/>
        <w:rFonts w:ascii="Arial" w:hAnsi="Arial"/>
        <w:b/>
        <w:sz w:val="22"/>
      </w:rPr>
      <w:instrText xml:space="preserve"> PAGE </w:instrText>
    </w:r>
    <w:r>
      <w:rPr>
        <w:rStyle w:val="PageNumber"/>
        <w:rFonts w:ascii="Arial" w:hAnsi="Arial"/>
        <w:b/>
        <w:sz w:val="22"/>
      </w:rPr>
      <w:fldChar w:fldCharType="separate"/>
    </w:r>
    <w:r>
      <w:rPr>
        <w:rStyle w:val="PageNumber"/>
        <w:rFonts w:ascii="Arial" w:hAnsi="Arial"/>
        <w:b/>
        <w:noProof/>
        <w:sz w:val="22"/>
      </w:rPr>
      <w:t>1</w:t>
    </w:r>
    <w:r>
      <w:rPr>
        <w:rStyle w:val="PageNumber"/>
        <w:rFonts w:ascii="Arial" w:hAnsi="Arial"/>
        <w:b/>
        <w:sz w:val="22"/>
      </w:rPr>
      <w:fldChar w:fldCharType="end"/>
    </w:r>
  </w:p>
  <w:p w14:paraId="5AB3C85B" w14:textId="77777777"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4F3E" w14:textId="77777777" w:rsidR="0071354F" w:rsidRDefault="0071354F">
      <w:r>
        <w:separator/>
      </w:r>
    </w:p>
  </w:footnote>
  <w:footnote w:type="continuationSeparator" w:id="0">
    <w:p w14:paraId="68F5A68B" w14:textId="77777777" w:rsidR="0071354F" w:rsidRDefault="0071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FBEE9" w14:textId="77777777" w:rsidR="007D37DC" w:rsidRDefault="00713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4BEF6D" w14:textId="77777777"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0055" w14:textId="77777777"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200383FD" w14:textId="77777777"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037A" w14:textId="77777777" w:rsidR="007D37DC" w:rsidRPr="0062481D" w:rsidRDefault="0071354F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B909E4">
      <w:rPr>
        <w:b/>
        <w:noProof/>
      </w:rPr>
      <w:t>10/16/2019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B909E4">
      <w:rPr>
        <w:b/>
        <w:noProof/>
      </w:rPr>
      <w:t>1:08 PM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6F8CCD6C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91A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A8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D65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E0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AAC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087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94C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DE5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950801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4BB250B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304DBD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B5E530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47029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63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E28008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34727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C6F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F5C63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601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22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05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F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A6C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30A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88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08D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B8B"/>
    <w:rsid w:val="00065924"/>
    <w:rsid w:val="00075A60"/>
    <w:rsid w:val="001310AC"/>
    <w:rsid w:val="00164F4C"/>
    <w:rsid w:val="001A3CBF"/>
    <w:rsid w:val="001A730B"/>
    <w:rsid w:val="001C506E"/>
    <w:rsid w:val="001D1A36"/>
    <w:rsid w:val="002A5A0F"/>
    <w:rsid w:val="002B6DAE"/>
    <w:rsid w:val="002D2AB8"/>
    <w:rsid w:val="002E66D4"/>
    <w:rsid w:val="00357C3C"/>
    <w:rsid w:val="00393304"/>
    <w:rsid w:val="00396100"/>
    <w:rsid w:val="003D4FF4"/>
    <w:rsid w:val="003F12A0"/>
    <w:rsid w:val="00445162"/>
    <w:rsid w:val="0045252E"/>
    <w:rsid w:val="00456284"/>
    <w:rsid w:val="004C69F0"/>
    <w:rsid w:val="004F4DB5"/>
    <w:rsid w:val="005159AD"/>
    <w:rsid w:val="0056684A"/>
    <w:rsid w:val="005D23D3"/>
    <w:rsid w:val="0062481D"/>
    <w:rsid w:val="00627BBB"/>
    <w:rsid w:val="0064152E"/>
    <w:rsid w:val="006B0982"/>
    <w:rsid w:val="006D4410"/>
    <w:rsid w:val="006D5979"/>
    <w:rsid w:val="0070090C"/>
    <w:rsid w:val="0071354F"/>
    <w:rsid w:val="007356F1"/>
    <w:rsid w:val="007A2EC4"/>
    <w:rsid w:val="007A7669"/>
    <w:rsid w:val="007B0B8B"/>
    <w:rsid w:val="007B2032"/>
    <w:rsid w:val="007C64A3"/>
    <w:rsid w:val="007D37DC"/>
    <w:rsid w:val="00800EA2"/>
    <w:rsid w:val="008027A7"/>
    <w:rsid w:val="008104F8"/>
    <w:rsid w:val="008233D7"/>
    <w:rsid w:val="00845ADB"/>
    <w:rsid w:val="008523D1"/>
    <w:rsid w:val="008612DA"/>
    <w:rsid w:val="00931ADD"/>
    <w:rsid w:val="00981572"/>
    <w:rsid w:val="009A1BF3"/>
    <w:rsid w:val="00A272B2"/>
    <w:rsid w:val="00A85398"/>
    <w:rsid w:val="00AE4CEB"/>
    <w:rsid w:val="00B055DD"/>
    <w:rsid w:val="00B15741"/>
    <w:rsid w:val="00B909E4"/>
    <w:rsid w:val="00BC45FB"/>
    <w:rsid w:val="00BD2903"/>
    <w:rsid w:val="00C22645"/>
    <w:rsid w:val="00C23DA1"/>
    <w:rsid w:val="00C30E86"/>
    <w:rsid w:val="00CF0DB1"/>
    <w:rsid w:val="00CF664E"/>
    <w:rsid w:val="00D20AFB"/>
    <w:rsid w:val="00D337A8"/>
    <w:rsid w:val="00DD4517"/>
    <w:rsid w:val="00E0577E"/>
    <w:rsid w:val="00E54DC9"/>
    <w:rsid w:val="00E816FF"/>
    <w:rsid w:val="00ED79D9"/>
    <w:rsid w:val="00EE7259"/>
    <w:rsid w:val="00EF3E7A"/>
    <w:rsid w:val="00F379B2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  <w14:docId w14:val="45F84188"/>
  <w15:docId w15:val="{982E1421-40E8-4AB6-9411-917CBC6E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33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  <w:style w:type="character" w:customStyle="1" w:styleId="Heading1Char">
    <w:name w:val="Heading 1 Char"/>
    <w:basedOn w:val="DefaultParagraphFont"/>
    <w:link w:val="Heading1"/>
    <w:rsid w:val="008233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Somer</dc:creator>
  <cp:lastModifiedBy>Jason Somer</cp:lastModifiedBy>
  <cp:revision>2</cp:revision>
  <cp:lastPrinted>2007-03-19T15:45:00Z</cp:lastPrinted>
  <dcterms:created xsi:type="dcterms:W3CDTF">2019-10-16T20:11:00Z</dcterms:created>
  <dcterms:modified xsi:type="dcterms:W3CDTF">2019-10-16T20:11:00Z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3214.001\0157</vt:lpwstr>
  </property>
</Properties>
</file>