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after="120"/>
        <w:rPr>
          <w:sz w:val="28"/>
          <w:lang w:val="en-CA"/>
        </w:rPr>
      </w:pPr>
      <w:r>
        <w:rPr>
          <w:sz w:val="28"/>
          <w:lang w:val="en-CA"/>
        </w:rPr>
        <w:t>FORM 9</w:t>
      </w:r>
    </w:p>
    <w:p>
      <w:pPr>
        <w:pStyle w:val="Title"/>
        <w:spacing w:before="0" w:after="0"/>
        <w:rPr>
          <w:sz w:val="28"/>
          <w:u w:val="single"/>
          <w:lang w:val="en-CA"/>
        </w:rPr>
      </w:pPr>
      <w:r>
        <w:rPr>
          <w:sz w:val="28"/>
          <w:u w:val="single"/>
          <w:lang w:val="en-CA"/>
        </w:rPr>
        <w:t xml:space="preserve">NOTICE OF ISSUANCE OR PROPOSED ISSUANCE OF LISTED SECURITIES </w:t>
      </w:r>
    </w:p>
    <w:p>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9"/>
        <w:gridCol w:w="3021"/>
      </w:tblGrid>
      <w:tr>
        <w:tc>
          <w:tcPr>
            <w:tcW w:w="6487" w:type="dxa"/>
          </w:tcPr>
          <w:p>
            <w:pPr>
              <w:pStyle w:val="BodyText"/>
              <w:rPr>
                <w:rFonts w:ascii="Arial" w:hAnsi="Arial"/>
                <w:lang w:val="en-CA"/>
              </w:rPr>
            </w:pPr>
            <w:proofErr w:type="spellStart"/>
            <w:r>
              <w:rPr>
                <w:rFonts w:ascii="Arial" w:hAnsi="Arial"/>
                <w:lang w:val="en-CA"/>
              </w:rPr>
              <w:t>Trulieve</w:t>
            </w:r>
            <w:proofErr w:type="spellEnd"/>
            <w:r>
              <w:rPr>
                <w:rFonts w:ascii="Arial" w:hAnsi="Arial"/>
                <w:lang w:val="en-CA"/>
              </w:rPr>
              <w:t xml:space="preserve"> Cannabis Corp. (the “Issuer”).  </w:t>
            </w:r>
          </w:p>
        </w:tc>
        <w:tc>
          <w:tcPr>
            <w:tcW w:w="3089" w:type="dxa"/>
          </w:tcPr>
          <w:p>
            <w:pPr>
              <w:pStyle w:val="BodyText"/>
              <w:rPr>
                <w:rFonts w:ascii="Arial" w:hAnsi="Arial"/>
                <w:lang w:val="en-CA"/>
              </w:rPr>
            </w:pPr>
            <w:proofErr w:type="spellStart"/>
            <w:r>
              <w:rPr>
                <w:rFonts w:ascii="Arial" w:hAnsi="Arial"/>
                <w:lang w:val="en-CA"/>
              </w:rPr>
              <w:t>TRUL</w:t>
            </w:r>
            <w:proofErr w:type="spellEnd"/>
          </w:p>
        </w:tc>
      </w:tr>
    </w:tbl>
    <w:p>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 xml:space="preserve">September 20, 2020 </w:t>
      </w:r>
      <w:r>
        <w:rPr>
          <w:rFonts w:ascii="Arial" w:hAnsi="Arial"/>
          <w:lang w:val="en-CA"/>
        </w:rPr>
        <w:t xml:space="preserve">Is this an updating or amending Notice: </w:t>
      </w:r>
      <w:r>
        <w:rPr>
          <w:rFonts w:ascii="Arial" w:hAnsi="Arial"/>
          <w:lang w:val="en-CA"/>
        </w:rPr>
        <w:tab/>
        <w:t>X 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b/>
          <w:lang w:val="en-CA"/>
        </w:rPr>
        <w:t xml:space="preserve"> </w:t>
      </w:r>
      <w:r>
        <w:rPr>
          <w:rFonts w:ascii="Arial" w:hAnsi="Arial"/>
          <w:lang w:val="en-CA"/>
        </w:rPr>
        <w:t>No</w:t>
      </w:r>
      <w:r>
        <w:rPr>
          <w:rFonts w:ascii="Arial" w:hAnsi="Arial"/>
          <w:sz w:val="32"/>
          <w:lang w:val="en-CA"/>
        </w:rPr>
        <w:tab/>
      </w:r>
    </w:p>
    <w:p>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Pr>
          <w:rFonts w:ascii="Arial" w:hAnsi="Arial"/>
          <w:u w:val="single"/>
          <w:lang w:val="en-CA"/>
        </w:rPr>
        <w:t>September 17, 2020</w:t>
      </w:r>
      <w:r>
        <w:rPr>
          <w:rFonts w:ascii="Arial" w:hAnsi="Arial"/>
          <w:lang w:val="en-CA"/>
        </w:rPr>
        <w:t>.</w:t>
      </w:r>
    </w:p>
    <w:p>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‎53,401,630 Subordinate Voting Shares</w:t>
      </w:r>
      <w:r>
        <w:rPr>
          <w:rFonts w:ascii="Arial" w:hAnsi="Arial"/>
          <w:lang w:val="en-CA"/>
        </w:rPr>
        <w:t>.</w:t>
      </w:r>
    </w:p>
    <w:p>
      <w:pPr>
        <w:pStyle w:val="BodyText"/>
        <w:tabs>
          <w:tab w:val="left" w:pos="9180"/>
        </w:tabs>
        <w:spacing w:before="0" w:after="120"/>
        <w:rPr>
          <w:rFonts w:ascii="Arial" w:hAnsi="Arial"/>
          <w:b/>
          <w:lang w:val="en-CA"/>
        </w:rPr>
      </w:pPr>
      <w:r>
        <w:rPr>
          <w:rFonts w:ascii="Arial" w:hAnsi="Arial"/>
          <w:b/>
          <w:lang w:val="en-CA"/>
        </w:rPr>
        <w:t>Pricing</w:t>
      </w:r>
    </w:p>
    <w:p>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t>September 16, 2020 (after market close) (announcing the Private Placement and the concurrent proposed prospectus offering (the “</w:t>
      </w:r>
      <w:r>
        <w:rPr>
          <w:rFonts w:ascii="Arial" w:hAnsi="Arial"/>
          <w:b/>
          <w:u w:val="single"/>
          <w:lang w:val="en-CA"/>
        </w:rPr>
        <w:t>Concurrent</w:t>
      </w:r>
      <w:r>
        <w:rPr>
          <w:rFonts w:ascii="Arial" w:hAnsi="Arial"/>
          <w:u w:val="single"/>
          <w:lang w:val="en-CA"/>
        </w:rPr>
        <w:t xml:space="preserve"> </w:t>
      </w:r>
      <w:r>
        <w:rPr>
          <w:rFonts w:ascii="Arial" w:hAnsi="Arial"/>
          <w:b/>
          <w:u w:val="single"/>
          <w:lang w:val="en-CA"/>
        </w:rPr>
        <w:t>Prospectus Offering</w:t>
      </w:r>
      <w:r>
        <w:rPr>
          <w:rFonts w:ascii="Arial" w:hAnsi="Arial"/>
          <w:u w:val="single"/>
          <w:lang w:val="en-CA"/>
        </w:rPr>
        <w:t>”)</w:t>
      </w:r>
      <w:r>
        <w:rPr>
          <w:rFonts w:ascii="Arial" w:hAnsi="Arial"/>
          <w:lang w:val="en-CA"/>
        </w:rPr>
        <w:t xml:space="preserve"> or</w:t>
      </w:r>
    </w:p>
    <w:p>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C$26.98 (as of September 16, 2020)</w:t>
      </w:r>
      <w:r>
        <w:rPr>
          <w:rFonts w:ascii="Arial" w:hAnsi="Arial"/>
          <w:lang w:val="en-CA"/>
        </w:rPr>
        <w:t xml:space="preserve"> or  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pPr>
        <w:pStyle w:val="BodyText"/>
        <w:tabs>
          <w:tab w:val="left" w:pos="9180"/>
        </w:tabs>
        <w:spacing w:before="0" w:after="120"/>
        <w:rPr>
          <w:rFonts w:ascii="Arial" w:hAnsi="Arial"/>
          <w:b/>
          <w:lang w:val="en-CA"/>
        </w:rPr>
      </w:pPr>
      <w:r>
        <w:rPr>
          <w:rFonts w:ascii="Arial" w:hAnsi="Arial"/>
          <w:b/>
          <w:lang w:val="en-CA"/>
        </w:rPr>
        <w:t>Closing</w:t>
      </w:r>
    </w:p>
    <w:p>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4,715,000 Subordinate Voting Shares pursuant to the Private Placement and the Concurrent Prospectus Offering.</w:t>
      </w:r>
    </w:p>
    <w:p>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u w:val="single"/>
          <w:lang w:val="en-CA"/>
        </w:rPr>
        <w:t>58,116,630 Subordinate Voting Shares.</w:t>
      </w:r>
    </w:p>
    <w:p>
      <w:pPr>
        <w:pStyle w:val="BodyText"/>
        <w:tabs>
          <w:tab w:val="left" w:pos="9180"/>
        </w:tabs>
        <w:spacing w:before="0" w:after="120"/>
        <w:rPr>
          <w:rFonts w:ascii="Arial" w:hAnsi="Arial"/>
          <w:b/>
          <w:lang w:val="en-CA"/>
        </w:rPr>
      </w:pPr>
      <w:r>
        <w:rPr>
          <w:rFonts w:ascii="Arial" w:hAnsi="Arial"/>
          <w:b/>
          <w:lang w:val="en-CA"/>
        </w:rPr>
        <w:t>Instructions: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w:t>
      </w:r>
      <w:proofErr w:type="spellStart"/>
      <w:r>
        <w:rPr>
          <w:rFonts w:ascii="Arial" w:hAnsi="Arial"/>
          <w:lang w:val="en-CA"/>
        </w:rPr>
        <w:t>placees</w:t>
      </w:r>
      <w:proofErr w:type="spellEnd"/>
      <w:r>
        <w:rPr>
          <w:rFonts w:ascii="Arial" w:hAnsi="Arial"/>
          <w:lang w:val="en-CA"/>
        </w:rPr>
        <w:t>.</w:t>
      </w:r>
      <w:r>
        <w:rPr>
          <w:rFonts w:ascii="Arial" w:hAnsi="Arial"/>
          <w:b/>
          <w:lang w:val="en-CA"/>
        </w:rPr>
        <w:br w:type="page"/>
      </w:r>
    </w:p>
    <w:p>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pPr>
        <w:pStyle w:val="BodyText"/>
        <w:rPr>
          <w:rFonts w:ascii="Arial" w:hAnsi="Arial"/>
          <w:b/>
          <w:u w:val="single"/>
          <w:lang w:val="en-CA"/>
        </w:rPr>
      </w:pPr>
      <w:r>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tc>
          <w:tcPr>
            <w:tcW w:w="3652" w:type="dxa"/>
          </w:tcPr>
          <w:p>
            <w:pPr>
              <w:pStyle w:val="BodyText"/>
              <w:rPr>
                <w:rFonts w:ascii="Arial" w:hAnsi="Arial"/>
                <w:lang w:val="en-CA"/>
              </w:rPr>
            </w:pPr>
            <w:r>
              <w:rPr>
                <w:rFonts w:ascii="Arial" w:hAnsi="Arial"/>
                <w:lang w:val="en-CA"/>
              </w:rPr>
              <w:t>Each jurisdiction in which purchasers reside</w:t>
            </w:r>
          </w:p>
        </w:tc>
        <w:tc>
          <w:tcPr>
            <w:tcW w:w="1701" w:type="dxa"/>
          </w:tcPr>
          <w:p>
            <w:pPr>
              <w:pStyle w:val="BodyText"/>
              <w:rPr>
                <w:rFonts w:ascii="Arial" w:hAnsi="Arial"/>
                <w:lang w:val="en-CA"/>
              </w:rPr>
            </w:pPr>
            <w:r>
              <w:rPr>
                <w:rFonts w:ascii="Arial" w:hAnsi="Arial"/>
                <w:lang w:val="en-CA"/>
              </w:rPr>
              <w:t>Number of Purchasers</w:t>
            </w:r>
          </w:p>
        </w:tc>
        <w:tc>
          <w:tcPr>
            <w:tcW w:w="1829" w:type="dxa"/>
          </w:tcPr>
          <w:p>
            <w:pPr>
              <w:pStyle w:val="BodyText"/>
              <w:rPr>
                <w:rFonts w:ascii="Arial" w:hAnsi="Arial"/>
                <w:lang w:val="en-CA"/>
              </w:rPr>
            </w:pPr>
            <w:r>
              <w:rPr>
                <w:rFonts w:ascii="Arial" w:hAnsi="Arial"/>
                <w:lang w:val="en-CA"/>
              </w:rPr>
              <w:t>Price per Security</w:t>
            </w:r>
          </w:p>
        </w:tc>
        <w:tc>
          <w:tcPr>
            <w:tcW w:w="2394" w:type="dxa"/>
          </w:tcPr>
          <w:p>
            <w:pPr>
              <w:pStyle w:val="BodyText"/>
              <w:rPr>
                <w:rFonts w:ascii="Arial" w:hAnsi="Arial"/>
                <w:lang w:val="en-CA"/>
              </w:rPr>
            </w:pPr>
            <w:r>
              <w:rPr>
                <w:rFonts w:ascii="Arial" w:hAnsi="Arial"/>
                <w:lang w:val="en-CA"/>
              </w:rPr>
              <w:t>Total dollar value (CDN$) raised in the jurisdiction</w:t>
            </w:r>
          </w:p>
        </w:tc>
      </w:tr>
      <w:tr>
        <w:tc>
          <w:tcPr>
            <w:tcW w:w="3652" w:type="dxa"/>
          </w:tcPr>
          <w:p>
            <w:pPr>
              <w:pStyle w:val="BodyText"/>
              <w:rPr>
                <w:rFonts w:ascii="Arial" w:hAnsi="Arial"/>
                <w:lang w:val="en-CA"/>
              </w:rPr>
            </w:pPr>
            <w:r>
              <w:rPr>
                <w:rFonts w:ascii="Arial" w:hAnsi="Arial"/>
                <w:lang w:val="en-CA"/>
              </w:rPr>
              <w:t>United States</w:t>
            </w:r>
          </w:p>
        </w:tc>
        <w:tc>
          <w:tcPr>
            <w:tcW w:w="1701" w:type="dxa"/>
          </w:tcPr>
          <w:p>
            <w:pPr>
              <w:pStyle w:val="BodyText"/>
              <w:rPr>
                <w:rFonts w:ascii="Arial" w:hAnsi="Arial"/>
                <w:lang w:val="en-CA"/>
              </w:rPr>
            </w:pPr>
            <w:r>
              <w:rPr>
                <w:rFonts w:ascii="Arial" w:hAnsi="Arial"/>
                <w:lang w:val="en-CA"/>
              </w:rPr>
              <w:t>10</w:t>
            </w:r>
          </w:p>
        </w:tc>
        <w:tc>
          <w:tcPr>
            <w:tcW w:w="1829" w:type="dxa"/>
          </w:tcPr>
          <w:p>
            <w:pPr>
              <w:pStyle w:val="BodyText"/>
              <w:rPr>
                <w:rFonts w:ascii="Arial" w:hAnsi="Arial"/>
                <w:lang w:val="en-CA"/>
              </w:rPr>
            </w:pPr>
            <w:r>
              <w:rPr>
                <w:rFonts w:ascii="Arial" w:hAnsi="Arial"/>
                <w:lang w:val="en-CA"/>
              </w:rPr>
              <w:t>C$24.50</w:t>
            </w:r>
          </w:p>
        </w:tc>
        <w:tc>
          <w:tcPr>
            <w:tcW w:w="2394" w:type="dxa"/>
          </w:tcPr>
          <w:p>
            <w:pPr>
              <w:pStyle w:val="BodyText"/>
              <w:rPr>
                <w:rFonts w:ascii="Arial" w:hAnsi="Arial"/>
                <w:lang w:val="en-CA"/>
              </w:rPr>
            </w:pPr>
            <w:r>
              <w:rPr>
                <w:rFonts w:ascii="Arial" w:hAnsi="Arial"/>
                <w:lang w:val="en-CA"/>
              </w:rPr>
              <w:t>C$21,364,000</w:t>
            </w:r>
          </w:p>
        </w:tc>
      </w:tr>
      <w:tr>
        <w:tc>
          <w:tcPr>
            <w:tcW w:w="3652" w:type="dxa"/>
          </w:tcPr>
          <w:p>
            <w:pPr>
              <w:pStyle w:val="BodyText"/>
              <w:rPr>
                <w:rFonts w:ascii="Arial" w:hAnsi="Arial"/>
                <w:lang w:val="en-CA"/>
              </w:rPr>
            </w:pPr>
            <w:r>
              <w:rPr>
                <w:rFonts w:ascii="Arial" w:hAnsi="Arial"/>
                <w:lang w:val="en-CA"/>
              </w:rPr>
              <w:t>Offshore</w:t>
            </w:r>
          </w:p>
        </w:tc>
        <w:tc>
          <w:tcPr>
            <w:tcW w:w="1701" w:type="dxa"/>
          </w:tcPr>
          <w:p>
            <w:pPr>
              <w:pStyle w:val="BodyText"/>
              <w:rPr>
                <w:rFonts w:ascii="Arial" w:hAnsi="Arial"/>
                <w:lang w:val="en-CA"/>
              </w:rPr>
            </w:pPr>
            <w:r>
              <w:rPr>
                <w:rFonts w:ascii="Arial" w:hAnsi="Arial"/>
                <w:lang w:val="en-CA"/>
              </w:rPr>
              <w:t>20</w:t>
            </w:r>
          </w:p>
        </w:tc>
        <w:tc>
          <w:tcPr>
            <w:tcW w:w="1829" w:type="dxa"/>
          </w:tcPr>
          <w:p>
            <w:pPr>
              <w:pStyle w:val="BodyText"/>
              <w:rPr>
                <w:rFonts w:ascii="Arial" w:hAnsi="Arial"/>
                <w:lang w:val="en-CA"/>
              </w:rPr>
            </w:pPr>
            <w:r>
              <w:rPr>
                <w:rFonts w:ascii="Arial" w:hAnsi="Arial"/>
                <w:lang w:val="en-CA"/>
              </w:rPr>
              <w:t>C$24.50</w:t>
            </w:r>
          </w:p>
        </w:tc>
        <w:tc>
          <w:tcPr>
            <w:tcW w:w="2394" w:type="dxa"/>
          </w:tcPr>
          <w:p>
            <w:pPr>
              <w:pStyle w:val="BodyText"/>
              <w:rPr>
                <w:rFonts w:ascii="Arial" w:hAnsi="Arial"/>
                <w:lang w:val="en-CA"/>
              </w:rPr>
            </w:pPr>
            <w:r>
              <w:rPr>
                <w:rFonts w:ascii="Arial" w:hAnsi="Arial"/>
                <w:lang w:val="en-CA"/>
              </w:rPr>
              <w:t>C$41,699,000</w:t>
            </w:r>
          </w:p>
        </w:tc>
      </w:tr>
      <w:tr>
        <w:tc>
          <w:tcPr>
            <w:tcW w:w="3652" w:type="dxa"/>
          </w:tcPr>
          <w:p>
            <w:pPr>
              <w:pStyle w:val="BodyText"/>
              <w:rPr>
                <w:rFonts w:ascii="Arial" w:hAnsi="Arial"/>
                <w:lang w:val="en-CA"/>
              </w:rPr>
            </w:pPr>
            <w:r>
              <w:rPr>
                <w:rFonts w:ascii="Arial" w:hAnsi="Arial"/>
                <w:lang w:val="en-CA"/>
              </w:rPr>
              <w:t>Total number of purchasers:</w:t>
            </w:r>
          </w:p>
        </w:tc>
        <w:tc>
          <w:tcPr>
            <w:tcW w:w="1701" w:type="dxa"/>
          </w:tcPr>
          <w:p>
            <w:pPr>
              <w:pStyle w:val="BodyText"/>
              <w:rPr>
                <w:rFonts w:ascii="Arial" w:hAnsi="Arial"/>
                <w:lang w:val="en-CA"/>
              </w:rPr>
            </w:pPr>
            <w:r>
              <w:rPr>
                <w:rFonts w:ascii="Arial" w:hAnsi="Arial"/>
                <w:lang w:val="en-CA"/>
              </w:rPr>
              <w:t>30</w:t>
            </w:r>
          </w:p>
        </w:tc>
        <w:tc>
          <w:tcPr>
            <w:tcW w:w="1829" w:type="dxa"/>
          </w:tcPr>
          <w:p>
            <w:pPr>
              <w:pStyle w:val="BodyText"/>
              <w:rPr>
                <w:rFonts w:ascii="Arial" w:hAnsi="Arial"/>
                <w:lang w:val="en-CA"/>
              </w:rPr>
            </w:pPr>
          </w:p>
        </w:tc>
        <w:tc>
          <w:tcPr>
            <w:tcW w:w="2394" w:type="dxa"/>
          </w:tcPr>
          <w:p>
            <w:pPr>
              <w:pStyle w:val="BodyText"/>
              <w:rPr>
                <w:rFonts w:ascii="Arial" w:hAnsi="Arial"/>
                <w:lang w:val="en-CA"/>
              </w:rPr>
            </w:pPr>
          </w:p>
        </w:tc>
      </w:tr>
      <w:tr>
        <w:tc>
          <w:tcPr>
            <w:tcW w:w="7182" w:type="dxa"/>
            <w:gridSpan w:val="3"/>
          </w:tcPr>
          <w:p>
            <w:pPr>
              <w:pStyle w:val="BodyText"/>
              <w:rPr>
                <w:rFonts w:ascii="Arial" w:hAnsi="Arial"/>
                <w:lang w:val="en-CA"/>
              </w:rPr>
            </w:pPr>
            <w:r>
              <w:rPr>
                <w:rFonts w:ascii="Arial" w:hAnsi="Arial"/>
                <w:lang w:val="en-CA"/>
              </w:rPr>
              <w:t>Total dollar value of distribution in all jurisdictions:</w:t>
            </w:r>
          </w:p>
        </w:tc>
        <w:tc>
          <w:tcPr>
            <w:tcW w:w="2394" w:type="dxa"/>
          </w:tcPr>
          <w:p>
            <w:pPr>
              <w:pStyle w:val="BodyText"/>
              <w:rPr>
                <w:rFonts w:ascii="Arial" w:hAnsi="Arial"/>
                <w:lang w:val="en-CA"/>
              </w:rPr>
            </w:pPr>
            <w:r>
              <w:rPr>
                <w:rFonts w:ascii="Arial" w:hAnsi="Arial"/>
                <w:lang w:val="en-CA"/>
              </w:rPr>
              <w:t>C$63,063,000</w:t>
            </w:r>
          </w:p>
        </w:tc>
      </w:tr>
    </w:tbl>
    <w:p>
      <w:pPr>
        <w:pStyle w:val="BodyText"/>
        <w:rPr>
          <w:rFonts w:ascii="Arial" w:hAnsi="Arial"/>
          <w:b/>
          <w:u w:val="single"/>
          <w:lang w:val="en-CA"/>
        </w:rPr>
      </w:pPr>
    </w:p>
    <w:p>
      <w:pPr>
        <w:pStyle w:val="BodyText"/>
        <w:rPr>
          <w:rFonts w:ascii="Arial" w:hAnsi="Arial"/>
          <w:b/>
          <w:u w:val="single"/>
          <w:lang w:val="en-CA"/>
        </w:rPr>
      </w:pPr>
      <w:r>
        <w:rPr>
          <w:rFonts w:ascii="Arial" w:hAnsi="Arial"/>
          <w:b/>
          <w:u w:val="single"/>
          <w:lang w:val="en-CA"/>
        </w:rPr>
        <w:t>Table 1B – Related Persons</w:t>
      </w:r>
    </w:p>
    <w:p>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trPr>
          <w:trHeight w:val="1965"/>
        </w:trPr>
        <w:tc>
          <w:tcPr>
            <w:tcW w:w="1368"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Conversion</w:t>
            </w:r>
          </w:p>
          <w:p>
            <w:pPr>
              <w:pStyle w:val="BodyText"/>
              <w:spacing w:before="0" w:line="280" w:lineRule="exact"/>
              <w:jc w:val="center"/>
              <w:rPr>
                <w:rFonts w:ascii="Arial" w:hAnsi="Arial"/>
                <w:b/>
                <w:sz w:val="20"/>
                <w:lang w:val="en-CA"/>
              </w:rPr>
            </w:pPr>
            <w:r>
              <w:rPr>
                <w:rFonts w:ascii="Arial" w:hAnsi="Arial"/>
                <w:b/>
                <w:sz w:val="20"/>
                <w:lang w:val="en-CA"/>
              </w:rPr>
              <w:t>Price (if</w:t>
            </w:r>
          </w:p>
          <w:p>
            <w:pPr>
              <w:pStyle w:val="BodyText"/>
              <w:spacing w:before="0" w:line="280" w:lineRule="exact"/>
              <w:jc w:val="center"/>
              <w:rPr>
                <w:rFonts w:ascii="Arial" w:hAnsi="Arial"/>
                <w:b/>
                <w:sz w:val="20"/>
                <w:lang w:val="en-CA"/>
              </w:rPr>
            </w:pPr>
            <w:r>
              <w:rPr>
                <w:rFonts w:ascii="Arial" w:hAnsi="Arial"/>
                <w:b/>
                <w:sz w:val="20"/>
                <w:lang w:val="en-CA"/>
              </w:rPr>
              <w:t>Applicable)</w:t>
            </w:r>
          </w:p>
          <w:p>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pPr>
              <w:pStyle w:val="BodyText"/>
              <w:spacing w:before="0" w:line="280" w:lineRule="exact"/>
              <w:jc w:val="center"/>
              <w:rPr>
                <w:rFonts w:ascii="Arial" w:hAnsi="Arial"/>
                <w:b/>
                <w:sz w:val="20"/>
              </w:rPr>
            </w:pPr>
          </w:p>
          <w:p>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pPr>
              <w:pStyle w:val="BodyText"/>
              <w:spacing w:before="0" w:line="280" w:lineRule="exact"/>
              <w:jc w:val="center"/>
              <w:rPr>
                <w:rFonts w:ascii="Arial" w:hAnsi="Arial"/>
                <w:b/>
                <w:color w:val="000000"/>
                <w:sz w:val="20"/>
                <w:lang w:val="en-CA"/>
              </w:rPr>
            </w:pPr>
          </w:p>
          <w:p>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trPr>
          <w:trHeight w:val="864"/>
        </w:trPr>
        <w:tc>
          <w:tcPr>
            <w:tcW w:w="1368" w:type="dxa"/>
          </w:tcPr>
          <w:p>
            <w:pPr>
              <w:pStyle w:val="BodyText"/>
              <w:spacing w:before="0" w:line="280" w:lineRule="exact"/>
              <w:jc w:val="center"/>
              <w:rPr>
                <w:rFonts w:ascii="Arial" w:hAnsi="Arial"/>
                <w:sz w:val="20"/>
                <w:lang w:val="en-CA"/>
              </w:rPr>
            </w:pPr>
            <w:r>
              <w:rPr>
                <w:rFonts w:ascii="Arial" w:hAnsi="Arial"/>
                <w:sz w:val="20"/>
                <w:lang w:val="en-CA"/>
              </w:rPr>
              <w:t>Not Applicable</w:t>
            </w:r>
          </w:p>
        </w:tc>
        <w:tc>
          <w:tcPr>
            <w:tcW w:w="1350" w:type="dxa"/>
          </w:tcPr>
          <w:p>
            <w:pPr>
              <w:pStyle w:val="BodyText"/>
              <w:spacing w:before="0" w:line="280" w:lineRule="exact"/>
              <w:jc w:val="center"/>
              <w:rPr>
                <w:rFonts w:ascii="Arial" w:hAnsi="Arial"/>
                <w:b/>
                <w:sz w:val="20"/>
                <w:lang w:val="en-CA"/>
              </w:rPr>
            </w:pPr>
          </w:p>
        </w:tc>
        <w:tc>
          <w:tcPr>
            <w:tcW w:w="1170" w:type="dxa"/>
          </w:tcPr>
          <w:p>
            <w:pPr>
              <w:pStyle w:val="BodyText"/>
              <w:spacing w:before="0" w:line="280" w:lineRule="exact"/>
              <w:jc w:val="center"/>
              <w:rPr>
                <w:rFonts w:ascii="Arial" w:hAnsi="Arial"/>
                <w:b/>
                <w:sz w:val="20"/>
                <w:lang w:val="en-CA"/>
              </w:rPr>
            </w:pPr>
          </w:p>
        </w:tc>
        <w:tc>
          <w:tcPr>
            <w:tcW w:w="1350" w:type="dxa"/>
          </w:tcPr>
          <w:p>
            <w:pPr>
              <w:pStyle w:val="BodyText"/>
              <w:spacing w:before="0" w:line="280" w:lineRule="exact"/>
              <w:jc w:val="center"/>
              <w:rPr>
                <w:rFonts w:ascii="Arial" w:hAnsi="Arial"/>
                <w:b/>
                <w:sz w:val="20"/>
                <w:lang w:val="en-CA"/>
              </w:rPr>
            </w:pPr>
          </w:p>
        </w:tc>
        <w:tc>
          <w:tcPr>
            <w:tcW w:w="1350" w:type="dxa"/>
          </w:tcPr>
          <w:p>
            <w:pPr>
              <w:pStyle w:val="BodyText"/>
              <w:spacing w:before="0" w:line="280" w:lineRule="exact"/>
              <w:jc w:val="center"/>
              <w:rPr>
                <w:rFonts w:ascii="Arial" w:hAnsi="Arial"/>
                <w:b/>
                <w:sz w:val="20"/>
                <w:lang w:val="en-CA"/>
              </w:rPr>
            </w:pPr>
          </w:p>
        </w:tc>
        <w:tc>
          <w:tcPr>
            <w:tcW w:w="1710" w:type="dxa"/>
          </w:tcPr>
          <w:p>
            <w:pPr>
              <w:pStyle w:val="BodyText"/>
              <w:spacing w:before="0" w:line="280" w:lineRule="exact"/>
              <w:jc w:val="center"/>
              <w:rPr>
                <w:rFonts w:ascii="Arial" w:hAnsi="Arial"/>
                <w:b/>
                <w:sz w:val="20"/>
              </w:rPr>
            </w:pPr>
          </w:p>
        </w:tc>
        <w:tc>
          <w:tcPr>
            <w:tcW w:w="1080" w:type="dxa"/>
          </w:tcPr>
          <w:p>
            <w:pPr>
              <w:pStyle w:val="BodyText"/>
              <w:spacing w:before="0" w:line="280" w:lineRule="exact"/>
              <w:jc w:val="center"/>
              <w:rPr>
                <w:rFonts w:ascii="Arial" w:hAnsi="Arial"/>
                <w:b/>
                <w:sz w:val="20"/>
                <w:lang w:val="en-CA"/>
              </w:rPr>
            </w:pPr>
          </w:p>
        </w:tc>
        <w:tc>
          <w:tcPr>
            <w:tcW w:w="1080" w:type="dxa"/>
          </w:tcPr>
          <w:p>
            <w:pPr>
              <w:pStyle w:val="BodyText"/>
              <w:spacing w:before="0" w:line="280" w:lineRule="exact"/>
              <w:jc w:val="center"/>
              <w:rPr>
                <w:rFonts w:ascii="Arial" w:hAnsi="Arial"/>
                <w:b/>
                <w:color w:val="000000"/>
                <w:sz w:val="20"/>
                <w:lang w:val="en-CA"/>
              </w:rPr>
            </w:pPr>
          </w:p>
        </w:tc>
      </w:tr>
      <w:tr>
        <w:trPr>
          <w:trHeight w:val="864"/>
        </w:trPr>
        <w:tc>
          <w:tcPr>
            <w:tcW w:w="1368" w:type="dxa"/>
          </w:tcPr>
          <w:p>
            <w:pPr>
              <w:pStyle w:val="BodyText"/>
              <w:rPr>
                <w:rFonts w:ascii="Arial" w:hAnsi="Arial"/>
                <w:lang w:val="en-CA"/>
              </w:rPr>
            </w:pPr>
          </w:p>
          <w:p>
            <w:pPr>
              <w:pStyle w:val="BodyText"/>
              <w:rPr>
                <w:rFonts w:ascii="Arial" w:hAnsi="Arial"/>
                <w:lang w:val="en-CA"/>
              </w:rPr>
            </w:pPr>
          </w:p>
        </w:tc>
        <w:tc>
          <w:tcPr>
            <w:tcW w:w="1350" w:type="dxa"/>
          </w:tcPr>
          <w:p>
            <w:pPr>
              <w:pStyle w:val="BodyText"/>
              <w:rPr>
                <w:rFonts w:ascii="Arial" w:hAnsi="Arial"/>
                <w:lang w:val="en-CA"/>
              </w:rPr>
            </w:pPr>
          </w:p>
        </w:tc>
        <w:tc>
          <w:tcPr>
            <w:tcW w:w="1170" w:type="dxa"/>
          </w:tcPr>
          <w:p>
            <w:pPr>
              <w:pStyle w:val="BodyText"/>
              <w:rPr>
                <w:rFonts w:ascii="Arial" w:hAnsi="Arial"/>
                <w:lang w:val="en-CA"/>
              </w:rPr>
            </w:pPr>
          </w:p>
        </w:tc>
        <w:tc>
          <w:tcPr>
            <w:tcW w:w="1350" w:type="dxa"/>
          </w:tcPr>
          <w:p>
            <w:pPr>
              <w:pStyle w:val="BodyText"/>
              <w:rPr>
                <w:rFonts w:ascii="Arial" w:hAnsi="Arial"/>
                <w:lang w:val="en-CA"/>
              </w:rPr>
            </w:pPr>
          </w:p>
        </w:tc>
        <w:tc>
          <w:tcPr>
            <w:tcW w:w="1350" w:type="dxa"/>
          </w:tcPr>
          <w:p>
            <w:pPr>
              <w:pStyle w:val="BodyText"/>
              <w:rPr>
                <w:rFonts w:ascii="Arial" w:hAnsi="Arial"/>
                <w:lang w:val="en-CA"/>
              </w:rPr>
            </w:pPr>
          </w:p>
        </w:tc>
        <w:tc>
          <w:tcPr>
            <w:tcW w:w="1710" w:type="dxa"/>
          </w:tcPr>
          <w:p>
            <w:pPr>
              <w:pStyle w:val="BodyText"/>
              <w:rPr>
                <w:rFonts w:ascii="Arial" w:hAnsi="Arial"/>
                <w:lang w:val="en-CA"/>
              </w:rPr>
            </w:pPr>
          </w:p>
        </w:tc>
        <w:tc>
          <w:tcPr>
            <w:tcW w:w="1080" w:type="dxa"/>
          </w:tcPr>
          <w:p>
            <w:pPr>
              <w:pStyle w:val="BodyText"/>
              <w:rPr>
                <w:rFonts w:ascii="Arial" w:hAnsi="Arial"/>
                <w:lang w:val="en-CA"/>
              </w:rPr>
            </w:pPr>
          </w:p>
        </w:tc>
        <w:tc>
          <w:tcPr>
            <w:tcW w:w="1080" w:type="dxa"/>
          </w:tcPr>
          <w:p>
            <w:pPr>
              <w:pStyle w:val="BodyText"/>
              <w:rPr>
                <w:rFonts w:ascii="Arial" w:hAnsi="Arial"/>
                <w:lang w:val="en-CA"/>
              </w:rPr>
            </w:pPr>
          </w:p>
        </w:tc>
      </w:tr>
      <w:tr>
        <w:trPr>
          <w:trHeight w:val="864"/>
        </w:trPr>
        <w:tc>
          <w:tcPr>
            <w:tcW w:w="1368" w:type="dxa"/>
          </w:tcPr>
          <w:p>
            <w:pPr>
              <w:pStyle w:val="BodyText"/>
              <w:rPr>
                <w:rFonts w:ascii="Arial" w:hAnsi="Arial"/>
                <w:lang w:val="en-CA"/>
              </w:rPr>
            </w:pPr>
          </w:p>
        </w:tc>
        <w:tc>
          <w:tcPr>
            <w:tcW w:w="1350" w:type="dxa"/>
          </w:tcPr>
          <w:p>
            <w:pPr>
              <w:pStyle w:val="BodyText"/>
              <w:rPr>
                <w:rFonts w:ascii="Arial" w:hAnsi="Arial"/>
                <w:lang w:val="en-CA"/>
              </w:rPr>
            </w:pPr>
          </w:p>
        </w:tc>
        <w:tc>
          <w:tcPr>
            <w:tcW w:w="1170" w:type="dxa"/>
          </w:tcPr>
          <w:p>
            <w:pPr>
              <w:pStyle w:val="BodyText"/>
              <w:rPr>
                <w:rFonts w:ascii="Arial" w:hAnsi="Arial"/>
                <w:lang w:val="en-CA"/>
              </w:rPr>
            </w:pPr>
          </w:p>
        </w:tc>
        <w:tc>
          <w:tcPr>
            <w:tcW w:w="1350" w:type="dxa"/>
          </w:tcPr>
          <w:p>
            <w:pPr>
              <w:pStyle w:val="BodyText"/>
              <w:rPr>
                <w:rFonts w:ascii="Arial" w:hAnsi="Arial"/>
                <w:lang w:val="en-CA"/>
              </w:rPr>
            </w:pPr>
          </w:p>
        </w:tc>
        <w:tc>
          <w:tcPr>
            <w:tcW w:w="1350" w:type="dxa"/>
          </w:tcPr>
          <w:p>
            <w:pPr>
              <w:pStyle w:val="BodyText"/>
              <w:rPr>
                <w:rFonts w:ascii="Arial" w:hAnsi="Arial"/>
                <w:lang w:val="en-CA"/>
              </w:rPr>
            </w:pPr>
          </w:p>
        </w:tc>
        <w:tc>
          <w:tcPr>
            <w:tcW w:w="1710" w:type="dxa"/>
          </w:tcPr>
          <w:p>
            <w:pPr>
              <w:pStyle w:val="BodyText"/>
              <w:rPr>
                <w:rFonts w:ascii="Arial" w:hAnsi="Arial"/>
                <w:lang w:val="en-CA"/>
              </w:rPr>
            </w:pPr>
          </w:p>
        </w:tc>
        <w:tc>
          <w:tcPr>
            <w:tcW w:w="1080" w:type="dxa"/>
          </w:tcPr>
          <w:p>
            <w:pPr>
              <w:pStyle w:val="BodyText"/>
              <w:rPr>
                <w:rFonts w:ascii="Arial" w:hAnsi="Arial"/>
                <w:lang w:val="en-CA"/>
              </w:rPr>
            </w:pPr>
          </w:p>
        </w:tc>
        <w:tc>
          <w:tcPr>
            <w:tcW w:w="1080" w:type="dxa"/>
          </w:tcPr>
          <w:p>
            <w:pPr>
              <w:pStyle w:val="BodyText"/>
              <w:rPr>
                <w:rFonts w:ascii="Arial" w:hAnsi="Arial"/>
                <w:lang w:val="en-CA"/>
              </w:rPr>
            </w:pPr>
          </w:p>
        </w:tc>
      </w:tr>
    </w:tbl>
    <w:p>
      <w:pPr>
        <w:pStyle w:val="BodyText"/>
        <w:rPr>
          <w:rFonts w:ascii="Arial" w:hAnsi="Arial" w:cs="Arial"/>
          <w:sz w:val="20"/>
        </w:rPr>
      </w:pPr>
    </w:p>
    <w:p>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$115,517,500 pursuant to the Private Placement and the Concurrent Prospectus Offering</w:t>
      </w:r>
      <w:r>
        <w:rPr>
          <w:rFonts w:ascii="Arial" w:hAnsi="Arial"/>
        </w:rPr>
        <w:t>.</w:t>
      </w:r>
    </w:p>
    <w:p>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pPr>
        <w:pStyle w:val="BodyText"/>
        <w:tabs>
          <w:tab w:val="left" w:pos="1080"/>
          <w:tab w:val="left" w:pos="9180"/>
        </w:tabs>
        <w:ind w:left="1080" w:hanging="1080"/>
        <w:rPr>
          <w:rFonts w:ascii="Arial" w:hAnsi="Arial"/>
        </w:rPr>
      </w:pPr>
      <w:r>
        <w:rPr>
          <w:rFonts w:ascii="Arial" w:hAnsi="Arial"/>
        </w:rPr>
        <w:lastRenderedPageBreak/>
        <w:tab/>
      </w:r>
      <w:r>
        <w:rPr>
          <w:rFonts w:ascii="Arial" w:hAnsi="Arial"/>
          <w:u w:val="single"/>
        </w:rPr>
        <w:t>The Issuer intends to use the net proceeds from the Private Placement and ‎the Concurrent Prospectus Offering for capital expenditures, business ‎development and for general corporate purposes</w:t>
      </w:r>
      <w:r>
        <w:rPr>
          <w:rFonts w:ascii="Arial" w:hAnsi="Arial"/>
        </w:rPr>
        <w:t>.</w:t>
      </w:r>
    </w:p>
    <w:p>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pPr>
        <w:pStyle w:val="BodyText"/>
        <w:numPr>
          <w:ilvl w:val="0"/>
          <w:numId w:val="10"/>
        </w:numPr>
        <w:tabs>
          <w:tab w:val="left" w:pos="9180"/>
        </w:tabs>
        <w:rPr>
          <w:rFonts w:ascii="Arial" w:hAnsi="Arial"/>
        </w:rPr>
      </w:pPr>
      <w:r>
        <w:rPr>
          <w:rFonts w:ascii="Arial" w:hAnsi="Arial"/>
        </w:rPr>
        <w:t>Description of securities to be issued:</w:t>
      </w:r>
    </w:p>
    <w:p>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Subordinate Voting Shares</w:t>
      </w:r>
      <w:r>
        <w:rPr>
          <w:rFonts w:ascii="Arial" w:hAnsi="Arial"/>
          <w:u w:val="single"/>
        </w:rPr>
        <w:tab/>
      </w:r>
      <w:r>
        <w:rPr>
          <w:rFonts w:ascii="Arial" w:hAnsi="Arial"/>
        </w:rPr>
        <w:t xml:space="preserve"> .</w:t>
      </w:r>
    </w:p>
    <w:p>
      <w:pPr>
        <w:pStyle w:val="BodyText"/>
        <w:tabs>
          <w:tab w:val="left" w:pos="1080"/>
          <w:tab w:val="left" w:pos="1440"/>
          <w:tab w:val="left" w:pos="2160"/>
          <w:tab w:val="left" w:pos="9356"/>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4</w:t>
      </w:r>
      <w:r>
        <w:rPr>
          <w:rFonts w:ascii="Arial" w:hAnsi="Arial"/>
          <w:u w:val="single"/>
          <w:lang w:val="en-US"/>
        </w:rPr>
        <w:t>,100,000 Subordinate Voting Shares, plus an additional 615,000 Subordinate Voting Shares pursuant to an over-allotment option, for a total of 4,715,000 Subordinate Voting Shares to be issued under the Private Placement and the Concurrent Prospectus Offering.</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C$24.50 per Subordinate Voting Share</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Subordinate Voting Share</w:t>
      </w:r>
      <w:r>
        <w:rPr>
          <w:rFonts w:ascii="Arial" w:hAnsi="Arial"/>
          <w:u w:val="single"/>
        </w:rPr>
        <w:tab/>
      </w:r>
    </w:p>
    <w:p>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 N/A</w:t>
      </w:r>
    </w:p>
    <w:p>
      <w:pPr>
        <w:pStyle w:val="List"/>
        <w:tabs>
          <w:tab w:val="left" w:pos="1440"/>
          <w:tab w:val="left" w:pos="2160"/>
          <w:tab w:val="left" w:pos="3578"/>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u w:val="single"/>
        </w:rPr>
        <w:tab/>
      </w:r>
      <w:r>
        <w:rPr>
          <w:rFonts w:ascii="Arial" w:hAnsi="Arial"/>
        </w:rPr>
        <w:t xml:space="preserve"> .</w:t>
      </w:r>
    </w:p>
    <w:p>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p>
    <w:p>
      <w:pPr>
        <w:pStyle w:val="List"/>
        <w:tabs>
          <w:tab w:val="left" w:pos="1080"/>
          <w:tab w:val="left" w:pos="1440"/>
          <w:tab w:val="left" w:pos="2160"/>
          <w:tab w:val="left" w:pos="4135"/>
          <w:tab w:val="left" w:pos="9180"/>
        </w:tabs>
        <w:ind w:left="0" w:firstLine="0"/>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u w:val="single"/>
        </w:rPr>
        <w:tab/>
      </w:r>
      <w:r>
        <w:rPr>
          <w:rFonts w:ascii="Arial" w:hAnsi="Arial"/>
        </w:rPr>
        <w:t xml:space="preserve"> .</w:t>
      </w:r>
    </w:p>
    <w:p>
      <w:pPr>
        <w:pStyle w:val="List"/>
        <w:tabs>
          <w:tab w:val="left" w:pos="1440"/>
          <w:tab w:val="left" w:pos="2160"/>
          <w:tab w:val="left" w:pos="3600"/>
          <w:tab w:val="left" w:pos="3982"/>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Pr>
          <w:b w:val="0"/>
          <w:sz w:val="24"/>
        </w:rPr>
        <w:t xml:space="preserve"> N/A</w:t>
      </w:r>
    </w:p>
    <w:p>
      <w:pPr>
        <w:pStyle w:val="List"/>
        <w:tabs>
          <w:tab w:val="left" w:pos="1440"/>
          <w:tab w:val="left" w:pos="2160"/>
          <w:tab w:val="left" w:pos="5978"/>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u w:val="single"/>
        </w:rPr>
        <w:tab/>
      </w:r>
      <w:r>
        <w:rPr>
          <w:rFonts w:ascii="Arial" w:hAnsi="Arial"/>
        </w:rPr>
        <w:t xml:space="preserve"> .</w:t>
      </w:r>
    </w:p>
    <w:p>
      <w:pPr>
        <w:pStyle w:val="List"/>
        <w:tabs>
          <w:tab w:val="left" w:pos="1440"/>
          <w:tab w:val="left" w:pos="2160"/>
          <w:tab w:val="left" w:pos="4778"/>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309"/>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5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898"/>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u w:val="single"/>
        </w:rPr>
        <w:tab/>
      </w:r>
      <w:r>
        <w:rPr>
          <w:rFonts w:ascii="Arial" w:hAnsi="Arial"/>
        </w:rPr>
        <w:t xml:space="preserve"> .</w:t>
      </w:r>
    </w:p>
    <w:p>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p>
    <w:p>
      <w:pPr>
        <w:pStyle w:val="List"/>
        <w:tabs>
          <w:tab w:val="left" w:pos="2160"/>
          <w:tab w:val="left" w:pos="9180"/>
        </w:tabs>
        <w:ind w:left="2160"/>
        <w:jc w:val="both"/>
        <w:rPr>
          <w:rFonts w:ascii="Arial" w:hAnsi="Arial"/>
          <w:u w:val="single"/>
        </w:rPr>
      </w:pPr>
      <w:r>
        <w:rPr>
          <w:rFonts w:ascii="Arial" w:hAnsi="Arial"/>
        </w:rPr>
        <w:tab/>
      </w:r>
      <w:proofErr w:type="spellStart"/>
      <w:r>
        <w:rPr>
          <w:rFonts w:ascii="Arial" w:hAnsi="Arial"/>
          <w:u w:val="single"/>
        </w:rPr>
        <w:t>Canaccord</w:t>
      </w:r>
      <w:proofErr w:type="spellEnd"/>
      <w:r>
        <w:rPr>
          <w:rFonts w:ascii="Arial" w:hAnsi="Arial"/>
          <w:u w:val="single"/>
        </w:rPr>
        <w:t xml:space="preserve"> </w:t>
      </w:r>
      <w:proofErr w:type="spellStart"/>
      <w:r>
        <w:rPr>
          <w:rFonts w:ascii="Arial" w:hAnsi="Arial"/>
          <w:u w:val="single"/>
        </w:rPr>
        <w:t>Genuity</w:t>
      </w:r>
      <w:proofErr w:type="spellEnd"/>
      <w:r>
        <w:rPr>
          <w:rFonts w:ascii="Arial" w:hAnsi="Arial"/>
          <w:u w:val="single"/>
        </w:rPr>
        <w:t xml:space="preserve"> Corp. 161 Bay Street, Suite 3000, Toronto, ‎Ontario, M5J 2S1</w:t>
      </w:r>
    </w:p>
    <w:p>
      <w:pPr>
        <w:pStyle w:val="List"/>
        <w:tabs>
          <w:tab w:val="left" w:pos="2160"/>
          <w:tab w:val="left" w:pos="9180"/>
        </w:tabs>
        <w:ind w:left="2160"/>
        <w:jc w:val="both"/>
        <w:rPr>
          <w:rFonts w:ascii="Arial" w:hAnsi="Arial"/>
          <w:u w:val="single"/>
          <w:lang w:val="en-US"/>
        </w:rPr>
      </w:pPr>
      <w:r>
        <w:rPr>
          <w:rFonts w:ascii="Arial" w:hAnsi="Arial"/>
        </w:rPr>
        <w:tab/>
      </w:r>
      <w:r>
        <w:rPr>
          <w:rFonts w:ascii="Arial" w:hAnsi="Arial"/>
          <w:u w:val="single"/>
        </w:rPr>
        <w:t xml:space="preserve">‎Beacon Securities Limited, 66 Wellington Street West, Suite 4050, Toronto, Ontario </w:t>
      </w:r>
      <w:r>
        <w:rPr>
          <w:rFonts w:ascii="Arial" w:hAnsi="Arial"/>
          <w:u w:val="single"/>
          <w:lang w:val="en-CA"/>
        </w:rPr>
        <w:t>M5K 1H1</w:t>
      </w:r>
    </w:p>
    <w:p>
      <w:pPr>
        <w:pStyle w:val="List"/>
        <w:tabs>
          <w:tab w:val="left" w:pos="2160"/>
          <w:tab w:val="left" w:pos="9180"/>
        </w:tabs>
        <w:ind w:left="2160"/>
        <w:jc w:val="both"/>
        <w:rPr>
          <w:rFonts w:ascii="Arial" w:hAnsi="Arial"/>
          <w:u w:val="single"/>
          <w:lang w:val="en-US"/>
        </w:rPr>
      </w:pPr>
      <w:r>
        <w:rPr>
          <w:rFonts w:ascii="Arial" w:hAnsi="Arial"/>
          <w:lang w:val="en-US"/>
        </w:rPr>
        <w:tab/>
      </w:r>
      <w:proofErr w:type="spellStart"/>
      <w:r>
        <w:rPr>
          <w:rFonts w:ascii="Arial" w:hAnsi="Arial"/>
          <w:u w:val="single"/>
          <w:lang w:val="en-US"/>
        </w:rPr>
        <w:t>Cormark</w:t>
      </w:r>
      <w:proofErr w:type="spellEnd"/>
      <w:r>
        <w:rPr>
          <w:rFonts w:ascii="Arial" w:hAnsi="Arial"/>
          <w:u w:val="single"/>
          <w:lang w:val="en-US"/>
        </w:rPr>
        <w:t xml:space="preserve"> Securities Inc. </w:t>
      </w:r>
      <w:r>
        <w:rPr>
          <w:rFonts w:ascii="Arial" w:hAnsi="Arial"/>
          <w:u w:val="single"/>
        </w:rPr>
        <w:t xml:space="preserve">Royal Bank Plaza, North Tower, 200 Bay Street, Suite 1800, Toronto, Ontario </w:t>
      </w:r>
      <w:r>
        <w:rPr>
          <w:rFonts w:ascii="Arial" w:hAnsi="Arial"/>
          <w:u w:val="single"/>
          <w:lang w:val="en-CA"/>
        </w:rPr>
        <w:t>M5J 2J2</w:t>
      </w:r>
    </w:p>
    <w:p>
      <w:pPr>
        <w:pStyle w:val="List"/>
        <w:tabs>
          <w:tab w:val="left" w:pos="2160"/>
          <w:tab w:val="left" w:pos="9180"/>
        </w:tabs>
        <w:ind w:left="2160" w:hanging="33"/>
        <w:jc w:val="both"/>
        <w:rPr>
          <w:rFonts w:ascii="Arial" w:hAnsi="Arial"/>
          <w:u w:val="single"/>
          <w:lang w:val="en-US"/>
        </w:rPr>
      </w:pPr>
      <w:r>
        <w:rPr>
          <w:rFonts w:ascii="Arial" w:hAnsi="Arial"/>
          <w:u w:val="single"/>
          <w:lang w:val="en-US"/>
        </w:rPr>
        <w:t xml:space="preserve">Echelon Wealth Partners Inc. </w:t>
      </w:r>
      <w:r>
        <w:rPr>
          <w:rFonts w:ascii="Arial" w:hAnsi="Arial"/>
          <w:u w:val="single"/>
        </w:rPr>
        <w:t xml:space="preserve">1 Adelaide Street East, Suite 2100, Toronto, Ontario </w:t>
      </w:r>
      <w:r>
        <w:rPr>
          <w:rFonts w:ascii="Arial" w:hAnsi="Arial"/>
          <w:u w:val="single"/>
          <w:lang w:val="en-CA"/>
        </w:rPr>
        <w:t>M5C 2V9</w:t>
      </w:r>
    </w:p>
    <w:p>
      <w:pPr>
        <w:pStyle w:val="List"/>
        <w:tabs>
          <w:tab w:val="left" w:pos="2160"/>
          <w:tab w:val="left" w:pos="9180"/>
        </w:tabs>
        <w:ind w:left="2160" w:hanging="33"/>
        <w:jc w:val="both"/>
        <w:rPr>
          <w:rFonts w:ascii="Arial" w:hAnsi="Arial"/>
          <w:u w:val="single"/>
        </w:rPr>
      </w:pPr>
      <w:r>
        <w:rPr>
          <w:rFonts w:ascii="Arial" w:hAnsi="Arial"/>
          <w:u w:val="single"/>
          <w:lang w:val="en-US"/>
        </w:rPr>
        <w:t>PI Financial Corp</w:t>
      </w:r>
      <w:r>
        <w:rPr>
          <w:rFonts w:ascii="Arial" w:hAnsi="Arial"/>
          <w:u w:val="single"/>
        </w:rPr>
        <w:t xml:space="preserve">. </w:t>
      </w:r>
      <w:r>
        <w:rPr>
          <w:rFonts w:ascii="Arial" w:hAnsi="Arial"/>
          <w:u w:val="single"/>
          <w:lang w:val="en-US"/>
        </w:rPr>
        <w:t xml:space="preserve">40 King Street West, Suite 3401, Toronto, Ontario </w:t>
      </w:r>
      <w:r>
        <w:rPr>
          <w:rFonts w:ascii="Arial" w:hAnsi="Arial"/>
          <w:u w:val="single"/>
          <w:lang w:val="en-CA"/>
        </w:rPr>
        <w:t>M5H 3Y2</w:t>
      </w:r>
    </w:p>
    <w:p>
      <w:pPr>
        <w:pStyle w:val="List"/>
        <w:tabs>
          <w:tab w:val="left" w:pos="2160"/>
          <w:tab w:val="left" w:pos="3131"/>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t>4.5% of the gross proceeds of the Private Placement and the Concurrent Prospectus Offering</w:t>
      </w:r>
      <w:r>
        <w:rPr>
          <w:rFonts w:ascii="Arial" w:hAnsi="Arial"/>
          <w:u w:val="single"/>
        </w:rPr>
        <w:tab/>
      </w:r>
      <w:r>
        <w:rPr>
          <w:rFonts w:ascii="Arial" w:hAnsi="Arial"/>
        </w:rPr>
        <w:t xml:space="preserve"> .</w:t>
      </w:r>
    </w:p>
    <w:p>
      <w:pPr>
        <w:pStyle w:val="List"/>
        <w:tabs>
          <w:tab w:val="left" w:pos="2160"/>
          <w:tab w:val="left" w:pos="3687"/>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t>N/A</w:t>
      </w:r>
      <w:r>
        <w:rPr>
          <w:rFonts w:ascii="Arial" w:hAnsi="Arial"/>
          <w:u w:val="single"/>
        </w:rPr>
        <w:tab/>
      </w:r>
      <w:r>
        <w:rPr>
          <w:rFonts w:ascii="Arial" w:hAnsi="Arial"/>
        </w:rPr>
        <w:t xml:space="preserve"> .</w:t>
      </w:r>
    </w:p>
    <w:p>
      <w:pPr>
        <w:pStyle w:val="List"/>
        <w:tabs>
          <w:tab w:val="left" w:pos="2160"/>
          <w:tab w:val="left" w:pos="3622"/>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t>reimbursement of the Underwriters’ expenses</w:t>
      </w:r>
      <w:r>
        <w:rPr>
          <w:rFonts w:ascii="Arial" w:hAnsi="Arial"/>
          <w:u w:val="single"/>
        </w:rPr>
        <w:tab/>
      </w:r>
      <w:r>
        <w:rPr>
          <w:rFonts w:ascii="Arial" w:hAnsi="Arial"/>
        </w:rPr>
        <w:t xml:space="preserve"> .</w:t>
      </w:r>
    </w:p>
    <w:p>
      <w:pPr>
        <w:pStyle w:val="List"/>
        <w:tabs>
          <w:tab w:val="left" w:pos="2160"/>
          <w:tab w:val="left" w:pos="7036"/>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t>N/A</w:t>
      </w:r>
      <w:r>
        <w:rPr>
          <w:rFonts w:ascii="Arial" w:hAnsi="Arial"/>
          <w:u w:val="single"/>
        </w:rPr>
        <w:tab/>
      </w:r>
      <w:r>
        <w:rPr>
          <w:rFonts w:ascii="Arial" w:hAnsi="Arial"/>
        </w:rPr>
        <w:t xml:space="preserve"> .</w:t>
      </w:r>
    </w:p>
    <w:p>
      <w:pPr>
        <w:pStyle w:val="List"/>
        <w:tabs>
          <w:tab w:val="num" w:pos="1080"/>
          <w:tab w:val="left" w:pos="2160"/>
          <w:tab w:val="left" w:pos="7124"/>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pPr>
        <w:pStyle w:val="List"/>
        <w:tabs>
          <w:tab w:val="left" w:pos="1080"/>
          <w:tab w:val="left" w:pos="1265"/>
          <w:tab w:val="left" w:pos="9180"/>
        </w:tabs>
        <w:ind w:left="0" w:firstLine="0"/>
        <w:jc w:val="both"/>
        <w:rPr>
          <w:rFonts w:ascii="Arial" w:hAnsi="Arial"/>
        </w:rPr>
      </w:pPr>
      <w:r>
        <w:rPr>
          <w:rFonts w:ascii="Arial" w:hAnsi="Arial"/>
        </w:rPr>
        <w:tab/>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rPr>
          <w:rFonts w:ascii="Arial" w:hAnsi="Arial"/>
        </w:rPr>
      </w:pPr>
      <w:r>
        <w:rPr>
          <w:rFonts w:ascii="Arial" w:hAnsi="Arial"/>
        </w:rPr>
        <w:t>Describe any unusual particulars of the transaction (i.e. tax “flow through” shares, etc.).</w:t>
      </w:r>
    </w:p>
    <w:p>
      <w:pPr>
        <w:pStyle w:val="List"/>
        <w:tabs>
          <w:tab w:val="left" w:pos="1080"/>
          <w:tab w:val="left" w:pos="1407"/>
          <w:tab w:val="left" w:pos="9180"/>
        </w:tabs>
        <w:ind w:left="0" w:firstLine="0"/>
        <w:jc w:val="both"/>
        <w:rPr>
          <w:rFonts w:ascii="Arial" w:hAnsi="Arial"/>
        </w:rPr>
      </w:pPr>
      <w:r>
        <w:rPr>
          <w:rFonts w:ascii="Arial" w:hAnsi="Arial"/>
        </w:rPr>
        <w:tab/>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rPr>
          <w:rFonts w:ascii="Arial" w:hAnsi="Arial"/>
        </w:rPr>
      </w:pPr>
      <w:r>
        <w:rPr>
          <w:rFonts w:ascii="Arial" w:hAnsi="Arial"/>
        </w:rPr>
        <w:t>State whether the private placement will result in a change of control.</w:t>
      </w:r>
    </w:p>
    <w:p>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No</w:t>
      </w:r>
      <w:r>
        <w:rPr>
          <w:rFonts w:ascii="Arial" w:hAnsi="Arial"/>
          <w:u w:val="single"/>
        </w:rPr>
        <w:tab/>
      </w:r>
      <w:r>
        <w:rPr>
          <w:rFonts w:ascii="Arial" w:hAnsi="Arial"/>
        </w:rPr>
        <w:t xml:space="preserve"> .</w:t>
      </w:r>
    </w:p>
    <w:p>
      <w:pPr>
        <w:pStyle w:val="List"/>
        <w:tabs>
          <w:tab w:val="left" w:pos="9180"/>
        </w:tabs>
        <w:spacing w:before="0"/>
        <w:jc w:val="both"/>
        <w:rPr>
          <w:rFonts w:ascii="Arial" w:hAnsi="Arial"/>
        </w:rPr>
      </w:pPr>
    </w:p>
    <w:p>
      <w:pPr>
        <w:pStyle w:val="List"/>
        <w:numPr>
          <w:ilvl w:val="0"/>
          <w:numId w:val="10"/>
        </w:numPr>
        <w:tabs>
          <w:tab w:val="left" w:pos="9180"/>
        </w:tabs>
        <w:spacing w:before="0"/>
        <w:jc w:val="both"/>
        <w:rPr>
          <w:rFonts w:ascii="Arial" w:hAnsi="Arial"/>
          <w:u w:val="single"/>
        </w:rPr>
      </w:pPr>
      <w:r>
        <w:rPr>
          <w:rFonts w:ascii="Arial" w:hAnsi="Arial"/>
        </w:rPr>
        <w:lastRenderedPageBreak/>
        <w:t xml:space="preserve">Where there is a change in the control of the Issuer resulting from the issuance of the private placement shares, indicate the names of the new controlling shareholders.  </w:t>
      </w:r>
      <w:r>
        <w:rPr>
          <w:rFonts w:ascii="Arial" w:hAnsi="Arial"/>
          <w:u w:val="single"/>
        </w:rPr>
        <w:t>N/A</w:t>
      </w:r>
      <w:r>
        <w:rPr>
          <w:rFonts w:ascii="Arial" w:hAnsi="Arial"/>
          <w:u w:val="single"/>
        </w:rPr>
        <w:tab/>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pPr>
        <w:pStyle w:val="BodyText"/>
        <w:tabs>
          <w:tab w:val="left" w:pos="1080"/>
          <w:tab w:val="left" w:pos="4230"/>
        </w:tabs>
        <w:rPr>
          <w:rFonts w:ascii="Arial" w:hAnsi="Arial"/>
          <w:b/>
          <w:color w:val="000000"/>
        </w:rPr>
      </w:pPr>
      <w:r>
        <w:rPr>
          <w:rFonts w:ascii="Arial" w:hAnsi="Arial"/>
          <w:b/>
          <w:color w:val="000000"/>
        </w:rPr>
        <w:t>Part 2.</w:t>
      </w:r>
      <w:r>
        <w:rPr>
          <w:rFonts w:ascii="Arial" w:hAnsi="Arial"/>
          <w:b/>
          <w:color w:val="000000"/>
        </w:rPr>
        <w:tab/>
        <w:t>Acquisition</w:t>
      </w:r>
    </w:p>
    <w:p>
      <w:pPr>
        <w:pStyle w:val="BodyText"/>
        <w:tabs>
          <w:tab w:val="left" w:pos="1080"/>
          <w:tab w:val="left" w:pos="4230"/>
        </w:tabs>
        <w:rPr>
          <w:rFonts w:ascii="Arial" w:hAnsi="Arial"/>
          <w:color w:val="000000"/>
        </w:rPr>
      </w:pPr>
      <w:r>
        <w:rPr>
          <w:rFonts w:ascii="Arial" w:hAnsi="Arial"/>
          <w:color w:val="000000"/>
        </w:rPr>
        <w:t>Not Applicable.</w:t>
      </w:r>
    </w:p>
    <w:p>
      <w:pPr>
        <w:pStyle w:val="List"/>
        <w:tabs>
          <w:tab w:val="left" w:pos="9180"/>
        </w:tabs>
        <w:spacing w:before="0"/>
        <w:ind w:left="0" w:firstLine="0"/>
        <w:jc w:val="both"/>
        <w:rPr>
          <w:rFonts w:ascii="Arial" w:hAnsi="Arial"/>
          <w:color w:val="000000"/>
        </w:rPr>
      </w:pPr>
    </w:p>
    <w:p>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u w:val="single"/>
        </w:rPr>
        <w:t>.</w:t>
      </w:r>
    </w:p>
    <w:p>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ab/>
      </w:r>
    </w:p>
    <w:p>
      <w:pPr>
        <w:pStyle w:val="List"/>
        <w:tabs>
          <w:tab w:val="left" w:pos="1080"/>
          <w:tab w:val="left" w:pos="1571"/>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p>
    <w:p>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pPr>
        <w:pStyle w:val="List"/>
        <w:numPr>
          <w:ilvl w:val="0"/>
          <w:numId w:val="13"/>
        </w:numPr>
        <w:tabs>
          <w:tab w:val="left" w:pos="7909"/>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3829"/>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pPr>
        <w:pStyle w:val="List"/>
        <w:tabs>
          <w:tab w:val="left" w:pos="1080"/>
          <w:tab w:val="left" w:pos="2160"/>
          <w:tab w:val="left" w:pos="3436"/>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3491"/>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7418"/>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7375"/>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4724"/>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Pr>
          <w:rFonts w:ascii="Arial" w:hAnsi="Arial"/>
          <w:u w:val="single"/>
        </w:rPr>
        <w:t>.</w:t>
      </w:r>
    </w:p>
    <w:p>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pPr>
              <w:pStyle w:val="BodyText"/>
              <w:keepNext/>
              <w:keepLines/>
              <w:spacing w:before="0" w:line="280" w:lineRule="exact"/>
              <w:jc w:val="center"/>
              <w:rPr>
                <w:rFonts w:ascii="Arial" w:hAnsi="Arial"/>
                <w:b/>
                <w:sz w:val="20"/>
              </w:rPr>
            </w:pPr>
          </w:p>
          <w:p>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pPr>
              <w:pStyle w:val="BodyText"/>
              <w:keepNext/>
              <w:keepLines/>
              <w:spacing w:before="0" w:line="280" w:lineRule="exact"/>
              <w:jc w:val="center"/>
              <w:rPr>
                <w:rFonts w:ascii="Arial" w:hAnsi="Arial"/>
                <w:b/>
                <w:color w:val="000000"/>
                <w:sz w:val="20"/>
                <w:lang w:val="en-CA"/>
              </w:rPr>
            </w:pP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rPr>
          <w:trHeight w:hRule="exact" w:val="28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r>
        <w:trPr>
          <w:trHeight w:hRule="exact" w:val="32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bl>
    <w:p>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pPr>
        <w:pStyle w:val="List"/>
        <w:tabs>
          <w:tab w:val="left" w:pos="9180"/>
        </w:tabs>
        <w:ind w:left="0" w:firstLine="0"/>
        <w:rPr>
          <w:rFonts w:ascii="Arial" w:hAnsi="Arial"/>
          <w:color w:val="000000"/>
        </w:rPr>
      </w:pPr>
    </w:p>
    <w:p>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pPr>
        <w:pStyle w:val="List"/>
        <w:tabs>
          <w:tab w:val="left" w:pos="1080"/>
        </w:tabs>
        <w:ind w:left="0" w:firstLine="0"/>
        <w:rPr>
          <w:rFonts w:ascii="Arial" w:hAnsi="Arial"/>
        </w:rPr>
      </w:pPr>
      <w:r>
        <w:rPr>
          <w:rFonts w:ascii="Arial" w:hAnsi="Arial"/>
          <w:b/>
        </w:rPr>
        <w:t>Certificate Of Compliance</w:t>
      </w:r>
    </w:p>
    <w:p>
      <w:pPr>
        <w:pStyle w:val="BodyText"/>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spacing w:after="240"/>
        <w:jc w:val="both"/>
        <w:rPr>
          <w:rFonts w:ascii="Arial" w:hAnsi="Arial"/>
        </w:rPr>
      </w:pPr>
      <w:r>
        <w:rPr>
          <w:rFonts w:ascii="Arial" w:hAnsi="Arial"/>
        </w:rPr>
        <w:t>As of the date hereof there is not material information concerning the Issuer which has not been publicly disclosed.</w:t>
      </w:r>
    </w:p>
    <w:p>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pPr>
        <w:pStyle w:val="ListParagraph"/>
        <w:rPr>
          <w:rFonts w:ascii="Arial" w:hAnsi="Arial" w:cs="Arial"/>
          <w:sz w:val="24"/>
          <w:szCs w:val="24"/>
        </w:rPr>
      </w:pPr>
    </w:p>
    <w:p>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pPr>
        <w:pStyle w:val="List"/>
        <w:numPr>
          <w:ilvl w:val="0"/>
          <w:numId w:val="7"/>
        </w:numPr>
        <w:jc w:val="both"/>
        <w:rPr>
          <w:rFonts w:ascii="Arial" w:hAnsi="Arial"/>
        </w:rPr>
      </w:pPr>
      <w:r>
        <w:rPr>
          <w:rFonts w:ascii="Arial" w:hAnsi="Arial"/>
        </w:rPr>
        <w:t>All of the information in this Form 9 Notice of Issuance of Securities is true.</w:t>
      </w:r>
    </w:p>
    <w:p>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September 20, 2020</w:t>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Eric Powers</w:t>
      </w:r>
      <w:r>
        <w:rPr>
          <w:rFonts w:ascii="Arial" w:hAnsi="Arial"/>
          <w:u w:val="single"/>
        </w:rPr>
        <w:tab/>
      </w:r>
      <w:r>
        <w:rPr>
          <w:rFonts w:ascii="Arial" w:hAnsi="Arial"/>
          <w:u w:val="single"/>
        </w:rPr>
        <w:br/>
      </w:r>
      <w:r>
        <w:rPr>
          <w:rFonts w:ascii="Arial" w:hAnsi="Arial"/>
        </w:rPr>
        <w:t xml:space="preserve">Name of Director or Senior </w:t>
      </w:r>
      <w:bookmarkStart w:id="4" w:name="_GoBack"/>
      <w:bookmarkEnd w:id="4"/>
      <w:r>
        <w:rPr>
          <w:rFonts w:ascii="Arial" w:hAnsi="Arial"/>
        </w:rPr>
        <w:t>Officer</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‎(s) “</w:t>
      </w:r>
      <w:r>
        <w:rPr>
          <w:rFonts w:ascii="Arial" w:hAnsi="Arial"/>
          <w:i/>
          <w:u w:val="single"/>
        </w:rPr>
        <w:t>Eric Powers</w:t>
      </w:r>
      <w:r>
        <w:rPr>
          <w:rFonts w:ascii="Arial" w:hAnsi="Arial"/>
          <w:u w:val="single"/>
        </w:rPr>
        <w:t>”‎</w:t>
      </w:r>
      <w:r>
        <w:rPr>
          <w:rFonts w:ascii="Arial" w:hAnsi="Arial"/>
          <w:u w:val="single"/>
        </w:rPr>
        <w:tab/>
      </w:r>
      <w:r>
        <w:rPr>
          <w:rFonts w:ascii="Arial" w:hAnsi="Arial"/>
        </w:rPr>
        <w:br/>
        <w:t>Signature</w:t>
      </w:r>
    </w:p>
    <w:p>
      <w:pPr>
        <w:pStyle w:val="List"/>
        <w:tabs>
          <w:tab w:val="left" w:pos="9180"/>
        </w:tabs>
        <w:ind w:left="5760" w:hanging="5760"/>
        <w:rPr>
          <w:rFonts w:ascii="Arial" w:hAnsi="Arial"/>
        </w:rPr>
      </w:pPr>
      <w:r>
        <w:rPr>
          <w:rFonts w:ascii="Arial" w:hAnsi="Arial"/>
        </w:rPr>
        <w:tab/>
      </w:r>
      <w:r>
        <w:rPr>
          <w:rFonts w:ascii="Arial" w:hAnsi="Arial"/>
          <w:u w:val="single"/>
        </w:rPr>
        <w:t>Corporate Secretary</w:t>
      </w:r>
      <w:r>
        <w:rPr>
          <w:rFonts w:ascii="Arial" w:hAnsi="Arial"/>
          <w:u w:val="single"/>
        </w:rPr>
        <w:tab/>
      </w:r>
      <w:r>
        <w:rPr>
          <w:rFonts w:ascii="Arial" w:hAnsi="Arial"/>
        </w:rPr>
        <w:br/>
        <w:t>Official Capacity</w:t>
      </w:r>
    </w:p>
    <w:p>
      <w:pPr>
        <w:pStyle w:val="List"/>
        <w:tabs>
          <w:tab w:val="left" w:pos="9180"/>
          <w:tab w:val="left" w:pos="9360"/>
        </w:tabs>
        <w:ind w:left="5760" w:hanging="5760"/>
        <w:rPr>
          <w:rFonts w:ascii="Arial" w:hAnsi="Arial"/>
        </w:rPr>
      </w:pPr>
    </w:p>
    <w:p>
      <w:pPr>
        <w:pStyle w:val="List"/>
        <w:tabs>
          <w:tab w:val="left" w:pos="9180"/>
          <w:tab w:val="left" w:pos="9360"/>
        </w:tabs>
        <w:ind w:left="5760" w:hanging="5760"/>
        <w:rPr>
          <w:rFonts w:ascii="Arial" w:hAnsi="Arial"/>
        </w:rPr>
      </w:pPr>
    </w:p>
    <w:p>
      <w:pPr>
        <w:pStyle w:val="List"/>
        <w:tabs>
          <w:tab w:val="left" w:pos="9180"/>
          <w:tab w:val="left" w:pos="9360"/>
        </w:tabs>
        <w:ind w:left="5760" w:hanging="5760"/>
        <w:rPr>
          <w:rFonts w:ascii="Arial" w:hAnsi="Arial"/>
        </w:rPr>
      </w:pPr>
    </w:p>
    <w:p>
      <w:pPr>
        <w:spacing w:before="120"/>
        <w:ind w:left="720"/>
        <w:jc w:val="center"/>
        <w:rPr>
          <w:rFonts w:ascii="Arial" w:eastAsia="Calibri" w:hAnsi="Arial" w:cs="Arial"/>
          <w:b/>
          <w:sz w:val="24"/>
          <w:szCs w:val="24"/>
        </w:rPr>
      </w:pPr>
      <w:r>
        <w:rPr>
          <w:rFonts w:ascii="Arial" w:eastAsia="Calibri" w:hAnsi="Arial" w:cs="Arial"/>
          <w:b/>
          <w:sz w:val="24"/>
          <w:szCs w:val="24"/>
        </w:rPr>
        <w:t>Appendix A</w:t>
      </w:r>
    </w:p>
    <w:p>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pPr>
        <w:spacing w:before="120"/>
        <w:ind w:left="720"/>
        <w:jc w:val="both"/>
        <w:rPr>
          <w:rFonts w:ascii="Arial" w:hAnsi="Arial"/>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headerReference w:type="even" r:id="rId8"/>
      <w:headerReference w:type="default" r:id="rId9"/>
      <w:footerReference w:type="even" r:id="rId10"/>
      <w:footerReference w:type="default" r:id="rId11"/>
      <w:headerReference w:type="first" r:id="rId12"/>
      <w:footerReference w:type="first" r:id="rId13"/>
      <w:pgSz w:w="12240" w:h="15840" w:code="1"/>
      <w:pgMar w:top="993" w:right="1440" w:bottom="568" w:left="1440" w:header="720"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ISSUANCE OR PROPOSED ISSUANCE OF</w:t>
    </w:r>
  </w:p>
  <w:p>
    <w:pPr>
      <w:tabs>
        <w:tab w:val="center" w:pos="4674"/>
        <w:tab w:val="left" w:pos="8460"/>
      </w:tabs>
      <w:jc w:val="center"/>
      <w:rPr>
        <w:rStyle w:val="PageNumber"/>
        <w:rFonts w:ascii="Arial" w:hAnsi="Arial" w:cs="Arial"/>
        <w:b/>
      </w:rPr>
    </w:pPr>
    <w:r>
      <w:rPr>
        <w:rFonts w:ascii="Arial" w:hAnsi="Arial" w:cs="Arial"/>
        <w:b/>
      </w:rPr>
      <w:t>LISTED SECURITIES</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CAN: 34324489.1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 w:name="LegacyDocIDRemoved" w:val="True"/>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A49C9F-7CB3-4D4A-9F48-F8B2FB8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8815">
      <w:bodyDiv w:val="1"/>
      <w:marLeft w:val="0"/>
      <w:marRight w:val="0"/>
      <w:marTop w:val="0"/>
      <w:marBottom w:val="0"/>
      <w:divBdr>
        <w:top w:val="none" w:sz="0" w:space="0" w:color="auto"/>
        <w:left w:val="none" w:sz="0" w:space="0" w:color="auto"/>
        <w:bottom w:val="none" w:sz="0" w:space="0" w:color="auto"/>
        <w:right w:val="none" w:sz="0" w:space="0" w:color="auto"/>
      </w:divBdr>
    </w:div>
    <w:div w:id="1086923778">
      <w:bodyDiv w:val="1"/>
      <w:marLeft w:val="0"/>
      <w:marRight w:val="0"/>
      <w:marTop w:val="0"/>
      <w:marBottom w:val="0"/>
      <w:divBdr>
        <w:top w:val="none" w:sz="0" w:space="0" w:color="auto"/>
        <w:left w:val="none" w:sz="0" w:space="0" w:color="auto"/>
        <w:bottom w:val="none" w:sz="0" w:space="0" w:color="auto"/>
        <w:right w:val="none" w:sz="0" w:space="0" w:color="auto"/>
      </w:divBdr>
    </w:div>
    <w:div w:id="1501655513">
      <w:bodyDiv w:val="1"/>
      <w:marLeft w:val="0"/>
      <w:marRight w:val="0"/>
      <w:marTop w:val="0"/>
      <w:marBottom w:val="0"/>
      <w:divBdr>
        <w:top w:val="none" w:sz="0" w:space="0" w:color="auto"/>
        <w:left w:val="none" w:sz="0" w:space="0" w:color="auto"/>
        <w:bottom w:val="none" w:sz="0" w:space="0" w:color="auto"/>
        <w:right w:val="none" w:sz="0" w:space="0" w:color="auto"/>
      </w:divBdr>
    </w:div>
    <w:div w:id="15093634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Kay, Catherine</cp:lastModifiedBy>
  <cp:revision>3</cp:revision>
  <cp:lastPrinted>2004-05-20T20:47:00Z</cp:lastPrinted>
  <dcterms:created xsi:type="dcterms:W3CDTF">2020-09-20T18:06:00Z</dcterms:created>
  <dcterms:modified xsi:type="dcterms:W3CDTF">2020-09-20T18:07:00Z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34324489.1</vt:lpwstr>
  </property>
</Properties>
</file>