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C77" w:rsidRDefault="00862042">
      <w:pPr>
        <w:pStyle w:val="Title"/>
        <w:spacing w:before="0" w:after="0"/>
        <w:rPr>
          <w:color w:val="000000"/>
          <w:sz w:val="28"/>
          <w:szCs w:val="28"/>
          <w:u w:val="single"/>
        </w:rPr>
      </w:pPr>
      <w:bookmarkStart w:id="0" w:name="_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rsidR="002E1C77" w:rsidRDefault="00862042">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Pr>
          <w:rFonts w:ascii="Arial" w:eastAsia="Arial" w:hAnsi="Arial" w:cs="Arial"/>
          <w:b/>
          <w:color w:val="000000"/>
          <w:sz w:val="24"/>
          <w:szCs w:val="24"/>
        </w:rPr>
        <w:t>NetCents Technology Inc</w:t>
      </w:r>
      <w:r>
        <w:rPr>
          <w:rFonts w:ascii="Arial" w:eastAsia="Arial" w:hAnsi="Arial" w:cs="Arial"/>
          <w:color w:val="000000"/>
          <w:sz w:val="24"/>
          <w:szCs w:val="24"/>
        </w:rPr>
        <w:t>.</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Pr>
          <w:rFonts w:ascii="Arial" w:eastAsia="Arial" w:hAnsi="Arial" w:cs="Arial"/>
          <w:b/>
          <w:color w:val="000000"/>
          <w:sz w:val="24"/>
          <w:szCs w:val="24"/>
        </w:rPr>
        <w:t>NC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Number of Outstanding Listed Securities</w:t>
      </w:r>
      <w:r w:rsidRPr="00553702">
        <w:rPr>
          <w:rFonts w:ascii="Arial" w:eastAsia="Arial" w:hAnsi="Arial" w:cs="Arial"/>
          <w:color w:val="000000"/>
          <w:sz w:val="22"/>
          <w:szCs w:val="22"/>
        </w:rPr>
        <w:t xml:space="preserve">: </w:t>
      </w:r>
      <w:r w:rsidR="00553702" w:rsidRPr="00553702">
        <w:rPr>
          <w:rFonts w:ascii="Arial" w:eastAsia="Arial" w:hAnsi="Arial" w:cs="Arial"/>
          <w:b/>
          <w:color w:val="000000"/>
          <w:sz w:val="22"/>
          <w:szCs w:val="22"/>
        </w:rPr>
        <w:t>Issued:</w:t>
      </w:r>
      <w:r w:rsidR="00553702" w:rsidRPr="00553702">
        <w:rPr>
          <w:rFonts w:ascii="Arial" w:eastAsia="Arial" w:hAnsi="Arial" w:cs="Arial"/>
          <w:color w:val="000000"/>
          <w:sz w:val="22"/>
          <w:szCs w:val="22"/>
        </w:rPr>
        <w:t xml:space="preserve"> </w:t>
      </w:r>
      <w:r w:rsidRPr="00553702">
        <w:rPr>
          <w:rFonts w:ascii="Arial" w:eastAsia="Arial" w:hAnsi="Arial" w:cs="Arial"/>
          <w:b/>
          <w:color w:val="000000"/>
          <w:sz w:val="22"/>
          <w:szCs w:val="22"/>
        </w:rPr>
        <w:t>4</w:t>
      </w:r>
      <w:r w:rsidR="00367EFE" w:rsidRPr="00553702">
        <w:rPr>
          <w:rFonts w:ascii="Arial" w:eastAsia="Arial" w:hAnsi="Arial" w:cs="Arial"/>
          <w:b/>
          <w:color w:val="000000"/>
          <w:sz w:val="22"/>
          <w:szCs w:val="22"/>
        </w:rPr>
        <w:t>4,</w:t>
      </w:r>
      <w:r w:rsidR="00553702" w:rsidRPr="00553702">
        <w:rPr>
          <w:rFonts w:ascii="Arial" w:eastAsia="Arial" w:hAnsi="Arial" w:cs="Arial"/>
          <w:b/>
          <w:color w:val="000000"/>
          <w:sz w:val="22"/>
          <w:szCs w:val="22"/>
        </w:rPr>
        <w:t>501,467, Reserved: 10,484,042</w:t>
      </w:r>
      <w:r w:rsidRPr="00553702">
        <w:rPr>
          <w:rFonts w:ascii="Arial" w:eastAsia="Arial" w:hAnsi="Arial" w:cs="Arial"/>
          <w:color w:val="000000"/>
          <w:sz w:val="24"/>
          <w:szCs w:val="24"/>
        </w:rPr>
        <w:tab/>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Date</w:t>
      </w:r>
      <w:r>
        <w:rPr>
          <w:rFonts w:ascii="Arial" w:eastAsia="Arial" w:hAnsi="Arial" w:cs="Arial"/>
          <w:b/>
          <w:color w:val="000000"/>
          <w:sz w:val="24"/>
          <w:szCs w:val="24"/>
        </w:rPr>
        <w:t xml:space="preserve">: </w:t>
      </w:r>
      <w:r w:rsidR="00A509A7">
        <w:rPr>
          <w:rFonts w:ascii="Arial" w:eastAsia="Arial" w:hAnsi="Arial" w:cs="Arial"/>
          <w:b/>
          <w:color w:val="000000"/>
          <w:sz w:val="24"/>
          <w:szCs w:val="24"/>
        </w:rPr>
        <w:t>January 7, 2019</w:t>
      </w:r>
      <w:r>
        <w:rPr>
          <w:rFonts w:ascii="Arial" w:eastAsia="Arial" w:hAnsi="Arial" w:cs="Arial"/>
          <w:color w:val="000000"/>
          <w:sz w:val="24"/>
          <w:szCs w:val="24"/>
          <w:u w:val="single"/>
        </w:rPr>
        <w:tab/>
      </w:r>
      <w:r>
        <w:rPr>
          <w:rFonts w:ascii="Arial" w:eastAsia="Arial" w:hAnsi="Arial" w:cs="Arial"/>
          <w:color w:val="000000"/>
          <w:sz w:val="24"/>
          <w:szCs w:val="24"/>
          <w:u w:val="single"/>
        </w:rPr>
        <w:tab/>
      </w:r>
    </w:p>
    <w:p w:rsidR="002E1C77" w:rsidRDefault="00862042">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2E1C77" w:rsidRDefault="00862042">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rsidR="002E1C77" w:rsidRDefault="00862042">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continued to build its business: </w:t>
      </w:r>
    </w:p>
    <w:p w:rsidR="00544A60" w:rsidRDefault="0007528E" w:rsidP="003C4BC8">
      <w:pPr>
        <w:pBdr>
          <w:top w:val="nil"/>
          <w:left w:val="nil"/>
          <w:bottom w:val="nil"/>
          <w:right w:val="nil"/>
          <w:between w:val="nil"/>
        </w:pBdr>
        <w:spacing w:before="120"/>
        <w:ind w:left="720"/>
        <w:jc w:val="both"/>
        <w:rPr>
          <w:rFonts w:ascii="Arial" w:hAnsi="Arial" w:cs="Arial"/>
          <w:b/>
          <w:sz w:val="24"/>
          <w:szCs w:val="24"/>
        </w:rPr>
      </w:pPr>
      <w:r>
        <w:rPr>
          <w:rFonts w:ascii="Arial" w:hAnsi="Arial" w:cs="Arial"/>
          <w:b/>
          <w:sz w:val="24"/>
          <w:szCs w:val="24"/>
        </w:rPr>
        <w:t xml:space="preserve">Company </w:t>
      </w:r>
      <w:r w:rsidR="00544A60">
        <w:rPr>
          <w:rFonts w:ascii="Arial" w:hAnsi="Arial" w:cs="Arial"/>
          <w:b/>
          <w:sz w:val="24"/>
          <w:szCs w:val="24"/>
        </w:rPr>
        <w:t xml:space="preserve">AGM </w:t>
      </w:r>
      <w:r w:rsidR="00816489">
        <w:rPr>
          <w:rFonts w:ascii="Arial" w:hAnsi="Arial" w:cs="Arial"/>
          <w:b/>
          <w:sz w:val="24"/>
          <w:szCs w:val="24"/>
        </w:rPr>
        <w:t xml:space="preserve">was </w:t>
      </w:r>
      <w:r w:rsidR="00544A60">
        <w:rPr>
          <w:rFonts w:ascii="Arial" w:hAnsi="Arial" w:cs="Arial"/>
          <w:b/>
          <w:sz w:val="24"/>
          <w:szCs w:val="24"/>
        </w:rPr>
        <w:t>December 21, 2018, at 8:30 AM held at 1500 – 1055 West Georgia Street.</w:t>
      </w:r>
    </w:p>
    <w:p w:rsidR="0007528E" w:rsidRDefault="0007528E" w:rsidP="003C4BC8">
      <w:pPr>
        <w:pBdr>
          <w:top w:val="nil"/>
          <w:left w:val="nil"/>
          <w:bottom w:val="nil"/>
          <w:right w:val="nil"/>
          <w:between w:val="nil"/>
        </w:pBdr>
        <w:spacing w:before="120"/>
        <w:ind w:left="720"/>
        <w:jc w:val="both"/>
        <w:rPr>
          <w:rFonts w:ascii="Arial" w:hAnsi="Arial" w:cs="Arial"/>
          <w:b/>
          <w:sz w:val="24"/>
          <w:szCs w:val="24"/>
        </w:rPr>
      </w:pPr>
      <w:r>
        <w:rPr>
          <w:rFonts w:ascii="Arial" w:hAnsi="Arial" w:cs="Arial"/>
          <w:b/>
          <w:sz w:val="24"/>
          <w:szCs w:val="24"/>
        </w:rPr>
        <w:t xml:space="preserve">On December </w:t>
      </w:r>
      <w:proofErr w:type="gramStart"/>
      <w:r>
        <w:rPr>
          <w:rFonts w:ascii="Arial" w:hAnsi="Arial" w:cs="Arial"/>
          <w:b/>
          <w:sz w:val="24"/>
          <w:szCs w:val="24"/>
        </w:rPr>
        <w:t>4</w:t>
      </w:r>
      <w:proofErr w:type="gramEnd"/>
      <w:r>
        <w:rPr>
          <w:rFonts w:ascii="Arial" w:hAnsi="Arial" w:cs="Arial"/>
          <w:b/>
          <w:sz w:val="24"/>
          <w:szCs w:val="24"/>
        </w:rPr>
        <w:t xml:space="preserve"> 2018 the Company announced it realized </w:t>
      </w:r>
      <w:r w:rsidRPr="0007528E">
        <w:rPr>
          <w:rFonts w:ascii="Arial" w:hAnsi="Arial" w:cs="Arial"/>
          <w:b/>
          <w:sz w:val="24"/>
          <w:szCs w:val="24"/>
        </w:rPr>
        <w:t>a 206% increase in direct merchant sign-ups in the last quarter.</w:t>
      </w:r>
      <w:r>
        <w:rPr>
          <w:rFonts w:ascii="Arial" w:hAnsi="Arial" w:cs="Arial"/>
          <w:b/>
          <w:sz w:val="24"/>
          <w:szCs w:val="24"/>
        </w:rPr>
        <w:t xml:space="preserve"> </w:t>
      </w:r>
      <w:r w:rsidRPr="0007528E">
        <w:rPr>
          <w:rFonts w:ascii="Arial" w:hAnsi="Arial" w:cs="Arial"/>
          <w:b/>
          <w:sz w:val="24"/>
          <w:szCs w:val="24"/>
        </w:rPr>
        <w:t>In addition to the merchants signed up through the Company’s Partnership Programs, the Company has now had 387 direct merchant sign-ups. Over the past quarter, the sign-up rate has continued to increase each month and the Company anticipates that this trend will continue.</w:t>
      </w:r>
    </w:p>
    <w:p w:rsidR="0007528E" w:rsidRDefault="0007528E" w:rsidP="003C4BC8">
      <w:pPr>
        <w:pBdr>
          <w:top w:val="nil"/>
          <w:left w:val="nil"/>
          <w:bottom w:val="nil"/>
          <w:right w:val="nil"/>
          <w:between w:val="nil"/>
        </w:pBdr>
        <w:spacing w:before="120"/>
        <w:ind w:left="720"/>
        <w:jc w:val="both"/>
        <w:rPr>
          <w:rFonts w:ascii="Arial" w:hAnsi="Arial" w:cs="Arial"/>
          <w:b/>
          <w:sz w:val="24"/>
          <w:szCs w:val="24"/>
        </w:rPr>
      </w:pPr>
      <w:r>
        <w:rPr>
          <w:rFonts w:ascii="Arial" w:hAnsi="Arial" w:cs="Arial"/>
          <w:b/>
          <w:sz w:val="24"/>
          <w:szCs w:val="24"/>
        </w:rPr>
        <w:t xml:space="preserve">On December </w:t>
      </w:r>
      <w:proofErr w:type="gramStart"/>
      <w:r>
        <w:rPr>
          <w:rFonts w:ascii="Arial" w:hAnsi="Arial" w:cs="Arial"/>
          <w:b/>
          <w:sz w:val="24"/>
          <w:szCs w:val="24"/>
        </w:rPr>
        <w:t>3</w:t>
      </w:r>
      <w:proofErr w:type="gramEnd"/>
      <w:r>
        <w:rPr>
          <w:rFonts w:ascii="Arial" w:hAnsi="Arial" w:cs="Arial"/>
          <w:b/>
          <w:sz w:val="24"/>
          <w:szCs w:val="24"/>
        </w:rPr>
        <w:t xml:space="preserve"> 2018 the Company announced </w:t>
      </w:r>
      <w:r w:rsidRPr="0007528E">
        <w:rPr>
          <w:rFonts w:ascii="Arial" w:hAnsi="Arial" w:cs="Arial"/>
          <w:b/>
          <w:sz w:val="24"/>
          <w:szCs w:val="24"/>
        </w:rPr>
        <w:t>the release of the first SaaS-based cryptocurrency processing platform.</w:t>
      </w:r>
      <w:r>
        <w:rPr>
          <w:rFonts w:ascii="Arial" w:hAnsi="Arial" w:cs="Arial"/>
          <w:b/>
          <w:sz w:val="24"/>
          <w:szCs w:val="24"/>
        </w:rPr>
        <w:t xml:space="preserve"> </w:t>
      </w:r>
      <w:r w:rsidRPr="0007528E">
        <w:rPr>
          <w:rFonts w:ascii="Arial" w:hAnsi="Arial" w:cs="Arial"/>
          <w:b/>
          <w:sz w:val="24"/>
          <w:szCs w:val="24"/>
        </w:rPr>
        <w:t>The move to the SaaS platform will enable the Company’s anticipated growth in both the card present and card not present environments. Through this upgrade, the Company has developed four robust API documents for ease of integrations with merchants, partners, and POS and terminal environments</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lastRenderedPageBreak/>
        <w:t>Provide a general overview and discussion of the activities of management.</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Over the past month, management has continued to focus on expanding the company’s global reach working to build a pipeline of new potential partners to further increase revenue of the business. </w:t>
      </w:r>
      <w:bookmarkStart w:id="1" w:name="_GoBack"/>
      <w:bookmarkEnd w:id="1"/>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Refer to Item 1 above</w:t>
      </w:r>
      <w:r>
        <w:rPr>
          <w:rFonts w:ascii="Arial" w:eastAsia="Arial" w:hAnsi="Arial" w:cs="Arial"/>
          <w:color w:val="000000"/>
          <w:sz w:val="24"/>
          <w:szCs w:val="24"/>
        </w:rPr>
        <w:t xml:space="preserve">.  </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Refer to Item 1 above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None </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Refer to Item 1 above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rsidR="00A115A5" w:rsidRPr="00A115A5" w:rsidRDefault="00A115A5" w:rsidP="00A115A5">
      <w:pPr>
        <w:pBdr>
          <w:top w:val="nil"/>
          <w:left w:val="nil"/>
          <w:bottom w:val="nil"/>
          <w:right w:val="nil"/>
          <w:between w:val="nil"/>
        </w:pBdr>
        <w:spacing w:before="120"/>
        <w:ind w:left="720"/>
        <w:jc w:val="both"/>
        <w:rPr>
          <w:rFonts w:ascii="Arial" w:eastAsia="Arial" w:hAnsi="Arial" w:cs="Arial"/>
          <w:b/>
          <w:color w:val="000000"/>
          <w:sz w:val="24"/>
          <w:szCs w:val="24"/>
        </w:rPr>
      </w:pPr>
      <w:r w:rsidRPr="00A115A5">
        <w:rPr>
          <w:rFonts w:ascii="Arial" w:eastAsia="Arial" w:hAnsi="Arial" w:cs="Arial"/>
          <w:b/>
          <w:color w:val="000000"/>
          <w:sz w:val="24"/>
          <w:szCs w:val="24"/>
        </w:rPr>
        <w:t>N/A</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Refer to Item 1 above </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See Item 1 above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any new developments or effects on intangible products such as brand names, circulation lists, copyrights, franchises, licenses, patents, software, subscription lists and trade-marks.</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Refer to item 1 above</w:t>
      </w:r>
      <w:r>
        <w:rPr>
          <w:rFonts w:ascii="Arial" w:eastAsia="Arial" w:hAnsi="Arial" w:cs="Arial"/>
          <w:color w:val="000000"/>
          <w:sz w:val="24"/>
          <w:szCs w:val="24"/>
        </w:rPr>
        <w:t>.</w:t>
      </w:r>
    </w:p>
    <w:p w:rsidR="002E1C77" w:rsidRPr="008C046C"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r>
        <w:rPr>
          <w:rFonts w:ascii="Arial" w:eastAsia="Arial" w:hAnsi="Arial" w:cs="Arial"/>
          <w:b/>
          <w:color w:val="000000"/>
          <w:sz w:val="24"/>
          <w:szCs w:val="24"/>
        </w:rPr>
        <w:t xml:space="preserve"> </w:t>
      </w:r>
      <w:r w:rsidR="00A115A5">
        <w:rPr>
          <w:rFonts w:ascii="Arial" w:eastAsia="Arial" w:hAnsi="Arial" w:cs="Arial"/>
          <w:b/>
          <w:color w:val="000000"/>
          <w:sz w:val="24"/>
          <w:szCs w:val="24"/>
        </w:rPr>
        <w:t xml:space="preserve"> N/A</w:t>
      </w:r>
    </w:p>
    <w:p w:rsidR="002E1C77" w:rsidRDefault="00862042" w:rsidP="00BB5355">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None</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2E1C77" w:rsidRDefault="00862042">
      <w:pPr>
        <w:pBdr>
          <w:top w:val="nil"/>
          <w:left w:val="nil"/>
          <w:bottom w:val="nil"/>
          <w:right w:val="nil"/>
          <w:between w:val="nil"/>
        </w:pBdr>
        <w:spacing w:before="120"/>
        <w:ind w:left="720"/>
        <w:jc w:val="both"/>
        <w:rPr>
          <w:rFonts w:ascii="Arial" w:eastAsia="Arial" w:hAnsi="Arial" w:cs="Arial"/>
          <w:b/>
          <w:sz w:val="24"/>
          <w:szCs w:val="24"/>
        </w:rPr>
      </w:pPr>
      <w:r w:rsidRPr="00862042">
        <w:rPr>
          <w:rFonts w:ascii="Arial" w:eastAsia="Arial" w:hAnsi="Arial" w:cs="Arial"/>
          <w:b/>
          <w:sz w:val="24"/>
          <w:szCs w:val="24"/>
        </w:rPr>
        <w:t xml:space="preserve">In regard to the matter between the Issuer and the advancement of funds to a third party, the matter has gone to arbitration. Funds in the amount of $392,722 owing to the Issuer by a third party processor have not been forwarded by the processor to the Issuer for payout by the Issuer. </w:t>
      </w:r>
    </w:p>
    <w:p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rsidR="00B035A5" w:rsidRPr="00B85381" w:rsidRDefault="007A698E" w:rsidP="007A698E">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N/A </w:t>
      </w:r>
    </w:p>
    <w:p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tbl>
      <w:tblPr>
        <w:tblStyle w:val="a2"/>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1376"/>
        <w:gridCol w:w="1192"/>
        <w:gridCol w:w="1376"/>
        <w:gridCol w:w="1376"/>
        <w:gridCol w:w="1494"/>
        <w:gridCol w:w="1258"/>
        <w:gridCol w:w="1100"/>
      </w:tblGrid>
      <w:tr w:rsidR="002E1C77">
        <w:trPr>
          <w:trHeight w:val="1280"/>
        </w:trPr>
        <w:tc>
          <w:tcPr>
            <w:tcW w:w="1394"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 xml:space="preserve">Full Name &amp; Residential Address of </w:t>
            </w:r>
            <w:proofErr w:type="spellStart"/>
            <w:r>
              <w:rPr>
                <w:rFonts w:ascii="Verdana" w:eastAsia="Verdana" w:hAnsi="Verdana" w:cs="Verdana"/>
                <w:b/>
                <w:color w:val="000000"/>
                <w:sz w:val="16"/>
                <w:szCs w:val="16"/>
              </w:rPr>
              <w:t>Placee</w:t>
            </w:r>
            <w:proofErr w:type="spellEnd"/>
          </w:p>
        </w:tc>
        <w:tc>
          <w:tcPr>
            <w:tcW w:w="1376"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Number of Securities Purchased or to be Purchased</w:t>
            </w:r>
          </w:p>
        </w:tc>
        <w:tc>
          <w:tcPr>
            <w:tcW w:w="1192"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Purchase price per Security (CDN$)</w:t>
            </w:r>
          </w:p>
        </w:tc>
        <w:tc>
          <w:tcPr>
            <w:tcW w:w="1376"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Conversion</w:t>
            </w:r>
          </w:p>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Price (if</w:t>
            </w:r>
          </w:p>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Applicable)</w:t>
            </w:r>
          </w:p>
        </w:tc>
        <w:tc>
          <w:tcPr>
            <w:tcW w:w="1376"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Prospectus Exemption</w:t>
            </w:r>
          </w:p>
        </w:tc>
        <w:tc>
          <w:tcPr>
            <w:tcW w:w="1494"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No. of Securities, directly or indirectly, Owned, Controlled or Directed</w:t>
            </w:r>
          </w:p>
        </w:tc>
        <w:tc>
          <w:tcPr>
            <w:tcW w:w="1258"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Payment Date(1)</w:t>
            </w:r>
          </w:p>
        </w:tc>
        <w:tc>
          <w:tcPr>
            <w:tcW w:w="1100" w:type="dxa"/>
            <w:shd w:val="clear" w:color="auto" w:fill="F2F2F2"/>
            <w:vAlign w:val="bottom"/>
          </w:tcPr>
          <w:p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Describe relations-hip to Issuer (2)</w:t>
            </w:r>
          </w:p>
        </w:tc>
      </w:tr>
      <w:tr w:rsidR="002E1C77">
        <w:trPr>
          <w:trHeight w:val="860"/>
        </w:trPr>
        <w:tc>
          <w:tcPr>
            <w:tcW w:w="1394" w:type="dxa"/>
          </w:tcPr>
          <w:p w:rsidR="002E1C77" w:rsidRDefault="002E1C77">
            <w:pPr>
              <w:pBdr>
                <w:top w:val="nil"/>
                <w:left w:val="nil"/>
                <w:bottom w:val="nil"/>
                <w:right w:val="nil"/>
                <w:between w:val="nil"/>
              </w:pBdr>
              <w:rPr>
                <w:color w:val="000000"/>
              </w:rPr>
            </w:pPr>
          </w:p>
        </w:tc>
        <w:tc>
          <w:tcPr>
            <w:tcW w:w="1376" w:type="dxa"/>
          </w:tcPr>
          <w:p w:rsidR="002E1C77" w:rsidRDefault="002E1C77">
            <w:pPr>
              <w:pBdr>
                <w:top w:val="nil"/>
                <w:left w:val="nil"/>
                <w:bottom w:val="nil"/>
                <w:right w:val="nil"/>
                <w:between w:val="nil"/>
              </w:pBdr>
              <w:jc w:val="center"/>
              <w:rPr>
                <w:color w:val="000000"/>
              </w:rPr>
            </w:pPr>
          </w:p>
        </w:tc>
        <w:tc>
          <w:tcPr>
            <w:tcW w:w="1192" w:type="dxa"/>
          </w:tcPr>
          <w:p w:rsidR="002E1C77" w:rsidRDefault="002E1C77">
            <w:pPr>
              <w:pBdr>
                <w:top w:val="nil"/>
                <w:left w:val="nil"/>
                <w:bottom w:val="nil"/>
                <w:right w:val="nil"/>
                <w:between w:val="nil"/>
              </w:pBdr>
              <w:jc w:val="center"/>
              <w:rPr>
                <w:color w:val="000000"/>
              </w:rPr>
            </w:pPr>
          </w:p>
        </w:tc>
        <w:tc>
          <w:tcPr>
            <w:tcW w:w="1376" w:type="dxa"/>
          </w:tcPr>
          <w:p w:rsidR="002E1C77" w:rsidRDefault="002E1C77">
            <w:pPr>
              <w:pBdr>
                <w:top w:val="nil"/>
                <w:left w:val="nil"/>
                <w:bottom w:val="nil"/>
                <w:right w:val="nil"/>
                <w:between w:val="nil"/>
              </w:pBdr>
              <w:jc w:val="center"/>
              <w:rPr>
                <w:color w:val="000000"/>
              </w:rPr>
            </w:pPr>
          </w:p>
        </w:tc>
        <w:tc>
          <w:tcPr>
            <w:tcW w:w="1376" w:type="dxa"/>
          </w:tcPr>
          <w:p w:rsidR="002E1C77" w:rsidRDefault="002E1C77">
            <w:pPr>
              <w:pBdr>
                <w:top w:val="nil"/>
                <w:left w:val="nil"/>
                <w:bottom w:val="nil"/>
                <w:right w:val="nil"/>
                <w:between w:val="nil"/>
              </w:pBdr>
              <w:jc w:val="center"/>
              <w:rPr>
                <w:color w:val="000000"/>
              </w:rPr>
            </w:pPr>
          </w:p>
        </w:tc>
        <w:tc>
          <w:tcPr>
            <w:tcW w:w="1494" w:type="dxa"/>
          </w:tcPr>
          <w:p w:rsidR="002E1C77" w:rsidRDefault="002E1C77">
            <w:pPr>
              <w:rPr>
                <w:color w:val="000000"/>
              </w:rPr>
            </w:pPr>
          </w:p>
        </w:tc>
        <w:tc>
          <w:tcPr>
            <w:tcW w:w="1258" w:type="dxa"/>
          </w:tcPr>
          <w:p w:rsidR="002E1C77" w:rsidRDefault="002E1C77">
            <w:pPr>
              <w:pBdr>
                <w:top w:val="nil"/>
                <w:left w:val="nil"/>
                <w:bottom w:val="nil"/>
                <w:right w:val="nil"/>
                <w:between w:val="nil"/>
              </w:pBdr>
              <w:jc w:val="center"/>
              <w:rPr>
                <w:color w:val="000000"/>
              </w:rPr>
            </w:pPr>
          </w:p>
        </w:tc>
        <w:tc>
          <w:tcPr>
            <w:tcW w:w="1100" w:type="dxa"/>
          </w:tcPr>
          <w:p w:rsidR="002E1C77" w:rsidRDefault="002E1C77">
            <w:pPr>
              <w:pBdr>
                <w:top w:val="nil"/>
                <w:left w:val="nil"/>
                <w:bottom w:val="nil"/>
                <w:right w:val="nil"/>
                <w:between w:val="nil"/>
              </w:pBdr>
              <w:jc w:val="center"/>
              <w:rPr>
                <w:color w:val="000000"/>
              </w:rPr>
            </w:pPr>
          </w:p>
        </w:tc>
      </w:tr>
    </w:tbl>
    <w:p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p w:rsidR="002E1C77" w:rsidRPr="00F70D7A" w:rsidRDefault="00862042">
      <w:pPr>
        <w:numPr>
          <w:ilvl w:val="0"/>
          <w:numId w:val="2"/>
        </w:numPr>
        <w:pBdr>
          <w:top w:val="nil"/>
          <w:left w:val="nil"/>
          <w:bottom w:val="nil"/>
          <w:right w:val="nil"/>
          <w:between w:val="nil"/>
        </w:pBdr>
        <w:spacing w:before="120"/>
        <w:jc w:val="both"/>
        <w:rPr>
          <w:rFonts w:ascii="Arial" w:eastAsia="Arial" w:hAnsi="Arial" w:cs="Arial"/>
          <w:b/>
          <w:color w:val="000000"/>
          <w:sz w:val="24"/>
          <w:szCs w:val="24"/>
        </w:rPr>
      </w:pPr>
      <w:r>
        <w:rPr>
          <w:rFonts w:ascii="Arial" w:eastAsia="Arial" w:hAnsi="Arial" w:cs="Arial"/>
          <w:color w:val="000000"/>
          <w:sz w:val="24"/>
          <w:szCs w:val="24"/>
        </w:rPr>
        <w:t xml:space="preserve">Provide details of any securities issued and options or warrants granted. </w:t>
      </w:r>
      <w:r w:rsidR="00F70D7A">
        <w:rPr>
          <w:rFonts w:ascii="Arial" w:eastAsia="Arial" w:hAnsi="Arial" w:cs="Arial"/>
          <w:color w:val="000000"/>
          <w:sz w:val="24"/>
          <w:szCs w:val="24"/>
        </w:rPr>
        <w:t xml:space="preserve"> </w:t>
      </w:r>
    </w:p>
    <w:p w:rsidR="00F70D7A" w:rsidRDefault="00F70D7A">
      <w:pPr>
        <w:rPr>
          <w:rFonts w:ascii="Arial" w:eastAsia="Arial" w:hAnsi="Arial" w:cs="Arial"/>
          <w:b/>
          <w:color w:val="000000"/>
          <w:sz w:val="24"/>
          <w:szCs w:val="24"/>
        </w:rPr>
      </w:pPr>
      <w:r>
        <w:rPr>
          <w:rFonts w:ascii="Arial" w:eastAsia="Arial" w:hAnsi="Arial" w:cs="Arial"/>
          <w:b/>
          <w:color w:val="000000"/>
          <w:sz w:val="24"/>
          <w:szCs w:val="24"/>
        </w:rPr>
        <w:br w:type="page"/>
      </w:r>
    </w:p>
    <w:p w:rsidR="002E1C77" w:rsidRDefault="002E1C77">
      <w:pPr>
        <w:pBdr>
          <w:top w:val="nil"/>
          <w:left w:val="nil"/>
          <w:bottom w:val="nil"/>
          <w:right w:val="nil"/>
          <w:between w:val="nil"/>
        </w:pBdr>
        <w:spacing w:before="120"/>
        <w:jc w:val="both"/>
        <w:rPr>
          <w:rFonts w:ascii="Arial" w:eastAsia="Arial" w:hAnsi="Arial" w:cs="Arial"/>
          <w:b/>
          <w:color w:val="000000"/>
          <w:sz w:val="24"/>
          <w:szCs w:val="24"/>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2E1C77">
        <w:tc>
          <w:tcPr>
            <w:tcW w:w="2394" w:type="dxa"/>
          </w:tcPr>
          <w:p w:rsidR="002E1C77" w:rsidRDefault="0086204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Security</w:t>
            </w:r>
          </w:p>
        </w:tc>
        <w:tc>
          <w:tcPr>
            <w:tcW w:w="2394" w:type="dxa"/>
          </w:tcPr>
          <w:p w:rsidR="002E1C77" w:rsidRDefault="0086204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Number Issued</w:t>
            </w:r>
          </w:p>
        </w:tc>
        <w:tc>
          <w:tcPr>
            <w:tcW w:w="2394" w:type="dxa"/>
          </w:tcPr>
          <w:p w:rsidR="002E1C77" w:rsidRDefault="0086204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Details of Issuance</w:t>
            </w:r>
          </w:p>
        </w:tc>
        <w:tc>
          <w:tcPr>
            <w:tcW w:w="2394" w:type="dxa"/>
          </w:tcPr>
          <w:p w:rsidR="002E1C77" w:rsidRDefault="00862042">
            <w:pPr>
              <w:pBdr>
                <w:top w:val="nil"/>
                <w:left w:val="nil"/>
                <w:bottom w:val="nil"/>
                <w:right w:val="nil"/>
                <w:between w:val="nil"/>
              </w:pBdr>
              <w:tabs>
                <w:tab w:val="left" w:pos="360"/>
              </w:tabs>
              <w:spacing w:line="280" w:lineRule="auto"/>
              <w:jc w:val="center"/>
              <w:rPr>
                <w:rFonts w:ascii="Arial" w:eastAsia="Arial" w:hAnsi="Arial" w:cs="Arial"/>
                <w:b/>
                <w:color w:val="000000"/>
                <w:sz w:val="24"/>
                <w:szCs w:val="24"/>
              </w:rPr>
            </w:pPr>
            <w:r>
              <w:rPr>
                <w:rFonts w:ascii="Arial" w:eastAsia="Arial" w:hAnsi="Arial" w:cs="Arial"/>
                <w:b/>
                <w:color w:val="000000"/>
                <w:sz w:val="24"/>
                <w:szCs w:val="24"/>
              </w:rPr>
              <w:t>Use of Proceeds</w:t>
            </w:r>
          </w:p>
        </w:tc>
      </w:tr>
      <w:tr w:rsidR="002E1C77">
        <w:tc>
          <w:tcPr>
            <w:tcW w:w="2394" w:type="dxa"/>
          </w:tcPr>
          <w:p w:rsidR="002E1C77" w:rsidRPr="00A00B5D" w:rsidRDefault="00F70D7A">
            <w:pPr>
              <w:pBdr>
                <w:top w:val="nil"/>
                <w:left w:val="nil"/>
                <w:bottom w:val="nil"/>
                <w:right w:val="nil"/>
                <w:between w:val="nil"/>
              </w:pBdr>
              <w:tabs>
                <w:tab w:val="left" w:pos="360"/>
              </w:tabs>
              <w:spacing w:line="280" w:lineRule="auto"/>
              <w:jc w:val="both"/>
              <w:rPr>
                <w:rFonts w:ascii="Arial" w:eastAsia="Arial" w:hAnsi="Arial" w:cs="Arial"/>
                <w:color w:val="000000"/>
              </w:rPr>
            </w:pPr>
            <w:r>
              <w:rPr>
                <w:rFonts w:ascii="Arial" w:eastAsia="Arial" w:hAnsi="Arial" w:cs="Arial"/>
                <w:color w:val="000000"/>
              </w:rPr>
              <w:t>Options</w:t>
            </w:r>
          </w:p>
        </w:tc>
        <w:tc>
          <w:tcPr>
            <w:tcW w:w="2394" w:type="dxa"/>
          </w:tcPr>
          <w:p w:rsidR="002E1C77" w:rsidRPr="00A00B5D" w:rsidRDefault="00F70D7A" w:rsidP="008445DF">
            <w:pPr>
              <w:pBdr>
                <w:top w:val="nil"/>
                <w:left w:val="nil"/>
                <w:bottom w:val="nil"/>
                <w:right w:val="nil"/>
                <w:between w:val="nil"/>
              </w:pBdr>
              <w:tabs>
                <w:tab w:val="left" w:pos="360"/>
              </w:tabs>
              <w:spacing w:line="280" w:lineRule="auto"/>
              <w:jc w:val="center"/>
              <w:rPr>
                <w:rFonts w:ascii="Arial" w:eastAsia="Arial" w:hAnsi="Arial" w:cs="Arial"/>
                <w:color w:val="000000"/>
              </w:rPr>
            </w:pPr>
            <w:r>
              <w:rPr>
                <w:rFonts w:ascii="Arial" w:eastAsia="Arial" w:hAnsi="Arial" w:cs="Arial"/>
                <w:color w:val="000000"/>
              </w:rPr>
              <w:t>678,500</w:t>
            </w:r>
          </w:p>
        </w:tc>
        <w:tc>
          <w:tcPr>
            <w:tcW w:w="2394" w:type="dxa"/>
          </w:tcPr>
          <w:p w:rsidR="00F70D7A" w:rsidRDefault="00F70D7A" w:rsidP="00F70D7A">
            <w:pPr>
              <w:pBdr>
                <w:top w:val="nil"/>
                <w:left w:val="nil"/>
                <w:bottom w:val="nil"/>
                <w:right w:val="nil"/>
                <w:between w:val="nil"/>
              </w:pBdr>
              <w:tabs>
                <w:tab w:val="left" w:pos="360"/>
              </w:tabs>
              <w:spacing w:line="280" w:lineRule="auto"/>
              <w:jc w:val="both"/>
              <w:rPr>
                <w:rFonts w:ascii="Arial" w:eastAsia="Arial" w:hAnsi="Arial" w:cs="Arial"/>
                <w:color w:val="000000"/>
              </w:rPr>
            </w:pPr>
            <w:r>
              <w:rPr>
                <w:rFonts w:ascii="Arial" w:eastAsia="Arial" w:hAnsi="Arial" w:cs="Arial"/>
                <w:color w:val="000000"/>
              </w:rPr>
              <w:t xml:space="preserve">All have an </w:t>
            </w:r>
            <w:r w:rsidRPr="00A00B5D">
              <w:rPr>
                <w:rFonts w:ascii="Arial" w:eastAsia="Arial" w:hAnsi="Arial" w:cs="Arial"/>
                <w:color w:val="000000"/>
              </w:rPr>
              <w:t>Exercise price of $</w:t>
            </w:r>
            <w:r>
              <w:rPr>
                <w:rFonts w:ascii="Arial" w:eastAsia="Arial" w:hAnsi="Arial" w:cs="Arial"/>
                <w:color w:val="000000"/>
              </w:rPr>
              <w:t xml:space="preserve">0.76 with </w:t>
            </w:r>
          </w:p>
          <w:p w:rsidR="002E1C77" w:rsidRPr="00A00B5D" w:rsidRDefault="00F70D7A" w:rsidP="00F70D7A">
            <w:pPr>
              <w:pBdr>
                <w:top w:val="nil"/>
                <w:left w:val="nil"/>
                <w:bottom w:val="nil"/>
                <w:right w:val="nil"/>
                <w:between w:val="nil"/>
              </w:pBdr>
              <w:tabs>
                <w:tab w:val="left" w:pos="360"/>
              </w:tabs>
              <w:spacing w:line="280" w:lineRule="auto"/>
              <w:jc w:val="both"/>
              <w:rPr>
                <w:rFonts w:ascii="Arial" w:eastAsia="Arial" w:hAnsi="Arial" w:cs="Arial"/>
                <w:color w:val="000000"/>
              </w:rPr>
            </w:pPr>
            <w:r>
              <w:rPr>
                <w:rFonts w:ascii="Arial" w:eastAsia="Arial" w:hAnsi="Arial" w:cs="Arial"/>
                <w:color w:val="000000"/>
              </w:rPr>
              <w:t>500,000 expiring on Dec 19, 2023 &amp; 178,500 expiring on Dec 19, 2021</w:t>
            </w:r>
          </w:p>
        </w:tc>
        <w:tc>
          <w:tcPr>
            <w:tcW w:w="2394" w:type="dxa"/>
          </w:tcPr>
          <w:p w:rsidR="002E1C77" w:rsidRPr="00A00B5D" w:rsidRDefault="00F70D7A">
            <w:pPr>
              <w:pBdr>
                <w:top w:val="nil"/>
                <w:left w:val="nil"/>
                <w:bottom w:val="nil"/>
                <w:right w:val="nil"/>
                <w:between w:val="nil"/>
              </w:pBdr>
              <w:tabs>
                <w:tab w:val="left" w:pos="360"/>
              </w:tabs>
              <w:spacing w:line="280" w:lineRule="auto"/>
              <w:jc w:val="both"/>
              <w:rPr>
                <w:rFonts w:ascii="Arial" w:eastAsia="Arial" w:hAnsi="Arial" w:cs="Arial"/>
                <w:color w:val="000000"/>
              </w:rPr>
            </w:pPr>
            <w:r>
              <w:rPr>
                <w:rFonts w:ascii="Arial" w:eastAsia="Arial" w:hAnsi="Arial" w:cs="Arial"/>
                <w:color w:val="000000"/>
              </w:rPr>
              <w:t>N/A</w:t>
            </w:r>
          </w:p>
        </w:tc>
      </w:tr>
      <w:tr w:rsidR="00E45549">
        <w:tc>
          <w:tcPr>
            <w:tcW w:w="2394" w:type="dxa"/>
          </w:tcPr>
          <w:p w:rsidR="00E45549" w:rsidRPr="00A00B5D" w:rsidRDefault="00E45549">
            <w:pPr>
              <w:pBdr>
                <w:top w:val="nil"/>
                <w:left w:val="nil"/>
                <w:bottom w:val="nil"/>
                <w:right w:val="nil"/>
                <w:between w:val="nil"/>
              </w:pBdr>
              <w:tabs>
                <w:tab w:val="left" w:pos="360"/>
              </w:tabs>
              <w:spacing w:line="280" w:lineRule="auto"/>
              <w:jc w:val="both"/>
              <w:rPr>
                <w:rFonts w:ascii="Arial" w:eastAsia="Arial" w:hAnsi="Arial" w:cs="Arial"/>
                <w:color w:val="000000"/>
              </w:rPr>
            </w:pPr>
          </w:p>
        </w:tc>
        <w:tc>
          <w:tcPr>
            <w:tcW w:w="2394" w:type="dxa"/>
          </w:tcPr>
          <w:p w:rsidR="00E45549" w:rsidRPr="00A00B5D" w:rsidRDefault="00E45549">
            <w:pPr>
              <w:pBdr>
                <w:top w:val="nil"/>
                <w:left w:val="nil"/>
                <w:bottom w:val="nil"/>
                <w:right w:val="nil"/>
                <w:between w:val="nil"/>
              </w:pBdr>
              <w:tabs>
                <w:tab w:val="left" w:pos="360"/>
              </w:tabs>
              <w:spacing w:line="280" w:lineRule="auto"/>
              <w:jc w:val="center"/>
              <w:rPr>
                <w:rFonts w:ascii="Arial" w:eastAsia="Arial" w:hAnsi="Arial" w:cs="Arial"/>
                <w:color w:val="000000"/>
              </w:rPr>
            </w:pPr>
          </w:p>
        </w:tc>
        <w:tc>
          <w:tcPr>
            <w:tcW w:w="2394" w:type="dxa"/>
          </w:tcPr>
          <w:p w:rsidR="00E45549" w:rsidRPr="00A00B5D" w:rsidRDefault="00E45549" w:rsidP="00A00B5D">
            <w:pPr>
              <w:pBdr>
                <w:top w:val="nil"/>
                <w:left w:val="nil"/>
                <w:bottom w:val="nil"/>
                <w:right w:val="nil"/>
                <w:between w:val="nil"/>
              </w:pBdr>
              <w:tabs>
                <w:tab w:val="left" w:pos="360"/>
              </w:tabs>
              <w:spacing w:line="280" w:lineRule="auto"/>
              <w:jc w:val="both"/>
              <w:rPr>
                <w:rFonts w:ascii="Arial" w:eastAsia="Arial" w:hAnsi="Arial" w:cs="Arial"/>
                <w:color w:val="000000"/>
              </w:rPr>
            </w:pPr>
          </w:p>
        </w:tc>
        <w:tc>
          <w:tcPr>
            <w:tcW w:w="2394" w:type="dxa"/>
          </w:tcPr>
          <w:p w:rsidR="00E45549" w:rsidRPr="00A00B5D" w:rsidRDefault="00E45549">
            <w:pPr>
              <w:pBdr>
                <w:top w:val="nil"/>
                <w:left w:val="nil"/>
                <w:bottom w:val="nil"/>
                <w:right w:val="nil"/>
                <w:between w:val="nil"/>
              </w:pBdr>
              <w:tabs>
                <w:tab w:val="left" w:pos="360"/>
              </w:tabs>
              <w:spacing w:line="280" w:lineRule="auto"/>
              <w:jc w:val="both"/>
              <w:rPr>
                <w:rFonts w:ascii="Arial" w:eastAsia="Arial" w:hAnsi="Arial" w:cs="Arial"/>
                <w:color w:val="000000"/>
              </w:rPr>
            </w:pPr>
          </w:p>
        </w:tc>
      </w:tr>
    </w:tbl>
    <w:p w:rsidR="002E1C77" w:rsidRDefault="0086204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rsidR="002E1C77" w:rsidRDefault="00862042">
      <w:pPr>
        <w:keepNext/>
        <w:keepLines/>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None</w:t>
      </w:r>
    </w:p>
    <w:p w:rsidR="002E1C77" w:rsidRDefault="0086204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N/A</w:t>
      </w:r>
    </w:p>
    <w:p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rsidR="002E1C77" w:rsidRDefault="00862042">
      <w:pPr>
        <w:pBdr>
          <w:top w:val="nil"/>
          <w:left w:val="nil"/>
          <w:bottom w:val="nil"/>
          <w:right w:val="nil"/>
          <w:between w:val="nil"/>
        </w:pBdr>
        <w:spacing w:before="240"/>
        <w:ind w:left="720"/>
        <w:rPr>
          <w:rFonts w:ascii="Arial" w:eastAsia="Arial" w:hAnsi="Arial" w:cs="Arial"/>
          <w:b/>
          <w:i/>
          <w:color w:val="000000"/>
          <w:sz w:val="24"/>
          <w:szCs w:val="24"/>
        </w:rPr>
      </w:pPr>
      <w:r>
        <w:rPr>
          <w:rFonts w:ascii="Arial" w:eastAsia="Arial" w:hAnsi="Arial" w:cs="Arial"/>
          <w:b/>
          <w:color w:val="000000"/>
          <w:sz w:val="24"/>
          <w:szCs w:val="24"/>
        </w:rPr>
        <w:t xml:space="preserve">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w:t>
      </w:r>
      <w:r>
        <w:rPr>
          <w:rFonts w:ascii="Arial" w:eastAsia="Arial" w:hAnsi="Arial" w:cs="Arial"/>
          <w:b/>
          <w:color w:val="000000"/>
          <w:sz w:val="24"/>
          <w:szCs w:val="24"/>
        </w:rPr>
        <w:lastRenderedPageBreak/>
        <w:t>sometimes ambiguous and, accordingly, the Resulting Issuer cannot assure that it is in 100% compliance with all applicable</w:t>
      </w:r>
      <w:r>
        <w:rPr>
          <w:rFonts w:ascii="Arial" w:eastAsia="Arial" w:hAnsi="Arial" w:cs="Arial"/>
          <w:color w:val="000000"/>
          <w:sz w:val="24"/>
          <w:szCs w:val="24"/>
        </w:rPr>
        <w:t xml:space="preserve"> </w:t>
      </w:r>
      <w:r>
        <w:rPr>
          <w:rFonts w:ascii="Arial" w:eastAsia="Arial" w:hAnsi="Arial" w:cs="Arial"/>
          <w:b/>
          <w:color w:val="000000"/>
          <w:sz w:val="24"/>
          <w:szCs w:val="24"/>
        </w:rPr>
        <w:t xml:space="preserve">laws, much less that all courts, arbitrators and regulators would agree that it is in 100% compliance. </w:t>
      </w:r>
    </w:p>
    <w:p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 xml:space="preserve">The market for payment processing is rapidly evolving and intensely competitive, and the Issuer expects competition to intensify further in the future. There is high potential the Issuer will face competition from other companies, some of which can be expected to have longer operating histories and more financial resources and marketing experience. Increased competition by larger and better financed competitors could materially and adversely affect the business, financial condition and results of operations of the Issuer. </w:t>
      </w:r>
    </w:p>
    <w:p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p w:rsidR="002E1C77" w:rsidRDefault="00862042">
      <w:pPr>
        <w:keepNext/>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 xml:space="preserve">Certificate </w:t>
      </w:r>
      <w:proofErr w:type="gramStart"/>
      <w:r>
        <w:rPr>
          <w:rFonts w:ascii="Arial" w:eastAsia="Arial" w:hAnsi="Arial" w:cs="Arial"/>
          <w:b/>
          <w:color w:val="000000"/>
          <w:sz w:val="24"/>
          <w:szCs w:val="24"/>
        </w:rPr>
        <w:t>Of</w:t>
      </w:r>
      <w:proofErr w:type="gramEnd"/>
      <w:r>
        <w:rPr>
          <w:rFonts w:ascii="Arial" w:eastAsia="Arial" w:hAnsi="Arial" w:cs="Arial"/>
          <w:b/>
          <w:color w:val="000000"/>
          <w:sz w:val="24"/>
          <w:szCs w:val="24"/>
        </w:rPr>
        <w:t xml:space="preserve"> Compliance</w:t>
      </w:r>
    </w:p>
    <w:p w:rsidR="002E1C77" w:rsidRDefault="00862042">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rsidR="002E1C77" w:rsidRDefault="00862042">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 is no material information concerning the Issuer which has not been publicly disclosed.</w:t>
      </w:r>
    </w:p>
    <w:p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rsidR="002E1C77" w:rsidRDefault="00573A20">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A509A7">
        <w:rPr>
          <w:rFonts w:ascii="Arial" w:eastAsia="Arial" w:hAnsi="Arial" w:cs="Arial"/>
          <w:color w:val="000000"/>
          <w:sz w:val="24"/>
          <w:szCs w:val="24"/>
        </w:rPr>
        <w:t xml:space="preserve">Jan </w:t>
      </w:r>
      <w:r w:rsidR="00816489">
        <w:rPr>
          <w:rFonts w:ascii="Arial" w:eastAsia="Arial" w:hAnsi="Arial" w:cs="Arial"/>
          <w:color w:val="000000"/>
          <w:sz w:val="24"/>
          <w:szCs w:val="24"/>
        </w:rPr>
        <w:t>7</w:t>
      </w:r>
      <w:r w:rsidR="00A509A7">
        <w:rPr>
          <w:rFonts w:ascii="Arial" w:eastAsia="Arial" w:hAnsi="Arial" w:cs="Arial"/>
          <w:color w:val="000000"/>
          <w:sz w:val="24"/>
          <w:szCs w:val="24"/>
        </w:rPr>
        <w:t>, 2019</w:t>
      </w:r>
    </w:p>
    <w:p w:rsidR="002E1C77" w:rsidRDefault="00862042">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Gordon Jessop</w:t>
      </w:r>
    </w:p>
    <w:p w:rsidR="002E1C77" w:rsidRDefault="00862042">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Name of Director or Senior Officer</w:t>
      </w:r>
    </w:p>
    <w:p w:rsidR="002E1C77" w:rsidRDefault="00862042">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noProof/>
          <w:color w:val="000000"/>
          <w:sz w:val="24"/>
          <w:szCs w:val="24"/>
          <w:lang w:val="en-CA"/>
        </w:rPr>
        <w:drawing>
          <wp:inline distT="0" distB="0" distL="0" distR="0">
            <wp:extent cx="1947973" cy="477853"/>
            <wp:effectExtent l="0" t="0" r="0" b="0"/>
            <wp:docPr id="9" name="image3.png" descr="E:\Esignatures\GJ Esignature.png"/>
            <wp:cNvGraphicFramePr/>
            <a:graphic xmlns:a="http://schemas.openxmlformats.org/drawingml/2006/main">
              <a:graphicData uri="http://schemas.openxmlformats.org/drawingml/2006/picture">
                <pic:pic xmlns:pic="http://schemas.openxmlformats.org/drawingml/2006/picture">
                  <pic:nvPicPr>
                    <pic:cNvPr id="0" name="image3.png" descr="E:\Esignatures\GJ Esignature.png"/>
                    <pic:cNvPicPr preferRelativeResize="0"/>
                  </pic:nvPicPr>
                  <pic:blipFill>
                    <a:blip r:embed="rId7" cstate="print"/>
                    <a:srcRect/>
                    <a:stretch>
                      <a:fillRect/>
                    </a:stretch>
                  </pic:blipFill>
                  <pic:spPr>
                    <a:xfrm>
                      <a:off x="0" y="0"/>
                      <a:ext cx="1947973" cy="477853"/>
                    </a:xfrm>
                    <a:prstGeom prst="rect">
                      <a:avLst/>
                    </a:prstGeom>
                    <a:ln/>
                  </pic:spPr>
                </pic:pic>
              </a:graphicData>
            </a:graphic>
          </wp:inline>
        </w:drawing>
      </w:r>
      <w:r>
        <w:rPr>
          <w:rFonts w:ascii="Arial" w:eastAsia="Arial" w:hAnsi="Arial" w:cs="Arial"/>
          <w:color w:val="000000"/>
          <w:sz w:val="24"/>
          <w:szCs w:val="24"/>
          <w:u w:val="single"/>
        </w:rPr>
        <w:tab/>
      </w:r>
      <w:r>
        <w:rPr>
          <w:rFonts w:ascii="Arial" w:eastAsia="Arial" w:hAnsi="Arial" w:cs="Arial"/>
          <w:color w:val="000000"/>
          <w:sz w:val="24"/>
          <w:szCs w:val="24"/>
        </w:rPr>
        <w:br/>
        <w:t>Signature</w:t>
      </w:r>
    </w:p>
    <w:p w:rsidR="002E1C77" w:rsidRDefault="00862042">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rPr>
        <w:t>President COO</w:t>
      </w:r>
      <w:r>
        <w:rPr>
          <w:rFonts w:ascii="Arial" w:eastAsia="Arial" w:hAnsi="Arial" w:cs="Arial"/>
          <w:color w:val="000000"/>
          <w:sz w:val="24"/>
          <w:szCs w:val="24"/>
        </w:rPr>
        <w:tab/>
      </w:r>
      <w:r>
        <w:rPr>
          <w:rFonts w:ascii="Arial" w:eastAsia="Arial" w:hAnsi="Arial" w:cs="Arial"/>
          <w:color w:val="000000"/>
          <w:sz w:val="24"/>
          <w:szCs w:val="24"/>
        </w:rPr>
        <w:br/>
        <w:t>Official Capacity</w:t>
      </w:r>
    </w:p>
    <w:p w:rsidR="00544A60" w:rsidRDefault="00544A60">
      <w:pPr>
        <w:pBdr>
          <w:top w:val="nil"/>
          <w:left w:val="nil"/>
          <w:bottom w:val="nil"/>
          <w:right w:val="nil"/>
          <w:between w:val="nil"/>
        </w:pBdr>
        <w:tabs>
          <w:tab w:val="left" w:pos="9180"/>
        </w:tabs>
        <w:ind w:left="5760"/>
        <w:rPr>
          <w:rFonts w:ascii="Arial" w:eastAsia="Arial" w:hAnsi="Arial" w:cs="Arial"/>
          <w:color w:val="000000"/>
          <w:sz w:val="24"/>
          <w:szCs w:val="24"/>
        </w:rPr>
      </w:pPr>
    </w:p>
    <w:p w:rsidR="002E1C77" w:rsidRDefault="002E1C77">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4"/>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372"/>
        <w:gridCol w:w="2306"/>
        <w:gridCol w:w="2898"/>
      </w:tblGrid>
      <w:tr w:rsidR="002E1C77">
        <w:tc>
          <w:tcPr>
            <w:tcW w:w="4372" w:type="dxa"/>
            <w:tcBorders>
              <w:top w:val="single" w:sz="18" w:space="0" w:color="000000"/>
              <w:bottom w:val="nil"/>
              <w:right w:val="single" w:sz="18" w:space="0" w:color="000000"/>
            </w:tcBorders>
          </w:tcPr>
          <w:p w:rsidR="002E1C77" w:rsidRDefault="00862042">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rsidR="002E1C77" w:rsidRDefault="00862042">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NetCents Technology Inc.</w:t>
            </w:r>
          </w:p>
        </w:tc>
        <w:tc>
          <w:tcPr>
            <w:tcW w:w="2306" w:type="dxa"/>
            <w:tcBorders>
              <w:top w:val="single" w:sz="18" w:space="0" w:color="000000"/>
              <w:left w:val="single" w:sz="18" w:space="0" w:color="000000"/>
              <w:bottom w:val="nil"/>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r w:rsidR="005C4F73">
              <w:rPr>
                <w:rFonts w:ascii="Arial" w:eastAsia="Arial" w:hAnsi="Arial" w:cs="Arial"/>
                <w:color w:val="000000"/>
                <w:sz w:val="24"/>
                <w:szCs w:val="24"/>
              </w:rPr>
              <w:t>:</w:t>
            </w:r>
            <w:r>
              <w:rPr>
                <w:rFonts w:ascii="Arial" w:eastAsia="Arial" w:hAnsi="Arial" w:cs="Arial"/>
                <w:color w:val="000000"/>
                <w:sz w:val="24"/>
                <w:szCs w:val="24"/>
              </w:rPr>
              <w:t xml:space="preserve"> </w:t>
            </w:r>
          </w:p>
          <w:p w:rsidR="002E1C77" w:rsidRDefault="00A509A7" w:rsidP="00A115A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Dec 31, </w:t>
            </w:r>
            <w:r w:rsidR="00FC3A77">
              <w:rPr>
                <w:rFonts w:ascii="Arial" w:eastAsia="Arial" w:hAnsi="Arial" w:cs="Arial"/>
                <w:color w:val="000000"/>
                <w:sz w:val="24"/>
                <w:szCs w:val="24"/>
              </w:rPr>
              <w:t>2018</w:t>
            </w:r>
          </w:p>
        </w:tc>
        <w:tc>
          <w:tcPr>
            <w:tcW w:w="2898" w:type="dxa"/>
            <w:tcBorders>
              <w:top w:val="single" w:sz="18" w:space="0" w:color="000000"/>
              <w:left w:val="single" w:sz="18" w:space="0" w:color="000000"/>
              <w:bottom w:val="nil"/>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w:t>
            </w:r>
            <w:r w:rsidR="00A509A7">
              <w:rPr>
                <w:rFonts w:ascii="Arial" w:eastAsia="Arial" w:hAnsi="Arial" w:cs="Arial"/>
                <w:color w:val="000000"/>
                <w:sz w:val="24"/>
                <w:szCs w:val="24"/>
              </w:rPr>
              <w:t>9</w:t>
            </w:r>
            <w:r>
              <w:rPr>
                <w:rFonts w:ascii="Arial" w:eastAsia="Arial" w:hAnsi="Arial" w:cs="Arial"/>
                <w:color w:val="000000"/>
                <w:sz w:val="24"/>
                <w:szCs w:val="24"/>
              </w:rPr>
              <w:t>/</w:t>
            </w:r>
            <w:r w:rsidR="00A509A7">
              <w:rPr>
                <w:rFonts w:ascii="Arial" w:eastAsia="Arial" w:hAnsi="Arial" w:cs="Arial"/>
                <w:color w:val="000000"/>
                <w:sz w:val="24"/>
                <w:szCs w:val="24"/>
              </w:rPr>
              <w:t>01</w:t>
            </w:r>
            <w:r>
              <w:rPr>
                <w:rFonts w:ascii="Arial" w:eastAsia="Arial" w:hAnsi="Arial" w:cs="Arial"/>
                <w:color w:val="000000"/>
                <w:sz w:val="24"/>
                <w:szCs w:val="24"/>
              </w:rPr>
              <w:t>/0</w:t>
            </w:r>
            <w:r w:rsidR="00F70D7A">
              <w:rPr>
                <w:rFonts w:ascii="Arial" w:eastAsia="Arial" w:hAnsi="Arial" w:cs="Arial"/>
                <w:color w:val="000000"/>
                <w:sz w:val="24"/>
                <w:szCs w:val="24"/>
              </w:rPr>
              <w:t>7</w:t>
            </w:r>
          </w:p>
        </w:tc>
      </w:tr>
      <w:tr w:rsidR="002E1C77">
        <w:tc>
          <w:tcPr>
            <w:tcW w:w="9576" w:type="dxa"/>
            <w:gridSpan w:val="3"/>
            <w:tcBorders>
              <w:top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1000 – 1021 West Hastings St.</w:t>
            </w:r>
          </w:p>
          <w:p w:rsidR="002E1C77" w:rsidRDefault="002E1C77">
            <w:pPr>
              <w:pBdr>
                <w:top w:val="nil"/>
                <w:left w:val="nil"/>
                <w:bottom w:val="nil"/>
                <w:right w:val="nil"/>
                <w:between w:val="nil"/>
              </w:pBdr>
              <w:rPr>
                <w:rFonts w:ascii="Arial" w:eastAsia="Arial" w:hAnsi="Arial" w:cs="Arial"/>
                <w:color w:val="000000"/>
                <w:sz w:val="24"/>
                <w:szCs w:val="24"/>
              </w:rPr>
            </w:pPr>
          </w:p>
        </w:tc>
      </w:tr>
      <w:tr w:rsidR="002E1C77">
        <w:tc>
          <w:tcPr>
            <w:tcW w:w="4372" w:type="dxa"/>
            <w:tcBorders>
              <w:top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0B2</w:t>
            </w:r>
          </w:p>
        </w:tc>
        <w:tc>
          <w:tcPr>
            <w:tcW w:w="2306" w:type="dxa"/>
            <w:tcBorders>
              <w:top w:val="single" w:sz="18" w:space="0" w:color="000000"/>
              <w:left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( 604) 638-5556</w:t>
            </w:r>
          </w:p>
        </w:tc>
      </w:tr>
      <w:tr w:rsidR="002E1C77">
        <w:trPr>
          <w:trHeight w:val="520"/>
        </w:trPr>
        <w:tc>
          <w:tcPr>
            <w:tcW w:w="4372" w:type="dxa"/>
            <w:tcBorders>
              <w:top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Gordon Jessop</w:t>
            </w:r>
          </w:p>
        </w:tc>
        <w:tc>
          <w:tcPr>
            <w:tcW w:w="2306" w:type="dxa"/>
            <w:tcBorders>
              <w:top w:val="single" w:sz="18" w:space="0" w:color="000000"/>
              <w:left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President COO</w:t>
            </w:r>
          </w:p>
        </w:tc>
        <w:tc>
          <w:tcPr>
            <w:tcW w:w="2898" w:type="dxa"/>
            <w:tcBorders>
              <w:top w:val="single" w:sz="18" w:space="0" w:color="000000"/>
              <w:left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604 638-5556</w:t>
            </w:r>
          </w:p>
        </w:tc>
      </w:tr>
      <w:tr w:rsidR="002E1C77">
        <w:trPr>
          <w:trHeight w:val="80"/>
        </w:trPr>
        <w:tc>
          <w:tcPr>
            <w:tcW w:w="4372" w:type="dxa"/>
            <w:tcBorders>
              <w:top w:val="single" w:sz="18" w:space="0" w:color="000000"/>
              <w:bottom w:val="single" w:sz="18" w:space="0" w:color="000000"/>
              <w:right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gord.jessop@net-cents.com</w:t>
            </w:r>
          </w:p>
        </w:tc>
        <w:tc>
          <w:tcPr>
            <w:tcW w:w="5204" w:type="dxa"/>
            <w:gridSpan w:val="2"/>
            <w:tcBorders>
              <w:top w:val="single" w:sz="18" w:space="0" w:color="000000"/>
              <w:left w:val="single" w:sz="18" w:space="0" w:color="000000"/>
              <w:bottom w:val="single" w:sz="18" w:space="0" w:color="000000"/>
            </w:tcBorders>
          </w:tcPr>
          <w:p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rsidR="002E1C77" w:rsidRDefault="00943C56">
            <w:pPr>
              <w:pBdr>
                <w:top w:val="nil"/>
                <w:left w:val="nil"/>
                <w:bottom w:val="nil"/>
                <w:right w:val="nil"/>
                <w:between w:val="nil"/>
              </w:pBdr>
              <w:rPr>
                <w:rFonts w:ascii="Arial" w:eastAsia="Arial" w:hAnsi="Arial" w:cs="Arial"/>
                <w:color w:val="000000"/>
                <w:sz w:val="24"/>
                <w:szCs w:val="24"/>
              </w:rPr>
            </w:pPr>
            <w:hyperlink r:id="rId8">
              <w:r w:rsidR="00862042">
                <w:rPr>
                  <w:rFonts w:ascii="Arial" w:eastAsia="Arial" w:hAnsi="Arial" w:cs="Arial"/>
                  <w:color w:val="0000FF"/>
                  <w:sz w:val="24"/>
                  <w:szCs w:val="24"/>
                  <w:u w:val="single"/>
                </w:rPr>
                <w:t>www.net-cents.com</w:t>
              </w:r>
            </w:hyperlink>
            <w:r w:rsidR="00862042">
              <w:rPr>
                <w:rFonts w:ascii="Arial" w:eastAsia="Arial" w:hAnsi="Arial" w:cs="Arial"/>
                <w:color w:val="000000"/>
                <w:sz w:val="24"/>
                <w:szCs w:val="24"/>
              </w:rPr>
              <w:t xml:space="preserve"> / blog.net-cents.com</w:t>
            </w:r>
          </w:p>
        </w:tc>
      </w:tr>
    </w:tbl>
    <w:p w:rsidR="002E1C77" w:rsidRDefault="002E1C77">
      <w:pPr>
        <w:pBdr>
          <w:top w:val="nil"/>
          <w:left w:val="nil"/>
          <w:bottom w:val="nil"/>
          <w:right w:val="nil"/>
          <w:between w:val="nil"/>
        </w:pBdr>
        <w:spacing w:before="240"/>
        <w:rPr>
          <w:color w:val="000000"/>
          <w:sz w:val="24"/>
          <w:szCs w:val="24"/>
        </w:rPr>
      </w:pPr>
    </w:p>
    <w:sectPr w:rsidR="002E1C77" w:rsidSect="002E1C77">
      <w:headerReference w:type="even" r:id="rId9"/>
      <w:headerReference w:type="default" r:id="rId10"/>
      <w:footerReference w:type="default" r:id="rId11"/>
      <w:footerReference w:type="first" r:id="rId12"/>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77" w:rsidRDefault="002E1C77" w:rsidP="002E1C77">
      <w:r>
        <w:separator/>
      </w:r>
    </w:p>
  </w:endnote>
  <w:endnote w:type="continuationSeparator" w:id="0">
    <w:p w:rsidR="002E1C77" w:rsidRDefault="002E1C77" w:rsidP="002E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2E1C77">
    <w:pPr>
      <w:pBdr>
        <w:top w:val="nil"/>
        <w:left w:val="nil"/>
        <w:bottom w:val="nil"/>
        <w:right w:val="nil"/>
        <w:between w:val="nil"/>
      </w:pBdr>
      <w:tabs>
        <w:tab w:val="center" w:pos="4680"/>
        <w:tab w:val="right" w:pos="9360"/>
      </w:tabs>
      <w:rPr>
        <w:b/>
        <w:color w:val="000000"/>
      </w:rPr>
    </w:pPr>
  </w:p>
  <w:p w:rsidR="002E1C77" w:rsidRDefault="00862042">
    <w:pPr>
      <w:tabs>
        <w:tab w:val="center" w:pos="4680"/>
        <w:tab w:val="left" w:pos="8280"/>
      </w:tabs>
      <w:jc w:val="center"/>
      <w:rPr>
        <w:rFonts w:ascii="Arial" w:eastAsia="Arial" w:hAnsi="Arial" w:cs="Arial"/>
        <w:b/>
      </w:rPr>
    </w:pPr>
    <w:r>
      <w:rPr>
        <w:rFonts w:ascii="Arial" w:eastAsia="Arial" w:hAnsi="Arial" w:cs="Arial"/>
        <w:b/>
      </w:rPr>
      <w:t>FORM 7 – MONTHLY PROGRESS REPORT</w:t>
    </w:r>
    <w:r w:rsidR="00943C56">
      <w:rPr>
        <w:noProof/>
      </w:rPr>
      <w:pict>
        <v:line id="_x0000_s2050" style="position:absolute;left:0;text-align:left;flip:x;z-index:251658240;visibility:visible;mso-wrap-style:square;mso-wrap-distance-left:9pt;mso-wrap-distance-top:0;mso-wrap-distance-right:9pt;mso-wrap-distance-bottom:0;mso-position-horizontal:absolute;mso-position-horizontal-relative:margin;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LwoeCvGAQAAeAMAAA4AAAAAAAAAAAAA&#10;AAAALgIAAGRycy9lMm9Eb2MueG1sUEsBAi0AFAAGAAgAAAAhAB8wuCncAAAACgEAAA8AAAAAAAAA&#10;AAAAAAAAIAQAAGRycy9kb3ducmV2LnhtbFBLBQYAAAAABAAEAPMAAAApBQAAAAA=&#10;">
          <w10:wrap anchorx="margin"/>
        </v:line>
      </w:pict>
    </w:r>
  </w:p>
  <w:p w:rsidR="002E1C77" w:rsidRDefault="00EC77EA">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December 2018</w:t>
    </w:r>
  </w:p>
  <w:p w:rsidR="002E1C77" w:rsidRDefault="00862042">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103E5D">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03E5D">
      <w:rPr>
        <w:rFonts w:ascii="Arial" w:eastAsia="Arial" w:hAnsi="Arial" w:cs="Arial"/>
        <w:color w:val="000000"/>
        <w:sz w:val="16"/>
        <w:szCs w:val="16"/>
      </w:rPr>
      <w:fldChar w:fldCharType="separate"/>
    </w:r>
    <w:r w:rsidR="00E970CB">
      <w:rPr>
        <w:rFonts w:ascii="Arial" w:eastAsia="Arial" w:hAnsi="Arial" w:cs="Arial"/>
        <w:noProof/>
        <w:color w:val="000000"/>
        <w:sz w:val="16"/>
        <w:szCs w:val="16"/>
      </w:rPr>
      <w:t>2</w:t>
    </w:r>
    <w:r w:rsidR="00103E5D">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2E1C77">
    <w:pPr>
      <w:pBdr>
        <w:top w:val="nil"/>
        <w:left w:val="nil"/>
        <w:bottom w:val="nil"/>
        <w:right w:val="nil"/>
        <w:between w:val="nil"/>
      </w:pBdr>
      <w:tabs>
        <w:tab w:val="center" w:pos="4680"/>
        <w:tab w:val="right" w:pos="9360"/>
      </w:tabs>
      <w:rPr>
        <w:b/>
        <w:color w:val="000000"/>
      </w:rPr>
    </w:pPr>
  </w:p>
  <w:p w:rsidR="002E1C77" w:rsidRDefault="00862042">
    <w:pPr>
      <w:tabs>
        <w:tab w:val="center" w:pos="4674"/>
        <w:tab w:val="left" w:pos="8460"/>
      </w:tabs>
      <w:jc w:val="center"/>
      <w:rPr>
        <w:rFonts w:ascii="Arial" w:eastAsia="Arial" w:hAnsi="Arial" w:cs="Arial"/>
        <w:b/>
      </w:rPr>
    </w:pPr>
    <w:r>
      <w:rPr>
        <w:rFonts w:ascii="Arial" w:eastAsia="Arial" w:hAnsi="Arial" w:cs="Arial"/>
        <w:b/>
      </w:rPr>
      <w:t>FORM 7 – MONTHLY PROGRESS REPORT</w:t>
    </w:r>
    <w:r w:rsidR="00943C56">
      <w:rPr>
        <w:noProof/>
      </w:rPr>
      <w:pict>
        <v:line id="_x0000_s2049" style="position:absolute;left:0;text-align:left;flip:x;z-index:251659264;visibility:visible;mso-wrap-style:square;mso-wrap-distance-left:9pt;mso-wrap-distance-top:0;mso-wrap-distance-right:9pt;mso-wrap-distance-bottom:0;mso-position-horizontal:absolute;mso-position-horizontal-relative:margin;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bFESKxwEAAHgDAAAOAAAAAAAAAAAA&#10;AAAAAC4CAABkcnMvZTJvRG9jLnhtbFBLAQItABQABgAIAAAAIQAfMLgp3AAAAAoBAAAPAAAAAAAA&#10;AAAAAAAAACEEAABkcnMvZG93bnJldi54bWxQSwUGAAAAAAQABADzAAAAKgUAAAAA&#10;">
          <w10:wrap anchorx="margin"/>
        </v:line>
      </w:pict>
    </w:r>
  </w:p>
  <w:p w:rsidR="002E1C77" w:rsidRDefault="008620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rsidR="002E1C77" w:rsidRDefault="00862042">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103E5D">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103E5D">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77" w:rsidRDefault="002E1C77" w:rsidP="002E1C77">
      <w:r>
        <w:separator/>
      </w:r>
    </w:p>
  </w:footnote>
  <w:footnote w:type="continuationSeparator" w:id="0">
    <w:p w:rsidR="002E1C77" w:rsidRDefault="002E1C77" w:rsidP="002E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103E5D">
    <w:pPr>
      <w:pBdr>
        <w:top w:val="nil"/>
        <w:left w:val="nil"/>
        <w:bottom w:val="nil"/>
        <w:right w:val="nil"/>
        <w:between w:val="nil"/>
      </w:pBdr>
      <w:tabs>
        <w:tab w:val="center" w:pos="4320"/>
        <w:tab w:val="right" w:pos="8640"/>
      </w:tabs>
      <w:jc w:val="center"/>
      <w:rPr>
        <w:color w:val="000000"/>
      </w:rPr>
    </w:pPr>
    <w:r>
      <w:rPr>
        <w:color w:val="000000"/>
      </w:rPr>
      <w:fldChar w:fldCharType="begin"/>
    </w:r>
    <w:r w:rsidR="00862042">
      <w:rPr>
        <w:color w:val="000000"/>
      </w:rPr>
      <w:instrText>PAGE</w:instrText>
    </w:r>
    <w:r>
      <w:rPr>
        <w:color w:val="000000"/>
      </w:rPr>
      <w:fldChar w:fldCharType="end"/>
    </w:r>
  </w:p>
  <w:p w:rsidR="002E1C77" w:rsidRDefault="002E1C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77" w:rsidRDefault="002E1C77">
    <w:pPr>
      <w:pBdr>
        <w:top w:val="nil"/>
        <w:left w:val="nil"/>
        <w:bottom w:val="nil"/>
        <w:right w:val="nil"/>
        <w:between w:val="nil"/>
      </w:pBdr>
      <w:tabs>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28B"/>
    <w:multiLevelType w:val="multilevel"/>
    <w:tmpl w:val="FEB62FE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7F3D07"/>
    <w:multiLevelType w:val="multilevel"/>
    <w:tmpl w:val="D9681DC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0C95517"/>
    <w:multiLevelType w:val="multilevel"/>
    <w:tmpl w:val="5190617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ED3854"/>
    <w:multiLevelType w:val="multilevel"/>
    <w:tmpl w:val="8CF40E26"/>
    <w:lvl w:ilvl="0">
      <w:start w:val="1"/>
      <w:numFmt w:val="decimal"/>
      <w:lvlText w:val="(%1)"/>
      <w:lvlJc w:val="left"/>
      <w:pPr>
        <w:ind w:left="502" w:hanging="360"/>
      </w:pPr>
      <w:rPr>
        <w:b w:val="0"/>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C77"/>
    <w:rsid w:val="00030E34"/>
    <w:rsid w:val="0005503E"/>
    <w:rsid w:val="000622FE"/>
    <w:rsid w:val="00064004"/>
    <w:rsid w:val="0007528E"/>
    <w:rsid w:val="00103E5D"/>
    <w:rsid w:val="00116CCA"/>
    <w:rsid w:val="00137CCD"/>
    <w:rsid w:val="0019174E"/>
    <w:rsid w:val="001D3994"/>
    <w:rsid w:val="001D4C16"/>
    <w:rsid w:val="00255E6C"/>
    <w:rsid w:val="002563F9"/>
    <w:rsid w:val="002B38A9"/>
    <w:rsid w:val="002E1C77"/>
    <w:rsid w:val="00367EFE"/>
    <w:rsid w:val="003A7273"/>
    <w:rsid w:val="003B5394"/>
    <w:rsid w:val="003C4BC8"/>
    <w:rsid w:val="00411889"/>
    <w:rsid w:val="004B2750"/>
    <w:rsid w:val="00544A60"/>
    <w:rsid w:val="00553702"/>
    <w:rsid w:val="00573A20"/>
    <w:rsid w:val="005C4F73"/>
    <w:rsid w:val="0062260B"/>
    <w:rsid w:val="00623F97"/>
    <w:rsid w:val="00790A3F"/>
    <w:rsid w:val="007A698E"/>
    <w:rsid w:val="00816489"/>
    <w:rsid w:val="008445DF"/>
    <w:rsid w:val="00862042"/>
    <w:rsid w:val="008A5324"/>
    <w:rsid w:val="008C046C"/>
    <w:rsid w:val="008E571A"/>
    <w:rsid w:val="00924316"/>
    <w:rsid w:val="00943C56"/>
    <w:rsid w:val="009440F9"/>
    <w:rsid w:val="00994DF4"/>
    <w:rsid w:val="00A00B5D"/>
    <w:rsid w:val="00A115A5"/>
    <w:rsid w:val="00A509A7"/>
    <w:rsid w:val="00A7776F"/>
    <w:rsid w:val="00A84516"/>
    <w:rsid w:val="00AB116E"/>
    <w:rsid w:val="00B035A5"/>
    <w:rsid w:val="00B261BA"/>
    <w:rsid w:val="00B26928"/>
    <w:rsid w:val="00B85381"/>
    <w:rsid w:val="00BB5355"/>
    <w:rsid w:val="00C43976"/>
    <w:rsid w:val="00CA6C9F"/>
    <w:rsid w:val="00D45376"/>
    <w:rsid w:val="00D47031"/>
    <w:rsid w:val="00D75D26"/>
    <w:rsid w:val="00D95EDE"/>
    <w:rsid w:val="00DD702F"/>
    <w:rsid w:val="00E03C7A"/>
    <w:rsid w:val="00E45549"/>
    <w:rsid w:val="00E970CB"/>
    <w:rsid w:val="00EC77EA"/>
    <w:rsid w:val="00EE5C71"/>
    <w:rsid w:val="00EF2E0D"/>
    <w:rsid w:val="00F4288B"/>
    <w:rsid w:val="00F70D7A"/>
    <w:rsid w:val="00FC3A77"/>
    <w:rsid w:val="00FD0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E7AEBA"/>
  <w15:docId w15:val="{914904C8-8EE8-4217-BA6E-AF92C199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95F"/>
  </w:style>
  <w:style w:type="paragraph" w:styleId="Heading1">
    <w:name w:val="heading 1"/>
    <w:basedOn w:val="Normal"/>
    <w:next w:val="Normal"/>
    <w:link w:val="Heading1Char"/>
    <w:uiPriority w:val="9"/>
    <w:qFormat/>
    <w:rsid w:val="0094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54095F"/>
    <w:pPr>
      <w:keepNext/>
      <w:ind w:left="1080" w:hanging="1080"/>
      <w:outlineLvl w:val="1"/>
    </w:pPr>
    <w:rPr>
      <w:rFonts w:ascii="Arial" w:hAnsi="Arial"/>
      <w:b/>
      <w:sz w:val="28"/>
    </w:rPr>
  </w:style>
  <w:style w:type="paragraph" w:styleId="Heading3">
    <w:name w:val="heading 3"/>
    <w:basedOn w:val="Normal2"/>
    <w:next w:val="Normal2"/>
    <w:rsid w:val="002E1C77"/>
    <w:pPr>
      <w:keepNext/>
      <w:keepLines/>
      <w:spacing w:before="280" w:after="80"/>
      <w:outlineLvl w:val="2"/>
    </w:pPr>
    <w:rPr>
      <w:b/>
      <w:sz w:val="28"/>
      <w:szCs w:val="28"/>
    </w:rPr>
  </w:style>
  <w:style w:type="paragraph" w:styleId="Heading4">
    <w:name w:val="heading 4"/>
    <w:basedOn w:val="Normal2"/>
    <w:next w:val="Normal2"/>
    <w:rsid w:val="002E1C77"/>
    <w:pPr>
      <w:keepNext/>
      <w:keepLines/>
      <w:spacing w:before="240" w:after="40"/>
      <w:outlineLvl w:val="3"/>
    </w:pPr>
    <w:rPr>
      <w:b/>
      <w:sz w:val="24"/>
      <w:szCs w:val="24"/>
    </w:rPr>
  </w:style>
  <w:style w:type="paragraph" w:styleId="Heading5">
    <w:name w:val="heading 5"/>
    <w:basedOn w:val="Normal2"/>
    <w:next w:val="Normal2"/>
    <w:rsid w:val="002E1C77"/>
    <w:pPr>
      <w:keepNext/>
      <w:keepLines/>
      <w:spacing w:before="220" w:after="40"/>
      <w:outlineLvl w:val="4"/>
    </w:pPr>
    <w:rPr>
      <w:b/>
      <w:sz w:val="22"/>
      <w:szCs w:val="22"/>
    </w:rPr>
  </w:style>
  <w:style w:type="paragraph" w:styleId="Heading6">
    <w:name w:val="heading 6"/>
    <w:basedOn w:val="Normal2"/>
    <w:next w:val="Normal2"/>
    <w:rsid w:val="002E1C7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1C77"/>
  </w:style>
  <w:style w:type="paragraph" w:styleId="Title">
    <w:name w:val="Title"/>
    <w:basedOn w:val="BodyText"/>
    <w:qFormat/>
    <w:rsid w:val="0054095F"/>
    <w:pPr>
      <w:spacing w:after="240"/>
      <w:jc w:val="center"/>
    </w:pPr>
    <w:rPr>
      <w:rFonts w:ascii="Arial" w:hAnsi="Arial"/>
      <w:b/>
      <w:sz w:val="40"/>
    </w:rPr>
  </w:style>
  <w:style w:type="paragraph" w:customStyle="1" w:styleId="Normal2">
    <w:name w:val="Normal2"/>
    <w:rsid w:val="002E1C77"/>
  </w:style>
  <w:style w:type="paragraph" w:styleId="BodyText">
    <w:name w:val="Body Text"/>
    <w:basedOn w:val="Normal"/>
    <w:rsid w:val="0054095F"/>
    <w:pPr>
      <w:spacing w:before="240"/>
    </w:pPr>
    <w:rPr>
      <w:sz w:val="24"/>
    </w:rPr>
  </w:style>
  <w:style w:type="paragraph" w:styleId="List">
    <w:name w:val="List"/>
    <w:basedOn w:val="BodyText"/>
    <w:rsid w:val="0054095F"/>
    <w:pPr>
      <w:ind w:left="1080" w:hanging="1080"/>
    </w:p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 w:type="character" w:customStyle="1" w:styleId="Heading1Char">
    <w:name w:val="Heading 1 Char"/>
    <w:basedOn w:val="DefaultParagraphFont"/>
    <w:link w:val="Heading1"/>
    <w:uiPriority w:val="9"/>
    <w:rsid w:val="0094235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C1802"/>
    <w:rPr>
      <w:sz w:val="16"/>
      <w:szCs w:val="16"/>
    </w:rPr>
  </w:style>
  <w:style w:type="paragraph" w:styleId="CommentText">
    <w:name w:val="annotation text"/>
    <w:basedOn w:val="Normal"/>
    <w:link w:val="CommentTextChar"/>
    <w:uiPriority w:val="99"/>
    <w:semiHidden/>
    <w:unhideWhenUsed/>
    <w:rsid w:val="00DC1802"/>
  </w:style>
  <w:style w:type="character" w:customStyle="1" w:styleId="CommentTextChar">
    <w:name w:val="Comment Text Char"/>
    <w:basedOn w:val="DefaultParagraphFont"/>
    <w:link w:val="CommentText"/>
    <w:uiPriority w:val="99"/>
    <w:semiHidden/>
    <w:rsid w:val="00DC1802"/>
  </w:style>
  <w:style w:type="paragraph" w:styleId="CommentSubject">
    <w:name w:val="annotation subject"/>
    <w:basedOn w:val="CommentText"/>
    <w:next w:val="CommentText"/>
    <w:link w:val="CommentSubjectChar"/>
    <w:uiPriority w:val="99"/>
    <w:semiHidden/>
    <w:unhideWhenUsed/>
    <w:rsid w:val="00DC1802"/>
    <w:rPr>
      <w:b/>
      <w:bCs/>
    </w:rPr>
  </w:style>
  <w:style w:type="character" w:customStyle="1" w:styleId="CommentSubjectChar">
    <w:name w:val="Comment Subject Char"/>
    <w:basedOn w:val="CommentTextChar"/>
    <w:link w:val="CommentSubject"/>
    <w:uiPriority w:val="99"/>
    <w:semiHidden/>
    <w:rsid w:val="00DC1802"/>
    <w:rPr>
      <w:b/>
      <w:bCs/>
    </w:rPr>
  </w:style>
  <w:style w:type="paragraph" w:customStyle="1" w:styleId="Normal0">
    <w:name w:val="Normal_0"/>
    <w:qFormat/>
    <w:rsid w:val="00941671"/>
    <w:pPr>
      <w:pBdr>
        <w:top w:val="nil"/>
        <w:left w:val="nil"/>
        <w:bottom w:val="nil"/>
        <w:right w:val="nil"/>
        <w:between w:val="nil"/>
      </w:pBdr>
      <w:spacing w:after="160" w:line="259" w:lineRule="auto"/>
    </w:pPr>
    <w:rPr>
      <w:rFonts w:ascii="Calibri" w:eastAsia="Calibri" w:hAnsi="Calibri" w:cs="Calibri"/>
      <w:color w:val="000000"/>
      <w:sz w:val="22"/>
      <w:szCs w:val="22"/>
      <w:lang w:val="en-CA"/>
    </w:rPr>
  </w:style>
  <w:style w:type="paragraph" w:styleId="Subtitle">
    <w:name w:val="Subtitle"/>
    <w:basedOn w:val="Normal"/>
    <w:next w:val="Normal"/>
    <w:rsid w:val="002E1C77"/>
    <w:pPr>
      <w:keepNext/>
      <w:keepLines/>
      <w:spacing w:before="360" w:after="80"/>
    </w:pPr>
    <w:rPr>
      <w:rFonts w:ascii="Georgia" w:eastAsia="Georgia" w:hAnsi="Georgia" w:cs="Georgia"/>
      <w:i/>
      <w:color w:val="666666"/>
      <w:sz w:val="48"/>
      <w:szCs w:val="48"/>
    </w:rPr>
  </w:style>
  <w:style w:type="table" w:customStyle="1" w:styleId="a">
    <w:basedOn w:val="TableNormal"/>
    <w:rsid w:val="002E1C77"/>
    <w:tblPr>
      <w:tblStyleRowBandSize w:val="1"/>
      <w:tblStyleColBandSize w:val="1"/>
      <w:tblCellMar>
        <w:left w:w="115" w:type="dxa"/>
        <w:right w:w="115" w:type="dxa"/>
      </w:tblCellMar>
    </w:tblPr>
  </w:style>
  <w:style w:type="table" w:customStyle="1" w:styleId="a0">
    <w:basedOn w:val="TableNormal"/>
    <w:rsid w:val="002E1C77"/>
    <w:tblPr>
      <w:tblStyleRowBandSize w:val="1"/>
      <w:tblStyleColBandSize w:val="1"/>
      <w:tblCellMar>
        <w:left w:w="115" w:type="dxa"/>
        <w:right w:w="115" w:type="dxa"/>
      </w:tblCellMar>
    </w:tblPr>
  </w:style>
  <w:style w:type="table" w:customStyle="1" w:styleId="a1">
    <w:basedOn w:val="TableNormal"/>
    <w:rsid w:val="002E1C77"/>
    <w:tblPr>
      <w:tblStyleRowBandSize w:val="1"/>
      <w:tblStyleColBandSize w:val="1"/>
      <w:tblCellMar>
        <w:left w:w="115" w:type="dxa"/>
        <w:right w:w="115" w:type="dxa"/>
      </w:tblCellMar>
    </w:tblPr>
  </w:style>
  <w:style w:type="table" w:customStyle="1" w:styleId="a2">
    <w:basedOn w:val="TableNormal"/>
    <w:rsid w:val="002E1C77"/>
    <w:tblPr>
      <w:tblStyleRowBandSize w:val="1"/>
      <w:tblStyleColBandSize w:val="1"/>
      <w:tblCellMar>
        <w:left w:w="115" w:type="dxa"/>
        <w:right w:w="115" w:type="dxa"/>
      </w:tblCellMar>
    </w:tblPr>
  </w:style>
  <w:style w:type="table" w:customStyle="1" w:styleId="a3">
    <w:basedOn w:val="TableNormal"/>
    <w:rsid w:val="002E1C77"/>
    <w:tblPr>
      <w:tblStyleRowBandSize w:val="1"/>
      <w:tblStyleColBandSize w:val="1"/>
      <w:tblCellMar>
        <w:left w:w="115" w:type="dxa"/>
        <w:right w:w="115" w:type="dxa"/>
      </w:tblCellMar>
    </w:tblPr>
  </w:style>
  <w:style w:type="table" w:customStyle="1" w:styleId="a4">
    <w:basedOn w:val="TableNormal"/>
    <w:rsid w:val="002E1C77"/>
    <w:tblPr>
      <w:tblStyleRowBandSize w:val="1"/>
      <w:tblStyleColBandSize w:val="1"/>
      <w:tblCellMar>
        <w:left w:w="115" w:type="dxa"/>
        <w:right w:w="115" w:type="dxa"/>
      </w:tblCellMar>
    </w:tblPr>
  </w:style>
  <w:style w:type="paragraph" w:styleId="ListParagraph">
    <w:name w:val="List Paragraph"/>
    <w:basedOn w:val="Normal"/>
    <w:uiPriority w:val="34"/>
    <w:qFormat/>
    <w:rsid w:val="008C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dc:creator>
  <cp:lastModifiedBy>Gordon Jessop</cp:lastModifiedBy>
  <cp:revision>6</cp:revision>
  <cp:lastPrinted>2019-01-07T22:49:00Z</cp:lastPrinted>
  <dcterms:created xsi:type="dcterms:W3CDTF">2019-01-07T22:45:00Z</dcterms:created>
  <dcterms:modified xsi:type="dcterms:W3CDTF">2019-01-07T23:10:00Z</dcterms:modified>
</cp:coreProperties>
</file>