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4C83B" w14:textId="77777777" w:rsidR="002E1C77" w:rsidRDefault="00862042">
      <w:pPr>
        <w:pStyle w:val="Title"/>
        <w:spacing w:before="0" w:after="0"/>
        <w:rPr>
          <w:color w:val="000000"/>
          <w:sz w:val="28"/>
          <w:szCs w:val="28"/>
          <w:u w:val="single"/>
        </w:rPr>
      </w:pPr>
      <w:bookmarkStart w:id="0" w:name="_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58924364" w14:textId="77777777" w:rsidR="002E1C77" w:rsidRDefault="00862042">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Pr>
          <w:rFonts w:ascii="Arial" w:eastAsia="Arial" w:hAnsi="Arial" w:cs="Arial"/>
          <w:b/>
          <w:color w:val="000000"/>
          <w:sz w:val="24"/>
          <w:szCs w:val="24"/>
        </w:rPr>
        <w:t>NetCents Technology Inc</w:t>
      </w:r>
      <w:r>
        <w:rPr>
          <w:rFonts w:ascii="Arial" w:eastAsia="Arial" w:hAnsi="Arial" w:cs="Arial"/>
          <w:color w:val="000000"/>
          <w:sz w:val="24"/>
          <w:szCs w:val="24"/>
        </w:rPr>
        <w:t>.</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7E3049DC" w14:textId="77777777"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Pr>
          <w:rFonts w:ascii="Arial" w:eastAsia="Arial" w:hAnsi="Arial" w:cs="Arial"/>
          <w:b/>
          <w:color w:val="000000"/>
          <w:sz w:val="24"/>
          <w:szCs w:val="24"/>
        </w:rPr>
        <w:t>NC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1D8E8AC3" w14:textId="77777777"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Number of Outstanding Listed Securities</w:t>
      </w:r>
      <w:r w:rsidRPr="00553702">
        <w:rPr>
          <w:rFonts w:ascii="Arial" w:eastAsia="Arial" w:hAnsi="Arial" w:cs="Arial"/>
          <w:color w:val="000000"/>
          <w:sz w:val="22"/>
          <w:szCs w:val="22"/>
        </w:rPr>
        <w:t xml:space="preserve">: </w:t>
      </w:r>
      <w:r w:rsidR="00553702" w:rsidRPr="00553702">
        <w:rPr>
          <w:rFonts w:ascii="Arial" w:eastAsia="Arial" w:hAnsi="Arial" w:cs="Arial"/>
          <w:b/>
          <w:color w:val="000000"/>
          <w:sz w:val="22"/>
          <w:szCs w:val="22"/>
        </w:rPr>
        <w:t>Issued:</w:t>
      </w:r>
      <w:r w:rsidR="00553702" w:rsidRPr="00553702">
        <w:rPr>
          <w:rFonts w:ascii="Arial" w:eastAsia="Arial" w:hAnsi="Arial" w:cs="Arial"/>
          <w:color w:val="000000"/>
          <w:sz w:val="22"/>
          <w:szCs w:val="22"/>
        </w:rPr>
        <w:t xml:space="preserve"> </w:t>
      </w:r>
      <w:r w:rsidR="009573DC" w:rsidRPr="009573DC">
        <w:rPr>
          <w:rFonts w:ascii="Arial" w:eastAsia="Arial" w:hAnsi="Arial" w:cs="Arial"/>
          <w:b/>
          <w:color w:val="000000"/>
          <w:sz w:val="22"/>
          <w:szCs w:val="22"/>
        </w:rPr>
        <w:t>46,693,475</w:t>
      </w:r>
      <w:r w:rsidR="00553702" w:rsidRPr="00553702">
        <w:rPr>
          <w:rFonts w:ascii="Arial" w:eastAsia="Arial" w:hAnsi="Arial" w:cs="Arial"/>
          <w:b/>
          <w:color w:val="000000"/>
          <w:sz w:val="22"/>
          <w:szCs w:val="22"/>
        </w:rPr>
        <w:t xml:space="preserve">, Reserved: </w:t>
      </w:r>
      <w:r w:rsidR="009573DC" w:rsidRPr="009573DC">
        <w:rPr>
          <w:rFonts w:ascii="Arial" w:eastAsia="Arial" w:hAnsi="Arial" w:cs="Arial"/>
          <w:b/>
          <w:color w:val="000000"/>
          <w:sz w:val="22"/>
          <w:szCs w:val="22"/>
        </w:rPr>
        <w:t>9,027,593</w:t>
      </w:r>
      <w:r w:rsidRPr="00553702">
        <w:rPr>
          <w:rFonts w:ascii="Arial" w:eastAsia="Arial" w:hAnsi="Arial" w:cs="Arial"/>
          <w:color w:val="000000"/>
          <w:sz w:val="24"/>
          <w:szCs w:val="24"/>
        </w:rPr>
        <w:tab/>
      </w:r>
    </w:p>
    <w:p w14:paraId="006E2ED7" w14:textId="77777777"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Date</w:t>
      </w:r>
      <w:r>
        <w:rPr>
          <w:rFonts w:ascii="Arial" w:eastAsia="Arial" w:hAnsi="Arial" w:cs="Arial"/>
          <w:b/>
          <w:color w:val="000000"/>
          <w:sz w:val="24"/>
          <w:szCs w:val="24"/>
        </w:rPr>
        <w:t xml:space="preserve">: </w:t>
      </w:r>
      <w:r w:rsidR="008F3791">
        <w:rPr>
          <w:rFonts w:ascii="Arial" w:eastAsia="Arial" w:hAnsi="Arial" w:cs="Arial"/>
          <w:b/>
          <w:color w:val="000000"/>
          <w:sz w:val="24"/>
          <w:szCs w:val="24"/>
        </w:rPr>
        <w:t>May 8,</w:t>
      </w:r>
      <w:r w:rsidR="007F7FD1">
        <w:rPr>
          <w:rFonts w:ascii="Arial" w:eastAsia="Arial" w:hAnsi="Arial" w:cs="Arial"/>
          <w:b/>
          <w:color w:val="000000"/>
          <w:sz w:val="24"/>
          <w:szCs w:val="24"/>
        </w:rPr>
        <w:t xml:space="preserve"> 2019</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1E0792F9" w14:textId="77777777" w:rsidR="002E1C77" w:rsidRDefault="00862042">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39E1C06" w14:textId="77777777" w:rsidR="002E1C77" w:rsidRDefault="00862042">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3A5CEB0" w14:textId="77777777" w:rsidR="002E1C77" w:rsidRDefault="00862042">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0AF6F01F" w14:textId="77777777" w:rsidR="002E1C77" w:rsidRDefault="00862042">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E669D9B" w14:textId="77777777" w:rsidR="002E1C77" w:rsidRDefault="00862042">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01B91852" w14:textId="77777777" w:rsidR="002E1C77" w:rsidRDefault="00862042">
      <w:pPr>
        <w:numPr>
          <w:ilvl w:val="0"/>
          <w:numId w:val="3"/>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34E6A4DB" w14:textId="77777777" w:rsidR="002E1C77" w:rsidRDefault="00862042">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0F4F3FB4" w14:textId="77777777"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6E4B9436" w14:textId="77777777"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continued to build its business: </w:t>
      </w:r>
    </w:p>
    <w:p w14:paraId="6481C1D1" w14:textId="77777777" w:rsidR="003E1756" w:rsidRPr="003E1756" w:rsidRDefault="009D1AAF" w:rsidP="003E1756">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April 24,</w:t>
      </w:r>
      <w:r w:rsidR="003E1756">
        <w:rPr>
          <w:rFonts w:ascii="Arial" w:eastAsia="Arial" w:hAnsi="Arial" w:cs="Arial"/>
          <w:b/>
          <w:color w:val="000000"/>
          <w:sz w:val="24"/>
          <w:szCs w:val="24"/>
        </w:rPr>
        <w:t xml:space="preserve"> 2019, Company </w:t>
      </w:r>
      <w:r>
        <w:rPr>
          <w:rFonts w:ascii="Arial" w:eastAsia="Arial" w:hAnsi="Arial" w:cs="Arial"/>
          <w:b/>
          <w:color w:val="000000"/>
          <w:sz w:val="24"/>
          <w:szCs w:val="24"/>
        </w:rPr>
        <w:t xml:space="preserve">issued </w:t>
      </w:r>
      <w:r w:rsidRPr="009D1AAF">
        <w:rPr>
          <w:rFonts w:ascii="Arial" w:eastAsia="Arial" w:hAnsi="Arial" w:cs="Arial"/>
          <w:b/>
          <w:color w:val="000000"/>
          <w:sz w:val="24"/>
          <w:szCs w:val="24"/>
        </w:rPr>
        <w:t>CEO Letter to Shareholders</w:t>
      </w:r>
      <w:r>
        <w:rPr>
          <w:rFonts w:ascii="Arial" w:eastAsia="Arial" w:hAnsi="Arial" w:cs="Arial"/>
          <w:b/>
          <w:color w:val="000000"/>
          <w:sz w:val="24"/>
          <w:szCs w:val="24"/>
        </w:rPr>
        <w:t>.</w:t>
      </w:r>
    </w:p>
    <w:p w14:paraId="60F565D6" w14:textId="77777777" w:rsidR="003E1756" w:rsidRPr="003E1756" w:rsidRDefault="003E1756" w:rsidP="003E1756">
      <w:pPr>
        <w:pBdr>
          <w:top w:val="nil"/>
          <w:left w:val="nil"/>
          <w:bottom w:val="nil"/>
          <w:right w:val="nil"/>
          <w:between w:val="nil"/>
        </w:pBdr>
        <w:spacing w:before="120"/>
        <w:ind w:left="720"/>
        <w:jc w:val="both"/>
        <w:rPr>
          <w:rFonts w:ascii="Arial" w:eastAsia="Arial" w:hAnsi="Arial" w:cs="Arial"/>
          <w:b/>
          <w:color w:val="000000"/>
          <w:sz w:val="24"/>
          <w:szCs w:val="24"/>
        </w:rPr>
      </w:pPr>
    </w:p>
    <w:p w14:paraId="4150A6B2" w14:textId="77777777" w:rsidR="003E1756" w:rsidRDefault="009D1AAF" w:rsidP="003E1756">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The letter </w:t>
      </w:r>
      <w:r w:rsidRPr="009D1AAF">
        <w:rPr>
          <w:rFonts w:ascii="Arial" w:eastAsia="Arial" w:hAnsi="Arial" w:cs="Arial"/>
          <w:b/>
          <w:color w:val="000000"/>
          <w:sz w:val="24"/>
          <w:szCs w:val="24"/>
        </w:rPr>
        <w:t>provide</w:t>
      </w:r>
      <w:r>
        <w:rPr>
          <w:rFonts w:ascii="Arial" w:eastAsia="Arial" w:hAnsi="Arial" w:cs="Arial"/>
          <w:b/>
          <w:color w:val="000000"/>
          <w:sz w:val="24"/>
          <w:szCs w:val="24"/>
        </w:rPr>
        <w:t>d</w:t>
      </w:r>
      <w:r w:rsidRPr="009D1AAF">
        <w:rPr>
          <w:rFonts w:ascii="Arial" w:eastAsia="Arial" w:hAnsi="Arial" w:cs="Arial"/>
          <w:b/>
          <w:color w:val="000000"/>
          <w:sz w:val="24"/>
          <w:szCs w:val="24"/>
        </w:rPr>
        <w:t xml:space="preserve"> </w:t>
      </w:r>
      <w:r>
        <w:rPr>
          <w:rFonts w:ascii="Arial" w:eastAsia="Arial" w:hAnsi="Arial" w:cs="Arial"/>
          <w:b/>
          <w:color w:val="000000"/>
          <w:sz w:val="24"/>
          <w:szCs w:val="24"/>
        </w:rPr>
        <w:t>Company’s</w:t>
      </w:r>
      <w:r w:rsidRPr="009D1AAF">
        <w:rPr>
          <w:rFonts w:ascii="Arial" w:eastAsia="Arial" w:hAnsi="Arial" w:cs="Arial"/>
          <w:b/>
          <w:color w:val="000000"/>
          <w:sz w:val="24"/>
          <w:szCs w:val="24"/>
        </w:rPr>
        <w:t xml:space="preserve"> view on the cryptocurrency sector which has seen a rebound</w:t>
      </w:r>
      <w:r>
        <w:rPr>
          <w:rFonts w:ascii="Arial" w:eastAsia="Arial" w:hAnsi="Arial" w:cs="Arial"/>
          <w:b/>
          <w:color w:val="000000"/>
          <w:sz w:val="24"/>
          <w:szCs w:val="24"/>
        </w:rPr>
        <w:t xml:space="preserve"> and </w:t>
      </w:r>
      <w:r w:rsidRPr="009D1AAF">
        <w:rPr>
          <w:rFonts w:ascii="Arial" w:eastAsia="Arial" w:hAnsi="Arial" w:cs="Arial"/>
          <w:b/>
          <w:color w:val="000000"/>
          <w:sz w:val="24"/>
          <w:szCs w:val="24"/>
        </w:rPr>
        <w:t>highlight</w:t>
      </w:r>
      <w:r>
        <w:rPr>
          <w:rFonts w:ascii="Arial" w:eastAsia="Arial" w:hAnsi="Arial" w:cs="Arial"/>
          <w:b/>
          <w:color w:val="000000"/>
          <w:sz w:val="24"/>
          <w:szCs w:val="24"/>
        </w:rPr>
        <w:t>ed</w:t>
      </w:r>
      <w:r w:rsidRPr="009D1AAF">
        <w:rPr>
          <w:rFonts w:ascii="Arial" w:eastAsia="Arial" w:hAnsi="Arial" w:cs="Arial"/>
          <w:b/>
          <w:color w:val="000000"/>
          <w:sz w:val="24"/>
          <w:szCs w:val="24"/>
        </w:rPr>
        <w:t xml:space="preserve"> a few of the key strategic successes that has enabled NetCents to continue be a leader in the market.</w:t>
      </w:r>
      <w:r>
        <w:rPr>
          <w:rFonts w:ascii="Arial" w:eastAsia="Arial" w:hAnsi="Arial" w:cs="Arial"/>
          <w:b/>
          <w:color w:val="000000"/>
          <w:sz w:val="24"/>
          <w:szCs w:val="24"/>
        </w:rPr>
        <w:t xml:space="preserve"> Shareholders were updated on the amount of issued and outstanding shares of the Company, new merchant sign ups, increased transactions volume, credit card program launch and plans for the 2019/2020.</w:t>
      </w:r>
    </w:p>
    <w:p w14:paraId="4E17E057" w14:textId="77777777" w:rsidR="00394196" w:rsidRDefault="00DF0B36" w:rsidP="00B0411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April 18</w:t>
      </w:r>
      <w:r w:rsidR="00394196">
        <w:rPr>
          <w:rFonts w:ascii="Arial" w:eastAsia="Arial" w:hAnsi="Arial" w:cs="Arial"/>
          <w:b/>
          <w:color w:val="000000"/>
          <w:sz w:val="24"/>
          <w:szCs w:val="24"/>
        </w:rPr>
        <w:t xml:space="preserve">, 2019 – Company announced </w:t>
      </w:r>
      <w:r>
        <w:rPr>
          <w:rFonts w:ascii="Arial" w:eastAsia="Arial" w:hAnsi="Arial" w:cs="Arial"/>
          <w:b/>
          <w:color w:val="000000"/>
          <w:sz w:val="24"/>
          <w:szCs w:val="24"/>
        </w:rPr>
        <w:t>that it b</w:t>
      </w:r>
      <w:r w:rsidRPr="00DF0B36">
        <w:rPr>
          <w:rFonts w:ascii="Arial" w:eastAsia="Arial" w:hAnsi="Arial" w:cs="Arial"/>
          <w:b/>
          <w:color w:val="000000"/>
          <w:sz w:val="24"/>
          <w:szCs w:val="24"/>
        </w:rPr>
        <w:t xml:space="preserve">egins </w:t>
      </w:r>
      <w:r>
        <w:rPr>
          <w:rFonts w:ascii="Arial" w:eastAsia="Arial" w:hAnsi="Arial" w:cs="Arial"/>
          <w:b/>
          <w:color w:val="000000"/>
          <w:sz w:val="24"/>
          <w:szCs w:val="24"/>
        </w:rPr>
        <w:t>p</w:t>
      </w:r>
      <w:r w:rsidRPr="00DF0B36">
        <w:rPr>
          <w:rFonts w:ascii="Arial" w:eastAsia="Arial" w:hAnsi="Arial" w:cs="Arial"/>
          <w:b/>
          <w:color w:val="000000"/>
          <w:sz w:val="24"/>
          <w:szCs w:val="24"/>
        </w:rPr>
        <w:t xml:space="preserve">rocessing for </w:t>
      </w:r>
      <w:r>
        <w:rPr>
          <w:rFonts w:ascii="Arial" w:eastAsia="Arial" w:hAnsi="Arial" w:cs="Arial"/>
          <w:b/>
          <w:color w:val="000000"/>
          <w:sz w:val="24"/>
          <w:szCs w:val="24"/>
        </w:rPr>
        <w:t>f</w:t>
      </w:r>
      <w:r w:rsidRPr="00DF0B36">
        <w:rPr>
          <w:rFonts w:ascii="Arial" w:eastAsia="Arial" w:hAnsi="Arial" w:cs="Arial"/>
          <w:b/>
          <w:color w:val="000000"/>
          <w:sz w:val="24"/>
          <w:szCs w:val="24"/>
        </w:rPr>
        <w:t>irst Charity Partner: HS Aware</w:t>
      </w:r>
      <w:r>
        <w:rPr>
          <w:rFonts w:ascii="Arial" w:eastAsia="Arial" w:hAnsi="Arial" w:cs="Arial"/>
          <w:b/>
          <w:color w:val="000000"/>
          <w:sz w:val="24"/>
          <w:szCs w:val="24"/>
        </w:rPr>
        <w:t>. The Company</w:t>
      </w:r>
      <w:r w:rsidRPr="00DF0B36">
        <w:rPr>
          <w:rFonts w:ascii="Arial" w:eastAsia="Arial" w:hAnsi="Arial" w:cs="Arial"/>
          <w:b/>
          <w:color w:val="000000"/>
          <w:sz w:val="24"/>
          <w:szCs w:val="24"/>
        </w:rPr>
        <w:t xml:space="preserve"> is providing all registered charities and non-profits free cryptocurrency processing. Any charity that signs up through this initiative can accept donations and sell their merchandise and tickets with zero processing fees.</w:t>
      </w:r>
      <w:r>
        <w:rPr>
          <w:rFonts w:ascii="Arial" w:eastAsia="Arial" w:hAnsi="Arial" w:cs="Arial"/>
          <w:b/>
          <w:color w:val="000000"/>
          <w:sz w:val="24"/>
          <w:szCs w:val="24"/>
        </w:rPr>
        <w:t xml:space="preserve"> </w:t>
      </w:r>
      <w:r w:rsidRPr="00DF0B36">
        <w:rPr>
          <w:rFonts w:ascii="Arial" w:eastAsia="Arial" w:hAnsi="Arial" w:cs="Arial"/>
          <w:b/>
          <w:color w:val="000000"/>
          <w:sz w:val="24"/>
          <w:szCs w:val="24"/>
        </w:rPr>
        <w:t xml:space="preserve">Through their marketing initiatives, HS Aware reaches hundreds of thousands of people globally and engages with tens of thousands of people on a monthly basis. Through their partnership with </w:t>
      </w:r>
      <w:r>
        <w:rPr>
          <w:rFonts w:ascii="Arial" w:eastAsia="Arial" w:hAnsi="Arial" w:cs="Arial"/>
          <w:b/>
          <w:color w:val="000000"/>
          <w:sz w:val="24"/>
          <w:szCs w:val="24"/>
        </w:rPr>
        <w:t>the Company</w:t>
      </w:r>
      <w:r w:rsidRPr="00DF0B36">
        <w:rPr>
          <w:rFonts w:ascii="Arial" w:eastAsia="Arial" w:hAnsi="Arial" w:cs="Arial"/>
          <w:b/>
          <w:color w:val="000000"/>
          <w:sz w:val="24"/>
          <w:szCs w:val="24"/>
        </w:rPr>
        <w:t>, HS Aware will now accept donations to help fund and grow their outreach, community, and engagement efforts globally.</w:t>
      </w:r>
    </w:p>
    <w:p w14:paraId="0506561B" w14:textId="77777777" w:rsidR="00DF0B36" w:rsidRPr="00DF0B36" w:rsidRDefault="00DF0B36" w:rsidP="00DF0B36">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April 10</w:t>
      </w:r>
      <w:r w:rsidR="00B04112">
        <w:rPr>
          <w:rFonts w:ascii="Arial" w:eastAsia="Arial" w:hAnsi="Arial" w:cs="Arial"/>
          <w:b/>
          <w:color w:val="000000"/>
          <w:sz w:val="24"/>
          <w:szCs w:val="24"/>
        </w:rPr>
        <w:t xml:space="preserve">, 2019 – Company announced </w:t>
      </w:r>
      <w:r w:rsidR="00B04112" w:rsidRPr="00B04112">
        <w:rPr>
          <w:rFonts w:ascii="Arial" w:eastAsia="Arial" w:hAnsi="Arial" w:cs="Arial"/>
          <w:b/>
          <w:color w:val="000000"/>
          <w:sz w:val="24"/>
          <w:szCs w:val="24"/>
        </w:rPr>
        <w:t xml:space="preserve">that it </w:t>
      </w:r>
      <w:r>
        <w:rPr>
          <w:rFonts w:ascii="Arial" w:eastAsia="Arial" w:hAnsi="Arial" w:cs="Arial"/>
          <w:b/>
          <w:color w:val="000000"/>
          <w:sz w:val="24"/>
          <w:szCs w:val="24"/>
        </w:rPr>
        <w:t>c</w:t>
      </w:r>
      <w:r w:rsidRPr="00DF0B36">
        <w:rPr>
          <w:rFonts w:ascii="Arial" w:eastAsia="Arial" w:hAnsi="Arial" w:cs="Arial"/>
          <w:b/>
          <w:color w:val="000000"/>
          <w:sz w:val="24"/>
          <w:szCs w:val="24"/>
        </w:rPr>
        <w:t>omplet</w:t>
      </w:r>
      <w:r>
        <w:rPr>
          <w:rFonts w:ascii="Arial" w:eastAsia="Arial" w:hAnsi="Arial" w:cs="Arial"/>
          <w:b/>
          <w:color w:val="000000"/>
          <w:sz w:val="24"/>
          <w:szCs w:val="24"/>
        </w:rPr>
        <w:t>ed</w:t>
      </w:r>
      <w:r w:rsidRPr="00DF0B36">
        <w:rPr>
          <w:rFonts w:ascii="Arial" w:eastAsia="Arial" w:hAnsi="Arial" w:cs="Arial"/>
          <w:b/>
          <w:color w:val="000000"/>
          <w:sz w:val="24"/>
          <w:szCs w:val="24"/>
        </w:rPr>
        <w:t xml:space="preserve"> </w:t>
      </w:r>
      <w:r>
        <w:rPr>
          <w:rFonts w:ascii="Arial" w:eastAsia="Arial" w:hAnsi="Arial" w:cs="Arial"/>
          <w:b/>
          <w:color w:val="000000"/>
          <w:sz w:val="24"/>
          <w:szCs w:val="24"/>
        </w:rPr>
        <w:t>i</w:t>
      </w:r>
      <w:r w:rsidRPr="00DF0B36">
        <w:rPr>
          <w:rFonts w:ascii="Arial" w:eastAsia="Arial" w:hAnsi="Arial" w:cs="Arial"/>
          <w:b/>
          <w:color w:val="000000"/>
          <w:sz w:val="24"/>
          <w:szCs w:val="24"/>
        </w:rPr>
        <w:t xml:space="preserve">ntegration and </w:t>
      </w:r>
      <w:r>
        <w:rPr>
          <w:rFonts w:ascii="Arial" w:eastAsia="Arial" w:hAnsi="Arial" w:cs="Arial"/>
          <w:b/>
          <w:color w:val="000000"/>
          <w:sz w:val="24"/>
          <w:szCs w:val="24"/>
        </w:rPr>
        <w:t>b</w:t>
      </w:r>
      <w:r w:rsidRPr="00DF0B36">
        <w:rPr>
          <w:rFonts w:ascii="Arial" w:eastAsia="Arial" w:hAnsi="Arial" w:cs="Arial"/>
          <w:b/>
          <w:color w:val="000000"/>
          <w:sz w:val="24"/>
          <w:szCs w:val="24"/>
        </w:rPr>
        <w:t>eg</w:t>
      </w:r>
      <w:r>
        <w:rPr>
          <w:rFonts w:ascii="Arial" w:eastAsia="Arial" w:hAnsi="Arial" w:cs="Arial"/>
          <w:b/>
          <w:color w:val="000000"/>
          <w:sz w:val="24"/>
          <w:szCs w:val="24"/>
        </w:rPr>
        <w:t>an</w:t>
      </w:r>
      <w:r w:rsidRPr="00DF0B36">
        <w:rPr>
          <w:rFonts w:ascii="Arial" w:eastAsia="Arial" w:hAnsi="Arial" w:cs="Arial"/>
          <w:b/>
          <w:color w:val="000000"/>
          <w:sz w:val="24"/>
          <w:szCs w:val="24"/>
        </w:rPr>
        <w:t xml:space="preserve"> </w:t>
      </w:r>
      <w:r>
        <w:rPr>
          <w:rFonts w:ascii="Arial" w:eastAsia="Arial" w:hAnsi="Arial" w:cs="Arial"/>
          <w:b/>
          <w:color w:val="000000"/>
          <w:sz w:val="24"/>
          <w:szCs w:val="24"/>
        </w:rPr>
        <w:t>p</w:t>
      </w:r>
      <w:r w:rsidRPr="00DF0B36">
        <w:rPr>
          <w:rFonts w:ascii="Arial" w:eastAsia="Arial" w:hAnsi="Arial" w:cs="Arial"/>
          <w:b/>
          <w:color w:val="000000"/>
          <w:sz w:val="24"/>
          <w:szCs w:val="24"/>
        </w:rPr>
        <w:t>rocessing with Surge365</w:t>
      </w:r>
      <w:r>
        <w:rPr>
          <w:rFonts w:ascii="Arial" w:eastAsia="Arial" w:hAnsi="Arial" w:cs="Arial"/>
          <w:b/>
          <w:color w:val="000000"/>
          <w:sz w:val="24"/>
          <w:szCs w:val="24"/>
        </w:rPr>
        <w:t xml:space="preserve">. </w:t>
      </w:r>
      <w:r w:rsidRPr="00DF0B36">
        <w:rPr>
          <w:rFonts w:ascii="Arial" w:eastAsia="Arial" w:hAnsi="Arial" w:cs="Arial"/>
          <w:b/>
          <w:color w:val="000000"/>
          <w:sz w:val="24"/>
          <w:szCs w:val="24"/>
        </w:rPr>
        <w:t xml:space="preserve">With the integration of the NetCents Merchant Gateway into the Surge365 platform, Surge365 </w:t>
      </w:r>
      <w:proofErr w:type="gramStart"/>
      <w:r w:rsidRPr="00DF0B36">
        <w:rPr>
          <w:rFonts w:ascii="Arial" w:eastAsia="Arial" w:hAnsi="Arial" w:cs="Arial"/>
          <w:b/>
          <w:color w:val="000000"/>
          <w:sz w:val="24"/>
          <w:szCs w:val="24"/>
        </w:rPr>
        <w:t>is able to</w:t>
      </w:r>
      <w:proofErr w:type="gramEnd"/>
      <w:r w:rsidRPr="00DF0B36">
        <w:rPr>
          <w:rFonts w:ascii="Arial" w:eastAsia="Arial" w:hAnsi="Arial" w:cs="Arial"/>
          <w:b/>
          <w:color w:val="000000"/>
          <w:sz w:val="24"/>
          <w:szCs w:val="24"/>
        </w:rPr>
        <w:t xml:space="preserve"> accept and process international membership subscriptions and transactions in cryptocurrency and will work towards offering cryptocurrency as a </w:t>
      </w:r>
      <w:proofErr w:type="spellStart"/>
      <w:r w:rsidRPr="00DF0B36">
        <w:rPr>
          <w:rFonts w:ascii="Arial" w:eastAsia="Arial" w:hAnsi="Arial" w:cs="Arial"/>
          <w:b/>
          <w:color w:val="000000"/>
          <w:sz w:val="24"/>
          <w:szCs w:val="24"/>
        </w:rPr>
        <w:t>payout</w:t>
      </w:r>
      <w:proofErr w:type="spellEnd"/>
      <w:r w:rsidRPr="00DF0B36">
        <w:rPr>
          <w:rFonts w:ascii="Arial" w:eastAsia="Arial" w:hAnsi="Arial" w:cs="Arial"/>
          <w:b/>
          <w:color w:val="000000"/>
          <w:sz w:val="24"/>
          <w:szCs w:val="24"/>
        </w:rPr>
        <w:t xml:space="preserve"> option for company residuals and bonuses, ranging between $1,000 to $1 million dollars.</w:t>
      </w:r>
    </w:p>
    <w:p w14:paraId="5F21FDE2" w14:textId="77777777" w:rsidR="00266F0A" w:rsidRDefault="00266F0A" w:rsidP="00DF0B36">
      <w:pPr>
        <w:rPr>
          <w:rFonts w:ascii="Arial" w:hAnsi="Arial" w:cs="Arial"/>
          <w:b/>
          <w:sz w:val="24"/>
          <w:szCs w:val="24"/>
          <w:lang w:val="en-US"/>
        </w:rPr>
      </w:pPr>
    </w:p>
    <w:p w14:paraId="3615AA28" w14:textId="77777777"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782D9F50" w14:textId="77777777"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Over the past month, management has continued to focus on expanding the company’s global reach working to build a pipeline of new potential partners to further increase revenue of the business. </w:t>
      </w:r>
    </w:p>
    <w:p w14:paraId="0945B7A7" w14:textId="77777777"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Refer to Item 1 above</w:t>
      </w:r>
      <w:r>
        <w:rPr>
          <w:rFonts w:ascii="Arial" w:eastAsia="Arial" w:hAnsi="Arial" w:cs="Arial"/>
          <w:color w:val="000000"/>
          <w:sz w:val="24"/>
          <w:szCs w:val="24"/>
        </w:rPr>
        <w:t xml:space="preserve">.  </w:t>
      </w:r>
    </w:p>
    <w:p w14:paraId="52A3313F" w14:textId="77777777"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9A524D6" w14:textId="77777777"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Refer to Item 1 above</w:t>
      </w:r>
    </w:p>
    <w:p w14:paraId="2F83159D" w14:textId="77777777"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52E0E2C7" w14:textId="77777777"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None </w:t>
      </w:r>
    </w:p>
    <w:p w14:paraId="1868D5B8" w14:textId="77777777"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8DBBD21" w14:textId="77777777"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lastRenderedPageBreak/>
        <w:t>Refer to Item 1 above</w:t>
      </w:r>
    </w:p>
    <w:p w14:paraId="70F340D3" w14:textId="77777777"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F0AD471" w14:textId="77777777" w:rsidR="00A115A5" w:rsidRPr="00A115A5" w:rsidRDefault="00A115A5" w:rsidP="00A115A5">
      <w:pPr>
        <w:pBdr>
          <w:top w:val="nil"/>
          <w:left w:val="nil"/>
          <w:bottom w:val="nil"/>
          <w:right w:val="nil"/>
          <w:between w:val="nil"/>
        </w:pBdr>
        <w:spacing w:before="120"/>
        <w:ind w:left="720"/>
        <w:jc w:val="both"/>
        <w:rPr>
          <w:rFonts w:ascii="Arial" w:eastAsia="Arial" w:hAnsi="Arial" w:cs="Arial"/>
          <w:b/>
          <w:color w:val="000000"/>
          <w:sz w:val="24"/>
          <w:szCs w:val="24"/>
        </w:rPr>
      </w:pPr>
      <w:r w:rsidRPr="00A115A5">
        <w:rPr>
          <w:rFonts w:ascii="Arial" w:eastAsia="Arial" w:hAnsi="Arial" w:cs="Arial"/>
          <w:b/>
          <w:color w:val="000000"/>
          <w:sz w:val="24"/>
          <w:szCs w:val="24"/>
        </w:rPr>
        <w:t>N/A</w:t>
      </w:r>
    </w:p>
    <w:p w14:paraId="1D84BB36" w14:textId="77777777"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0EB706" w14:textId="77777777"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Refer to Item 1 above </w:t>
      </w:r>
    </w:p>
    <w:p w14:paraId="379021B2" w14:textId="77777777"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2F696C34" w14:textId="77777777"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See Item 1 above</w:t>
      </w:r>
    </w:p>
    <w:p w14:paraId="7A68C5C1" w14:textId="77777777"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2077662A" w14:textId="77777777"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b/>
          <w:color w:val="000000"/>
          <w:sz w:val="24"/>
          <w:szCs w:val="24"/>
        </w:rPr>
        <w:t>Refer to item 1 above</w:t>
      </w:r>
      <w:r>
        <w:rPr>
          <w:rFonts w:ascii="Arial" w:eastAsia="Arial" w:hAnsi="Arial" w:cs="Arial"/>
          <w:color w:val="000000"/>
          <w:sz w:val="24"/>
          <w:szCs w:val="24"/>
        </w:rPr>
        <w:t>.</w:t>
      </w:r>
    </w:p>
    <w:p w14:paraId="1F972636" w14:textId="77777777" w:rsidR="002E1C77" w:rsidRPr="008C046C"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employee </w:t>
      </w:r>
      <w:proofErr w:type="spellStart"/>
      <w:r>
        <w:rPr>
          <w:rFonts w:ascii="Arial" w:eastAsia="Arial" w:hAnsi="Arial" w:cs="Arial"/>
          <w:color w:val="000000"/>
          <w:sz w:val="24"/>
          <w:szCs w:val="24"/>
        </w:rPr>
        <w:t>hirings</w:t>
      </w:r>
      <w:proofErr w:type="spellEnd"/>
      <w:r>
        <w:rPr>
          <w:rFonts w:ascii="Arial" w:eastAsia="Arial" w:hAnsi="Arial" w:cs="Arial"/>
          <w:color w:val="000000"/>
          <w:sz w:val="24"/>
          <w:szCs w:val="24"/>
        </w:rPr>
        <w:t>, terminations or lay-offs with details of anticipated length of lay-offs.</w:t>
      </w:r>
      <w:r>
        <w:rPr>
          <w:rFonts w:ascii="Arial" w:eastAsia="Arial" w:hAnsi="Arial" w:cs="Arial"/>
          <w:b/>
          <w:color w:val="000000"/>
          <w:sz w:val="24"/>
          <w:szCs w:val="24"/>
        </w:rPr>
        <w:t xml:space="preserve"> </w:t>
      </w:r>
      <w:r w:rsidR="00A115A5">
        <w:rPr>
          <w:rFonts w:ascii="Arial" w:eastAsia="Arial" w:hAnsi="Arial" w:cs="Arial"/>
          <w:b/>
          <w:color w:val="000000"/>
          <w:sz w:val="24"/>
          <w:szCs w:val="24"/>
        </w:rPr>
        <w:t xml:space="preserve"> N/A</w:t>
      </w:r>
    </w:p>
    <w:p w14:paraId="04A1AE00" w14:textId="77777777" w:rsidR="002E1C77" w:rsidRDefault="00862042" w:rsidP="00BB5355">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color w:val="000000"/>
          <w:sz w:val="24"/>
          <w:szCs w:val="24"/>
        </w:rPr>
        <w:t>Report on any labour disputes and resolutions of those disputes if applicable.</w:t>
      </w:r>
    </w:p>
    <w:p w14:paraId="499CFB4F" w14:textId="77777777"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2661E037" w14:textId="77777777"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3E361A5" w14:textId="77777777" w:rsidR="002E1C77" w:rsidRDefault="00355CE0">
      <w:pPr>
        <w:pBdr>
          <w:top w:val="nil"/>
          <w:left w:val="nil"/>
          <w:bottom w:val="nil"/>
          <w:right w:val="nil"/>
          <w:between w:val="nil"/>
        </w:pBdr>
        <w:spacing w:before="120"/>
        <w:ind w:left="720"/>
        <w:jc w:val="both"/>
        <w:rPr>
          <w:rFonts w:ascii="Arial" w:eastAsia="Arial" w:hAnsi="Arial" w:cs="Arial"/>
          <w:b/>
          <w:sz w:val="24"/>
          <w:szCs w:val="24"/>
        </w:rPr>
      </w:pPr>
      <w:r>
        <w:rPr>
          <w:rFonts w:ascii="Arial" w:eastAsia="Arial" w:hAnsi="Arial" w:cs="Arial"/>
          <w:b/>
          <w:sz w:val="24"/>
          <w:szCs w:val="24"/>
        </w:rPr>
        <w:t>None</w:t>
      </w:r>
    </w:p>
    <w:p w14:paraId="1525AB3F" w14:textId="77777777" w:rsidR="002E1C77" w:rsidRDefault="00862042">
      <w:pPr>
        <w:pBdr>
          <w:top w:val="nil"/>
          <w:left w:val="nil"/>
          <w:bottom w:val="nil"/>
          <w:right w:val="nil"/>
          <w:between w:val="nil"/>
        </w:pBdr>
        <w:spacing w:before="120"/>
        <w:ind w:left="7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61273B1E" w14:textId="77777777" w:rsidR="00B035A5" w:rsidRPr="00B85381" w:rsidRDefault="007A698E" w:rsidP="007A698E">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 xml:space="preserve">N/A </w:t>
      </w:r>
    </w:p>
    <w:p w14:paraId="3913E6AF" w14:textId="77777777" w:rsidR="002E1C77" w:rsidRDefault="002E1C77">
      <w:pPr>
        <w:pBdr>
          <w:top w:val="nil"/>
          <w:left w:val="nil"/>
          <w:bottom w:val="nil"/>
          <w:right w:val="nil"/>
          <w:between w:val="nil"/>
        </w:pBdr>
        <w:spacing w:before="120"/>
        <w:ind w:left="720"/>
        <w:jc w:val="both"/>
        <w:rPr>
          <w:rFonts w:ascii="Arial" w:eastAsia="Arial" w:hAnsi="Arial" w:cs="Arial"/>
          <w:color w:val="000000"/>
          <w:sz w:val="24"/>
          <w:szCs w:val="24"/>
        </w:rPr>
      </w:pPr>
    </w:p>
    <w:tbl>
      <w:tblPr>
        <w:tblStyle w:val="a2"/>
        <w:tblW w:w="10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
        <w:gridCol w:w="1376"/>
        <w:gridCol w:w="1192"/>
        <w:gridCol w:w="1376"/>
        <w:gridCol w:w="1376"/>
        <w:gridCol w:w="1494"/>
        <w:gridCol w:w="1258"/>
        <w:gridCol w:w="1100"/>
      </w:tblGrid>
      <w:tr w:rsidR="002E1C77" w14:paraId="43F19B9B" w14:textId="77777777">
        <w:trPr>
          <w:trHeight w:val="1280"/>
        </w:trPr>
        <w:tc>
          <w:tcPr>
            <w:tcW w:w="1394" w:type="dxa"/>
            <w:shd w:val="clear" w:color="auto" w:fill="F2F2F2"/>
            <w:vAlign w:val="bottom"/>
          </w:tcPr>
          <w:p w14:paraId="4B8599EC" w14:textId="77777777"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 xml:space="preserve">Full Name &amp; Residential Address of </w:t>
            </w:r>
            <w:proofErr w:type="spellStart"/>
            <w:r>
              <w:rPr>
                <w:rFonts w:ascii="Verdana" w:eastAsia="Verdana" w:hAnsi="Verdana" w:cs="Verdana"/>
                <w:b/>
                <w:color w:val="000000"/>
                <w:sz w:val="16"/>
                <w:szCs w:val="16"/>
              </w:rPr>
              <w:t>Placee</w:t>
            </w:r>
            <w:proofErr w:type="spellEnd"/>
          </w:p>
        </w:tc>
        <w:tc>
          <w:tcPr>
            <w:tcW w:w="1376" w:type="dxa"/>
            <w:shd w:val="clear" w:color="auto" w:fill="F2F2F2"/>
            <w:vAlign w:val="bottom"/>
          </w:tcPr>
          <w:p w14:paraId="5F6EBE1C" w14:textId="77777777"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Number of Securities Purchased or to be Purchased</w:t>
            </w:r>
          </w:p>
        </w:tc>
        <w:tc>
          <w:tcPr>
            <w:tcW w:w="1192" w:type="dxa"/>
            <w:shd w:val="clear" w:color="auto" w:fill="F2F2F2"/>
            <w:vAlign w:val="bottom"/>
          </w:tcPr>
          <w:p w14:paraId="36802E09" w14:textId="77777777"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Purchase price per Security (CDN$)</w:t>
            </w:r>
          </w:p>
        </w:tc>
        <w:tc>
          <w:tcPr>
            <w:tcW w:w="1376" w:type="dxa"/>
            <w:shd w:val="clear" w:color="auto" w:fill="F2F2F2"/>
            <w:vAlign w:val="bottom"/>
          </w:tcPr>
          <w:p w14:paraId="6E72DE64" w14:textId="77777777"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Conversion</w:t>
            </w:r>
          </w:p>
          <w:p w14:paraId="47CA9B56" w14:textId="77777777"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Price (if</w:t>
            </w:r>
          </w:p>
          <w:p w14:paraId="42B61992" w14:textId="77777777"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Applicable)</w:t>
            </w:r>
          </w:p>
        </w:tc>
        <w:tc>
          <w:tcPr>
            <w:tcW w:w="1376" w:type="dxa"/>
            <w:shd w:val="clear" w:color="auto" w:fill="F2F2F2"/>
            <w:vAlign w:val="bottom"/>
          </w:tcPr>
          <w:p w14:paraId="5EFFBC05" w14:textId="77777777"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Prospectus Exemption</w:t>
            </w:r>
          </w:p>
        </w:tc>
        <w:tc>
          <w:tcPr>
            <w:tcW w:w="1494" w:type="dxa"/>
            <w:shd w:val="clear" w:color="auto" w:fill="F2F2F2"/>
            <w:vAlign w:val="bottom"/>
          </w:tcPr>
          <w:p w14:paraId="13DCFEAF" w14:textId="77777777"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No. of Securities, directly or indirectly, Owned, Controlled or Directed</w:t>
            </w:r>
          </w:p>
        </w:tc>
        <w:tc>
          <w:tcPr>
            <w:tcW w:w="1258" w:type="dxa"/>
            <w:shd w:val="clear" w:color="auto" w:fill="F2F2F2"/>
            <w:vAlign w:val="bottom"/>
          </w:tcPr>
          <w:p w14:paraId="20234483" w14:textId="77777777"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Payment Date(1)</w:t>
            </w:r>
          </w:p>
        </w:tc>
        <w:tc>
          <w:tcPr>
            <w:tcW w:w="1100" w:type="dxa"/>
            <w:shd w:val="clear" w:color="auto" w:fill="F2F2F2"/>
            <w:vAlign w:val="bottom"/>
          </w:tcPr>
          <w:p w14:paraId="04080D44" w14:textId="77777777" w:rsidR="002E1C77" w:rsidRDefault="00862042">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16"/>
                <w:szCs w:val="16"/>
              </w:rPr>
              <w:t>Describe relations-hip to Issuer (2)</w:t>
            </w:r>
          </w:p>
        </w:tc>
      </w:tr>
      <w:tr w:rsidR="002E1C77" w14:paraId="40DD9E27" w14:textId="77777777">
        <w:trPr>
          <w:trHeight w:val="860"/>
        </w:trPr>
        <w:tc>
          <w:tcPr>
            <w:tcW w:w="1394" w:type="dxa"/>
          </w:tcPr>
          <w:p w14:paraId="26EB621A" w14:textId="77777777" w:rsidR="002E1C77" w:rsidRDefault="002E1C77">
            <w:pPr>
              <w:pBdr>
                <w:top w:val="nil"/>
                <w:left w:val="nil"/>
                <w:bottom w:val="nil"/>
                <w:right w:val="nil"/>
                <w:between w:val="nil"/>
              </w:pBdr>
              <w:rPr>
                <w:color w:val="000000"/>
              </w:rPr>
            </w:pPr>
          </w:p>
        </w:tc>
        <w:tc>
          <w:tcPr>
            <w:tcW w:w="1376" w:type="dxa"/>
          </w:tcPr>
          <w:p w14:paraId="2F1F3C4A" w14:textId="77777777" w:rsidR="002E1C77" w:rsidRDefault="002E1C77">
            <w:pPr>
              <w:pBdr>
                <w:top w:val="nil"/>
                <w:left w:val="nil"/>
                <w:bottom w:val="nil"/>
                <w:right w:val="nil"/>
                <w:between w:val="nil"/>
              </w:pBdr>
              <w:jc w:val="center"/>
              <w:rPr>
                <w:color w:val="000000"/>
              </w:rPr>
            </w:pPr>
          </w:p>
        </w:tc>
        <w:tc>
          <w:tcPr>
            <w:tcW w:w="1192" w:type="dxa"/>
          </w:tcPr>
          <w:p w14:paraId="5C58A93D" w14:textId="77777777" w:rsidR="002E1C77" w:rsidRDefault="002E1C77">
            <w:pPr>
              <w:pBdr>
                <w:top w:val="nil"/>
                <w:left w:val="nil"/>
                <w:bottom w:val="nil"/>
                <w:right w:val="nil"/>
                <w:between w:val="nil"/>
              </w:pBdr>
              <w:jc w:val="center"/>
              <w:rPr>
                <w:color w:val="000000"/>
              </w:rPr>
            </w:pPr>
          </w:p>
        </w:tc>
        <w:tc>
          <w:tcPr>
            <w:tcW w:w="1376" w:type="dxa"/>
          </w:tcPr>
          <w:p w14:paraId="50617881" w14:textId="77777777" w:rsidR="002E1C77" w:rsidRDefault="002E1C77">
            <w:pPr>
              <w:pBdr>
                <w:top w:val="nil"/>
                <w:left w:val="nil"/>
                <w:bottom w:val="nil"/>
                <w:right w:val="nil"/>
                <w:between w:val="nil"/>
              </w:pBdr>
              <w:jc w:val="center"/>
              <w:rPr>
                <w:color w:val="000000"/>
              </w:rPr>
            </w:pPr>
          </w:p>
        </w:tc>
        <w:tc>
          <w:tcPr>
            <w:tcW w:w="1376" w:type="dxa"/>
          </w:tcPr>
          <w:p w14:paraId="4658C38E" w14:textId="77777777" w:rsidR="002E1C77" w:rsidRDefault="002E1C77">
            <w:pPr>
              <w:pBdr>
                <w:top w:val="nil"/>
                <w:left w:val="nil"/>
                <w:bottom w:val="nil"/>
                <w:right w:val="nil"/>
                <w:between w:val="nil"/>
              </w:pBdr>
              <w:jc w:val="center"/>
              <w:rPr>
                <w:color w:val="000000"/>
              </w:rPr>
            </w:pPr>
          </w:p>
        </w:tc>
        <w:tc>
          <w:tcPr>
            <w:tcW w:w="1494" w:type="dxa"/>
          </w:tcPr>
          <w:p w14:paraId="5652FE7E" w14:textId="77777777" w:rsidR="002E1C77" w:rsidRDefault="002E1C77">
            <w:pPr>
              <w:rPr>
                <w:color w:val="000000"/>
              </w:rPr>
            </w:pPr>
          </w:p>
        </w:tc>
        <w:tc>
          <w:tcPr>
            <w:tcW w:w="1258" w:type="dxa"/>
          </w:tcPr>
          <w:p w14:paraId="48FA14CB" w14:textId="77777777" w:rsidR="002E1C77" w:rsidRDefault="002E1C77">
            <w:pPr>
              <w:pBdr>
                <w:top w:val="nil"/>
                <w:left w:val="nil"/>
                <w:bottom w:val="nil"/>
                <w:right w:val="nil"/>
                <w:between w:val="nil"/>
              </w:pBdr>
              <w:jc w:val="center"/>
              <w:rPr>
                <w:color w:val="000000"/>
              </w:rPr>
            </w:pPr>
          </w:p>
        </w:tc>
        <w:tc>
          <w:tcPr>
            <w:tcW w:w="1100" w:type="dxa"/>
          </w:tcPr>
          <w:p w14:paraId="3CFC949A" w14:textId="77777777" w:rsidR="002E1C77" w:rsidRDefault="002E1C77">
            <w:pPr>
              <w:pBdr>
                <w:top w:val="nil"/>
                <w:left w:val="nil"/>
                <w:bottom w:val="nil"/>
                <w:right w:val="nil"/>
                <w:between w:val="nil"/>
              </w:pBdr>
              <w:jc w:val="center"/>
              <w:rPr>
                <w:color w:val="000000"/>
              </w:rPr>
            </w:pPr>
          </w:p>
        </w:tc>
      </w:tr>
    </w:tbl>
    <w:p w14:paraId="11091F94" w14:textId="77777777" w:rsidR="002E1C77" w:rsidRDefault="002E1C77">
      <w:pPr>
        <w:pBdr>
          <w:top w:val="nil"/>
          <w:left w:val="nil"/>
          <w:bottom w:val="nil"/>
          <w:right w:val="nil"/>
          <w:between w:val="nil"/>
        </w:pBdr>
        <w:spacing w:before="120"/>
        <w:ind w:left="720"/>
        <w:jc w:val="both"/>
        <w:rPr>
          <w:rFonts w:ascii="Arial" w:eastAsia="Arial" w:hAnsi="Arial" w:cs="Arial"/>
          <w:color w:val="000000"/>
          <w:sz w:val="24"/>
          <w:szCs w:val="24"/>
        </w:rPr>
      </w:pPr>
    </w:p>
    <w:p w14:paraId="260D2957" w14:textId="77777777" w:rsidR="0075622A" w:rsidRPr="00BF468D" w:rsidRDefault="00862042" w:rsidP="0075622A">
      <w:pPr>
        <w:numPr>
          <w:ilvl w:val="0"/>
          <w:numId w:val="2"/>
        </w:numPr>
        <w:pBdr>
          <w:top w:val="nil"/>
          <w:left w:val="nil"/>
          <w:bottom w:val="nil"/>
          <w:right w:val="nil"/>
          <w:between w:val="nil"/>
        </w:pBdr>
        <w:spacing w:before="120"/>
        <w:jc w:val="both"/>
        <w:rPr>
          <w:rFonts w:ascii="Arial" w:eastAsia="Arial" w:hAnsi="Arial" w:cs="Arial"/>
          <w:b/>
          <w:color w:val="000000"/>
          <w:sz w:val="24"/>
          <w:szCs w:val="24"/>
        </w:rPr>
      </w:pPr>
      <w:r w:rsidRPr="00BF468D">
        <w:rPr>
          <w:rFonts w:ascii="Arial" w:eastAsia="Arial" w:hAnsi="Arial" w:cs="Arial"/>
          <w:color w:val="000000"/>
          <w:sz w:val="24"/>
          <w:szCs w:val="24"/>
        </w:rPr>
        <w:t xml:space="preserve">Provide details of any securities issued and options or warrants granted. </w:t>
      </w:r>
    </w:p>
    <w:tbl>
      <w:tblPr>
        <w:tblW w:w="9632" w:type="dxa"/>
        <w:tblInd w:w="120" w:type="dxa"/>
        <w:tblLayout w:type="fixed"/>
        <w:tblCellMar>
          <w:left w:w="122" w:type="dxa"/>
          <w:right w:w="122" w:type="dxa"/>
        </w:tblCellMar>
        <w:tblLook w:val="0000" w:firstRow="0" w:lastRow="0" w:firstColumn="0" w:lastColumn="0" w:noHBand="0" w:noVBand="0"/>
      </w:tblPr>
      <w:tblGrid>
        <w:gridCol w:w="1987"/>
        <w:gridCol w:w="1843"/>
        <w:gridCol w:w="992"/>
        <w:gridCol w:w="1276"/>
        <w:gridCol w:w="1134"/>
        <w:gridCol w:w="1134"/>
        <w:gridCol w:w="1266"/>
      </w:tblGrid>
      <w:tr w:rsidR="0075622A" w14:paraId="79CB645B" w14:textId="77777777" w:rsidTr="001464DC">
        <w:tc>
          <w:tcPr>
            <w:tcW w:w="1987" w:type="dxa"/>
            <w:tcBorders>
              <w:top w:val="double" w:sz="6" w:space="0" w:color="auto"/>
              <w:left w:val="double" w:sz="6" w:space="0" w:color="auto"/>
              <w:bottom w:val="single" w:sz="6" w:space="0" w:color="auto"/>
            </w:tcBorders>
          </w:tcPr>
          <w:p w14:paraId="61F7A766" w14:textId="77777777" w:rsidR="0075622A" w:rsidRDefault="0075622A" w:rsidP="00E8190F">
            <w:pPr>
              <w:pStyle w:val="TableHeading"/>
              <w:spacing w:before="0" w:after="0" w:line="280" w:lineRule="exact"/>
              <w:jc w:val="center"/>
              <w:rPr>
                <w:color w:val="000000"/>
              </w:rPr>
            </w:pPr>
          </w:p>
          <w:p w14:paraId="74DDE81E" w14:textId="77777777" w:rsidR="0075622A" w:rsidRDefault="0075622A" w:rsidP="00E8190F">
            <w:pPr>
              <w:pStyle w:val="TableHeading"/>
              <w:spacing w:before="0" w:after="0" w:line="280" w:lineRule="exact"/>
              <w:jc w:val="center"/>
              <w:rPr>
                <w:color w:val="000000"/>
              </w:rPr>
            </w:pPr>
          </w:p>
          <w:p w14:paraId="001EAE9A" w14:textId="77777777" w:rsidR="0075622A" w:rsidRDefault="0075622A" w:rsidP="00E8190F">
            <w:pPr>
              <w:pStyle w:val="TableHeading"/>
              <w:spacing w:before="0" w:after="0" w:line="280" w:lineRule="exact"/>
              <w:jc w:val="center"/>
              <w:rPr>
                <w:color w:val="000000"/>
              </w:rPr>
            </w:pPr>
          </w:p>
          <w:p w14:paraId="341D0C68" w14:textId="77777777" w:rsidR="0075622A" w:rsidRDefault="0075622A" w:rsidP="00E8190F">
            <w:pPr>
              <w:pStyle w:val="TableHeading"/>
              <w:spacing w:before="0" w:after="0" w:line="280" w:lineRule="exact"/>
              <w:jc w:val="center"/>
              <w:rPr>
                <w:color w:val="000000"/>
              </w:rPr>
            </w:pPr>
          </w:p>
          <w:p w14:paraId="5971D00B" w14:textId="77777777" w:rsidR="0075622A" w:rsidRDefault="0075622A" w:rsidP="00E8190F">
            <w:pPr>
              <w:pStyle w:val="TableHeading"/>
              <w:spacing w:before="0" w:after="0" w:line="280" w:lineRule="exact"/>
              <w:jc w:val="center"/>
              <w:rPr>
                <w:color w:val="000000"/>
              </w:rPr>
            </w:pPr>
          </w:p>
          <w:p w14:paraId="7E470B30" w14:textId="77777777" w:rsidR="0075622A" w:rsidRDefault="0075622A" w:rsidP="00E8190F">
            <w:pPr>
              <w:pStyle w:val="TableHeading"/>
              <w:spacing w:before="0" w:after="0" w:line="280" w:lineRule="exact"/>
              <w:jc w:val="center"/>
              <w:rPr>
                <w:color w:val="000000"/>
              </w:rPr>
            </w:pPr>
          </w:p>
          <w:p w14:paraId="06851E70" w14:textId="77777777" w:rsidR="0075622A" w:rsidRDefault="0075622A" w:rsidP="00E8190F">
            <w:pPr>
              <w:pStyle w:val="TableHeading"/>
              <w:spacing w:before="0" w:after="0" w:line="280" w:lineRule="exact"/>
              <w:jc w:val="center"/>
              <w:rPr>
                <w:color w:val="000000"/>
              </w:rPr>
            </w:pPr>
            <w:r>
              <w:rPr>
                <w:color w:val="000000"/>
              </w:rPr>
              <w:t>Name of Optionee</w:t>
            </w:r>
          </w:p>
        </w:tc>
        <w:tc>
          <w:tcPr>
            <w:tcW w:w="1843" w:type="dxa"/>
            <w:tcBorders>
              <w:top w:val="double" w:sz="6" w:space="0" w:color="auto"/>
              <w:left w:val="single" w:sz="6" w:space="0" w:color="auto"/>
              <w:bottom w:val="single" w:sz="6" w:space="0" w:color="auto"/>
            </w:tcBorders>
          </w:tcPr>
          <w:p w14:paraId="3BED54AD" w14:textId="77777777" w:rsidR="0075622A" w:rsidRDefault="0075622A" w:rsidP="00E8190F">
            <w:pPr>
              <w:pStyle w:val="TableHeading"/>
              <w:spacing w:before="0" w:after="0" w:line="280" w:lineRule="exact"/>
              <w:jc w:val="center"/>
              <w:rPr>
                <w:color w:val="000000"/>
              </w:rPr>
            </w:pPr>
            <w:r>
              <w:rPr>
                <w:color w:val="000000"/>
              </w:rPr>
              <w:t>Position (Director/ Officer/</w:t>
            </w:r>
          </w:p>
          <w:p w14:paraId="1AD64E36" w14:textId="77777777" w:rsidR="0075622A" w:rsidRDefault="0075622A" w:rsidP="00E8190F">
            <w:pPr>
              <w:pStyle w:val="TableHeading"/>
              <w:spacing w:before="0" w:after="0" w:line="280" w:lineRule="exact"/>
              <w:jc w:val="center"/>
              <w:rPr>
                <w:color w:val="000000"/>
              </w:rPr>
            </w:pPr>
            <w:r>
              <w:rPr>
                <w:color w:val="000000"/>
              </w:rPr>
              <w:t>Employee/ Consultant/ Management Company</w:t>
            </w:r>
          </w:p>
        </w:tc>
        <w:tc>
          <w:tcPr>
            <w:tcW w:w="992" w:type="dxa"/>
            <w:tcBorders>
              <w:top w:val="double" w:sz="6" w:space="0" w:color="auto"/>
              <w:left w:val="single" w:sz="6" w:space="0" w:color="auto"/>
              <w:bottom w:val="single" w:sz="6" w:space="0" w:color="auto"/>
            </w:tcBorders>
          </w:tcPr>
          <w:p w14:paraId="2A832D88" w14:textId="77777777" w:rsidR="0075622A" w:rsidRDefault="0075622A" w:rsidP="00E8190F">
            <w:pPr>
              <w:pStyle w:val="TableHeading"/>
              <w:spacing w:before="0" w:after="0" w:line="280" w:lineRule="exact"/>
              <w:jc w:val="center"/>
              <w:rPr>
                <w:color w:val="000000"/>
              </w:rPr>
            </w:pPr>
          </w:p>
          <w:p w14:paraId="057691ED" w14:textId="77777777" w:rsidR="0075622A" w:rsidRDefault="0075622A" w:rsidP="00E8190F">
            <w:pPr>
              <w:pStyle w:val="TableHeading"/>
              <w:spacing w:before="0" w:after="0" w:line="280" w:lineRule="exact"/>
              <w:jc w:val="center"/>
              <w:rPr>
                <w:color w:val="000000"/>
              </w:rPr>
            </w:pPr>
          </w:p>
          <w:p w14:paraId="30C8EA92" w14:textId="77777777" w:rsidR="0075622A" w:rsidRDefault="0075622A" w:rsidP="00E8190F">
            <w:pPr>
              <w:pStyle w:val="TableHeading"/>
              <w:spacing w:before="0" w:after="0" w:line="280" w:lineRule="exact"/>
              <w:jc w:val="center"/>
              <w:rPr>
                <w:color w:val="000000"/>
              </w:rPr>
            </w:pPr>
          </w:p>
          <w:p w14:paraId="26DBA2BB" w14:textId="77777777" w:rsidR="0075622A" w:rsidRDefault="0075622A" w:rsidP="00E8190F">
            <w:pPr>
              <w:pStyle w:val="TableHeading"/>
              <w:spacing w:before="0" w:after="0" w:line="280" w:lineRule="exact"/>
              <w:jc w:val="center"/>
              <w:rPr>
                <w:color w:val="000000"/>
              </w:rPr>
            </w:pPr>
          </w:p>
          <w:p w14:paraId="52FEA28B" w14:textId="77777777" w:rsidR="0075622A" w:rsidRDefault="0075622A" w:rsidP="00E8190F">
            <w:pPr>
              <w:pStyle w:val="TableHeading"/>
              <w:spacing w:before="0" w:after="0" w:line="280" w:lineRule="exact"/>
              <w:jc w:val="center"/>
              <w:rPr>
                <w:color w:val="000000"/>
              </w:rPr>
            </w:pPr>
            <w:r>
              <w:rPr>
                <w:color w:val="000000"/>
              </w:rPr>
              <w:t>Insider Yes or No?</w:t>
            </w:r>
          </w:p>
        </w:tc>
        <w:tc>
          <w:tcPr>
            <w:tcW w:w="1276" w:type="dxa"/>
            <w:tcBorders>
              <w:top w:val="double" w:sz="6" w:space="0" w:color="auto"/>
              <w:left w:val="single" w:sz="6" w:space="0" w:color="auto"/>
              <w:bottom w:val="single" w:sz="6" w:space="0" w:color="auto"/>
            </w:tcBorders>
          </w:tcPr>
          <w:p w14:paraId="0DAE9AB2" w14:textId="77777777" w:rsidR="0075622A" w:rsidRDefault="0075622A" w:rsidP="00E8190F">
            <w:pPr>
              <w:pStyle w:val="TableHeading"/>
              <w:spacing w:before="0" w:after="0" w:line="280" w:lineRule="exact"/>
              <w:jc w:val="center"/>
              <w:rPr>
                <w:color w:val="000000"/>
              </w:rPr>
            </w:pPr>
          </w:p>
          <w:p w14:paraId="7E715D3A" w14:textId="77777777" w:rsidR="0075622A" w:rsidRDefault="0075622A" w:rsidP="00E8190F">
            <w:pPr>
              <w:pStyle w:val="TableHeading"/>
              <w:spacing w:before="0" w:after="0" w:line="280" w:lineRule="exact"/>
              <w:jc w:val="center"/>
              <w:rPr>
                <w:color w:val="000000"/>
              </w:rPr>
            </w:pPr>
          </w:p>
          <w:p w14:paraId="5E126D9C" w14:textId="77777777" w:rsidR="0075622A" w:rsidRDefault="0075622A" w:rsidP="00E8190F">
            <w:pPr>
              <w:pStyle w:val="TableHeading"/>
              <w:spacing w:before="0" w:after="0" w:line="280" w:lineRule="exact"/>
              <w:jc w:val="center"/>
              <w:rPr>
                <w:color w:val="000000"/>
              </w:rPr>
            </w:pPr>
          </w:p>
          <w:p w14:paraId="0403D71D" w14:textId="77777777" w:rsidR="0075622A" w:rsidRDefault="0075622A" w:rsidP="00E8190F">
            <w:pPr>
              <w:pStyle w:val="TableHeading"/>
              <w:spacing w:before="0" w:after="0" w:line="280" w:lineRule="exact"/>
              <w:jc w:val="center"/>
              <w:rPr>
                <w:color w:val="000000"/>
              </w:rPr>
            </w:pPr>
          </w:p>
          <w:p w14:paraId="2260140E" w14:textId="77777777" w:rsidR="0075622A" w:rsidRDefault="0075622A" w:rsidP="00E8190F">
            <w:pPr>
              <w:pStyle w:val="TableHeading"/>
              <w:spacing w:before="0" w:after="0" w:line="280" w:lineRule="exact"/>
              <w:jc w:val="center"/>
              <w:rPr>
                <w:color w:val="000000"/>
              </w:rPr>
            </w:pPr>
            <w:r>
              <w:rPr>
                <w:color w:val="000000"/>
              </w:rPr>
              <w:t>No. of Optioned Shares</w:t>
            </w:r>
          </w:p>
        </w:tc>
        <w:tc>
          <w:tcPr>
            <w:tcW w:w="1134" w:type="dxa"/>
            <w:tcBorders>
              <w:top w:val="double" w:sz="6" w:space="0" w:color="auto"/>
              <w:left w:val="single" w:sz="6" w:space="0" w:color="auto"/>
              <w:bottom w:val="single" w:sz="6" w:space="0" w:color="auto"/>
            </w:tcBorders>
          </w:tcPr>
          <w:p w14:paraId="5AEE307B" w14:textId="77777777" w:rsidR="0075622A" w:rsidRDefault="0075622A" w:rsidP="00E8190F">
            <w:pPr>
              <w:pStyle w:val="TableHeading"/>
              <w:spacing w:before="0" w:after="0" w:line="280" w:lineRule="exact"/>
              <w:jc w:val="center"/>
              <w:rPr>
                <w:color w:val="000000"/>
              </w:rPr>
            </w:pPr>
          </w:p>
          <w:p w14:paraId="7EC6BEE3" w14:textId="77777777" w:rsidR="0075622A" w:rsidRDefault="0075622A" w:rsidP="00E8190F">
            <w:pPr>
              <w:pStyle w:val="TableHeading"/>
              <w:spacing w:before="0" w:after="0" w:line="280" w:lineRule="exact"/>
              <w:jc w:val="center"/>
              <w:rPr>
                <w:color w:val="000000"/>
              </w:rPr>
            </w:pPr>
          </w:p>
          <w:p w14:paraId="2996135C" w14:textId="77777777" w:rsidR="0075622A" w:rsidRDefault="0075622A" w:rsidP="00E8190F">
            <w:pPr>
              <w:pStyle w:val="TableHeading"/>
              <w:spacing w:before="0" w:after="0" w:line="280" w:lineRule="exact"/>
              <w:jc w:val="center"/>
              <w:rPr>
                <w:color w:val="000000"/>
              </w:rPr>
            </w:pPr>
          </w:p>
          <w:p w14:paraId="7D7184DD" w14:textId="77777777" w:rsidR="0075622A" w:rsidRDefault="0075622A" w:rsidP="00E8190F">
            <w:pPr>
              <w:pStyle w:val="TableHeading"/>
              <w:spacing w:before="0" w:after="0" w:line="280" w:lineRule="exact"/>
              <w:jc w:val="center"/>
              <w:rPr>
                <w:color w:val="000000"/>
              </w:rPr>
            </w:pPr>
          </w:p>
          <w:p w14:paraId="07030754" w14:textId="77777777" w:rsidR="0075622A" w:rsidRDefault="0075622A" w:rsidP="00E8190F">
            <w:pPr>
              <w:pStyle w:val="TableHeading"/>
              <w:spacing w:before="0" w:after="0" w:line="280" w:lineRule="exact"/>
              <w:jc w:val="center"/>
              <w:rPr>
                <w:color w:val="000000"/>
              </w:rPr>
            </w:pPr>
          </w:p>
          <w:p w14:paraId="1A3CCA81" w14:textId="77777777" w:rsidR="0075622A" w:rsidRDefault="0075622A" w:rsidP="00E8190F">
            <w:pPr>
              <w:pStyle w:val="TableHeading"/>
              <w:spacing w:before="0" w:after="0" w:line="280" w:lineRule="exact"/>
              <w:jc w:val="center"/>
              <w:rPr>
                <w:color w:val="000000"/>
              </w:rPr>
            </w:pPr>
            <w:r>
              <w:rPr>
                <w:color w:val="000000"/>
              </w:rPr>
              <w:t>Exercise Price</w:t>
            </w:r>
          </w:p>
        </w:tc>
        <w:tc>
          <w:tcPr>
            <w:tcW w:w="1134" w:type="dxa"/>
            <w:tcBorders>
              <w:top w:val="double" w:sz="6" w:space="0" w:color="auto"/>
              <w:left w:val="single" w:sz="6" w:space="0" w:color="auto"/>
              <w:bottom w:val="single" w:sz="6" w:space="0" w:color="auto"/>
            </w:tcBorders>
          </w:tcPr>
          <w:p w14:paraId="2931780D" w14:textId="77777777" w:rsidR="0075622A" w:rsidRDefault="0075622A" w:rsidP="00E8190F">
            <w:pPr>
              <w:pStyle w:val="TableHeading"/>
              <w:spacing w:before="0" w:after="0" w:line="280" w:lineRule="exact"/>
              <w:jc w:val="center"/>
              <w:rPr>
                <w:color w:val="000000"/>
              </w:rPr>
            </w:pPr>
          </w:p>
          <w:p w14:paraId="69D7659C" w14:textId="77777777" w:rsidR="0075622A" w:rsidRDefault="0075622A" w:rsidP="00E8190F">
            <w:pPr>
              <w:pStyle w:val="TableHeading"/>
              <w:spacing w:before="0" w:after="0" w:line="280" w:lineRule="exact"/>
              <w:jc w:val="center"/>
              <w:rPr>
                <w:color w:val="000000"/>
              </w:rPr>
            </w:pPr>
          </w:p>
          <w:p w14:paraId="0761F82D" w14:textId="77777777" w:rsidR="0075622A" w:rsidRDefault="0075622A" w:rsidP="00E8190F">
            <w:pPr>
              <w:pStyle w:val="TableHeading"/>
              <w:spacing w:before="0" w:after="0" w:line="280" w:lineRule="exact"/>
              <w:jc w:val="center"/>
              <w:rPr>
                <w:color w:val="000000"/>
              </w:rPr>
            </w:pPr>
          </w:p>
          <w:p w14:paraId="547A9C68" w14:textId="77777777" w:rsidR="0075622A" w:rsidRDefault="0075622A" w:rsidP="00E8190F">
            <w:pPr>
              <w:pStyle w:val="TableHeading"/>
              <w:spacing w:before="0" w:after="0" w:line="280" w:lineRule="exact"/>
              <w:jc w:val="center"/>
              <w:rPr>
                <w:color w:val="000000"/>
              </w:rPr>
            </w:pPr>
          </w:p>
          <w:p w14:paraId="7ECF153F" w14:textId="77777777" w:rsidR="0075622A" w:rsidRDefault="0075622A" w:rsidP="00E8190F">
            <w:pPr>
              <w:pStyle w:val="TableHeading"/>
              <w:spacing w:before="0" w:after="0" w:line="280" w:lineRule="exact"/>
              <w:jc w:val="center"/>
              <w:rPr>
                <w:color w:val="000000"/>
              </w:rPr>
            </w:pPr>
          </w:p>
          <w:p w14:paraId="696F1F6D" w14:textId="77777777" w:rsidR="0075622A" w:rsidRDefault="0075622A" w:rsidP="00E8190F">
            <w:pPr>
              <w:pStyle w:val="TableHeading"/>
              <w:spacing w:before="0" w:after="0" w:line="280" w:lineRule="exact"/>
              <w:jc w:val="center"/>
              <w:rPr>
                <w:color w:val="000000"/>
              </w:rPr>
            </w:pPr>
            <w:r>
              <w:rPr>
                <w:color w:val="000000"/>
              </w:rPr>
              <w:t>Expiry Date</w:t>
            </w:r>
          </w:p>
        </w:tc>
        <w:tc>
          <w:tcPr>
            <w:tcW w:w="1266" w:type="dxa"/>
            <w:tcBorders>
              <w:top w:val="double" w:sz="6" w:space="0" w:color="auto"/>
              <w:left w:val="single" w:sz="6" w:space="0" w:color="auto"/>
              <w:bottom w:val="single" w:sz="6" w:space="0" w:color="auto"/>
              <w:right w:val="double" w:sz="6" w:space="0" w:color="auto"/>
            </w:tcBorders>
          </w:tcPr>
          <w:p w14:paraId="67157715" w14:textId="77777777" w:rsidR="0075622A" w:rsidRDefault="0075622A" w:rsidP="00E8190F">
            <w:pPr>
              <w:pStyle w:val="TableHeading"/>
              <w:spacing w:before="0" w:after="0" w:line="280" w:lineRule="exact"/>
              <w:jc w:val="center"/>
              <w:rPr>
                <w:color w:val="000000"/>
              </w:rPr>
            </w:pPr>
          </w:p>
          <w:p w14:paraId="3D863C57" w14:textId="77777777" w:rsidR="0075622A" w:rsidRDefault="0075622A" w:rsidP="00E8190F">
            <w:pPr>
              <w:pStyle w:val="TableHeading"/>
              <w:spacing w:before="0" w:after="0" w:line="280" w:lineRule="exact"/>
              <w:jc w:val="center"/>
              <w:rPr>
                <w:color w:val="000000"/>
              </w:rPr>
            </w:pPr>
          </w:p>
          <w:p w14:paraId="61C5BC08" w14:textId="77777777" w:rsidR="0075622A" w:rsidRDefault="0075622A" w:rsidP="00E8190F">
            <w:pPr>
              <w:pStyle w:val="TableHeading"/>
              <w:spacing w:before="0" w:after="0" w:line="280" w:lineRule="exact"/>
              <w:jc w:val="center"/>
              <w:rPr>
                <w:color w:val="000000"/>
              </w:rPr>
            </w:pPr>
            <w:r>
              <w:rPr>
                <w:color w:val="000000"/>
              </w:rPr>
              <w:t>No. of Options Granted in Past 12 Months</w:t>
            </w:r>
          </w:p>
        </w:tc>
      </w:tr>
      <w:tr w:rsidR="00C0004E" w14:paraId="50899F5D" w14:textId="77777777" w:rsidTr="001464DC">
        <w:tc>
          <w:tcPr>
            <w:tcW w:w="1987" w:type="dxa"/>
            <w:tcBorders>
              <w:left w:val="double" w:sz="6" w:space="0" w:color="auto"/>
            </w:tcBorders>
          </w:tcPr>
          <w:p w14:paraId="0AD5F504" w14:textId="31E0F687" w:rsidR="00C0004E" w:rsidRPr="001464DC" w:rsidRDefault="00C0004E" w:rsidP="001464DC">
            <w:pPr>
              <w:pStyle w:val="TableText"/>
              <w:rPr>
                <w:color w:val="000000"/>
              </w:rPr>
            </w:pPr>
            <w:r w:rsidRPr="001464DC">
              <w:rPr>
                <w:color w:val="000000"/>
              </w:rPr>
              <w:t>Robert D Bergen</w:t>
            </w:r>
          </w:p>
        </w:tc>
        <w:tc>
          <w:tcPr>
            <w:tcW w:w="1843" w:type="dxa"/>
            <w:tcBorders>
              <w:left w:val="single" w:sz="6" w:space="0" w:color="auto"/>
            </w:tcBorders>
          </w:tcPr>
          <w:p w14:paraId="4D255AF7" w14:textId="77777777" w:rsidR="00C0004E" w:rsidRDefault="00C0004E" w:rsidP="001464DC">
            <w:pPr>
              <w:pStyle w:val="TableText"/>
              <w:rPr>
                <w:color w:val="000000"/>
              </w:rPr>
            </w:pPr>
          </w:p>
        </w:tc>
        <w:tc>
          <w:tcPr>
            <w:tcW w:w="992" w:type="dxa"/>
            <w:tcBorders>
              <w:left w:val="single" w:sz="6" w:space="0" w:color="auto"/>
            </w:tcBorders>
          </w:tcPr>
          <w:p w14:paraId="2D1F9EA2" w14:textId="01830811" w:rsidR="00C0004E" w:rsidRPr="001464DC" w:rsidRDefault="00C0004E" w:rsidP="001464DC">
            <w:pPr>
              <w:pStyle w:val="TableText"/>
              <w:rPr>
                <w:color w:val="000000"/>
              </w:rPr>
            </w:pPr>
            <w:r w:rsidRPr="001464DC">
              <w:rPr>
                <w:color w:val="000000"/>
              </w:rPr>
              <w:t>No</w:t>
            </w:r>
          </w:p>
        </w:tc>
        <w:tc>
          <w:tcPr>
            <w:tcW w:w="1276" w:type="dxa"/>
            <w:tcBorders>
              <w:left w:val="single" w:sz="6" w:space="0" w:color="auto"/>
            </w:tcBorders>
          </w:tcPr>
          <w:p w14:paraId="31156BB8" w14:textId="4EBC70BA" w:rsidR="00C0004E" w:rsidRDefault="00C0004E" w:rsidP="001464DC">
            <w:pPr>
              <w:pStyle w:val="TableText"/>
              <w:rPr>
                <w:color w:val="000000"/>
              </w:rPr>
            </w:pPr>
            <w:r w:rsidRPr="001464DC">
              <w:rPr>
                <w:color w:val="000000"/>
              </w:rPr>
              <w:t>15,833</w:t>
            </w:r>
          </w:p>
        </w:tc>
        <w:tc>
          <w:tcPr>
            <w:tcW w:w="1134" w:type="dxa"/>
            <w:tcBorders>
              <w:left w:val="single" w:sz="6" w:space="0" w:color="auto"/>
            </w:tcBorders>
          </w:tcPr>
          <w:p w14:paraId="1DD23488" w14:textId="1F883B4E" w:rsidR="00C0004E" w:rsidRPr="001464DC" w:rsidRDefault="002D3E64" w:rsidP="001464DC">
            <w:pPr>
              <w:pStyle w:val="TableText"/>
              <w:rPr>
                <w:color w:val="000000"/>
              </w:rPr>
            </w:pPr>
            <w:r>
              <w:rPr>
                <w:color w:val="000000"/>
              </w:rPr>
              <w:t>$</w:t>
            </w:r>
            <w:r w:rsidR="00C0004E" w:rsidRPr="001464DC">
              <w:rPr>
                <w:color w:val="000000"/>
              </w:rPr>
              <w:t>0.84</w:t>
            </w:r>
          </w:p>
        </w:tc>
        <w:tc>
          <w:tcPr>
            <w:tcW w:w="1134" w:type="dxa"/>
            <w:tcBorders>
              <w:left w:val="single" w:sz="6" w:space="0" w:color="auto"/>
            </w:tcBorders>
          </w:tcPr>
          <w:p w14:paraId="24361236" w14:textId="77777777" w:rsidR="00C0004E" w:rsidRDefault="00C0004E" w:rsidP="001464DC">
            <w:pPr>
              <w:pStyle w:val="TableText"/>
              <w:rPr>
                <w:color w:val="000000"/>
              </w:rPr>
            </w:pPr>
          </w:p>
        </w:tc>
        <w:tc>
          <w:tcPr>
            <w:tcW w:w="1266" w:type="dxa"/>
            <w:tcBorders>
              <w:left w:val="single" w:sz="6" w:space="0" w:color="auto"/>
              <w:right w:val="double" w:sz="6" w:space="0" w:color="auto"/>
            </w:tcBorders>
          </w:tcPr>
          <w:p w14:paraId="49655C10" w14:textId="77777777" w:rsidR="00C0004E" w:rsidRDefault="00C0004E" w:rsidP="001464DC">
            <w:pPr>
              <w:pStyle w:val="TableText"/>
              <w:rPr>
                <w:color w:val="000000"/>
              </w:rPr>
            </w:pPr>
          </w:p>
        </w:tc>
      </w:tr>
      <w:tr w:rsidR="00C0004E" w14:paraId="648D3D63" w14:textId="77777777" w:rsidTr="001464DC">
        <w:tc>
          <w:tcPr>
            <w:tcW w:w="1987" w:type="dxa"/>
            <w:tcBorders>
              <w:top w:val="single" w:sz="6" w:space="0" w:color="auto"/>
              <w:left w:val="double" w:sz="6" w:space="0" w:color="auto"/>
              <w:bottom w:val="single" w:sz="6" w:space="0" w:color="auto"/>
            </w:tcBorders>
          </w:tcPr>
          <w:p w14:paraId="4AB38C8D" w14:textId="27CB581A" w:rsidR="00C0004E" w:rsidRPr="001464DC" w:rsidRDefault="00C0004E" w:rsidP="001464DC">
            <w:pPr>
              <w:pStyle w:val="TableText"/>
              <w:rPr>
                <w:color w:val="000000"/>
              </w:rPr>
            </w:pPr>
            <w:r w:rsidRPr="001464DC">
              <w:rPr>
                <w:color w:val="000000"/>
              </w:rPr>
              <w:t>Beverly McDonald</w:t>
            </w:r>
          </w:p>
        </w:tc>
        <w:tc>
          <w:tcPr>
            <w:tcW w:w="1843" w:type="dxa"/>
            <w:tcBorders>
              <w:top w:val="single" w:sz="6" w:space="0" w:color="auto"/>
              <w:left w:val="single" w:sz="6" w:space="0" w:color="auto"/>
              <w:bottom w:val="single" w:sz="6" w:space="0" w:color="auto"/>
            </w:tcBorders>
          </w:tcPr>
          <w:p w14:paraId="6523C7ED" w14:textId="77777777" w:rsidR="00C0004E" w:rsidRDefault="00C0004E" w:rsidP="001464DC">
            <w:pPr>
              <w:pStyle w:val="TableText"/>
              <w:rPr>
                <w:color w:val="000000"/>
              </w:rPr>
            </w:pPr>
          </w:p>
        </w:tc>
        <w:tc>
          <w:tcPr>
            <w:tcW w:w="992" w:type="dxa"/>
            <w:tcBorders>
              <w:top w:val="single" w:sz="6" w:space="0" w:color="auto"/>
              <w:left w:val="single" w:sz="6" w:space="0" w:color="auto"/>
              <w:bottom w:val="single" w:sz="6" w:space="0" w:color="auto"/>
            </w:tcBorders>
          </w:tcPr>
          <w:p w14:paraId="28B9AC9C" w14:textId="18B8F8FF" w:rsidR="00C0004E" w:rsidRPr="001464DC" w:rsidRDefault="00C0004E"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761FAA85" w14:textId="042CFC64" w:rsidR="00C0004E" w:rsidRDefault="00C0004E" w:rsidP="001464DC">
            <w:pPr>
              <w:pStyle w:val="TableText"/>
              <w:rPr>
                <w:color w:val="000000"/>
              </w:rPr>
            </w:pPr>
            <w:r w:rsidRPr="001464DC">
              <w:rPr>
                <w:color w:val="000000"/>
              </w:rPr>
              <w:t>15,833</w:t>
            </w:r>
          </w:p>
        </w:tc>
        <w:tc>
          <w:tcPr>
            <w:tcW w:w="1134" w:type="dxa"/>
            <w:tcBorders>
              <w:top w:val="single" w:sz="6" w:space="0" w:color="auto"/>
              <w:left w:val="single" w:sz="6" w:space="0" w:color="auto"/>
              <w:bottom w:val="single" w:sz="6" w:space="0" w:color="auto"/>
            </w:tcBorders>
          </w:tcPr>
          <w:p w14:paraId="37DDA5F4" w14:textId="361D5D12" w:rsidR="00C0004E" w:rsidRPr="001464DC" w:rsidRDefault="002D3E64" w:rsidP="001464DC">
            <w:pPr>
              <w:pStyle w:val="TableText"/>
              <w:rPr>
                <w:color w:val="000000"/>
              </w:rPr>
            </w:pPr>
            <w:r>
              <w:rPr>
                <w:color w:val="000000"/>
              </w:rPr>
              <w:t>$</w:t>
            </w:r>
            <w:r w:rsidR="00C0004E" w:rsidRPr="001464DC">
              <w:rPr>
                <w:color w:val="000000"/>
              </w:rPr>
              <w:t>0.84</w:t>
            </w:r>
          </w:p>
        </w:tc>
        <w:tc>
          <w:tcPr>
            <w:tcW w:w="1134" w:type="dxa"/>
            <w:tcBorders>
              <w:top w:val="single" w:sz="6" w:space="0" w:color="auto"/>
              <w:left w:val="single" w:sz="6" w:space="0" w:color="auto"/>
              <w:bottom w:val="single" w:sz="6" w:space="0" w:color="auto"/>
            </w:tcBorders>
          </w:tcPr>
          <w:p w14:paraId="4D34625F" w14:textId="77777777" w:rsidR="00C0004E" w:rsidRPr="001464DC" w:rsidRDefault="00C0004E"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6DAEC374" w14:textId="77777777" w:rsidR="00C0004E" w:rsidRDefault="00C0004E" w:rsidP="001464DC">
            <w:pPr>
              <w:pStyle w:val="TableText"/>
              <w:rPr>
                <w:color w:val="000000"/>
              </w:rPr>
            </w:pPr>
          </w:p>
        </w:tc>
      </w:tr>
      <w:tr w:rsidR="00C0004E" w14:paraId="597E3AC6" w14:textId="77777777" w:rsidTr="001464DC">
        <w:tc>
          <w:tcPr>
            <w:tcW w:w="1987" w:type="dxa"/>
            <w:tcBorders>
              <w:top w:val="single" w:sz="6" w:space="0" w:color="auto"/>
              <w:left w:val="double" w:sz="6" w:space="0" w:color="auto"/>
              <w:bottom w:val="single" w:sz="6" w:space="0" w:color="auto"/>
            </w:tcBorders>
          </w:tcPr>
          <w:p w14:paraId="1978EFBC" w14:textId="40ED16EB" w:rsidR="00C0004E" w:rsidRPr="001464DC" w:rsidRDefault="00C0004E" w:rsidP="001464DC">
            <w:pPr>
              <w:pStyle w:val="TableText"/>
              <w:rPr>
                <w:color w:val="000000"/>
              </w:rPr>
            </w:pPr>
            <w:r w:rsidRPr="001464DC">
              <w:rPr>
                <w:color w:val="000000"/>
              </w:rPr>
              <w:t xml:space="preserve">Sally Bergen </w:t>
            </w:r>
            <w:proofErr w:type="spellStart"/>
            <w:r w:rsidRPr="001464DC">
              <w:rPr>
                <w:color w:val="000000"/>
              </w:rPr>
              <w:t>Charpiot</w:t>
            </w:r>
            <w:proofErr w:type="spellEnd"/>
          </w:p>
        </w:tc>
        <w:tc>
          <w:tcPr>
            <w:tcW w:w="1843" w:type="dxa"/>
            <w:tcBorders>
              <w:top w:val="single" w:sz="6" w:space="0" w:color="auto"/>
              <w:left w:val="single" w:sz="6" w:space="0" w:color="auto"/>
              <w:bottom w:val="single" w:sz="6" w:space="0" w:color="auto"/>
            </w:tcBorders>
          </w:tcPr>
          <w:p w14:paraId="4F91C0EF" w14:textId="77777777" w:rsidR="00C0004E" w:rsidRDefault="00C0004E" w:rsidP="001464DC">
            <w:pPr>
              <w:pStyle w:val="TableText"/>
              <w:rPr>
                <w:color w:val="000000"/>
              </w:rPr>
            </w:pPr>
          </w:p>
        </w:tc>
        <w:tc>
          <w:tcPr>
            <w:tcW w:w="992" w:type="dxa"/>
            <w:tcBorders>
              <w:top w:val="single" w:sz="6" w:space="0" w:color="auto"/>
              <w:left w:val="single" w:sz="6" w:space="0" w:color="auto"/>
              <w:bottom w:val="single" w:sz="6" w:space="0" w:color="auto"/>
            </w:tcBorders>
          </w:tcPr>
          <w:p w14:paraId="25A36F29" w14:textId="0B351CC1" w:rsidR="00C0004E" w:rsidRPr="001464DC" w:rsidRDefault="00C0004E"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09EC45AC" w14:textId="113623A6" w:rsidR="00C0004E" w:rsidRDefault="00C0004E" w:rsidP="001464DC">
            <w:pPr>
              <w:pStyle w:val="TableText"/>
              <w:rPr>
                <w:color w:val="000000"/>
              </w:rPr>
            </w:pPr>
            <w:r w:rsidRPr="001464DC">
              <w:rPr>
                <w:color w:val="000000"/>
              </w:rPr>
              <w:t>47,500</w:t>
            </w:r>
          </w:p>
        </w:tc>
        <w:tc>
          <w:tcPr>
            <w:tcW w:w="1134" w:type="dxa"/>
            <w:tcBorders>
              <w:top w:val="single" w:sz="6" w:space="0" w:color="auto"/>
              <w:left w:val="single" w:sz="6" w:space="0" w:color="auto"/>
              <w:bottom w:val="single" w:sz="6" w:space="0" w:color="auto"/>
            </w:tcBorders>
          </w:tcPr>
          <w:p w14:paraId="48399FCA" w14:textId="207EA8C5" w:rsidR="00C0004E" w:rsidRPr="001464DC" w:rsidRDefault="002D3E64" w:rsidP="001464DC">
            <w:pPr>
              <w:pStyle w:val="TableText"/>
              <w:rPr>
                <w:color w:val="000000"/>
              </w:rPr>
            </w:pPr>
            <w:r>
              <w:rPr>
                <w:color w:val="000000"/>
              </w:rPr>
              <w:t>$</w:t>
            </w:r>
            <w:r w:rsidR="00C0004E" w:rsidRPr="001464DC">
              <w:rPr>
                <w:color w:val="000000"/>
              </w:rPr>
              <w:t>0.84</w:t>
            </w:r>
          </w:p>
        </w:tc>
        <w:tc>
          <w:tcPr>
            <w:tcW w:w="1134" w:type="dxa"/>
            <w:tcBorders>
              <w:top w:val="single" w:sz="6" w:space="0" w:color="auto"/>
              <w:left w:val="single" w:sz="6" w:space="0" w:color="auto"/>
              <w:bottom w:val="single" w:sz="6" w:space="0" w:color="auto"/>
            </w:tcBorders>
          </w:tcPr>
          <w:p w14:paraId="65B3ED16" w14:textId="77777777" w:rsidR="00C0004E" w:rsidRPr="001464DC" w:rsidRDefault="00C0004E"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429B43A0" w14:textId="77777777" w:rsidR="00C0004E" w:rsidRDefault="00C0004E" w:rsidP="001464DC">
            <w:pPr>
              <w:pStyle w:val="TableText"/>
              <w:rPr>
                <w:color w:val="000000"/>
              </w:rPr>
            </w:pPr>
          </w:p>
        </w:tc>
      </w:tr>
      <w:tr w:rsidR="00C0004E" w14:paraId="065DE2DF" w14:textId="77777777" w:rsidTr="001464DC">
        <w:tc>
          <w:tcPr>
            <w:tcW w:w="1987" w:type="dxa"/>
            <w:tcBorders>
              <w:top w:val="single" w:sz="6" w:space="0" w:color="auto"/>
              <w:left w:val="double" w:sz="6" w:space="0" w:color="auto"/>
              <w:bottom w:val="single" w:sz="6" w:space="0" w:color="auto"/>
            </w:tcBorders>
          </w:tcPr>
          <w:p w14:paraId="5AA19C1D" w14:textId="0A1C6BD0" w:rsidR="00C0004E" w:rsidRPr="001464DC" w:rsidRDefault="00C0004E" w:rsidP="001464DC">
            <w:pPr>
              <w:pStyle w:val="TableText"/>
              <w:rPr>
                <w:color w:val="000000"/>
              </w:rPr>
            </w:pPr>
            <w:r w:rsidRPr="001464DC">
              <w:rPr>
                <w:color w:val="000000"/>
              </w:rPr>
              <w:t>Randall S Bergen</w:t>
            </w:r>
          </w:p>
        </w:tc>
        <w:tc>
          <w:tcPr>
            <w:tcW w:w="1843" w:type="dxa"/>
            <w:tcBorders>
              <w:top w:val="single" w:sz="6" w:space="0" w:color="auto"/>
              <w:left w:val="single" w:sz="6" w:space="0" w:color="auto"/>
              <w:bottom w:val="single" w:sz="6" w:space="0" w:color="auto"/>
            </w:tcBorders>
          </w:tcPr>
          <w:p w14:paraId="04EEEABE" w14:textId="77777777" w:rsidR="00C0004E" w:rsidRDefault="00C0004E" w:rsidP="001464DC">
            <w:pPr>
              <w:pStyle w:val="TableText"/>
              <w:rPr>
                <w:color w:val="000000"/>
              </w:rPr>
            </w:pPr>
          </w:p>
        </w:tc>
        <w:tc>
          <w:tcPr>
            <w:tcW w:w="992" w:type="dxa"/>
            <w:tcBorders>
              <w:top w:val="single" w:sz="6" w:space="0" w:color="auto"/>
              <w:left w:val="single" w:sz="6" w:space="0" w:color="auto"/>
              <w:bottom w:val="single" w:sz="6" w:space="0" w:color="auto"/>
            </w:tcBorders>
          </w:tcPr>
          <w:p w14:paraId="5CB02535" w14:textId="0F9CC63C" w:rsidR="00C0004E" w:rsidRPr="001464DC" w:rsidRDefault="00C0004E"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6C904635" w14:textId="266E5023" w:rsidR="00C0004E" w:rsidRDefault="00C0004E" w:rsidP="001464DC">
            <w:pPr>
              <w:pStyle w:val="TableText"/>
              <w:rPr>
                <w:color w:val="000000"/>
              </w:rPr>
            </w:pPr>
            <w:r w:rsidRPr="001464DC">
              <w:rPr>
                <w:color w:val="000000"/>
              </w:rPr>
              <w:t>15,833</w:t>
            </w:r>
          </w:p>
        </w:tc>
        <w:tc>
          <w:tcPr>
            <w:tcW w:w="1134" w:type="dxa"/>
            <w:tcBorders>
              <w:top w:val="single" w:sz="6" w:space="0" w:color="auto"/>
              <w:left w:val="single" w:sz="6" w:space="0" w:color="auto"/>
              <w:bottom w:val="single" w:sz="6" w:space="0" w:color="auto"/>
            </w:tcBorders>
          </w:tcPr>
          <w:p w14:paraId="75E244EE" w14:textId="02FC34B5" w:rsidR="00C0004E" w:rsidRPr="001464DC" w:rsidRDefault="002D3E64" w:rsidP="001464DC">
            <w:pPr>
              <w:pStyle w:val="TableText"/>
              <w:rPr>
                <w:color w:val="000000"/>
              </w:rPr>
            </w:pPr>
            <w:r>
              <w:rPr>
                <w:color w:val="000000"/>
              </w:rPr>
              <w:t>$</w:t>
            </w:r>
            <w:r w:rsidR="00C0004E" w:rsidRPr="001464DC">
              <w:rPr>
                <w:color w:val="000000"/>
              </w:rPr>
              <w:t>0.84</w:t>
            </w:r>
          </w:p>
        </w:tc>
        <w:tc>
          <w:tcPr>
            <w:tcW w:w="1134" w:type="dxa"/>
            <w:tcBorders>
              <w:top w:val="single" w:sz="6" w:space="0" w:color="auto"/>
              <w:left w:val="single" w:sz="6" w:space="0" w:color="auto"/>
              <w:bottom w:val="single" w:sz="6" w:space="0" w:color="auto"/>
            </w:tcBorders>
          </w:tcPr>
          <w:p w14:paraId="047B4B09" w14:textId="77777777" w:rsidR="00C0004E" w:rsidRPr="001464DC" w:rsidRDefault="00C0004E"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08FA5364" w14:textId="77777777" w:rsidR="00C0004E" w:rsidRDefault="00C0004E" w:rsidP="001464DC">
            <w:pPr>
              <w:pStyle w:val="TableText"/>
              <w:rPr>
                <w:color w:val="000000"/>
              </w:rPr>
            </w:pPr>
          </w:p>
        </w:tc>
      </w:tr>
      <w:tr w:rsidR="00C0004E" w14:paraId="0E574870" w14:textId="77777777" w:rsidTr="001464DC">
        <w:tc>
          <w:tcPr>
            <w:tcW w:w="1987" w:type="dxa"/>
            <w:tcBorders>
              <w:top w:val="single" w:sz="6" w:space="0" w:color="auto"/>
              <w:left w:val="double" w:sz="6" w:space="0" w:color="auto"/>
              <w:bottom w:val="single" w:sz="6" w:space="0" w:color="auto"/>
            </w:tcBorders>
          </w:tcPr>
          <w:p w14:paraId="5AD539AF" w14:textId="3CB51F53" w:rsidR="00C0004E" w:rsidRPr="001464DC" w:rsidRDefault="00C0004E" w:rsidP="001464DC">
            <w:pPr>
              <w:pStyle w:val="TableText"/>
              <w:rPr>
                <w:color w:val="000000"/>
              </w:rPr>
            </w:pPr>
            <w:r w:rsidRPr="001464DC">
              <w:rPr>
                <w:color w:val="000000"/>
              </w:rPr>
              <w:t>Bergen Living Trust, Dated 1/8/96</w:t>
            </w:r>
          </w:p>
        </w:tc>
        <w:tc>
          <w:tcPr>
            <w:tcW w:w="1843" w:type="dxa"/>
            <w:tcBorders>
              <w:top w:val="single" w:sz="6" w:space="0" w:color="auto"/>
              <w:left w:val="single" w:sz="6" w:space="0" w:color="auto"/>
              <w:bottom w:val="single" w:sz="6" w:space="0" w:color="auto"/>
            </w:tcBorders>
          </w:tcPr>
          <w:p w14:paraId="4112E303" w14:textId="77777777" w:rsidR="00C0004E" w:rsidRDefault="00C0004E" w:rsidP="001464DC">
            <w:pPr>
              <w:pStyle w:val="TableText"/>
              <w:rPr>
                <w:color w:val="000000"/>
              </w:rPr>
            </w:pPr>
          </w:p>
        </w:tc>
        <w:tc>
          <w:tcPr>
            <w:tcW w:w="992" w:type="dxa"/>
            <w:tcBorders>
              <w:top w:val="single" w:sz="6" w:space="0" w:color="auto"/>
              <w:left w:val="single" w:sz="6" w:space="0" w:color="auto"/>
              <w:bottom w:val="single" w:sz="6" w:space="0" w:color="auto"/>
            </w:tcBorders>
          </w:tcPr>
          <w:p w14:paraId="0C9BCE46" w14:textId="0C6DAAC7" w:rsidR="00C0004E" w:rsidRPr="001464DC" w:rsidRDefault="00C0004E"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50450149" w14:textId="6B793DB5" w:rsidR="00C0004E" w:rsidRDefault="00C0004E" w:rsidP="001464DC">
            <w:pPr>
              <w:pStyle w:val="TableText"/>
              <w:rPr>
                <w:color w:val="000000"/>
              </w:rPr>
            </w:pPr>
            <w:r w:rsidRPr="001464DC">
              <w:rPr>
                <w:color w:val="000000"/>
              </w:rPr>
              <w:t>142,500</w:t>
            </w:r>
          </w:p>
        </w:tc>
        <w:tc>
          <w:tcPr>
            <w:tcW w:w="1134" w:type="dxa"/>
            <w:tcBorders>
              <w:top w:val="single" w:sz="6" w:space="0" w:color="auto"/>
              <w:left w:val="single" w:sz="6" w:space="0" w:color="auto"/>
              <w:bottom w:val="single" w:sz="6" w:space="0" w:color="auto"/>
            </w:tcBorders>
          </w:tcPr>
          <w:p w14:paraId="024F2DA8" w14:textId="12FCB018" w:rsidR="00C0004E" w:rsidRPr="001464DC" w:rsidRDefault="002D3E64" w:rsidP="001464DC">
            <w:pPr>
              <w:pStyle w:val="TableText"/>
              <w:rPr>
                <w:color w:val="000000"/>
              </w:rPr>
            </w:pPr>
            <w:r>
              <w:rPr>
                <w:color w:val="000000"/>
              </w:rPr>
              <w:t>$</w:t>
            </w:r>
            <w:r w:rsidR="00C0004E" w:rsidRPr="001464DC">
              <w:rPr>
                <w:color w:val="000000"/>
              </w:rPr>
              <w:t>0.84</w:t>
            </w:r>
          </w:p>
        </w:tc>
        <w:tc>
          <w:tcPr>
            <w:tcW w:w="1134" w:type="dxa"/>
            <w:tcBorders>
              <w:top w:val="single" w:sz="6" w:space="0" w:color="auto"/>
              <w:left w:val="single" w:sz="6" w:space="0" w:color="auto"/>
              <w:bottom w:val="single" w:sz="6" w:space="0" w:color="auto"/>
            </w:tcBorders>
          </w:tcPr>
          <w:p w14:paraId="32973B3B" w14:textId="77777777" w:rsidR="00C0004E" w:rsidRPr="001464DC" w:rsidRDefault="00C0004E"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6EC81EEC" w14:textId="77777777" w:rsidR="00C0004E" w:rsidRDefault="00C0004E" w:rsidP="001464DC">
            <w:pPr>
              <w:pStyle w:val="TableText"/>
              <w:rPr>
                <w:color w:val="000000"/>
              </w:rPr>
            </w:pPr>
          </w:p>
        </w:tc>
      </w:tr>
      <w:tr w:rsidR="00C0004E" w14:paraId="31CAF10C" w14:textId="77777777" w:rsidTr="001464DC">
        <w:tc>
          <w:tcPr>
            <w:tcW w:w="1987" w:type="dxa"/>
            <w:tcBorders>
              <w:top w:val="single" w:sz="6" w:space="0" w:color="auto"/>
              <w:left w:val="double" w:sz="6" w:space="0" w:color="auto"/>
              <w:bottom w:val="single" w:sz="6" w:space="0" w:color="auto"/>
            </w:tcBorders>
          </w:tcPr>
          <w:p w14:paraId="4582982D" w14:textId="354B553A" w:rsidR="00C0004E" w:rsidRPr="001464DC" w:rsidRDefault="00C0004E" w:rsidP="001464DC">
            <w:pPr>
              <w:pStyle w:val="TableText"/>
              <w:rPr>
                <w:color w:val="000000"/>
              </w:rPr>
            </w:pPr>
            <w:r w:rsidRPr="001464DC">
              <w:rPr>
                <w:color w:val="000000"/>
              </w:rPr>
              <w:t xml:space="preserve">D&amp;D </w:t>
            </w:r>
            <w:proofErr w:type="spellStart"/>
            <w:r w:rsidRPr="001464DC">
              <w:rPr>
                <w:color w:val="000000"/>
              </w:rPr>
              <w:t>Reesor</w:t>
            </w:r>
            <w:proofErr w:type="spellEnd"/>
            <w:r w:rsidRPr="001464DC">
              <w:rPr>
                <w:color w:val="000000"/>
              </w:rPr>
              <w:t xml:space="preserve"> Family Holdings Inc.</w:t>
            </w:r>
          </w:p>
        </w:tc>
        <w:tc>
          <w:tcPr>
            <w:tcW w:w="1843" w:type="dxa"/>
            <w:tcBorders>
              <w:top w:val="single" w:sz="6" w:space="0" w:color="auto"/>
              <w:left w:val="single" w:sz="6" w:space="0" w:color="auto"/>
              <w:bottom w:val="single" w:sz="6" w:space="0" w:color="auto"/>
            </w:tcBorders>
          </w:tcPr>
          <w:p w14:paraId="3E14C59F" w14:textId="77777777" w:rsidR="00C0004E" w:rsidRDefault="00C0004E" w:rsidP="001464DC">
            <w:pPr>
              <w:pStyle w:val="TableText"/>
              <w:rPr>
                <w:color w:val="000000"/>
              </w:rPr>
            </w:pPr>
          </w:p>
        </w:tc>
        <w:tc>
          <w:tcPr>
            <w:tcW w:w="992" w:type="dxa"/>
            <w:tcBorders>
              <w:top w:val="single" w:sz="6" w:space="0" w:color="auto"/>
              <w:left w:val="single" w:sz="6" w:space="0" w:color="auto"/>
              <w:bottom w:val="single" w:sz="6" w:space="0" w:color="auto"/>
            </w:tcBorders>
          </w:tcPr>
          <w:p w14:paraId="3DEE4558" w14:textId="663D4E3F" w:rsidR="00C0004E" w:rsidRPr="001464DC" w:rsidRDefault="00C0004E"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78E71FFA" w14:textId="4BF22B1A" w:rsidR="00C0004E" w:rsidRDefault="00C0004E" w:rsidP="001464DC">
            <w:pPr>
              <w:pStyle w:val="TableText"/>
              <w:rPr>
                <w:color w:val="000000"/>
              </w:rPr>
            </w:pPr>
            <w:r w:rsidRPr="001464DC">
              <w:rPr>
                <w:color w:val="000000"/>
              </w:rPr>
              <w:t>297,619</w:t>
            </w:r>
          </w:p>
        </w:tc>
        <w:tc>
          <w:tcPr>
            <w:tcW w:w="1134" w:type="dxa"/>
            <w:tcBorders>
              <w:top w:val="single" w:sz="6" w:space="0" w:color="auto"/>
              <w:left w:val="single" w:sz="6" w:space="0" w:color="auto"/>
              <w:bottom w:val="single" w:sz="6" w:space="0" w:color="auto"/>
            </w:tcBorders>
          </w:tcPr>
          <w:p w14:paraId="55C29FF2" w14:textId="7C0CD2B7" w:rsidR="00C0004E" w:rsidRPr="001464DC" w:rsidRDefault="002D3E64" w:rsidP="001464DC">
            <w:pPr>
              <w:pStyle w:val="TableText"/>
              <w:rPr>
                <w:color w:val="000000"/>
              </w:rPr>
            </w:pPr>
            <w:r>
              <w:rPr>
                <w:color w:val="000000"/>
              </w:rPr>
              <w:t>$</w:t>
            </w:r>
            <w:r w:rsidR="00C0004E" w:rsidRPr="001464DC">
              <w:rPr>
                <w:color w:val="000000"/>
              </w:rPr>
              <w:t>0.84</w:t>
            </w:r>
          </w:p>
        </w:tc>
        <w:tc>
          <w:tcPr>
            <w:tcW w:w="1134" w:type="dxa"/>
            <w:tcBorders>
              <w:top w:val="single" w:sz="6" w:space="0" w:color="auto"/>
              <w:left w:val="single" w:sz="6" w:space="0" w:color="auto"/>
              <w:bottom w:val="single" w:sz="6" w:space="0" w:color="auto"/>
            </w:tcBorders>
          </w:tcPr>
          <w:p w14:paraId="267EF6EF" w14:textId="77777777" w:rsidR="00C0004E" w:rsidRPr="001464DC" w:rsidRDefault="00C0004E"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6FD3F781" w14:textId="77777777" w:rsidR="00C0004E" w:rsidRDefault="00C0004E" w:rsidP="001464DC">
            <w:pPr>
              <w:pStyle w:val="TableText"/>
              <w:rPr>
                <w:color w:val="000000"/>
              </w:rPr>
            </w:pPr>
          </w:p>
        </w:tc>
      </w:tr>
      <w:tr w:rsidR="001464DC" w14:paraId="20E70475" w14:textId="77777777" w:rsidTr="001464DC">
        <w:tc>
          <w:tcPr>
            <w:tcW w:w="1987" w:type="dxa"/>
            <w:tcBorders>
              <w:top w:val="single" w:sz="6" w:space="0" w:color="auto"/>
              <w:left w:val="double" w:sz="6" w:space="0" w:color="auto"/>
              <w:bottom w:val="single" w:sz="6" w:space="0" w:color="auto"/>
            </w:tcBorders>
          </w:tcPr>
          <w:p w14:paraId="157BD7DA" w14:textId="15DE6E3B" w:rsidR="001464DC" w:rsidRPr="001464DC" w:rsidRDefault="001464DC" w:rsidP="001464DC">
            <w:pPr>
              <w:pStyle w:val="TableText"/>
              <w:rPr>
                <w:color w:val="000000"/>
              </w:rPr>
            </w:pPr>
            <w:r w:rsidRPr="001464DC">
              <w:rPr>
                <w:color w:val="000000"/>
              </w:rPr>
              <w:t>Robert D Bergen</w:t>
            </w:r>
          </w:p>
        </w:tc>
        <w:tc>
          <w:tcPr>
            <w:tcW w:w="1843" w:type="dxa"/>
            <w:tcBorders>
              <w:top w:val="single" w:sz="6" w:space="0" w:color="auto"/>
              <w:left w:val="single" w:sz="6" w:space="0" w:color="auto"/>
              <w:bottom w:val="single" w:sz="6" w:space="0" w:color="auto"/>
            </w:tcBorders>
          </w:tcPr>
          <w:p w14:paraId="4B14867C"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6D78170A" w14:textId="3567C001" w:rsidR="001464DC" w:rsidRP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3318CC3A" w14:textId="683DADEB" w:rsidR="001464DC" w:rsidRPr="001464DC" w:rsidRDefault="001464DC" w:rsidP="001464DC">
            <w:pPr>
              <w:pStyle w:val="TableText"/>
              <w:rPr>
                <w:color w:val="000000"/>
              </w:rPr>
            </w:pPr>
            <w:r w:rsidRPr="001464DC">
              <w:rPr>
                <w:color w:val="000000"/>
              </w:rPr>
              <w:t>15,833</w:t>
            </w:r>
          </w:p>
        </w:tc>
        <w:tc>
          <w:tcPr>
            <w:tcW w:w="1134" w:type="dxa"/>
            <w:tcBorders>
              <w:top w:val="single" w:sz="6" w:space="0" w:color="auto"/>
              <w:left w:val="single" w:sz="6" w:space="0" w:color="auto"/>
              <w:bottom w:val="single" w:sz="6" w:space="0" w:color="auto"/>
            </w:tcBorders>
          </w:tcPr>
          <w:p w14:paraId="595F8EA2" w14:textId="62052FEF" w:rsidR="001464DC" w:rsidRPr="001464DC" w:rsidRDefault="002D3E64" w:rsidP="001464DC">
            <w:pPr>
              <w:pStyle w:val="TableText"/>
              <w:rPr>
                <w:color w:val="000000"/>
              </w:rPr>
            </w:pPr>
            <w:r>
              <w:rPr>
                <w:color w:val="000000"/>
              </w:rPr>
              <w:t>$</w:t>
            </w:r>
            <w:r w:rsidR="001464DC">
              <w:rPr>
                <w:color w:val="000000"/>
              </w:rPr>
              <w:t>1.10</w:t>
            </w:r>
          </w:p>
        </w:tc>
        <w:tc>
          <w:tcPr>
            <w:tcW w:w="1134" w:type="dxa"/>
            <w:tcBorders>
              <w:top w:val="single" w:sz="6" w:space="0" w:color="auto"/>
              <w:left w:val="single" w:sz="6" w:space="0" w:color="auto"/>
              <w:bottom w:val="single" w:sz="6" w:space="0" w:color="auto"/>
            </w:tcBorders>
          </w:tcPr>
          <w:p w14:paraId="41EFB438" w14:textId="405AAC26" w:rsidR="001464DC" w:rsidRPr="001464DC" w:rsidRDefault="001464DC" w:rsidP="001464DC">
            <w:pPr>
              <w:pStyle w:val="TableText"/>
              <w:rPr>
                <w:color w:val="000000"/>
              </w:rPr>
            </w:pPr>
            <w:r>
              <w:rPr>
                <w:color w:val="000000"/>
              </w:rPr>
              <w:t>April 4, 2021</w:t>
            </w:r>
          </w:p>
        </w:tc>
        <w:tc>
          <w:tcPr>
            <w:tcW w:w="1266" w:type="dxa"/>
            <w:tcBorders>
              <w:top w:val="single" w:sz="6" w:space="0" w:color="auto"/>
              <w:left w:val="single" w:sz="6" w:space="0" w:color="auto"/>
              <w:bottom w:val="single" w:sz="6" w:space="0" w:color="auto"/>
              <w:right w:val="double" w:sz="6" w:space="0" w:color="auto"/>
            </w:tcBorders>
          </w:tcPr>
          <w:p w14:paraId="23E19A3E" w14:textId="2F684284" w:rsidR="001464DC" w:rsidRDefault="002D3E64" w:rsidP="001464DC">
            <w:pPr>
              <w:pStyle w:val="TableText"/>
              <w:rPr>
                <w:color w:val="000000"/>
              </w:rPr>
            </w:pPr>
            <w:r w:rsidRPr="00A3554F">
              <w:rPr>
                <w:color w:val="000000"/>
              </w:rPr>
              <w:t>N/A</w:t>
            </w:r>
          </w:p>
        </w:tc>
      </w:tr>
      <w:tr w:rsidR="001464DC" w14:paraId="7AFD3DF9" w14:textId="77777777" w:rsidTr="001464DC">
        <w:tc>
          <w:tcPr>
            <w:tcW w:w="1987" w:type="dxa"/>
            <w:tcBorders>
              <w:top w:val="single" w:sz="6" w:space="0" w:color="auto"/>
              <w:left w:val="double" w:sz="6" w:space="0" w:color="auto"/>
              <w:bottom w:val="single" w:sz="6" w:space="0" w:color="auto"/>
            </w:tcBorders>
          </w:tcPr>
          <w:p w14:paraId="1FC8C188" w14:textId="11378303" w:rsidR="001464DC" w:rsidRPr="001464DC" w:rsidRDefault="001464DC" w:rsidP="001464DC">
            <w:pPr>
              <w:pStyle w:val="TableText"/>
              <w:rPr>
                <w:color w:val="000000"/>
              </w:rPr>
            </w:pPr>
            <w:r w:rsidRPr="001464DC">
              <w:rPr>
                <w:color w:val="000000"/>
              </w:rPr>
              <w:t>Beverly McDonald</w:t>
            </w:r>
          </w:p>
        </w:tc>
        <w:tc>
          <w:tcPr>
            <w:tcW w:w="1843" w:type="dxa"/>
            <w:tcBorders>
              <w:top w:val="single" w:sz="6" w:space="0" w:color="auto"/>
              <w:left w:val="single" w:sz="6" w:space="0" w:color="auto"/>
              <w:bottom w:val="single" w:sz="6" w:space="0" w:color="auto"/>
            </w:tcBorders>
          </w:tcPr>
          <w:p w14:paraId="73B53C4C"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0AD7164D" w14:textId="2145FC1F" w:rsidR="001464DC" w:rsidRP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787F4C61" w14:textId="14E5EC62" w:rsidR="001464DC" w:rsidRPr="001464DC" w:rsidRDefault="001464DC" w:rsidP="001464DC">
            <w:pPr>
              <w:pStyle w:val="TableText"/>
              <w:rPr>
                <w:color w:val="000000"/>
              </w:rPr>
            </w:pPr>
            <w:r w:rsidRPr="001464DC">
              <w:rPr>
                <w:color w:val="000000"/>
              </w:rPr>
              <w:t>15,833</w:t>
            </w:r>
          </w:p>
        </w:tc>
        <w:tc>
          <w:tcPr>
            <w:tcW w:w="1134" w:type="dxa"/>
            <w:tcBorders>
              <w:top w:val="single" w:sz="6" w:space="0" w:color="auto"/>
              <w:left w:val="single" w:sz="6" w:space="0" w:color="auto"/>
              <w:bottom w:val="single" w:sz="6" w:space="0" w:color="auto"/>
            </w:tcBorders>
          </w:tcPr>
          <w:p w14:paraId="46A21F39" w14:textId="52FA2909" w:rsidR="001464DC" w:rsidRPr="001464DC" w:rsidRDefault="002D3E64" w:rsidP="001464DC">
            <w:pPr>
              <w:pStyle w:val="TableText"/>
              <w:rPr>
                <w:color w:val="000000"/>
              </w:rPr>
            </w:pPr>
            <w:r>
              <w:rPr>
                <w:color w:val="000000"/>
              </w:rPr>
              <w:t>$</w:t>
            </w:r>
            <w:r w:rsidR="001464DC">
              <w:rPr>
                <w:color w:val="000000"/>
              </w:rPr>
              <w:t>1.10</w:t>
            </w:r>
          </w:p>
        </w:tc>
        <w:tc>
          <w:tcPr>
            <w:tcW w:w="1134" w:type="dxa"/>
            <w:tcBorders>
              <w:top w:val="single" w:sz="6" w:space="0" w:color="auto"/>
              <w:left w:val="single" w:sz="6" w:space="0" w:color="auto"/>
              <w:bottom w:val="single" w:sz="6" w:space="0" w:color="auto"/>
            </w:tcBorders>
          </w:tcPr>
          <w:p w14:paraId="54949C75" w14:textId="55B1DA1F" w:rsidR="001464DC" w:rsidRPr="001464DC" w:rsidRDefault="001464DC" w:rsidP="001464DC">
            <w:pPr>
              <w:pStyle w:val="TableText"/>
              <w:rPr>
                <w:color w:val="000000"/>
              </w:rPr>
            </w:pPr>
            <w:r>
              <w:rPr>
                <w:color w:val="000000"/>
              </w:rPr>
              <w:t>April 4, 2021</w:t>
            </w:r>
          </w:p>
        </w:tc>
        <w:tc>
          <w:tcPr>
            <w:tcW w:w="1266" w:type="dxa"/>
            <w:tcBorders>
              <w:top w:val="single" w:sz="6" w:space="0" w:color="auto"/>
              <w:left w:val="single" w:sz="6" w:space="0" w:color="auto"/>
              <w:bottom w:val="single" w:sz="6" w:space="0" w:color="auto"/>
              <w:right w:val="double" w:sz="6" w:space="0" w:color="auto"/>
            </w:tcBorders>
          </w:tcPr>
          <w:p w14:paraId="64430AAB" w14:textId="792F8758" w:rsidR="001464DC" w:rsidRDefault="002D3E64" w:rsidP="001464DC">
            <w:pPr>
              <w:pStyle w:val="TableText"/>
              <w:rPr>
                <w:color w:val="000000"/>
              </w:rPr>
            </w:pPr>
            <w:r w:rsidRPr="00A3554F">
              <w:rPr>
                <w:color w:val="000000"/>
              </w:rPr>
              <w:t>N/A</w:t>
            </w:r>
          </w:p>
        </w:tc>
      </w:tr>
      <w:tr w:rsidR="001464DC" w14:paraId="421E98E7" w14:textId="77777777" w:rsidTr="001464DC">
        <w:tc>
          <w:tcPr>
            <w:tcW w:w="1987" w:type="dxa"/>
            <w:tcBorders>
              <w:top w:val="single" w:sz="6" w:space="0" w:color="auto"/>
              <w:left w:val="double" w:sz="6" w:space="0" w:color="auto"/>
              <w:bottom w:val="single" w:sz="6" w:space="0" w:color="auto"/>
            </w:tcBorders>
          </w:tcPr>
          <w:p w14:paraId="10415D8E" w14:textId="19A9B8B3" w:rsidR="001464DC" w:rsidRPr="001464DC" w:rsidRDefault="001464DC" w:rsidP="001464DC">
            <w:pPr>
              <w:pStyle w:val="TableText"/>
              <w:rPr>
                <w:color w:val="000000"/>
              </w:rPr>
            </w:pPr>
            <w:r w:rsidRPr="001464DC">
              <w:rPr>
                <w:color w:val="000000"/>
              </w:rPr>
              <w:t xml:space="preserve">Sally Bergen </w:t>
            </w:r>
            <w:proofErr w:type="spellStart"/>
            <w:r w:rsidRPr="001464DC">
              <w:rPr>
                <w:color w:val="000000"/>
              </w:rPr>
              <w:t>Charpiot</w:t>
            </w:r>
            <w:proofErr w:type="spellEnd"/>
          </w:p>
        </w:tc>
        <w:tc>
          <w:tcPr>
            <w:tcW w:w="1843" w:type="dxa"/>
            <w:tcBorders>
              <w:top w:val="single" w:sz="6" w:space="0" w:color="auto"/>
              <w:left w:val="single" w:sz="6" w:space="0" w:color="auto"/>
              <w:bottom w:val="single" w:sz="6" w:space="0" w:color="auto"/>
            </w:tcBorders>
          </w:tcPr>
          <w:p w14:paraId="36AED8F8"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6CC66766" w14:textId="53AA2B24" w:rsidR="001464DC" w:rsidRP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1279B4EF" w14:textId="4245DF1E" w:rsidR="001464DC" w:rsidRPr="001464DC" w:rsidRDefault="001464DC" w:rsidP="001464DC">
            <w:pPr>
              <w:pStyle w:val="TableText"/>
              <w:rPr>
                <w:color w:val="000000"/>
              </w:rPr>
            </w:pPr>
            <w:r w:rsidRPr="001464DC">
              <w:rPr>
                <w:color w:val="000000"/>
              </w:rPr>
              <w:t>47,500</w:t>
            </w:r>
          </w:p>
        </w:tc>
        <w:tc>
          <w:tcPr>
            <w:tcW w:w="1134" w:type="dxa"/>
            <w:tcBorders>
              <w:top w:val="single" w:sz="6" w:space="0" w:color="auto"/>
              <w:left w:val="single" w:sz="6" w:space="0" w:color="auto"/>
              <w:bottom w:val="single" w:sz="6" w:space="0" w:color="auto"/>
            </w:tcBorders>
          </w:tcPr>
          <w:p w14:paraId="621EF87C" w14:textId="5B61D375" w:rsidR="001464DC" w:rsidRPr="001464DC" w:rsidRDefault="002D3E64" w:rsidP="001464DC">
            <w:pPr>
              <w:pStyle w:val="TableText"/>
              <w:rPr>
                <w:color w:val="000000"/>
              </w:rPr>
            </w:pPr>
            <w:r>
              <w:rPr>
                <w:color w:val="000000"/>
              </w:rPr>
              <w:t>$</w:t>
            </w:r>
            <w:r w:rsidR="001464DC">
              <w:rPr>
                <w:color w:val="000000"/>
              </w:rPr>
              <w:t>1.10</w:t>
            </w:r>
          </w:p>
        </w:tc>
        <w:tc>
          <w:tcPr>
            <w:tcW w:w="1134" w:type="dxa"/>
            <w:tcBorders>
              <w:top w:val="single" w:sz="6" w:space="0" w:color="auto"/>
              <w:left w:val="single" w:sz="6" w:space="0" w:color="auto"/>
              <w:bottom w:val="single" w:sz="6" w:space="0" w:color="auto"/>
            </w:tcBorders>
          </w:tcPr>
          <w:p w14:paraId="592F87B5" w14:textId="6225EE22" w:rsidR="001464DC" w:rsidRPr="001464DC" w:rsidRDefault="001464DC" w:rsidP="001464DC">
            <w:pPr>
              <w:pStyle w:val="TableText"/>
              <w:rPr>
                <w:color w:val="000000"/>
              </w:rPr>
            </w:pPr>
            <w:r>
              <w:rPr>
                <w:color w:val="000000"/>
              </w:rPr>
              <w:t>April 4, 2021</w:t>
            </w:r>
          </w:p>
        </w:tc>
        <w:tc>
          <w:tcPr>
            <w:tcW w:w="1266" w:type="dxa"/>
            <w:tcBorders>
              <w:top w:val="single" w:sz="6" w:space="0" w:color="auto"/>
              <w:left w:val="single" w:sz="6" w:space="0" w:color="auto"/>
              <w:bottom w:val="single" w:sz="6" w:space="0" w:color="auto"/>
              <w:right w:val="double" w:sz="6" w:space="0" w:color="auto"/>
            </w:tcBorders>
          </w:tcPr>
          <w:p w14:paraId="0F7622B8" w14:textId="77FB27B7" w:rsidR="001464DC" w:rsidRDefault="002D3E64" w:rsidP="001464DC">
            <w:pPr>
              <w:pStyle w:val="TableText"/>
              <w:rPr>
                <w:color w:val="000000"/>
              </w:rPr>
            </w:pPr>
            <w:r w:rsidRPr="00A3554F">
              <w:rPr>
                <w:color w:val="000000"/>
              </w:rPr>
              <w:t>N/A</w:t>
            </w:r>
          </w:p>
        </w:tc>
      </w:tr>
      <w:tr w:rsidR="001464DC" w14:paraId="009A7646" w14:textId="77777777" w:rsidTr="001464DC">
        <w:tc>
          <w:tcPr>
            <w:tcW w:w="1987" w:type="dxa"/>
            <w:tcBorders>
              <w:top w:val="single" w:sz="6" w:space="0" w:color="auto"/>
              <w:left w:val="double" w:sz="6" w:space="0" w:color="auto"/>
              <w:bottom w:val="single" w:sz="6" w:space="0" w:color="auto"/>
            </w:tcBorders>
          </w:tcPr>
          <w:p w14:paraId="725A9FB0" w14:textId="1F1F5DC2" w:rsidR="001464DC" w:rsidRPr="001464DC" w:rsidRDefault="001464DC" w:rsidP="001464DC">
            <w:pPr>
              <w:pStyle w:val="TableText"/>
              <w:rPr>
                <w:color w:val="000000"/>
              </w:rPr>
            </w:pPr>
            <w:r w:rsidRPr="001464DC">
              <w:rPr>
                <w:color w:val="000000"/>
              </w:rPr>
              <w:t>Randall S Bergen</w:t>
            </w:r>
          </w:p>
        </w:tc>
        <w:tc>
          <w:tcPr>
            <w:tcW w:w="1843" w:type="dxa"/>
            <w:tcBorders>
              <w:top w:val="single" w:sz="6" w:space="0" w:color="auto"/>
              <w:left w:val="single" w:sz="6" w:space="0" w:color="auto"/>
              <w:bottom w:val="single" w:sz="6" w:space="0" w:color="auto"/>
            </w:tcBorders>
          </w:tcPr>
          <w:p w14:paraId="19AD217E"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21EAB0AC" w14:textId="0D8D4FFA" w:rsidR="001464DC" w:rsidRP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43887E6A" w14:textId="0141E7A4" w:rsidR="001464DC" w:rsidRPr="001464DC" w:rsidRDefault="001464DC" w:rsidP="001464DC">
            <w:pPr>
              <w:pStyle w:val="TableText"/>
              <w:rPr>
                <w:color w:val="000000"/>
              </w:rPr>
            </w:pPr>
            <w:r w:rsidRPr="001464DC">
              <w:rPr>
                <w:color w:val="000000"/>
              </w:rPr>
              <w:t>15,833</w:t>
            </w:r>
          </w:p>
        </w:tc>
        <w:tc>
          <w:tcPr>
            <w:tcW w:w="1134" w:type="dxa"/>
            <w:tcBorders>
              <w:top w:val="single" w:sz="6" w:space="0" w:color="auto"/>
              <w:left w:val="single" w:sz="6" w:space="0" w:color="auto"/>
              <w:bottom w:val="single" w:sz="6" w:space="0" w:color="auto"/>
            </w:tcBorders>
          </w:tcPr>
          <w:p w14:paraId="666690BB" w14:textId="1DD6FAD7" w:rsidR="001464DC" w:rsidRPr="001464DC" w:rsidRDefault="002D3E64" w:rsidP="001464DC">
            <w:pPr>
              <w:pStyle w:val="TableText"/>
              <w:rPr>
                <w:color w:val="000000"/>
              </w:rPr>
            </w:pPr>
            <w:r>
              <w:rPr>
                <w:color w:val="000000"/>
              </w:rPr>
              <w:t>$</w:t>
            </w:r>
            <w:r w:rsidR="001464DC">
              <w:rPr>
                <w:color w:val="000000"/>
              </w:rPr>
              <w:t>1.10</w:t>
            </w:r>
          </w:p>
        </w:tc>
        <w:tc>
          <w:tcPr>
            <w:tcW w:w="1134" w:type="dxa"/>
            <w:tcBorders>
              <w:top w:val="single" w:sz="6" w:space="0" w:color="auto"/>
              <w:left w:val="single" w:sz="6" w:space="0" w:color="auto"/>
              <w:bottom w:val="single" w:sz="6" w:space="0" w:color="auto"/>
            </w:tcBorders>
          </w:tcPr>
          <w:p w14:paraId="07CB492D" w14:textId="116BEA52" w:rsidR="001464DC" w:rsidRPr="001464DC" w:rsidRDefault="001464DC" w:rsidP="001464DC">
            <w:pPr>
              <w:pStyle w:val="TableText"/>
              <w:rPr>
                <w:color w:val="000000"/>
              </w:rPr>
            </w:pPr>
            <w:r>
              <w:rPr>
                <w:color w:val="000000"/>
              </w:rPr>
              <w:t>April 4, 2021</w:t>
            </w:r>
          </w:p>
        </w:tc>
        <w:tc>
          <w:tcPr>
            <w:tcW w:w="1266" w:type="dxa"/>
            <w:tcBorders>
              <w:top w:val="single" w:sz="6" w:space="0" w:color="auto"/>
              <w:left w:val="single" w:sz="6" w:space="0" w:color="auto"/>
              <w:bottom w:val="single" w:sz="6" w:space="0" w:color="auto"/>
              <w:right w:val="double" w:sz="6" w:space="0" w:color="auto"/>
            </w:tcBorders>
          </w:tcPr>
          <w:p w14:paraId="1CC304C3" w14:textId="16312F95" w:rsidR="001464DC" w:rsidRDefault="002D3E64" w:rsidP="001464DC">
            <w:pPr>
              <w:pStyle w:val="TableText"/>
              <w:rPr>
                <w:color w:val="000000"/>
              </w:rPr>
            </w:pPr>
            <w:r w:rsidRPr="00A3554F">
              <w:rPr>
                <w:color w:val="000000"/>
              </w:rPr>
              <w:t>N/A</w:t>
            </w:r>
          </w:p>
        </w:tc>
      </w:tr>
      <w:tr w:rsidR="001464DC" w14:paraId="1A79FBDF" w14:textId="77777777" w:rsidTr="001464DC">
        <w:tc>
          <w:tcPr>
            <w:tcW w:w="1987" w:type="dxa"/>
            <w:tcBorders>
              <w:top w:val="single" w:sz="6" w:space="0" w:color="auto"/>
              <w:left w:val="double" w:sz="6" w:space="0" w:color="auto"/>
              <w:bottom w:val="single" w:sz="6" w:space="0" w:color="auto"/>
            </w:tcBorders>
          </w:tcPr>
          <w:p w14:paraId="4E8327D8" w14:textId="115C8DD5" w:rsidR="001464DC" w:rsidRPr="001464DC" w:rsidRDefault="001464DC" w:rsidP="001464DC">
            <w:pPr>
              <w:pStyle w:val="TableText"/>
              <w:rPr>
                <w:color w:val="000000"/>
              </w:rPr>
            </w:pPr>
            <w:r w:rsidRPr="001464DC">
              <w:rPr>
                <w:color w:val="000000"/>
              </w:rPr>
              <w:t>Bergen Living Trust, Dated 1/8/96</w:t>
            </w:r>
          </w:p>
        </w:tc>
        <w:tc>
          <w:tcPr>
            <w:tcW w:w="1843" w:type="dxa"/>
            <w:tcBorders>
              <w:top w:val="single" w:sz="6" w:space="0" w:color="auto"/>
              <w:left w:val="single" w:sz="6" w:space="0" w:color="auto"/>
              <w:bottom w:val="single" w:sz="6" w:space="0" w:color="auto"/>
            </w:tcBorders>
          </w:tcPr>
          <w:p w14:paraId="189C5FCA"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42138573" w14:textId="58602C6F" w:rsidR="001464DC" w:rsidRP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01F3680B" w14:textId="7C957E74" w:rsidR="001464DC" w:rsidRPr="001464DC" w:rsidRDefault="001464DC" w:rsidP="001464DC">
            <w:pPr>
              <w:pStyle w:val="TableText"/>
              <w:rPr>
                <w:color w:val="000000"/>
              </w:rPr>
            </w:pPr>
            <w:r w:rsidRPr="001464DC">
              <w:rPr>
                <w:color w:val="000000"/>
              </w:rPr>
              <w:t>142,500</w:t>
            </w:r>
          </w:p>
        </w:tc>
        <w:tc>
          <w:tcPr>
            <w:tcW w:w="1134" w:type="dxa"/>
            <w:tcBorders>
              <w:top w:val="single" w:sz="6" w:space="0" w:color="auto"/>
              <w:left w:val="single" w:sz="6" w:space="0" w:color="auto"/>
              <w:bottom w:val="single" w:sz="6" w:space="0" w:color="auto"/>
            </w:tcBorders>
          </w:tcPr>
          <w:p w14:paraId="71EB2A9C" w14:textId="6BBF1D61" w:rsidR="001464DC" w:rsidRPr="001464DC" w:rsidRDefault="002D3E64" w:rsidP="001464DC">
            <w:pPr>
              <w:pStyle w:val="TableText"/>
              <w:rPr>
                <w:color w:val="000000"/>
              </w:rPr>
            </w:pPr>
            <w:r>
              <w:rPr>
                <w:color w:val="000000"/>
              </w:rPr>
              <w:t>$</w:t>
            </w:r>
            <w:r w:rsidR="001464DC">
              <w:rPr>
                <w:color w:val="000000"/>
              </w:rPr>
              <w:t>1.10</w:t>
            </w:r>
          </w:p>
        </w:tc>
        <w:tc>
          <w:tcPr>
            <w:tcW w:w="1134" w:type="dxa"/>
            <w:tcBorders>
              <w:top w:val="single" w:sz="6" w:space="0" w:color="auto"/>
              <w:left w:val="single" w:sz="6" w:space="0" w:color="auto"/>
              <w:bottom w:val="single" w:sz="6" w:space="0" w:color="auto"/>
            </w:tcBorders>
          </w:tcPr>
          <w:p w14:paraId="65CEA0DA" w14:textId="63CB902F" w:rsidR="001464DC" w:rsidRPr="001464DC" w:rsidRDefault="001464DC" w:rsidP="001464DC">
            <w:pPr>
              <w:pStyle w:val="TableText"/>
              <w:rPr>
                <w:color w:val="000000"/>
              </w:rPr>
            </w:pPr>
            <w:r>
              <w:rPr>
                <w:color w:val="000000"/>
              </w:rPr>
              <w:t>April 4, 2021</w:t>
            </w:r>
          </w:p>
        </w:tc>
        <w:tc>
          <w:tcPr>
            <w:tcW w:w="1266" w:type="dxa"/>
            <w:tcBorders>
              <w:top w:val="single" w:sz="6" w:space="0" w:color="auto"/>
              <w:left w:val="single" w:sz="6" w:space="0" w:color="auto"/>
              <w:bottom w:val="single" w:sz="6" w:space="0" w:color="auto"/>
              <w:right w:val="double" w:sz="6" w:space="0" w:color="auto"/>
            </w:tcBorders>
          </w:tcPr>
          <w:p w14:paraId="42FDB79E" w14:textId="5C6E7FFF" w:rsidR="001464DC" w:rsidRDefault="002D3E64" w:rsidP="001464DC">
            <w:pPr>
              <w:pStyle w:val="TableText"/>
              <w:rPr>
                <w:color w:val="000000"/>
              </w:rPr>
            </w:pPr>
            <w:r w:rsidRPr="00A3554F">
              <w:rPr>
                <w:color w:val="000000"/>
              </w:rPr>
              <w:t>N/A</w:t>
            </w:r>
          </w:p>
        </w:tc>
      </w:tr>
      <w:tr w:rsidR="001464DC" w14:paraId="77A09CC1" w14:textId="77777777" w:rsidTr="001464DC">
        <w:tc>
          <w:tcPr>
            <w:tcW w:w="1987" w:type="dxa"/>
            <w:tcBorders>
              <w:top w:val="single" w:sz="6" w:space="0" w:color="auto"/>
              <w:left w:val="double" w:sz="6" w:space="0" w:color="auto"/>
              <w:bottom w:val="single" w:sz="6" w:space="0" w:color="auto"/>
            </w:tcBorders>
          </w:tcPr>
          <w:p w14:paraId="2B094594" w14:textId="26B9DA41" w:rsidR="001464DC" w:rsidRPr="001464DC" w:rsidRDefault="001464DC" w:rsidP="001464DC">
            <w:pPr>
              <w:pStyle w:val="TableText"/>
              <w:rPr>
                <w:color w:val="000000"/>
              </w:rPr>
            </w:pPr>
            <w:r w:rsidRPr="001464DC">
              <w:rPr>
                <w:color w:val="000000"/>
              </w:rPr>
              <w:t xml:space="preserve">D&amp;D </w:t>
            </w:r>
            <w:proofErr w:type="spellStart"/>
            <w:r w:rsidRPr="001464DC">
              <w:rPr>
                <w:color w:val="000000"/>
              </w:rPr>
              <w:t>Reesor</w:t>
            </w:r>
            <w:proofErr w:type="spellEnd"/>
            <w:r w:rsidRPr="001464DC">
              <w:rPr>
                <w:color w:val="000000"/>
              </w:rPr>
              <w:t xml:space="preserve"> Family Holdings Inc.</w:t>
            </w:r>
          </w:p>
        </w:tc>
        <w:tc>
          <w:tcPr>
            <w:tcW w:w="1843" w:type="dxa"/>
            <w:tcBorders>
              <w:top w:val="single" w:sz="6" w:space="0" w:color="auto"/>
              <w:left w:val="single" w:sz="6" w:space="0" w:color="auto"/>
              <w:bottom w:val="single" w:sz="6" w:space="0" w:color="auto"/>
            </w:tcBorders>
          </w:tcPr>
          <w:p w14:paraId="1DBF1755"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46EEE62E" w14:textId="0E213589" w:rsidR="001464DC" w:rsidRP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5601456E" w14:textId="2B0F72F5" w:rsidR="001464DC" w:rsidRPr="001464DC" w:rsidRDefault="001464DC" w:rsidP="001464DC">
            <w:pPr>
              <w:pStyle w:val="TableText"/>
              <w:rPr>
                <w:color w:val="000000"/>
              </w:rPr>
            </w:pPr>
            <w:r w:rsidRPr="001464DC">
              <w:rPr>
                <w:color w:val="000000"/>
              </w:rPr>
              <w:t>297,619</w:t>
            </w:r>
          </w:p>
        </w:tc>
        <w:tc>
          <w:tcPr>
            <w:tcW w:w="1134" w:type="dxa"/>
            <w:tcBorders>
              <w:top w:val="single" w:sz="6" w:space="0" w:color="auto"/>
              <w:left w:val="single" w:sz="6" w:space="0" w:color="auto"/>
              <w:bottom w:val="single" w:sz="6" w:space="0" w:color="auto"/>
            </w:tcBorders>
          </w:tcPr>
          <w:p w14:paraId="09D17B2F" w14:textId="4154C2B9" w:rsidR="001464DC" w:rsidRPr="001464DC" w:rsidRDefault="002D3E64" w:rsidP="001464DC">
            <w:pPr>
              <w:pStyle w:val="TableText"/>
              <w:rPr>
                <w:color w:val="000000"/>
              </w:rPr>
            </w:pPr>
            <w:r>
              <w:rPr>
                <w:color w:val="000000"/>
              </w:rPr>
              <w:t>$</w:t>
            </w:r>
            <w:r w:rsidR="001464DC">
              <w:rPr>
                <w:color w:val="000000"/>
              </w:rPr>
              <w:t>1.10</w:t>
            </w:r>
          </w:p>
        </w:tc>
        <w:tc>
          <w:tcPr>
            <w:tcW w:w="1134" w:type="dxa"/>
            <w:tcBorders>
              <w:top w:val="single" w:sz="6" w:space="0" w:color="auto"/>
              <w:left w:val="single" w:sz="6" w:space="0" w:color="auto"/>
              <w:bottom w:val="single" w:sz="6" w:space="0" w:color="auto"/>
            </w:tcBorders>
          </w:tcPr>
          <w:p w14:paraId="446F74F8" w14:textId="16A7F242" w:rsidR="001464DC" w:rsidRPr="001464DC" w:rsidRDefault="001464DC" w:rsidP="001464DC">
            <w:pPr>
              <w:pStyle w:val="TableText"/>
              <w:rPr>
                <w:color w:val="000000"/>
              </w:rPr>
            </w:pPr>
            <w:r>
              <w:rPr>
                <w:color w:val="000000"/>
              </w:rPr>
              <w:t>April 4, 2021</w:t>
            </w:r>
          </w:p>
        </w:tc>
        <w:tc>
          <w:tcPr>
            <w:tcW w:w="1266" w:type="dxa"/>
            <w:tcBorders>
              <w:top w:val="single" w:sz="6" w:space="0" w:color="auto"/>
              <w:left w:val="single" w:sz="6" w:space="0" w:color="auto"/>
              <w:bottom w:val="single" w:sz="6" w:space="0" w:color="auto"/>
              <w:right w:val="double" w:sz="6" w:space="0" w:color="auto"/>
            </w:tcBorders>
          </w:tcPr>
          <w:p w14:paraId="02E71F18" w14:textId="3463317E" w:rsidR="001464DC" w:rsidRDefault="002D3E64" w:rsidP="001464DC">
            <w:pPr>
              <w:pStyle w:val="TableText"/>
              <w:rPr>
                <w:color w:val="000000"/>
              </w:rPr>
            </w:pPr>
            <w:r w:rsidRPr="00A3554F">
              <w:rPr>
                <w:color w:val="000000"/>
              </w:rPr>
              <w:t>N/A</w:t>
            </w:r>
          </w:p>
        </w:tc>
      </w:tr>
      <w:tr w:rsidR="001464DC" w14:paraId="738D494F" w14:textId="77777777" w:rsidTr="001464DC">
        <w:tc>
          <w:tcPr>
            <w:tcW w:w="1987" w:type="dxa"/>
            <w:tcBorders>
              <w:top w:val="single" w:sz="6" w:space="0" w:color="auto"/>
              <w:left w:val="double" w:sz="6" w:space="0" w:color="auto"/>
              <w:bottom w:val="single" w:sz="6" w:space="0" w:color="auto"/>
            </w:tcBorders>
          </w:tcPr>
          <w:p w14:paraId="5EDC587A" w14:textId="77777777" w:rsidR="001464DC" w:rsidRPr="001464DC" w:rsidRDefault="001464DC" w:rsidP="001464DC">
            <w:pPr>
              <w:pStyle w:val="TableText"/>
              <w:rPr>
                <w:color w:val="000000"/>
              </w:rPr>
            </w:pPr>
          </w:p>
        </w:tc>
        <w:tc>
          <w:tcPr>
            <w:tcW w:w="1843" w:type="dxa"/>
            <w:tcBorders>
              <w:top w:val="single" w:sz="6" w:space="0" w:color="auto"/>
              <w:left w:val="single" w:sz="6" w:space="0" w:color="auto"/>
              <w:bottom w:val="single" w:sz="6" w:space="0" w:color="auto"/>
            </w:tcBorders>
          </w:tcPr>
          <w:p w14:paraId="463B2B2B"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66F3EB35" w14:textId="77777777" w:rsidR="001464DC" w:rsidRPr="001464DC" w:rsidRDefault="001464DC" w:rsidP="001464DC">
            <w:pPr>
              <w:pStyle w:val="TableText"/>
              <w:rPr>
                <w:color w:val="000000"/>
              </w:rPr>
            </w:pPr>
          </w:p>
        </w:tc>
        <w:tc>
          <w:tcPr>
            <w:tcW w:w="1276" w:type="dxa"/>
            <w:tcBorders>
              <w:top w:val="single" w:sz="6" w:space="0" w:color="auto"/>
              <w:left w:val="single" w:sz="6" w:space="0" w:color="auto"/>
              <w:bottom w:val="single" w:sz="6" w:space="0" w:color="auto"/>
            </w:tcBorders>
          </w:tcPr>
          <w:p w14:paraId="3693413F" w14:textId="77777777" w:rsidR="001464DC" w:rsidRPr="001464DC" w:rsidRDefault="001464DC" w:rsidP="001464DC">
            <w:pPr>
              <w:pStyle w:val="TableText"/>
              <w:rPr>
                <w:color w:val="000000"/>
              </w:rPr>
            </w:pPr>
          </w:p>
        </w:tc>
        <w:tc>
          <w:tcPr>
            <w:tcW w:w="1134" w:type="dxa"/>
            <w:tcBorders>
              <w:top w:val="single" w:sz="6" w:space="0" w:color="auto"/>
              <w:left w:val="single" w:sz="6" w:space="0" w:color="auto"/>
              <w:bottom w:val="single" w:sz="6" w:space="0" w:color="auto"/>
            </w:tcBorders>
          </w:tcPr>
          <w:p w14:paraId="4A3AE46E" w14:textId="77777777" w:rsidR="001464DC" w:rsidRPr="001464DC" w:rsidRDefault="001464DC" w:rsidP="001464DC">
            <w:pPr>
              <w:pStyle w:val="TableText"/>
              <w:rPr>
                <w:color w:val="000000"/>
              </w:rPr>
            </w:pPr>
          </w:p>
        </w:tc>
        <w:tc>
          <w:tcPr>
            <w:tcW w:w="1134" w:type="dxa"/>
            <w:tcBorders>
              <w:top w:val="single" w:sz="6" w:space="0" w:color="auto"/>
              <w:left w:val="single" w:sz="6" w:space="0" w:color="auto"/>
              <w:bottom w:val="single" w:sz="6" w:space="0" w:color="auto"/>
            </w:tcBorders>
          </w:tcPr>
          <w:p w14:paraId="505A21EF" w14:textId="77777777" w:rsidR="001464DC" w:rsidRPr="001464DC" w:rsidRDefault="001464DC"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2CD49CBA" w14:textId="77777777" w:rsidR="001464DC" w:rsidRDefault="001464DC" w:rsidP="001464DC">
            <w:pPr>
              <w:pStyle w:val="TableText"/>
              <w:rPr>
                <w:color w:val="000000"/>
              </w:rPr>
            </w:pPr>
          </w:p>
        </w:tc>
      </w:tr>
      <w:tr w:rsidR="001464DC" w14:paraId="1FEF49C8" w14:textId="77777777" w:rsidTr="001464DC">
        <w:tc>
          <w:tcPr>
            <w:tcW w:w="1987" w:type="dxa"/>
            <w:tcBorders>
              <w:top w:val="single" w:sz="6" w:space="0" w:color="auto"/>
              <w:left w:val="double" w:sz="6" w:space="0" w:color="auto"/>
              <w:bottom w:val="single" w:sz="6" w:space="0" w:color="auto"/>
            </w:tcBorders>
          </w:tcPr>
          <w:p w14:paraId="531F2D45" w14:textId="68EB800E" w:rsidR="001464DC" w:rsidRPr="001464DC" w:rsidRDefault="001464DC" w:rsidP="001464DC">
            <w:pPr>
              <w:pStyle w:val="TableText"/>
              <w:rPr>
                <w:color w:val="000000"/>
              </w:rPr>
            </w:pPr>
            <w:r w:rsidRPr="001464DC">
              <w:rPr>
                <w:color w:val="000000"/>
              </w:rPr>
              <w:t xml:space="preserve">Walter </w:t>
            </w:r>
            <w:proofErr w:type="spellStart"/>
            <w:r w:rsidRPr="001464DC">
              <w:rPr>
                <w:color w:val="000000"/>
              </w:rPr>
              <w:t>Artuso</w:t>
            </w:r>
            <w:proofErr w:type="spellEnd"/>
          </w:p>
        </w:tc>
        <w:tc>
          <w:tcPr>
            <w:tcW w:w="1843" w:type="dxa"/>
            <w:tcBorders>
              <w:top w:val="single" w:sz="6" w:space="0" w:color="auto"/>
              <w:left w:val="single" w:sz="6" w:space="0" w:color="auto"/>
              <w:bottom w:val="single" w:sz="6" w:space="0" w:color="auto"/>
            </w:tcBorders>
          </w:tcPr>
          <w:p w14:paraId="6E18A268"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421B50AA" w14:textId="2D9C9372" w:rsidR="001464DC" w:rsidRP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2CF25E5A" w14:textId="6AD147A4" w:rsidR="001464DC" w:rsidRPr="001464DC" w:rsidRDefault="001464DC" w:rsidP="001464DC">
            <w:pPr>
              <w:pStyle w:val="TableText"/>
              <w:rPr>
                <w:color w:val="000000"/>
              </w:rPr>
            </w:pPr>
            <w:r w:rsidRPr="001464DC">
              <w:rPr>
                <w:color w:val="000000"/>
              </w:rPr>
              <w:t>34,72</w:t>
            </w:r>
          </w:p>
        </w:tc>
        <w:tc>
          <w:tcPr>
            <w:tcW w:w="1134" w:type="dxa"/>
            <w:tcBorders>
              <w:top w:val="single" w:sz="6" w:space="0" w:color="auto"/>
              <w:left w:val="single" w:sz="6" w:space="0" w:color="auto"/>
              <w:bottom w:val="single" w:sz="6" w:space="0" w:color="auto"/>
            </w:tcBorders>
          </w:tcPr>
          <w:p w14:paraId="691A7F4E" w14:textId="72E7CA9C" w:rsidR="001464DC" w:rsidRPr="001464DC" w:rsidRDefault="002D3E64" w:rsidP="001464DC">
            <w:pPr>
              <w:pStyle w:val="TableText"/>
              <w:rPr>
                <w:color w:val="000000"/>
              </w:rPr>
            </w:pPr>
            <w:r>
              <w:rPr>
                <w:color w:val="000000"/>
              </w:rPr>
              <w:t>$</w:t>
            </w:r>
            <w:r w:rsidR="001464DC" w:rsidRPr="001464DC">
              <w:rPr>
                <w:color w:val="000000"/>
              </w:rPr>
              <w:t>1.08</w:t>
            </w:r>
          </w:p>
        </w:tc>
        <w:tc>
          <w:tcPr>
            <w:tcW w:w="1134" w:type="dxa"/>
            <w:tcBorders>
              <w:top w:val="single" w:sz="6" w:space="0" w:color="auto"/>
              <w:left w:val="single" w:sz="6" w:space="0" w:color="auto"/>
              <w:bottom w:val="single" w:sz="6" w:space="0" w:color="auto"/>
            </w:tcBorders>
          </w:tcPr>
          <w:p w14:paraId="3892C0A8" w14:textId="193F3C77" w:rsidR="001464DC" w:rsidRPr="001464DC" w:rsidRDefault="001464DC"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70F5C764" w14:textId="77777777" w:rsidR="001464DC" w:rsidRDefault="001464DC" w:rsidP="001464DC">
            <w:pPr>
              <w:pStyle w:val="TableText"/>
              <w:rPr>
                <w:color w:val="000000"/>
              </w:rPr>
            </w:pPr>
          </w:p>
        </w:tc>
      </w:tr>
      <w:tr w:rsidR="001464DC" w14:paraId="1E0B43BD" w14:textId="77777777" w:rsidTr="001464DC">
        <w:tc>
          <w:tcPr>
            <w:tcW w:w="1987" w:type="dxa"/>
            <w:tcBorders>
              <w:top w:val="single" w:sz="6" w:space="0" w:color="auto"/>
              <w:left w:val="double" w:sz="6" w:space="0" w:color="auto"/>
              <w:bottom w:val="single" w:sz="6" w:space="0" w:color="auto"/>
            </w:tcBorders>
          </w:tcPr>
          <w:p w14:paraId="518E2376" w14:textId="181B7B47" w:rsidR="001464DC" w:rsidRPr="001464DC" w:rsidRDefault="001464DC" w:rsidP="001464DC">
            <w:pPr>
              <w:pStyle w:val="TableText"/>
              <w:rPr>
                <w:color w:val="000000"/>
              </w:rPr>
            </w:pPr>
            <w:r w:rsidRPr="001464DC">
              <w:rPr>
                <w:color w:val="000000"/>
              </w:rPr>
              <w:t xml:space="preserve">D&amp;D </w:t>
            </w:r>
            <w:proofErr w:type="spellStart"/>
            <w:r w:rsidRPr="001464DC">
              <w:rPr>
                <w:color w:val="000000"/>
              </w:rPr>
              <w:t>Reesor</w:t>
            </w:r>
            <w:proofErr w:type="spellEnd"/>
            <w:r w:rsidRPr="001464DC">
              <w:rPr>
                <w:color w:val="000000"/>
              </w:rPr>
              <w:t xml:space="preserve"> Family Holdings Inc.</w:t>
            </w:r>
          </w:p>
        </w:tc>
        <w:tc>
          <w:tcPr>
            <w:tcW w:w="1843" w:type="dxa"/>
            <w:tcBorders>
              <w:top w:val="single" w:sz="6" w:space="0" w:color="auto"/>
              <w:left w:val="single" w:sz="6" w:space="0" w:color="auto"/>
              <w:bottom w:val="single" w:sz="6" w:space="0" w:color="auto"/>
            </w:tcBorders>
          </w:tcPr>
          <w:p w14:paraId="54F3585B"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169189E1" w14:textId="695C4E84" w:rsid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68634903" w14:textId="625391E1" w:rsidR="001464DC" w:rsidRDefault="001464DC" w:rsidP="001464DC">
            <w:pPr>
              <w:pStyle w:val="TableText"/>
              <w:rPr>
                <w:color w:val="000000"/>
              </w:rPr>
            </w:pPr>
            <w:r w:rsidRPr="001464DC">
              <w:rPr>
                <w:color w:val="000000"/>
              </w:rPr>
              <w:t>173,611</w:t>
            </w:r>
          </w:p>
        </w:tc>
        <w:tc>
          <w:tcPr>
            <w:tcW w:w="1134" w:type="dxa"/>
            <w:tcBorders>
              <w:top w:val="single" w:sz="6" w:space="0" w:color="auto"/>
              <w:left w:val="single" w:sz="6" w:space="0" w:color="auto"/>
              <w:bottom w:val="single" w:sz="6" w:space="0" w:color="auto"/>
            </w:tcBorders>
          </w:tcPr>
          <w:p w14:paraId="43F4F4D8" w14:textId="18F10F61" w:rsidR="001464DC" w:rsidRPr="001464DC" w:rsidRDefault="002D3E64" w:rsidP="001464DC">
            <w:pPr>
              <w:pStyle w:val="TableText"/>
              <w:rPr>
                <w:color w:val="000000"/>
              </w:rPr>
            </w:pPr>
            <w:r>
              <w:rPr>
                <w:color w:val="000000"/>
              </w:rPr>
              <w:t>$</w:t>
            </w:r>
            <w:r w:rsidR="001464DC" w:rsidRPr="001464DC">
              <w:rPr>
                <w:color w:val="000000"/>
              </w:rPr>
              <w:t>1.08</w:t>
            </w:r>
          </w:p>
        </w:tc>
        <w:tc>
          <w:tcPr>
            <w:tcW w:w="1134" w:type="dxa"/>
            <w:tcBorders>
              <w:top w:val="single" w:sz="6" w:space="0" w:color="auto"/>
              <w:left w:val="single" w:sz="6" w:space="0" w:color="auto"/>
              <w:bottom w:val="single" w:sz="6" w:space="0" w:color="auto"/>
            </w:tcBorders>
          </w:tcPr>
          <w:p w14:paraId="2761ECDE" w14:textId="29FF681D" w:rsidR="001464DC" w:rsidRPr="001464DC" w:rsidRDefault="001464DC"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72C8D7CA" w14:textId="77777777" w:rsidR="001464DC" w:rsidRDefault="001464DC" w:rsidP="001464DC">
            <w:pPr>
              <w:pStyle w:val="TableText"/>
              <w:rPr>
                <w:color w:val="000000"/>
              </w:rPr>
            </w:pPr>
          </w:p>
        </w:tc>
      </w:tr>
      <w:tr w:rsidR="001464DC" w14:paraId="23E48BC2" w14:textId="77777777" w:rsidTr="001464DC">
        <w:tc>
          <w:tcPr>
            <w:tcW w:w="1987" w:type="dxa"/>
            <w:tcBorders>
              <w:top w:val="single" w:sz="6" w:space="0" w:color="auto"/>
              <w:left w:val="double" w:sz="6" w:space="0" w:color="auto"/>
              <w:bottom w:val="single" w:sz="6" w:space="0" w:color="auto"/>
            </w:tcBorders>
          </w:tcPr>
          <w:p w14:paraId="31327E1B" w14:textId="0ACA5223" w:rsidR="001464DC" w:rsidRPr="001464DC" w:rsidRDefault="001464DC" w:rsidP="001464DC">
            <w:pPr>
              <w:pStyle w:val="TableText"/>
              <w:rPr>
                <w:color w:val="000000"/>
              </w:rPr>
            </w:pPr>
            <w:r w:rsidRPr="001464DC">
              <w:rPr>
                <w:color w:val="000000"/>
              </w:rPr>
              <w:t xml:space="preserve">Christin John </w:t>
            </w:r>
            <w:proofErr w:type="spellStart"/>
            <w:r w:rsidRPr="001464DC">
              <w:rPr>
                <w:color w:val="000000"/>
              </w:rPr>
              <w:t>Gauquie</w:t>
            </w:r>
            <w:proofErr w:type="spellEnd"/>
          </w:p>
        </w:tc>
        <w:tc>
          <w:tcPr>
            <w:tcW w:w="1843" w:type="dxa"/>
            <w:tcBorders>
              <w:top w:val="single" w:sz="6" w:space="0" w:color="auto"/>
              <w:left w:val="single" w:sz="6" w:space="0" w:color="auto"/>
              <w:bottom w:val="single" w:sz="6" w:space="0" w:color="auto"/>
            </w:tcBorders>
          </w:tcPr>
          <w:p w14:paraId="791CA07B"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5A45843F" w14:textId="1F6DDB09" w:rsid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37EF3E94" w14:textId="3579B7D7" w:rsidR="001464DC" w:rsidRDefault="001464DC" w:rsidP="001464DC">
            <w:pPr>
              <w:pStyle w:val="TableText"/>
              <w:rPr>
                <w:color w:val="000000"/>
              </w:rPr>
            </w:pPr>
            <w:r w:rsidRPr="001464DC">
              <w:rPr>
                <w:color w:val="000000"/>
              </w:rPr>
              <w:t>71,53</w:t>
            </w:r>
          </w:p>
        </w:tc>
        <w:tc>
          <w:tcPr>
            <w:tcW w:w="1134" w:type="dxa"/>
            <w:tcBorders>
              <w:top w:val="single" w:sz="6" w:space="0" w:color="auto"/>
              <w:left w:val="single" w:sz="6" w:space="0" w:color="auto"/>
              <w:bottom w:val="single" w:sz="6" w:space="0" w:color="auto"/>
            </w:tcBorders>
          </w:tcPr>
          <w:p w14:paraId="70407780" w14:textId="3EB3F5FF" w:rsidR="001464DC" w:rsidRPr="001464DC" w:rsidRDefault="002D3E64" w:rsidP="001464DC">
            <w:pPr>
              <w:pStyle w:val="TableText"/>
              <w:rPr>
                <w:color w:val="000000"/>
              </w:rPr>
            </w:pPr>
            <w:r>
              <w:rPr>
                <w:color w:val="000000"/>
              </w:rPr>
              <w:t>$</w:t>
            </w:r>
            <w:r w:rsidR="001464DC" w:rsidRPr="001464DC">
              <w:rPr>
                <w:color w:val="000000"/>
              </w:rPr>
              <w:t>1.08</w:t>
            </w:r>
          </w:p>
        </w:tc>
        <w:tc>
          <w:tcPr>
            <w:tcW w:w="1134" w:type="dxa"/>
            <w:tcBorders>
              <w:top w:val="single" w:sz="6" w:space="0" w:color="auto"/>
              <w:left w:val="single" w:sz="6" w:space="0" w:color="auto"/>
              <w:bottom w:val="single" w:sz="6" w:space="0" w:color="auto"/>
            </w:tcBorders>
          </w:tcPr>
          <w:p w14:paraId="74354B21" w14:textId="4649F3EE" w:rsidR="001464DC" w:rsidRPr="001464DC" w:rsidRDefault="001464DC"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3B9024E7" w14:textId="77777777" w:rsidR="001464DC" w:rsidRDefault="001464DC" w:rsidP="001464DC">
            <w:pPr>
              <w:pStyle w:val="TableText"/>
              <w:rPr>
                <w:color w:val="000000"/>
              </w:rPr>
            </w:pPr>
          </w:p>
        </w:tc>
      </w:tr>
      <w:tr w:rsidR="001464DC" w14:paraId="47B12D37" w14:textId="77777777" w:rsidTr="001464DC">
        <w:tc>
          <w:tcPr>
            <w:tcW w:w="1987" w:type="dxa"/>
            <w:tcBorders>
              <w:top w:val="single" w:sz="6" w:space="0" w:color="auto"/>
              <w:left w:val="double" w:sz="6" w:space="0" w:color="auto"/>
              <w:bottom w:val="single" w:sz="6" w:space="0" w:color="auto"/>
            </w:tcBorders>
          </w:tcPr>
          <w:p w14:paraId="11D26327" w14:textId="7271B0BB" w:rsidR="001464DC" w:rsidRPr="001464DC" w:rsidRDefault="001464DC" w:rsidP="001464DC">
            <w:pPr>
              <w:pStyle w:val="TableText"/>
              <w:rPr>
                <w:color w:val="000000"/>
              </w:rPr>
            </w:pPr>
            <w:r w:rsidRPr="001464DC">
              <w:rPr>
                <w:color w:val="000000"/>
              </w:rPr>
              <w:t>Jeffrey Forbes</w:t>
            </w:r>
          </w:p>
        </w:tc>
        <w:tc>
          <w:tcPr>
            <w:tcW w:w="1843" w:type="dxa"/>
            <w:tcBorders>
              <w:top w:val="single" w:sz="6" w:space="0" w:color="auto"/>
              <w:left w:val="single" w:sz="6" w:space="0" w:color="auto"/>
              <w:bottom w:val="single" w:sz="6" w:space="0" w:color="auto"/>
            </w:tcBorders>
          </w:tcPr>
          <w:p w14:paraId="4F328232"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5FB98663" w14:textId="266FF829" w:rsid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6B657614" w14:textId="20F630CB" w:rsidR="001464DC" w:rsidRDefault="001464DC" w:rsidP="001464DC">
            <w:pPr>
              <w:pStyle w:val="TableText"/>
              <w:rPr>
                <w:color w:val="000000"/>
              </w:rPr>
            </w:pPr>
            <w:r w:rsidRPr="001464DC">
              <w:rPr>
                <w:color w:val="000000"/>
              </w:rPr>
              <w:t>35,40</w:t>
            </w:r>
          </w:p>
        </w:tc>
        <w:tc>
          <w:tcPr>
            <w:tcW w:w="1134" w:type="dxa"/>
            <w:tcBorders>
              <w:top w:val="single" w:sz="6" w:space="0" w:color="auto"/>
              <w:left w:val="single" w:sz="6" w:space="0" w:color="auto"/>
              <w:bottom w:val="single" w:sz="6" w:space="0" w:color="auto"/>
            </w:tcBorders>
          </w:tcPr>
          <w:p w14:paraId="2E6FCF9C" w14:textId="39A9B5E5" w:rsidR="001464DC" w:rsidRPr="001464DC" w:rsidRDefault="002D3E64" w:rsidP="001464DC">
            <w:pPr>
              <w:pStyle w:val="TableText"/>
              <w:rPr>
                <w:color w:val="000000"/>
              </w:rPr>
            </w:pPr>
            <w:r>
              <w:rPr>
                <w:color w:val="000000"/>
              </w:rPr>
              <w:t>$</w:t>
            </w:r>
            <w:r w:rsidR="001464DC" w:rsidRPr="001464DC">
              <w:rPr>
                <w:color w:val="000000"/>
              </w:rPr>
              <w:t>1.08</w:t>
            </w:r>
          </w:p>
        </w:tc>
        <w:tc>
          <w:tcPr>
            <w:tcW w:w="1134" w:type="dxa"/>
            <w:tcBorders>
              <w:top w:val="single" w:sz="6" w:space="0" w:color="auto"/>
              <w:left w:val="single" w:sz="6" w:space="0" w:color="auto"/>
              <w:bottom w:val="single" w:sz="6" w:space="0" w:color="auto"/>
            </w:tcBorders>
          </w:tcPr>
          <w:p w14:paraId="127C4E58" w14:textId="1E1FD1AC" w:rsidR="001464DC" w:rsidRPr="001464DC" w:rsidRDefault="001464DC"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45D64210" w14:textId="77777777" w:rsidR="001464DC" w:rsidRDefault="001464DC" w:rsidP="001464DC">
            <w:pPr>
              <w:pStyle w:val="TableText"/>
              <w:rPr>
                <w:color w:val="000000"/>
              </w:rPr>
            </w:pPr>
          </w:p>
        </w:tc>
      </w:tr>
      <w:tr w:rsidR="001464DC" w:rsidRPr="00A3554F" w14:paraId="4D5D2EEB" w14:textId="77777777" w:rsidTr="001464DC">
        <w:tc>
          <w:tcPr>
            <w:tcW w:w="1987" w:type="dxa"/>
            <w:tcBorders>
              <w:top w:val="single" w:sz="6" w:space="0" w:color="auto"/>
              <w:left w:val="double" w:sz="6" w:space="0" w:color="auto"/>
              <w:bottom w:val="single" w:sz="6" w:space="0" w:color="auto"/>
            </w:tcBorders>
          </w:tcPr>
          <w:p w14:paraId="732062CE" w14:textId="4AEAFD1D" w:rsidR="001464DC" w:rsidRPr="001464DC" w:rsidRDefault="001464DC" w:rsidP="001464DC">
            <w:pPr>
              <w:pStyle w:val="TableText"/>
              <w:rPr>
                <w:color w:val="000000"/>
              </w:rPr>
            </w:pPr>
            <w:r w:rsidRPr="001464DC">
              <w:rPr>
                <w:color w:val="000000"/>
              </w:rPr>
              <w:t xml:space="preserve">Juan </w:t>
            </w:r>
            <w:proofErr w:type="spellStart"/>
            <w:r w:rsidRPr="001464DC">
              <w:rPr>
                <w:color w:val="000000"/>
              </w:rPr>
              <w:t>Turruellas</w:t>
            </w:r>
            <w:proofErr w:type="spellEnd"/>
          </w:p>
        </w:tc>
        <w:tc>
          <w:tcPr>
            <w:tcW w:w="1843" w:type="dxa"/>
            <w:tcBorders>
              <w:top w:val="single" w:sz="6" w:space="0" w:color="auto"/>
              <w:left w:val="single" w:sz="6" w:space="0" w:color="auto"/>
              <w:bottom w:val="single" w:sz="6" w:space="0" w:color="auto"/>
            </w:tcBorders>
          </w:tcPr>
          <w:p w14:paraId="3C7B7225"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66D6D247" w14:textId="11EA4E36" w:rsid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5A4DC9A7" w14:textId="47D175EE" w:rsidR="001464DC" w:rsidRDefault="001464DC" w:rsidP="001464DC">
            <w:pPr>
              <w:pStyle w:val="TableText"/>
              <w:rPr>
                <w:color w:val="000000"/>
              </w:rPr>
            </w:pPr>
            <w:r w:rsidRPr="001464DC">
              <w:rPr>
                <w:color w:val="000000"/>
              </w:rPr>
              <w:t>70,817</w:t>
            </w:r>
          </w:p>
        </w:tc>
        <w:tc>
          <w:tcPr>
            <w:tcW w:w="1134" w:type="dxa"/>
            <w:tcBorders>
              <w:top w:val="single" w:sz="6" w:space="0" w:color="auto"/>
              <w:left w:val="single" w:sz="6" w:space="0" w:color="auto"/>
              <w:bottom w:val="single" w:sz="6" w:space="0" w:color="auto"/>
            </w:tcBorders>
          </w:tcPr>
          <w:p w14:paraId="753E0007" w14:textId="660A714E" w:rsidR="001464DC" w:rsidRPr="001464DC" w:rsidRDefault="002D3E64" w:rsidP="001464DC">
            <w:pPr>
              <w:pStyle w:val="TableText"/>
              <w:rPr>
                <w:color w:val="000000"/>
              </w:rPr>
            </w:pPr>
            <w:r>
              <w:rPr>
                <w:color w:val="000000"/>
              </w:rPr>
              <w:t>$</w:t>
            </w:r>
            <w:r w:rsidR="001464DC" w:rsidRPr="001464DC">
              <w:rPr>
                <w:color w:val="000000"/>
              </w:rPr>
              <w:t>1.08</w:t>
            </w:r>
          </w:p>
        </w:tc>
        <w:tc>
          <w:tcPr>
            <w:tcW w:w="1134" w:type="dxa"/>
            <w:tcBorders>
              <w:top w:val="single" w:sz="6" w:space="0" w:color="auto"/>
              <w:left w:val="single" w:sz="6" w:space="0" w:color="auto"/>
              <w:bottom w:val="single" w:sz="6" w:space="0" w:color="auto"/>
            </w:tcBorders>
          </w:tcPr>
          <w:p w14:paraId="6694101D" w14:textId="45BB6FA7" w:rsidR="001464DC" w:rsidRPr="001464DC" w:rsidRDefault="001464DC"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593B273D" w14:textId="62BAA770" w:rsidR="001464DC" w:rsidRPr="00A3554F" w:rsidRDefault="001464DC" w:rsidP="001464DC">
            <w:pPr>
              <w:pStyle w:val="TableText"/>
              <w:rPr>
                <w:color w:val="000000"/>
              </w:rPr>
            </w:pPr>
          </w:p>
        </w:tc>
      </w:tr>
      <w:tr w:rsidR="001464DC" w:rsidRPr="00A3554F" w14:paraId="1C0FA595" w14:textId="77777777" w:rsidTr="001464DC">
        <w:tc>
          <w:tcPr>
            <w:tcW w:w="1987" w:type="dxa"/>
            <w:tcBorders>
              <w:top w:val="single" w:sz="6" w:space="0" w:color="auto"/>
              <w:left w:val="double" w:sz="6" w:space="0" w:color="auto"/>
              <w:bottom w:val="single" w:sz="6" w:space="0" w:color="auto"/>
            </w:tcBorders>
          </w:tcPr>
          <w:p w14:paraId="11A16722" w14:textId="2A408098" w:rsidR="001464DC" w:rsidRPr="001464DC" w:rsidRDefault="001464DC" w:rsidP="001464DC">
            <w:pPr>
              <w:pStyle w:val="TableText"/>
              <w:rPr>
                <w:color w:val="000000"/>
              </w:rPr>
            </w:pPr>
            <w:r w:rsidRPr="001464DC">
              <w:rPr>
                <w:color w:val="000000"/>
              </w:rPr>
              <w:t>Bergen Living Trust, Dated 1/8/96</w:t>
            </w:r>
          </w:p>
        </w:tc>
        <w:tc>
          <w:tcPr>
            <w:tcW w:w="1843" w:type="dxa"/>
            <w:tcBorders>
              <w:top w:val="single" w:sz="6" w:space="0" w:color="auto"/>
              <w:left w:val="single" w:sz="6" w:space="0" w:color="auto"/>
              <w:bottom w:val="single" w:sz="6" w:space="0" w:color="auto"/>
            </w:tcBorders>
          </w:tcPr>
          <w:p w14:paraId="77FE4F40" w14:textId="77777777" w:rsidR="001464DC" w:rsidRDefault="001464DC" w:rsidP="001464DC">
            <w:pPr>
              <w:pStyle w:val="TableText"/>
              <w:rPr>
                <w:color w:val="000000"/>
              </w:rPr>
            </w:pPr>
          </w:p>
        </w:tc>
        <w:tc>
          <w:tcPr>
            <w:tcW w:w="992" w:type="dxa"/>
            <w:tcBorders>
              <w:top w:val="single" w:sz="6" w:space="0" w:color="auto"/>
              <w:left w:val="single" w:sz="6" w:space="0" w:color="auto"/>
              <w:bottom w:val="single" w:sz="6" w:space="0" w:color="auto"/>
            </w:tcBorders>
          </w:tcPr>
          <w:p w14:paraId="72334A86" w14:textId="0AC35CDE" w:rsidR="001464DC" w:rsidRDefault="001464DC" w:rsidP="001464DC">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34BEF5AF" w14:textId="213CE1C8" w:rsidR="001464DC" w:rsidRDefault="001464DC" w:rsidP="001464DC">
            <w:pPr>
              <w:pStyle w:val="TableText"/>
              <w:rPr>
                <w:color w:val="000000"/>
              </w:rPr>
            </w:pPr>
            <w:r w:rsidRPr="001464DC">
              <w:rPr>
                <w:color w:val="000000"/>
              </w:rPr>
              <w:t>70,534</w:t>
            </w:r>
          </w:p>
        </w:tc>
        <w:tc>
          <w:tcPr>
            <w:tcW w:w="1134" w:type="dxa"/>
            <w:tcBorders>
              <w:top w:val="single" w:sz="6" w:space="0" w:color="auto"/>
              <w:left w:val="single" w:sz="6" w:space="0" w:color="auto"/>
              <w:bottom w:val="single" w:sz="6" w:space="0" w:color="auto"/>
            </w:tcBorders>
          </w:tcPr>
          <w:p w14:paraId="1CE40FEC" w14:textId="2F122461" w:rsidR="001464DC" w:rsidRPr="001464DC" w:rsidRDefault="002D3E64" w:rsidP="001464DC">
            <w:pPr>
              <w:pStyle w:val="TableText"/>
              <w:rPr>
                <w:color w:val="000000"/>
              </w:rPr>
            </w:pPr>
            <w:r>
              <w:rPr>
                <w:color w:val="000000"/>
              </w:rPr>
              <w:t>$</w:t>
            </w:r>
            <w:r w:rsidR="001464DC" w:rsidRPr="001464DC">
              <w:rPr>
                <w:color w:val="000000"/>
              </w:rPr>
              <w:t>1.08</w:t>
            </w:r>
          </w:p>
        </w:tc>
        <w:tc>
          <w:tcPr>
            <w:tcW w:w="1134" w:type="dxa"/>
            <w:tcBorders>
              <w:top w:val="single" w:sz="6" w:space="0" w:color="auto"/>
              <w:left w:val="single" w:sz="6" w:space="0" w:color="auto"/>
              <w:bottom w:val="single" w:sz="6" w:space="0" w:color="auto"/>
            </w:tcBorders>
          </w:tcPr>
          <w:p w14:paraId="74437FF0" w14:textId="42B72E0A" w:rsidR="001464DC" w:rsidRPr="001464DC" w:rsidRDefault="001464DC" w:rsidP="001464DC">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5C9004A9" w14:textId="77777777" w:rsidR="001464DC" w:rsidRPr="00A3554F" w:rsidRDefault="001464DC" w:rsidP="001464DC">
            <w:pPr>
              <w:pStyle w:val="TableText"/>
              <w:rPr>
                <w:color w:val="000000"/>
              </w:rPr>
            </w:pPr>
          </w:p>
        </w:tc>
      </w:tr>
      <w:tr w:rsidR="002D3E64" w:rsidRPr="00A3554F" w14:paraId="436B3528" w14:textId="77777777" w:rsidTr="001464DC">
        <w:tc>
          <w:tcPr>
            <w:tcW w:w="1987" w:type="dxa"/>
            <w:tcBorders>
              <w:top w:val="single" w:sz="6" w:space="0" w:color="auto"/>
              <w:left w:val="double" w:sz="6" w:space="0" w:color="auto"/>
              <w:bottom w:val="single" w:sz="6" w:space="0" w:color="auto"/>
            </w:tcBorders>
          </w:tcPr>
          <w:p w14:paraId="539D040C" w14:textId="361C8BDF" w:rsidR="002D3E64" w:rsidRPr="001464DC" w:rsidRDefault="002D3E64" w:rsidP="002D3E64">
            <w:pPr>
              <w:pStyle w:val="TableText"/>
              <w:rPr>
                <w:color w:val="000000"/>
              </w:rPr>
            </w:pPr>
            <w:r w:rsidRPr="001464DC">
              <w:rPr>
                <w:color w:val="000000"/>
              </w:rPr>
              <w:t xml:space="preserve">Walter </w:t>
            </w:r>
            <w:proofErr w:type="spellStart"/>
            <w:r w:rsidRPr="001464DC">
              <w:rPr>
                <w:color w:val="000000"/>
              </w:rPr>
              <w:t>Artuso</w:t>
            </w:r>
            <w:proofErr w:type="spellEnd"/>
          </w:p>
        </w:tc>
        <w:tc>
          <w:tcPr>
            <w:tcW w:w="1843" w:type="dxa"/>
            <w:tcBorders>
              <w:top w:val="single" w:sz="6" w:space="0" w:color="auto"/>
              <w:left w:val="single" w:sz="6" w:space="0" w:color="auto"/>
              <w:bottom w:val="single" w:sz="6" w:space="0" w:color="auto"/>
            </w:tcBorders>
          </w:tcPr>
          <w:p w14:paraId="49B1116E" w14:textId="77777777" w:rsidR="002D3E64" w:rsidRDefault="002D3E64" w:rsidP="002D3E64">
            <w:pPr>
              <w:pStyle w:val="TableText"/>
              <w:rPr>
                <w:color w:val="000000"/>
              </w:rPr>
            </w:pPr>
          </w:p>
        </w:tc>
        <w:tc>
          <w:tcPr>
            <w:tcW w:w="992" w:type="dxa"/>
            <w:tcBorders>
              <w:top w:val="single" w:sz="6" w:space="0" w:color="auto"/>
              <w:left w:val="single" w:sz="6" w:space="0" w:color="auto"/>
              <w:bottom w:val="single" w:sz="6" w:space="0" w:color="auto"/>
            </w:tcBorders>
          </w:tcPr>
          <w:p w14:paraId="28F69755" w14:textId="206BF694" w:rsidR="002D3E64" w:rsidRPr="001464DC" w:rsidRDefault="002D3E64" w:rsidP="002D3E64">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171860B6" w14:textId="68DF4097" w:rsidR="002D3E64" w:rsidRPr="001464DC" w:rsidRDefault="002D3E64" w:rsidP="002D3E64">
            <w:pPr>
              <w:pStyle w:val="TableText"/>
              <w:rPr>
                <w:color w:val="000000"/>
              </w:rPr>
            </w:pPr>
            <w:r w:rsidRPr="001464DC">
              <w:rPr>
                <w:color w:val="000000"/>
              </w:rPr>
              <w:t>34,72</w:t>
            </w:r>
          </w:p>
        </w:tc>
        <w:tc>
          <w:tcPr>
            <w:tcW w:w="1134" w:type="dxa"/>
            <w:tcBorders>
              <w:top w:val="single" w:sz="6" w:space="0" w:color="auto"/>
              <w:left w:val="single" w:sz="6" w:space="0" w:color="auto"/>
              <w:bottom w:val="single" w:sz="6" w:space="0" w:color="auto"/>
            </w:tcBorders>
          </w:tcPr>
          <w:p w14:paraId="1D42EEE0" w14:textId="60F195F1" w:rsidR="002D3E64" w:rsidRPr="001464DC" w:rsidRDefault="002D3E64" w:rsidP="002D3E64">
            <w:pPr>
              <w:pStyle w:val="TableText"/>
              <w:rPr>
                <w:color w:val="000000"/>
              </w:rPr>
            </w:pPr>
            <w:r>
              <w:rPr>
                <w:color w:val="000000"/>
              </w:rPr>
              <w:t>$</w:t>
            </w:r>
            <w:r w:rsidRPr="001464DC">
              <w:rPr>
                <w:color w:val="000000"/>
              </w:rPr>
              <w:t>1.08</w:t>
            </w:r>
          </w:p>
        </w:tc>
        <w:tc>
          <w:tcPr>
            <w:tcW w:w="1134" w:type="dxa"/>
            <w:tcBorders>
              <w:top w:val="single" w:sz="6" w:space="0" w:color="auto"/>
              <w:left w:val="single" w:sz="6" w:space="0" w:color="auto"/>
              <w:bottom w:val="single" w:sz="6" w:space="0" w:color="auto"/>
            </w:tcBorders>
          </w:tcPr>
          <w:p w14:paraId="2BD2C92A" w14:textId="09FFE80F" w:rsidR="002D3E64" w:rsidRPr="001464DC" w:rsidRDefault="002D3E64" w:rsidP="002D3E64">
            <w:pPr>
              <w:pStyle w:val="TableText"/>
              <w:rPr>
                <w:color w:val="000000"/>
              </w:rPr>
            </w:pPr>
            <w:r w:rsidRPr="002D3E64">
              <w:rPr>
                <w:color w:val="000000"/>
              </w:rPr>
              <w:t>August 27, 2020</w:t>
            </w:r>
          </w:p>
        </w:tc>
        <w:tc>
          <w:tcPr>
            <w:tcW w:w="1266" w:type="dxa"/>
            <w:tcBorders>
              <w:top w:val="single" w:sz="6" w:space="0" w:color="auto"/>
              <w:left w:val="single" w:sz="6" w:space="0" w:color="auto"/>
              <w:bottom w:val="single" w:sz="6" w:space="0" w:color="auto"/>
              <w:right w:val="double" w:sz="6" w:space="0" w:color="auto"/>
            </w:tcBorders>
          </w:tcPr>
          <w:p w14:paraId="507C162A" w14:textId="2518683A" w:rsidR="002D3E64" w:rsidRPr="00A3554F" w:rsidRDefault="002D3E64" w:rsidP="002D3E64">
            <w:pPr>
              <w:pStyle w:val="TableText"/>
              <w:rPr>
                <w:color w:val="000000"/>
              </w:rPr>
            </w:pPr>
            <w:r w:rsidRPr="00A3554F">
              <w:rPr>
                <w:color w:val="000000"/>
              </w:rPr>
              <w:t>N/A</w:t>
            </w:r>
          </w:p>
        </w:tc>
      </w:tr>
      <w:tr w:rsidR="002D3E64" w:rsidRPr="00A3554F" w14:paraId="302C66D9" w14:textId="77777777" w:rsidTr="001464DC">
        <w:tc>
          <w:tcPr>
            <w:tcW w:w="1987" w:type="dxa"/>
            <w:tcBorders>
              <w:top w:val="single" w:sz="6" w:space="0" w:color="auto"/>
              <w:left w:val="double" w:sz="6" w:space="0" w:color="auto"/>
              <w:bottom w:val="single" w:sz="6" w:space="0" w:color="auto"/>
            </w:tcBorders>
          </w:tcPr>
          <w:p w14:paraId="0E090D4F" w14:textId="002EA97B" w:rsidR="002D3E64" w:rsidRPr="001464DC" w:rsidRDefault="002D3E64" w:rsidP="002D3E64">
            <w:pPr>
              <w:pStyle w:val="TableText"/>
              <w:rPr>
                <w:color w:val="000000"/>
              </w:rPr>
            </w:pPr>
            <w:r w:rsidRPr="001464DC">
              <w:rPr>
                <w:color w:val="000000"/>
              </w:rPr>
              <w:lastRenderedPageBreak/>
              <w:t xml:space="preserve">D&amp;D </w:t>
            </w:r>
            <w:proofErr w:type="spellStart"/>
            <w:r w:rsidRPr="001464DC">
              <w:rPr>
                <w:color w:val="000000"/>
              </w:rPr>
              <w:t>Reesor</w:t>
            </w:r>
            <w:proofErr w:type="spellEnd"/>
            <w:r w:rsidRPr="001464DC">
              <w:rPr>
                <w:color w:val="000000"/>
              </w:rPr>
              <w:t xml:space="preserve"> Family Holdings Inc.</w:t>
            </w:r>
          </w:p>
        </w:tc>
        <w:tc>
          <w:tcPr>
            <w:tcW w:w="1843" w:type="dxa"/>
            <w:tcBorders>
              <w:top w:val="single" w:sz="6" w:space="0" w:color="auto"/>
              <w:left w:val="single" w:sz="6" w:space="0" w:color="auto"/>
              <w:bottom w:val="single" w:sz="6" w:space="0" w:color="auto"/>
            </w:tcBorders>
          </w:tcPr>
          <w:p w14:paraId="0C50589C" w14:textId="77777777" w:rsidR="002D3E64" w:rsidRDefault="002D3E64" w:rsidP="002D3E64">
            <w:pPr>
              <w:pStyle w:val="TableText"/>
              <w:rPr>
                <w:color w:val="000000"/>
              </w:rPr>
            </w:pPr>
          </w:p>
        </w:tc>
        <w:tc>
          <w:tcPr>
            <w:tcW w:w="992" w:type="dxa"/>
            <w:tcBorders>
              <w:top w:val="single" w:sz="6" w:space="0" w:color="auto"/>
              <w:left w:val="single" w:sz="6" w:space="0" w:color="auto"/>
              <w:bottom w:val="single" w:sz="6" w:space="0" w:color="auto"/>
            </w:tcBorders>
          </w:tcPr>
          <w:p w14:paraId="01640209" w14:textId="57BDBCDE" w:rsidR="002D3E64" w:rsidRPr="001464DC" w:rsidRDefault="002D3E64" w:rsidP="002D3E64">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74AED0EF" w14:textId="25036C96" w:rsidR="002D3E64" w:rsidRPr="001464DC" w:rsidRDefault="002D3E64" w:rsidP="002D3E64">
            <w:pPr>
              <w:pStyle w:val="TableText"/>
              <w:rPr>
                <w:color w:val="000000"/>
              </w:rPr>
            </w:pPr>
            <w:r w:rsidRPr="001464DC">
              <w:rPr>
                <w:color w:val="000000"/>
              </w:rPr>
              <w:t>173,611</w:t>
            </w:r>
          </w:p>
        </w:tc>
        <w:tc>
          <w:tcPr>
            <w:tcW w:w="1134" w:type="dxa"/>
            <w:tcBorders>
              <w:top w:val="single" w:sz="6" w:space="0" w:color="auto"/>
              <w:left w:val="single" w:sz="6" w:space="0" w:color="auto"/>
              <w:bottom w:val="single" w:sz="6" w:space="0" w:color="auto"/>
            </w:tcBorders>
          </w:tcPr>
          <w:p w14:paraId="71924D78" w14:textId="6B0CB110" w:rsidR="002D3E64" w:rsidRPr="001464DC" w:rsidRDefault="002D3E64" w:rsidP="002D3E64">
            <w:pPr>
              <w:pStyle w:val="TableText"/>
              <w:rPr>
                <w:color w:val="000000"/>
              </w:rPr>
            </w:pPr>
            <w:r>
              <w:rPr>
                <w:color w:val="000000"/>
              </w:rPr>
              <w:t>$</w:t>
            </w:r>
            <w:r w:rsidRPr="001464DC">
              <w:rPr>
                <w:color w:val="000000"/>
              </w:rPr>
              <w:t>1.08</w:t>
            </w:r>
          </w:p>
        </w:tc>
        <w:tc>
          <w:tcPr>
            <w:tcW w:w="1134" w:type="dxa"/>
            <w:tcBorders>
              <w:top w:val="single" w:sz="6" w:space="0" w:color="auto"/>
              <w:left w:val="single" w:sz="6" w:space="0" w:color="auto"/>
              <w:bottom w:val="single" w:sz="6" w:space="0" w:color="auto"/>
            </w:tcBorders>
          </w:tcPr>
          <w:p w14:paraId="14B2E883" w14:textId="39764E8F" w:rsidR="002D3E64" w:rsidRPr="001464DC" w:rsidRDefault="002D3E64" w:rsidP="002D3E64">
            <w:pPr>
              <w:pStyle w:val="TableText"/>
              <w:rPr>
                <w:color w:val="000000"/>
              </w:rPr>
            </w:pPr>
            <w:r w:rsidRPr="002D3E64">
              <w:rPr>
                <w:color w:val="000000"/>
              </w:rPr>
              <w:t>August 27, 2020</w:t>
            </w:r>
          </w:p>
        </w:tc>
        <w:tc>
          <w:tcPr>
            <w:tcW w:w="1266" w:type="dxa"/>
            <w:tcBorders>
              <w:top w:val="single" w:sz="6" w:space="0" w:color="auto"/>
              <w:left w:val="single" w:sz="6" w:space="0" w:color="auto"/>
              <w:bottom w:val="single" w:sz="6" w:space="0" w:color="auto"/>
              <w:right w:val="double" w:sz="6" w:space="0" w:color="auto"/>
            </w:tcBorders>
          </w:tcPr>
          <w:p w14:paraId="2E8E9D11" w14:textId="7BAB13F6" w:rsidR="002D3E64" w:rsidRPr="00A3554F" w:rsidRDefault="002D3E64" w:rsidP="002D3E64">
            <w:pPr>
              <w:pStyle w:val="TableText"/>
              <w:rPr>
                <w:color w:val="000000"/>
              </w:rPr>
            </w:pPr>
            <w:r>
              <w:rPr>
                <w:color w:val="000000"/>
              </w:rPr>
              <w:t>N/A</w:t>
            </w:r>
          </w:p>
        </w:tc>
      </w:tr>
      <w:tr w:rsidR="002D3E64" w:rsidRPr="00A3554F" w14:paraId="7F53A8C7" w14:textId="77777777" w:rsidTr="001464DC">
        <w:tc>
          <w:tcPr>
            <w:tcW w:w="1987" w:type="dxa"/>
            <w:tcBorders>
              <w:top w:val="single" w:sz="6" w:space="0" w:color="auto"/>
              <w:left w:val="double" w:sz="6" w:space="0" w:color="auto"/>
              <w:bottom w:val="single" w:sz="6" w:space="0" w:color="auto"/>
            </w:tcBorders>
          </w:tcPr>
          <w:p w14:paraId="680EDFB3" w14:textId="19288164" w:rsidR="002D3E64" w:rsidRPr="001464DC" w:rsidRDefault="002D3E64" w:rsidP="002D3E64">
            <w:pPr>
              <w:pStyle w:val="TableText"/>
              <w:rPr>
                <w:color w:val="000000"/>
              </w:rPr>
            </w:pPr>
            <w:r w:rsidRPr="001464DC">
              <w:rPr>
                <w:color w:val="000000"/>
              </w:rPr>
              <w:t xml:space="preserve">Christin John </w:t>
            </w:r>
            <w:proofErr w:type="spellStart"/>
            <w:r w:rsidRPr="001464DC">
              <w:rPr>
                <w:color w:val="000000"/>
              </w:rPr>
              <w:t>Gauquie</w:t>
            </w:r>
            <w:proofErr w:type="spellEnd"/>
          </w:p>
        </w:tc>
        <w:tc>
          <w:tcPr>
            <w:tcW w:w="1843" w:type="dxa"/>
            <w:tcBorders>
              <w:top w:val="single" w:sz="6" w:space="0" w:color="auto"/>
              <w:left w:val="single" w:sz="6" w:space="0" w:color="auto"/>
              <w:bottom w:val="single" w:sz="6" w:space="0" w:color="auto"/>
            </w:tcBorders>
          </w:tcPr>
          <w:p w14:paraId="1DA8D0B0" w14:textId="77777777" w:rsidR="002D3E64" w:rsidRDefault="002D3E64" w:rsidP="002D3E64">
            <w:pPr>
              <w:pStyle w:val="TableText"/>
              <w:rPr>
                <w:color w:val="000000"/>
              </w:rPr>
            </w:pPr>
          </w:p>
        </w:tc>
        <w:tc>
          <w:tcPr>
            <w:tcW w:w="992" w:type="dxa"/>
            <w:tcBorders>
              <w:top w:val="single" w:sz="6" w:space="0" w:color="auto"/>
              <w:left w:val="single" w:sz="6" w:space="0" w:color="auto"/>
              <w:bottom w:val="single" w:sz="6" w:space="0" w:color="auto"/>
            </w:tcBorders>
          </w:tcPr>
          <w:p w14:paraId="705AB0AC" w14:textId="0F698B77" w:rsidR="002D3E64" w:rsidRPr="001464DC" w:rsidRDefault="002D3E64" w:rsidP="002D3E64">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6238B44A" w14:textId="5F1806F5" w:rsidR="002D3E64" w:rsidRPr="001464DC" w:rsidRDefault="002D3E64" w:rsidP="002D3E64">
            <w:pPr>
              <w:pStyle w:val="TableText"/>
              <w:rPr>
                <w:color w:val="000000"/>
              </w:rPr>
            </w:pPr>
            <w:r w:rsidRPr="001464DC">
              <w:rPr>
                <w:color w:val="000000"/>
              </w:rPr>
              <w:t>71,53</w:t>
            </w:r>
          </w:p>
        </w:tc>
        <w:tc>
          <w:tcPr>
            <w:tcW w:w="1134" w:type="dxa"/>
            <w:tcBorders>
              <w:top w:val="single" w:sz="6" w:space="0" w:color="auto"/>
              <w:left w:val="single" w:sz="6" w:space="0" w:color="auto"/>
              <w:bottom w:val="single" w:sz="6" w:space="0" w:color="auto"/>
            </w:tcBorders>
          </w:tcPr>
          <w:p w14:paraId="346953D3" w14:textId="6EC0871F" w:rsidR="002D3E64" w:rsidRPr="001464DC" w:rsidRDefault="002D3E64" w:rsidP="002D3E64">
            <w:pPr>
              <w:pStyle w:val="TableText"/>
              <w:rPr>
                <w:color w:val="000000"/>
              </w:rPr>
            </w:pPr>
            <w:r>
              <w:rPr>
                <w:color w:val="000000"/>
              </w:rPr>
              <w:t>$</w:t>
            </w:r>
            <w:r w:rsidRPr="001464DC">
              <w:rPr>
                <w:color w:val="000000"/>
              </w:rPr>
              <w:t>1.08</w:t>
            </w:r>
          </w:p>
        </w:tc>
        <w:tc>
          <w:tcPr>
            <w:tcW w:w="1134" w:type="dxa"/>
            <w:tcBorders>
              <w:top w:val="single" w:sz="6" w:space="0" w:color="auto"/>
              <w:left w:val="single" w:sz="6" w:space="0" w:color="auto"/>
              <w:bottom w:val="single" w:sz="6" w:space="0" w:color="auto"/>
            </w:tcBorders>
          </w:tcPr>
          <w:p w14:paraId="47C1906E" w14:textId="0AB085E4" w:rsidR="002D3E64" w:rsidRPr="001464DC" w:rsidRDefault="002D3E64" w:rsidP="002D3E64">
            <w:pPr>
              <w:pStyle w:val="TableText"/>
              <w:rPr>
                <w:color w:val="000000"/>
              </w:rPr>
            </w:pPr>
            <w:r w:rsidRPr="002D3E64">
              <w:rPr>
                <w:color w:val="000000"/>
              </w:rPr>
              <w:t>August 27, 2020</w:t>
            </w:r>
          </w:p>
        </w:tc>
        <w:tc>
          <w:tcPr>
            <w:tcW w:w="1266" w:type="dxa"/>
            <w:tcBorders>
              <w:top w:val="single" w:sz="6" w:space="0" w:color="auto"/>
              <w:left w:val="single" w:sz="6" w:space="0" w:color="auto"/>
              <w:bottom w:val="single" w:sz="6" w:space="0" w:color="auto"/>
              <w:right w:val="double" w:sz="6" w:space="0" w:color="auto"/>
            </w:tcBorders>
          </w:tcPr>
          <w:p w14:paraId="67CEB070" w14:textId="6D29AEB0" w:rsidR="002D3E64" w:rsidRPr="00A3554F" w:rsidRDefault="002D3E64" w:rsidP="002D3E64">
            <w:pPr>
              <w:pStyle w:val="TableText"/>
              <w:rPr>
                <w:color w:val="000000"/>
              </w:rPr>
            </w:pPr>
            <w:r w:rsidRPr="00A3554F">
              <w:rPr>
                <w:color w:val="000000"/>
              </w:rPr>
              <w:t>N/A</w:t>
            </w:r>
          </w:p>
        </w:tc>
      </w:tr>
      <w:tr w:rsidR="002D3E64" w:rsidRPr="00A3554F" w14:paraId="1A8B091D" w14:textId="77777777" w:rsidTr="001464DC">
        <w:tc>
          <w:tcPr>
            <w:tcW w:w="1987" w:type="dxa"/>
            <w:tcBorders>
              <w:top w:val="single" w:sz="6" w:space="0" w:color="auto"/>
              <w:left w:val="double" w:sz="6" w:space="0" w:color="auto"/>
              <w:bottom w:val="single" w:sz="6" w:space="0" w:color="auto"/>
            </w:tcBorders>
          </w:tcPr>
          <w:p w14:paraId="08FF24C2" w14:textId="41F8AB87" w:rsidR="002D3E64" w:rsidRPr="001464DC" w:rsidRDefault="002D3E64" w:rsidP="002D3E64">
            <w:pPr>
              <w:pStyle w:val="TableText"/>
              <w:rPr>
                <w:color w:val="000000"/>
              </w:rPr>
            </w:pPr>
            <w:r w:rsidRPr="001464DC">
              <w:rPr>
                <w:color w:val="000000"/>
              </w:rPr>
              <w:t>Jeffrey Forbes</w:t>
            </w:r>
          </w:p>
        </w:tc>
        <w:tc>
          <w:tcPr>
            <w:tcW w:w="1843" w:type="dxa"/>
            <w:tcBorders>
              <w:top w:val="single" w:sz="6" w:space="0" w:color="auto"/>
              <w:left w:val="single" w:sz="6" w:space="0" w:color="auto"/>
              <w:bottom w:val="single" w:sz="6" w:space="0" w:color="auto"/>
            </w:tcBorders>
          </w:tcPr>
          <w:p w14:paraId="3F31E56B" w14:textId="77777777" w:rsidR="002D3E64" w:rsidRDefault="002D3E64" w:rsidP="002D3E64">
            <w:pPr>
              <w:pStyle w:val="TableText"/>
              <w:rPr>
                <w:color w:val="000000"/>
              </w:rPr>
            </w:pPr>
          </w:p>
        </w:tc>
        <w:tc>
          <w:tcPr>
            <w:tcW w:w="992" w:type="dxa"/>
            <w:tcBorders>
              <w:top w:val="single" w:sz="6" w:space="0" w:color="auto"/>
              <w:left w:val="single" w:sz="6" w:space="0" w:color="auto"/>
              <w:bottom w:val="single" w:sz="6" w:space="0" w:color="auto"/>
            </w:tcBorders>
          </w:tcPr>
          <w:p w14:paraId="783B0386" w14:textId="37CFBDB8" w:rsidR="002D3E64" w:rsidRPr="001464DC" w:rsidRDefault="002D3E64" w:rsidP="002D3E64">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0B031ABA" w14:textId="37AE1815" w:rsidR="002D3E64" w:rsidRPr="001464DC" w:rsidRDefault="002D3E64" w:rsidP="002D3E64">
            <w:pPr>
              <w:pStyle w:val="TableText"/>
              <w:rPr>
                <w:color w:val="000000"/>
              </w:rPr>
            </w:pPr>
            <w:r w:rsidRPr="001464DC">
              <w:rPr>
                <w:color w:val="000000"/>
              </w:rPr>
              <w:t>35,40</w:t>
            </w:r>
          </w:p>
        </w:tc>
        <w:tc>
          <w:tcPr>
            <w:tcW w:w="1134" w:type="dxa"/>
            <w:tcBorders>
              <w:top w:val="single" w:sz="6" w:space="0" w:color="auto"/>
              <w:left w:val="single" w:sz="6" w:space="0" w:color="auto"/>
              <w:bottom w:val="single" w:sz="6" w:space="0" w:color="auto"/>
            </w:tcBorders>
          </w:tcPr>
          <w:p w14:paraId="11250C8B" w14:textId="41E0F916" w:rsidR="002D3E64" w:rsidRPr="001464DC" w:rsidRDefault="002D3E64" w:rsidP="002D3E64">
            <w:pPr>
              <w:pStyle w:val="TableText"/>
              <w:rPr>
                <w:color w:val="000000"/>
              </w:rPr>
            </w:pPr>
            <w:r>
              <w:rPr>
                <w:color w:val="000000"/>
              </w:rPr>
              <w:t>$</w:t>
            </w:r>
            <w:r w:rsidRPr="001464DC">
              <w:rPr>
                <w:color w:val="000000"/>
              </w:rPr>
              <w:t>1.08</w:t>
            </w:r>
          </w:p>
        </w:tc>
        <w:tc>
          <w:tcPr>
            <w:tcW w:w="1134" w:type="dxa"/>
            <w:tcBorders>
              <w:top w:val="single" w:sz="6" w:space="0" w:color="auto"/>
              <w:left w:val="single" w:sz="6" w:space="0" w:color="auto"/>
              <w:bottom w:val="single" w:sz="6" w:space="0" w:color="auto"/>
            </w:tcBorders>
          </w:tcPr>
          <w:p w14:paraId="555EE219" w14:textId="310D2950" w:rsidR="002D3E64" w:rsidRPr="001464DC" w:rsidRDefault="002D3E64" w:rsidP="002D3E64">
            <w:pPr>
              <w:pStyle w:val="TableText"/>
              <w:rPr>
                <w:color w:val="000000"/>
              </w:rPr>
            </w:pPr>
            <w:r w:rsidRPr="002D3E64">
              <w:rPr>
                <w:color w:val="000000"/>
              </w:rPr>
              <w:t>August 27, 2020</w:t>
            </w:r>
          </w:p>
        </w:tc>
        <w:tc>
          <w:tcPr>
            <w:tcW w:w="1266" w:type="dxa"/>
            <w:tcBorders>
              <w:top w:val="single" w:sz="6" w:space="0" w:color="auto"/>
              <w:left w:val="single" w:sz="6" w:space="0" w:color="auto"/>
              <w:bottom w:val="single" w:sz="6" w:space="0" w:color="auto"/>
              <w:right w:val="double" w:sz="6" w:space="0" w:color="auto"/>
            </w:tcBorders>
          </w:tcPr>
          <w:p w14:paraId="3414BC5D" w14:textId="2A2D68F4" w:rsidR="002D3E64" w:rsidRPr="00A3554F" w:rsidRDefault="002D3E64" w:rsidP="002D3E64">
            <w:pPr>
              <w:pStyle w:val="TableText"/>
              <w:rPr>
                <w:color w:val="000000"/>
              </w:rPr>
            </w:pPr>
            <w:r>
              <w:rPr>
                <w:color w:val="000000"/>
              </w:rPr>
              <w:t>N/A</w:t>
            </w:r>
          </w:p>
        </w:tc>
      </w:tr>
      <w:tr w:rsidR="002D3E64" w:rsidRPr="00A3554F" w14:paraId="287DAF43" w14:textId="77777777" w:rsidTr="001464DC">
        <w:tc>
          <w:tcPr>
            <w:tcW w:w="1987" w:type="dxa"/>
            <w:tcBorders>
              <w:top w:val="single" w:sz="6" w:space="0" w:color="auto"/>
              <w:left w:val="double" w:sz="6" w:space="0" w:color="auto"/>
              <w:bottom w:val="single" w:sz="6" w:space="0" w:color="auto"/>
            </w:tcBorders>
          </w:tcPr>
          <w:p w14:paraId="375A1161" w14:textId="7BD925D9" w:rsidR="002D3E64" w:rsidRPr="001464DC" w:rsidRDefault="002D3E64" w:rsidP="002D3E64">
            <w:pPr>
              <w:pStyle w:val="TableText"/>
              <w:rPr>
                <w:color w:val="000000"/>
              </w:rPr>
            </w:pPr>
            <w:r w:rsidRPr="001464DC">
              <w:rPr>
                <w:color w:val="000000"/>
              </w:rPr>
              <w:t xml:space="preserve">Juan </w:t>
            </w:r>
            <w:proofErr w:type="spellStart"/>
            <w:r w:rsidRPr="001464DC">
              <w:rPr>
                <w:color w:val="000000"/>
              </w:rPr>
              <w:t>Turruellas</w:t>
            </w:r>
            <w:proofErr w:type="spellEnd"/>
          </w:p>
        </w:tc>
        <w:tc>
          <w:tcPr>
            <w:tcW w:w="1843" w:type="dxa"/>
            <w:tcBorders>
              <w:top w:val="single" w:sz="6" w:space="0" w:color="auto"/>
              <w:left w:val="single" w:sz="6" w:space="0" w:color="auto"/>
              <w:bottom w:val="single" w:sz="6" w:space="0" w:color="auto"/>
            </w:tcBorders>
          </w:tcPr>
          <w:p w14:paraId="15597B40" w14:textId="77777777" w:rsidR="002D3E64" w:rsidRDefault="002D3E64" w:rsidP="002D3E64">
            <w:pPr>
              <w:pStyle w:val="TableText"/>
              <w:rPr>
                <w:color w:val="000000"/>
              </w:rPr>
            </w:pPr>
          </w:p>
        </w:tc>
        <w:tc>
          <w:tcPr>
            <w:tcW w:w="992" w:type="dxa"/>
            <w:tcBorders>
              <w:top w:val="single" w:sz="6" w:space="0" w:color="auto"/>
              <w:left w:val="single" w:sz="6" w:space="0" w:color="auto"/>
              <w:bottom w:val="single" w:sz="6" w:space="0" w:color="auto"/>
            </w:tcBorders>
          </w:tcPr>
          <w:p w14:paraId="24DA04E4" w14:textId="2CDEA81C" w:rsidR="002D3E64" w:rsidRPr="001464DC" w:rsidRDefault="002D3E64" w:rsidP="002D3E64">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5AFA72F9" w14:textId="74E402C6" w:rsidR="002D3E64" w:rsidRPr="001464DC" w:rsidRDefault="002D3E64" w:rsidP="002D3E64">
            <w:pPr>
              <w:pStyle w:val="TableText"/>
              <w:rPr>
                <w:color w:val="000000"/>
              </w:rPr>
            </w:pPr>
            <w:r w:rsidRPr="001464DC">
              <w:rPr>
                <w:color w:val="000000"/>
              </w:rPr>
              <w:t>70,817</w:t>
            </w:r>
          </w:p>
        </w:tc>
        <w:tc>
          <w:tcPr>
            <w:tcW w:w="1134" w:type="dxa"/>
            <w:tcBorders>
              <w:top w:val="single" w:sz="6" w:space="0" w:color="auto"/>
              <w:left w:val="single" w:sz="6" w:space="0" w:color="auto"/>
              <w:bottom w:val="single" w:sz="6" w:space="0" w:color="auto"/>
            </w:tcBorders>
          </w:tcPr>
          <w:p w14:paraId="5519939F" w14:textId="041F5A89" w:rsidR="002D3E64" w:rsidRPr="001464DC" w:rsidRDefault="002D3E64" w:rsidP="002D3E64">
            <w:pPr>
              <w:pStyle w:val="TableText"/>
              <w:rPr>
                <w:color w:val="000000"/>
              </w:rPr>
            </w:pPr>
            <w:r>
              <w:rPr>
                <w:color w:val="000000"/>
              </w:rPr>
              <w:t>$</w:t>
            </w:r>
            <w:r w:rsidRPr="001464DC">
              <w:rPr>
                <w:color w:val="000000"/>
              </w:rPr>
              <w:t>1.08</w:t>
            </w:r>
          </w:p>
        </w:tc>
        <w:tc>
          <w:tcPr>
            <w:tcW w:w="1134" w:type="dxa"/>
            <w:tcBorders>
              <w:top w:val="single" w:sz="6" w:space="0" w:color="auto"/>
              <w:left w:val="single" w:sz="6" w:space="0" w:color="auto"/>
              <w:bottom w:val="single" w:sz="6" w:space="0" w:color="auto"/>
            </w:tcBorders>
          </w:tcPr>
          <w:p w14:paraId="51411A72" w14:textId="60F69F5A" w:rsidR="002D3E64" w:rsidRPr="001464DC" w:rsidRDefault="002D3E64" w:rsidP="002D3E64">
            <w:pPr>
              <w:pStyle w:val="TableText"/>
              <w:rPr>
                <w:color w:val="000000"/>
              </w:rPr>
            </w:pPr>
            <w:r w:rsidRPr="002D3E64">
              <w:rPr>
                <w:color w:val="000000"/>
              </w:rPr>
              <w:t>August 27, 2020</w:t>
            </w:r>
          </w:p>
        </w:tc>
        <w:tc>
          <w:tcPr>
            <w:tcW w:w="1266" w:type="dxa"/>
            <w:tcBorders>
              <w:top w:val="single" w:sz="6" w:space="0" w:color="auto"/>
              <w:left w:val="single" w:sz="6" w:space="0" w:color="auto"/>
              <w:bottom w:val="single" w:sz="6" w:space="0" w:color="auto"/>
              <w:right w:val="double" w:sz="6" w:space="0" w:color="auto"/>
            </w:tcBorders>
          </w:tcPr>
          <w:p w14:paraId="49A05F88" w14:textId="2B2017F5" w:rsidR="002D3E64" w:rsidRPr="00A3554F" w:rsidRDefault="002D3E64" w:rsidP="002D3E64">
            <w:pPr>
              <w:pStyle w:val="TableText"/>
              <w:rPr>
                <w:color w:val="000000"/>
              </w:rPr>
            </w:pPr>
            <w:r w:rsidRPr="00A3554F">
              <w:rPr>
                <w:color w:val="000000"/>
              </w:rPr>
              <w:t>N/A</w:t>
            </w:r>
          </w:p>
        </w:tc>
      </w:tr>
      <w:tr w:rsidR="002D3E64" w:rsidRPr="00A3554F" w14:paraId="42A624BB" w14:textId="77777777" w:rsidTr="001464DC">
        <w:tc>
          <w:tcPr>
            <w:tcW w:w="1987" w:type="dxa"/>
            <w:tcBorders>
              <w:top w:val="single" w:sz="6" w:space="0" w:color="auto"/>
              <w:left w:val="double" w:sz="6" w:space="0" w:color="auto"/>
              <w:bottom w:val="single" w:sz="6" w:space="0" w:color="auto"/>
            </w:tcBorders>
          </w:tcPr>
          <w:p w14:paraId="0C7C540A" w14:textId="548DF702" w:rsidR="002D3E64" w:rsidRPr="001464DC" w:rsidRDefault="002D3E64" w:rsidP="002D3E64">
            <w:pPr>
              <w:pStyle w:val="TableText"/>
              <w:rPr>
                <w:color w:val="000000"/>
              </w:rPr>
            </w:pPr>
            <w:r w:rsidRPr="001464DC">
              <w:rPr>
                <w:color w:val="000000"/>
              </w:rPr>
              <w:t>Bergen Living Trust, Dated 1/8/96</w:t>
            </w:r>
          </w:p>
        </w:tc>
        <w:tc>
          <w:tcPr>
            <w:tcW w:w="1843" w:type="dxa"/>
            <w:tcBorders>
              <w:top w:val="single" w:sz="6" w:space="0" w:color="auto"/>
              <w:left w:val="single" w:sz="6" w:space="0" w:color="auto"/>
              <w:bottom w:val="single" w:sz="6" w:space="0" w:color="auto"/>
            </w:tcBorders>
          </w:tcPr>
          <w:p w14:paraId="18B0B490" w14:textId="77777777" w:rsidR="002D3E64" w:rsidRDefault="002D3E64" w:rsidP="002D3E64">
            <w:pPr>
              <w:pStyle w:val="TableText"/>
              <w:rPr>
                <w:color w:val="000000"/>
              </w:rPr>
            </w:pPr>
          </w:p>
        </w:tc>
        <w:tc>
          <w:tcPr>
            <w:tcW w:w="992" w:type="dxa"/>
            <w:tcBorders>
              <w:top w:val="single" w:sz="6" w:space="0" w:color="auto"/>
              <w:left w:val="single" w:sz="6" w:space="0" w:color="auto"/>
              <w:bottom w:val="single" w:sz="6" w:space="0" w:color="auto"/>
            </w:tcBorders>
          </w:tcPr>
          <w:p w14:paraId="4E0BC33E" w14:textId="6A4B6681" w:rsidR="002D3E64" w:rsidRPr="001464DC" w:rsidRDefault="002D3E64" w:rsidP="002D3E64">
            <w:pPr>
              <w:pStyle w:val="TableText"/>
              <w:rPr>
                <w:color w:val="000000"/>
              </w:rPr>
            </w:pPr>
            <w:r w:rsidRPr="001464DC">
              <w:rPr>
                <w:color w:val="000000"/>
              </w:rPr>
              <w:t>No</w:t>
            </w:r>
          </w:p>
        </w:tc>
        <w:tc>
          <w:tcPr>
            <w:tcW w:w="1276" w:type="dxa"/>
            <w:tcBorders>
              <w:top w:val="single" w:sz="6" w:space="0" w:color="auto"/>
              <w:left w:val="single" w:sz="6" w:space="0" w:color="auto"/>
              <w:bottom w:val="single" w:sz="6" w:space="0" w:color="auto"/>
            </w:tcBorders>
          </w:tcPr>
          <w:p w14:paraId="344DED94" w14:textId="69A85760" w:rsidR="002D3E64" w:rsidRPr="001464DC" w:rsidRDefault="002D3E64" w:rsidP="002D3E64">
            <w:pPr>
              <w:pStyle w:val="TableText"/>
              <w:rPr>
                <w:color w:val="000000"/>
              </w:rPr>
            </w:pPr>
            <w:r w:rsidRPr="001464DC">
              <w:rPr>
                <w:color w:val="000000"/>
              </w:rPr>
              <w:t>70,534</w:t>
            </w:r>
          </w:p>
        </w:tc>
        <w:tc>
          <w:tcPr>
            <w:tcW w:w="1134" w:type="dxa"/>
            <w:tcBorders>
              <w:top w:val="single" w:sz="6" w:space="0" w:color="auto"/>
              <w:left w:val="single" w:sz="6" w:space="0" w:color="auto"/>
              <w:bottom w:val="single" w:sz="6" w:space="0" w:color="auto"/>
            </w:tcBorders>
          </w:tcPr>
          <w:p w14:paraId="2CA00841" w14:textId="331D3FA5" w:rsidR="002D3E64" w:rsidRPr="001464DC" w:rsidRDefault="002D3E64" w:rsidP="002D3E64">
            <w:pPr>
              <w:pStyle w:val="TableText"/>
              <w:rPr>
                <w:color w:val="000000"/>
              </w:rPr>
            </w:pPr>
            <w:r>
              <w:rPr>
                <w:color w:val="000000"/>
              </w:rPr>
              <w:t>$</w:t>
            </w:r>
            <w:r w:rsidRPr="001464DC">
              <w:rPr>
                <w:color w:val="000000"/>
              </w:rPr>
              <w:t>1.08</w:t>
            </w:r>
          </w:p>
        </w:tc>
        <w:tc>
          <w:tcPr>
            <w:tcW w:w="1134" w:type="dxa"/>
            <w:tcBorders>
              <w:top w:val="single" w:sz="6" w:space="0" w:color="auto"/>
              <w:left w:val="single" w:sz="6" w:space="0" w:color="auto"/>
              <w:bottom w:val="single" w:sz="6" w:space="0" w:color="auto"/>
            </w:tcBorders>
          </w:tcPr>
          <w:p w14:paraId="12697604" w14:textId="704C2FDC" w:rsidR="002D3E64" w:rsidRPr="001464DC" w:rsidRDefault="002D3E64" w:rsidP="002D3E64">
            <w:pPr>
              <w:pStyle w:val="TableText"/>
              <w:rPr>
                <w:color w:val="000000"/>
              </w:rPr>
            </w:pPr>
            <w:r w:rsidRPr="002D3E64">
              <w:rPr>
                <w:color w:val="000000"/>
              </w:rPr>
              <w:t>August 27, 2020</w:t>
            </w:r>
          </w:p>
        </w:tc>
        <w:tc>
          <w:tcPr>
            <w:tcW w:w="1266" w:type="dxa"/>
            <w:tcBorders>
              <w:top w:val="single" w:sz="6" w:space="0" w:color="auto"/>
              <w:left w:val="single" w:sz="6" w:space="0" w:color="auto"/>
              <w:bottom w:val="single" w:sz="6" w:space="0" w:color="auto"/>
              <w:right w:val="double" w:sz="6" w:space="0" w:color="auto"/>
            </w:tcBorders>
          </w:tcPr>
          <w:p w14:paraId="72E1271B" w14:textId="0AC79128" w:rsidR="002D3E64" w:rsidRPr="00A3554F" w:rsidRDefault="002D3E64" w:rsidP="002D3E64">
            <w:pPr>
              <w:pStyle w:val="TableText"/>
              <w:rPr>
                <w:color w:val="000000"/>
              </w:rPr>
            </w:pPr>
            <w:r w:rsidRPr="00A3554F">
              <w:rPr>
                <w:color w:val="000000"/>
              </w:rPr>
              <w:t>N/A</w:t>
            </w:r>
          </w:p>
        </w:tc>
      </w:tr>
      <w:tr w:rsidR="002D3E64" w:rsidRPr="00A3554F" w14:paraId="2B325757" w14:textId="77777777" w:rsidTr="001464DC">
        <w:tc>
          <w:tcPr>
            <w:tcW w:w="1987" w:type="dxa"/>
            <w:tcBorders>
              <w:top w:val="single" w:sz="6" w:space="0" w:color="auto"/>
              <w:left w:val="double" w:sz="6" w:space="0" w:color="auto"/>
              <w:bottom w:val="single" w:sz="6" w:space="0" w:color="auto"/>
            </w:tcBorders>
          </w:tcPr>
          <w:p w14:paraId="57108AB4" w14:textId="77777777" w:rsidR="002D3E64" w:rsidRPr="001464DC" w:rsidRDefault="002D3E64" w:rsidP="002D3E64">
            <w:pPr>
              <w:pStyle w:val="TableText"/>
              <w:rPr>
                <w:color w:val="000000"/>
              </w:rPr>
            </w:pPr>
          </w:p>
        </w:tc>
        <w:tc>
          <w:tcPr>
            <w:tcW w:w="1843" w:type="dxa"/>
            <w:tcBorders>
              <w:top w:val="single" w:sz="6" w:space="0" w:color="auto"/>
              <w:left w:val="single" w:sz="6" w:space="0" w:color="auto"/>
              <w:bottom w:val="single" w:sz="6" w:space="0" w:color="auto"/>
            </w:tcBorders>
          </w:tcPr>
          <w:p w14:paraId="30A60ABC" w14:textId="77777777" w:rsidR="002D3E64" w:rsidRDefault="002D3E64" w:rsidP="002D3E64">
            <w:pPr>
              <w:pStyle w:val="TableText"/>
              <w:rPr>
                <w:color w:val="000000"/>
              </w:rPr>
            </w:pPr>
          </w:p>
        </w:tc>
        <w:tc>
          <w:tcPr>
            <w:tcW w:w="992" w:type="dxa"/>
            <w:tcBorders>
              <w:top w:val="single" w:sz="6" w:space="0" w:color="auto"/>
              <w:left w:val="single" w:sz="6" w:space="0" w:color="auto"/>
              <w:bottom w:val="single" w:sz="6" w:space="0" w:color="auto"/>
            </w:tcBorders>
          </w:tcPr>
          <w:p w14:paraId="6CF6A4FD" w14:textId="77777777" w:rsidR="002D3E64" w:rsidRPr="001464DC" w:rsidRDefault="002D3E64" w:rsidP="002D3E64">
            <w:pPr>
              <w:pStyle w:val="TableText"/>
              <w:rPr>
                <w:color w:val="000000"/>
              </w:rPr>
            </w:pPr>
          </w:p>
        </w:tc>
        <w:tc>
          <w:tcPr>
            <w:tcW w:w="1276" w:type="dxa"/>
            <w:tcBorders>
              <w:top w:val="single" w:sz="6" w:space="0" w:color="auto"/>
              <w:left w:val="single" w:sz="6" w:space="0" w:color="auto"/>
              <w:bottom w:val="single" w:sz="6" w:space="0" w:color="auto"/>
            </w:tcBorders>
          </w:tcPr>
          <w:p w14:paraId="4D245DD1" w14:textId="77777777" w:rsidR="002D3E64" w:rsidRPr="001464DC" w:rsidRDefault="002D3E64" w:rsidP="002D3E64">
            <w:pPr>
              <w:pStyle w:val="TableText"/>
              <w:rPr>
                <w:color w:val="000000"/>
              </w:rPr>
            </w:pPr>
          </w:p>
        </w:tc>
        <w:tc>
          <w:tcPr>
            <w:tcW w:w="1134" w:type="dxa"/>
            <w:tcBorders>
              <w:top w:val="single" w:sz="6" w:space="0" w:color="auto"/>
              <w:left w:val="single" w:sz="6" w:space="0" w:color="auto"/>
              <w:bottom w:val="single" w:sz="6" w:space="0" w:color="auto"/>
            </w:tcBorders>
          </w:tcPr>
          <w:p w14:paraId="073007F3" w14:textId="77777777" w:rsidR="002D3E64" w:rsidRPr="001464DC" w:rsidRDefault="002D3E64" w:rsidP="002D3E64">
            <w:pPr>
              <w:pStyle w:val="TableText"/>
              <w:rPr>
                <w:color w:val="000000"/>
              </w:rPr>
            </w:pPr>
          </w:p>
        </w:tc>
        <w:tc>
          <w:tcPr>
            <w:tcW w:w="1134" w:type="dxa"/>
            <w:tcBorders>
              <w:top w:val="single" w:sz="6" w:space="0" w:color="auto"/>
              <w:left w:val="single" w:sz="6" w:space="0" w:color="auto"/>
              <w:bottom w:val="single" w:sz="6" w:space="0" w:color="auto"/>
            </w:tcBorders>
          </w:tcPr>
          <w:p w14:paraId="58ADB3C4" w14:textId="77777777" w:rsidR="002D3E64" w:rsidRPr="001464DC" w:rsidRDefault="002D3E64" w:rsidP="002D3E64">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1AD652C7" w14:textId="77777777" w:rsidR="002D3E64" w:rsidRPr="00A3554F" w:rsidRDefault="002D3E64" w:rsidP="002D3E64">
            <w:pPr>
              <w:pStyle w:val="TableText"/>
              <w:rPr>
                <w:color w:val="000000"/>
              </w:rPr>
            </w:pPr>
          </w:p>
        </w:tc>
      </w:tr>
      <w:tr w:rsidR="002D3E64" w:rsidRPr="00A3554F" w14:paraId="0A4F5ED4" w14:textId="77777777" w:rsidTr="001464DC">
        <w:tc>
          <w:tcPr>
            <w:tcW w:w="1987" w:type="dxa"/>
            <w:tcBorders>
              <w:top w:val="single" w:sz="6" w:space="0" w:color="auto"/>
              <w:left w:val="double" w:sz="6" w:space="0" w:color="auto"/>
              <w:bottom w:val="single" w:sz="6" w:space="0" w:color="auto"/>
            </w:tcBorders>
          </w:tcPr>
          <w:p w14:paraId="2D3CF4B0" w14:textId="12A58368" w:rsidR="002D3E64" w:rsidRPr="001464DC" w:rsidRDefault="002D3E64" w:rsidP="002D3E64">
            <w:pPr>
              <w:pStyle w:val="TableText"/>
              <w:rPr>
                <w:color w:val="000000"/>
              </w:rPr>
            </w:pPr>
            <w:r w:rsidRPr="001464DC">
              <w:rPr>
                <w:color w:val="000000"/>
              </w:rPr>
              <w:t xml:space="preserve">John </w:t>
            </w:r>
            <w:proofErr w:type="spellStart"/>
            <w:r w:rsidRPr="001464DC">
              <w:rPr>
                <w:color w:val="000000"/>
              </w:rPr>
              <w:t>Kanwischer</w:t>
            </w:r>
            <w:proofErr w:type="spellEnd"/>
          </w:p>
        </w:tc>
        <w:tc>
          <w:tcPr>
            <w:tcW w:w="1843" w:type="dxa"/>
            <w:tcBorders>
              <w:top w:val="single" w:sz="6" w:space="0" w:color="auto"/>
              <w:left w:val="single" w:sz="6" w:space="0" w:color="auto"/>
              <w:bottom w:val="single" w:sz="6" w:space="0" w:color="auto"/>
            </w:tcBorders>
          </w:tcPr>
          <w:p w14:paraId="1683DCE1" w14:textId="40D76E94" w:rsidR="002D3E64" w:rsidRDefault="002D3E64" w:rsidP="002D3E64">
            <w:pPr>
              <w:pStyle w:val="TableText"/>
              <w:rPr>
                <w:color w:val="000000"/>
              </w:rPr>
            </w:pPr>
            <w:r>
              <w:rPr>
                <w:color w:val="000000"/>
              </w:rPr>
              <w:t>Advisor</w:t>
            </w:r>
          </w:p>
        </w:tc>
        <w:tc>
          <w:tcPr>
            <w:tcW w:w="992" w:type="dxa"/>
            <w:tcBorders>
              <w:top w:val="single" w:sz="6" w:space="0" w:color="auto"/>
              <w:left w:val="single" w:sz="6" w:space="0" w:color="auto"/>
              <w:bottom w:val="single" w:sz="6" w:space="0" w:color="auto"/>
            </w:tcBorders>
          </w:tcPr>
          <w:p w14:paraId="5BBD6E84" w14:textId="3A23128C" w:rsidR="002D3E64" w:rsidRDefault="002D3E64" w:rsidP="002D3E64">
            <w:pPr>
              <w:pStyle w:val="TableText"/>
              <w:rPr>
                <w:color w:val="000000"/>
              </w:rPr>
            </w:pPr>
            <w:r>
              <w:rPr>
                <w:color w:val="000000"/>
              </w:rPr>
              <w:t>No</w:t>
            </w:r>
          </w:p>
        </w:tc>
        <w:tc>
          <w:tcPr>
            <w:tcW w:w="1276" w:type="dxa"/>
            <w:tcBorders>
              <w:top w:val="single" w:sz="6" w:space="0" w:color="auto"/>
              <w:left w:val="single" w:sz="6" w:space="0" w:color="auto"/>
              <w:bottom w:val="single" w:sz="6" w:space="0" w:color="auto"/>
            </w:tcBorders>
          </w:tcPr>
          <w:p w14:paraId="0D45A26F" w14:textId="705E717F" w:rsidR="002D3E64" w:rsidRDefault="002D3E64" w:rsidP="002D3E64">
            <w:pPr>
              <w:pStyle w:val="TableText"/>
              <w:rPr>
                <w:color w:val="000000"/>
              </w:rPr>
            </w:pPr>
            <w:r>
              <w:rPr>
                <w:color w:val="000000"/>
              </w:rPr>
              <w:t>40,000</w:t>
            </w:r>
          </w:p>
        </w:tc>
        <w:tc>
          <w:tcPr>
            <w:tcW w:w="1134" w:type="dxa"/>
            <w:tcBorders>
              <w:top w:val="single" w:sz="6" w:space="0" w:color="auto"/>
              <w:left w:val="single" w:sz="6" w:space="0" w:color="auto"/>
              <w:bottom w:val="single" w:sz="6" w:space="0" w:color="auto"/>
            </w:tcBorders>
          </w:tcPr>
          <w:p w14:paraId="4375460E" w14:textId="23BA09F8" w:rsidR="002D3E64" w:rsidRPr="001464DC" w:rsidRDefault="002D3E64" w:rsidP="002D3E64">
            <w:pPr>
              <w:pStyle w:val="TableText"/>
              <w:rPr>
                <w:color w:val="000000"/>
              </w:rPr>
            </w:pPr>
            <w:r>
              <w:rPr>
                <w:color w:val="000000"/>
              </w:rPr>
              <w:t>$</w:t>
            </w:r>
            <w:r w:rsidRPr="001464DC">
              <w:rPr>
                <w:color w:val="000000"/>
              </w:rPr>
              <w:t>0.25</w:t>
            </w:r>
          </w:p>
        </w:tc>
        <w:tc>
          <w:tcPr>
            <w:tcW w:w="1134" w:type="dxa"/>
            <w:tcBorders>
              <w:top w:val="single" w:sz="6" w:space="0" w:color="auto"/>
              <w:left w:val="single" w:sz="6" w:space="0" w:color="auto"/>
              <w:bottom w:val="single" w:sz="6" w:space="0" w:color="auto"/>
            </w:tcBorders>
          </w:tcPr>
          <w:p w14:paraId="050D56BD" w14:textId="77777777" w:rsidR="002D3E64" w:rsidRPr="001464DC" w:rsidRDefault="002D3E64" w:rsidP="002D3E64">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6BC5475B" w14:textId="77777777" w:rsidR="002D3E64" w:rsidRPr="00A3554F" w:rsidRDefault="002D3E64" w:rsidP="002D3E64">
            <w:pPr>
              <w:pStyle w:val="TableText"/>
              <w:rPr>
                <w:color w:val="000000"/>
              </w:rPr>
            </w:pPr>
          </w:p>
        </w:tc>
      </w:tr>
      <w:tr w:rsidR="002D3E64" w:rsidRPr="00A3554F" w14:paraId="0D2FD92F" w14:textId="77777777" w:rsidTr="001464DC">
        <w:tc>
          <w:tcPr>
            <w:tcW w:w="1987" w:type="dxa"/>
            <w:tcBorders>
              <w:top w:val="single" w:sz="6" w:space="0" w:color="auto"/>
              <w:left w:val="double" w:sz="6" w:space="0" w:color="auto"/>
              <w:bottom w:val="single" w:sz="6" w:space="0" w:color="auto"/>
            </w:tcBorders>
          </w:tcPr>
          <w:p w14:paraId="553D884D" w14:textId="77777777" w:rsidR="002D3E64" w:rsidRPr="001464DC" w:rsidRDefault="002D3E64" w:rsidP="002D3E64">
            <w:pPr>
              <w:pStyle w:val="TableText"/>
              <w:rPr>
                <w:color w:val="000000"/>
              </w:rPr>
            </w:pPr>
          </w:p>
        </w:tc>
        <w:tc>
          <w:tcPr>
            <w:tcW w:w="1843" w:type="dxa"/>
            <w:tcBorders>
              <w:top w:val="single" w:sz="6" w:space="0" w:color="auto"/>
              <w:left w:val="single" w:sz="6" w:space="0" w:color="auto"/>
              <w:bottom w:val="single" w:sz="6" w:space="0" w:color="auto"/>
            </w:tcBorders>
          </w:tcPr>
          <w:p w14:paraId="34A2DFF8" w14:textId="77777777" w:rsidR="002D3E64" w:rsidRDefault="002D3E64" w:rsidP="002D3E64">
            <w:pPr>
              <w:pStyle w:val="TableText"/>
              <w:rPr>
                <w:color w:val="000000"/>
              </w:rPr>
            </w:pPr>
          </w:p>
        </w:tc>
        <w:tc>
          <w:tcPr>
            <w:tcW w:w="992" w:type="dxa"/>
            <w:tcBorders>
              <w:top w:val="single" w:sz="6" w:space="0" w:color="auto"/>
              <w:left w:val="single" w:sz="6" w:space="0" w:color="auto"/>
              <w:bottom w:val="single" w:sz="6" w:space="0" w:color="auto"/>
            </w:tcBorders>
          </w:tcPr>
          <w:p w14:paraId="6776F972" w14:textId="77777777" w:rsidR="002D3E64" w:rsidRDefault="002D3E64" w:rsidP="002D3E64">
            <w:pPr>
              <w:pStyle w:val="TableText"/>
              <w:rPr>
                <w:color w:val="000000"/>
              </w:rPr>
            </w:pPr>
          </w:p>
        </w:tc>
        <w:tc>
          <w:tcPr>
            <w:tcW w:w="1276" w:type="dxa"/>
            <w:tcBorders>
              <w:top w:val="single" w:sz="6" w:space="0" w:color="auto"/>
              <w:left w:val="single" w:sz="6" w:space="0" w:color="auto"/>
              <w:bottom w:val="single" w:sz="6" w:space="0" w:color="auto"/>
            </w:tcBorders>
          </w:tcPr>
          <w:p w14:paraId="5A4C67C6" w14:textId="77777777" w:rsidR="002D3E64" w:rsidRDefault="002D3E64" w:rsidP="002D3E64">
            <w:pPr>
              <w:pStyle w:val="TableText"/>
              <w:rPr>
                <w:color w:val="000000"/>
              </w:rPr>
            </w:pPr>
          </w:p>
        </w:tc>
        <w:tc>
          <w:tcPr>
            <w:tcW w:w="1134" w:type="dxa"/>
            <w:tcBorders>
              <w:top w:val="single" w:sz="6" w:space="0" w:color="auto"/>
              <w:left w:val="single" w:sz="6" w:space="0" w:color="auto"/>
              <w:bottom w:val="single" w:sz="6" w:space="0" w:color="auto"/>
            </w:tcBorders>
          </w:tcPr>
          <w:p w14:paraId="4035FD35" w14:textId="77777777" w:rsidR="002D3E64" w:rsidRPr="001464DC" w:rsidRDefault="002D3E64" w:rsidP="002D3E64">
            <w:pPr>
              <w:pStyle w:val="TableText"/>
              <w:rPr>
                <w:color w:val="000000"/>
              </w:rPr>
            </w:pPr>
          </w:p>
        </w:tc>
        <w:tc>
          <w:tcPr>
            <w:tcW w:w="1134" w:type="dxa"/>
            <w:tcBorders>
              <w:top w:val="single" w:sz="6" w:space="0" w:color="auto"/>
              <w:left w:val="single" w:sz="6" w:space="0" w:color="auto"/>
              <w:bottom w:val="single" w:sz="6" w:space="0" w:color="auto"/>
            </w:tcBorders>
          </w:tcPr>
          <w:p w14:paraId="723FB1C4" w14:textId="77777777" w:rsidR="002D3E64" w:rsidRPr="001464DC" w:rsidRDefault="002D3E64" w:rsidP="002D3E64">
            <w:pPr>
              <w:pStyle w:val="TableText"/>
              <w:rPr>
                <w:color w:val="000000"/>
              </w:rPr>
            </w:pPr>
          </w:p>
        </w:tc>
        <w:tc>
          <w:tcPr>
            <w:tcW w:w="1266" w:type="dxa"/>
            <w:tcBorders>
              <w:top w:val="single" w:sz="6" w:space="0" w:color="auto"/>
              <w:left w:val="single" w:sz="6" w:space="0" w:color="auto"/>
              <w:bottom w:val="single" w:sz="6" w:space="0" w:color="auto"/>
              <w:right w:val="double" w:sz="6" w:space="0" w:color="auto"/>
            </w:tcBorders>
          </w:tcPr>
          <w:p w14:paraId="1093B267" w14:textId="77777777" w:rsidR="002D3E64" w:rsidRPr="00A3554F" w:rsidRDefault="002D3E64" w:rsidP="002D3E64">
            <w:pPr>
              <w:pStyle w:val="TableText"/>
              <w:rPr>
                <w:color w:val="000000"/>
              </w:rPr>
            </w:pPr>
          </w:p>
        </w:tc>
      </w:tr>
      <w:tr w:rsidR="002D3E64" w:rsidRPr="00A3554F" w14:paraId="6042FEE7" w14:textId="77777777" w:rsidTr="001464DC">
        <w:tc>
          <w:tcPr>
            <w:tcW w:w="1987" w:type="dxa"/>
            <w:tcBorders>
              <w:left w:val="double" w:sz="6" w:space="0" w:color="auto"/>
            </w:tcBorders>
          </w:tcPr>
          <w:p w14:paraId="370AEF03" w14:textId="7BA39707" w:rsidR="002D3E64" w:rsidRPr="001464DC" w:rsidRDefault="002D3E64" w:rsidP="002D3E64">
            <w:pPr>
              <w:pStyle w:val="TableText"/>
              <w:rPr>
                <w:color w:val="000000"/>
              </w:rPr>
            </w:pPr>
            <w:proofErr w:type="spellStart"/>
            <w:r>
              <w:rPr>
                <w:color w:val="000000"/>
              </w:rPr>
              <w:t>Decentranet</w:t>
            </w:r>
            <w:proofErr w:type="spellEnd"/>
            <w:r>
              <w:rPr>
                <w:color w:val="000000"/>
              </w:rPr>
              <w:t>, LLC</w:t>
            </w:r>
          </w:p>
        </w:tc>
        <w:tc>
          <w:tcPr>
            <w:tcW w:w="1843" w:type="dxa"/>
            <w:tcBorders>
              <w:left w:val="single" w:sz="6" w:space="0" w:color="auto"/>
            </w:tcBorders>
          </w:tcPr>
          <w:p w14:paraId="39801DFB" w14:textId="4DE5D218" w:rsidR="002D3E64" w:rsidRDefault="002D3E64" w:rsidP="002D3E64">
            <w:pPr>
              <w:pStyle w:val="TableText"/>
              <w:rPr>
                <w:color w:val="000000"/>
              </w:rPr>
            </w:pPr>
            <w:r>
              <w:rPr>
                <w:color w:val="000000"/>
              </w:rPr>
              <w:t>Advisor</w:t>
            </w:r>
          </w:p>
        </w:tc>
        <w:tc>
          <w:tcPr>
            <w:tcW w:w="992" w:type="dxa"/>
            <w:tcBorders>
              <w:left w:val="single" w:sz="6" w:space="0" w:color="auto"/>
            </w:tcBorders>
          </w:tcPr>
          <w:p w14:paraId="030B0280" w14:textId="63E8529A" w:rsidR="002D3E64" w:rsidRDefault="002D3E64" w:rsidP="002D3E64">
            <w:pPr>
              <w:pStyle w:val="TableText"/>
              <w:rPr>
                <w:color w:val="000000"/>
              </w:rPr>
            </w:pPr>
            <w:r w:rsidRPr="007A1D15">
              <w:rPr>
                <w:color w:val="000000"/>
              </w:rPr>
              <w:t>No</w:t>
            </w:r>
          </w:p>
        </w:tc>
        <w:tc>
          <w:tcPr>
            <w:tcW w:w="1276" w:type="dxa"/>
            <w:tcBorders>
              <w:left w:val="single" w:sz="6" w:space="0" w:color="auto"/>
            </w:tcBorders>
          </w:tcPr>
          <w:p w14:paraId="586B9395" w14:textId="74E1B771" w:rsidR="002D3E64" w:rsidRDefault="002D3E64" w:rsidP="002D3E64">
            <w:pPr>
              <w:pStyle w:val="TableText"/>
              <w:rPr>
                <w:color w:val="000000"/>
              </w:rPr>
            </w:pPr>
            <w:r>
              <w:rPr>
                <w:color w:val="000000"/>
              </w:rPr>
              <w:t>200,000</w:t>
            </w:r>
          </w:p>
        </w:tc>
        <w:tc>
          <w:tcPr>
            <w:tcW w:w="1134" w:type="dxa"/>
            <w:tcBorders>
              <w:left w:val="single" w:sz="6" w:space="0" w:color="auto"/>
            </w:tcBorders>
          </w:tcPr>
          <w:p w14:paraId="3209A5FB" w14:textId="56686C84" w:rsidR="002D3E64" w:rsidRPr="001464DC" w:rsidRDefault="002D3E64" w:rsidP="002D3E64">
            <w:pPr>
              <w:pStyle w:val="TableText"/>
              <w:rPr>
                <w:color w:val="000000"/>
              </w:rPr>
            </w:pPr>
            <w:r>
              <w:rPr>
                <w:color w:val="000000"/>
              </w:rPr>
              <w:t>$0.95</w:t>
            </w:r>
          </w:p>
        </w:tc>
        <w:tc>
          <w:tcPr>
            <w:tcW w:w="1134" w:type="dxa"/>
            <w:tcBorders>
              <w:left w:val="single" w:sz="6" w:space="0" w:color="auto"/>
            </w:tcBorders>
          </w:tcPr>
          <w:p w14:paraId="3731596A" w14:textId="7F17F9BD" w:rsidR="002D3E64" w:rsidRPr="001464DC" w:rsidRDefault="002D3E64" w:rsidP="002D3E64">
            <w:pPr>
              <w:pStyle w:val="TableText"/>
              <w:rPr>
                <w:color w:val="000000"/>
              </w:rPr>
            </w:pPr>
            <w:r w:rsidRPr="002C757E">
              <w:rPr>
                <w:color w:val="000000"/>
              </w:rPr>
              <w:t>April 15, 2021</w:t>
            </w:r>
          </w:p>
        </w:tc>
        <w:tc>
          <w:tcPr>
            <w:tcW w:w="1266" w:type="dxa"/>
            <w:tcBorders>
              <w:left w:val="single" w:sz="6" w:space="0" w:color="auto"/>
              <w:right w:val="double" w:sz="6" w:space="0" w:color="auto"/>
            </w:tcBorders>
          </w:tcPr>
          <w:p w14:paraId="7B3FF911" w14:textId="55D4B62E" w:rsidR="002D3E64" w:rsidRPr="00A3554F" w:rsidRDefault="002D3E64" w:rsidP="002D3E64">
            <w:pPr>
              <w:pStyle w:val="TableText"/>
              <w:jc w:val="center"/>
              <w:rPr>
                <w:color w:val="000000"/>
              </w:rPr>
            </w:pPr>
            <w:r>
              <w:rPr>
                <w:color w:val="000000"/>
              </w:rPr>
              <w:t>N/A</w:t>
            </w:r>
          </w:p>
        </w:tc>
      </w:tr>
      <w:tr w:rsidR="002D3E64" w14:paraId="514187E5" w14:textId="77777777" w:rsidTr="001464DC">
        <w:tc>
          <w:tcPr>
            <w:tcW w:w="1987" w:type="dxa"/>
            <w:tcBorders>
              <w:top w:val="single" w:sz="6" w:space="0" w:color="auto"/>
              <w:left w:val="double" w:sz="6" w:space="0" w:color="auto"/>
              <w:bottom w:val="single" w:sz="6" w:space="0" w:color="auto"/>
            </w:tcBorders>
          </w:tcPr>
          <w:p w14:paraId="352021B1" w14:textId="176FE412" w:rsidR="002D3E64" w:rsidRPr="00BF3FB4" w:rsidRDefault="002D3E64" w:rsidP="002D3E64">
            <w:pPr>
              <w:pStyle w:val="TableText"/>
              <w:rPr>
                <w:color w:val="000000"/>
              </w:rPr>
            </w:pPr>
            <w:r>
              <w:rPr>
                <w:color w:val="000000"/>
              </w:rPr>
              <w:t>Taylor Macdonald/ Caerus Capital</w:t>
            </w:r>
          </w:p>
        </w:tc>
        <w:tc>
          <w:tcPr>
            <w:tcW w:w="1843" w:type="dxa"/>
            <w:tcBorders>
              <w:top w:val="single" w:sz="6" w:space="0" w:color="auto"/>
              <w:left w:val="single" w:sz="6" w:space="0" w:color="auto"/>
              <w:bottom w:val="single" w:sz="6" w:space="0" w:color="auto"/>
            </w:tcBorders>
          </w:tcPr>
          <w:p w14:paraId="2CB95114" w14:textId="589B2A3E" w:rsidR="002D3E64" w:rsidRDefault="002D3E64" w:rsidP="002D3E64">
            <w:pPr>
              <w:pStyle w:val="TableText"/>
              <w:rPr>
                <w:color w:val="000000"/>
              </w:rPr>
            </w:pPr>
            <w:r>
              <w:rPr>
                <w:color w:val="000000"/>
              </w:rPr>
              <w:t>Advisor</w:t>
            </w:r>
          </w:p>
        </w:tc>
        <w:tc>
          <w:tcPr>
            <w:tcW w:w="992" w:type="dxa"/>
            <w:tcBorders>
              <w:top w:val="single" w:sz="6" w:space="0" w:color="auto"/>
              <w:left w:val="single" w:sz="6" w:space="0" w:color="auto"/>
              <w:bottom w:val="single" w:sz="6" w:space="0" w:color="auto"/>
            </w:tcBorders>
          </w:tcPr>
          <w:p w14:paraId="5C683492" w14:textId="33143B49" w:rsidR="002D3E64" w:rsidRPr="002C757E" w:rsidRDefault="002D3E64" w:rsidP="002D3E64">
            <w:pPr>
              <w:pStyle w:val="TableText"/>
              <w:rPr>
                <w:color w:val="000000"/>
              </w:rPr>
            </w:pPr>
            <w:r w:rsidRPr="007A1D15">
              <w:rPr>
                <w:color w:val="000000"/>
              </w:rPr>
              <w:t>No</w:t>
            </w:r>
          </w:p>
        </w:tc>
        <w:tc>
          <w:tcPr>
            <w:tcW w:w="1276" w:type="dxa"/>
            <w:tcBorders>
              <w:top w:val="single" w:sz="6" w:space="0" w:color="auto"/>
              <w:left w:val="single" w:sz="6" w:space="0" w:color="auto"/>
              <w:bottom w:val="single" w:sz="6" w:space="0" w:color="auto"/>
            </w:tcBorders>
          </w:tcPr>
          <w:p w14:paraId="24B5A9BF" w14:textId="05BFC30D" w:rsidR="002D3E64" w:rsidRDefault="002D3E64" w:rsidP="002D3E64">
            <w:pPr>
              <w:pStyle w:val="TableText"/>
              <w:rPr>
                <w:color w:val="000000"/>
              </w:rPr>
            </w:pPr>
            <w:r>
              <w:rPr>
                <w:color w:val="000000"/>
              </w:rPr>
              <w:t>100,000</w:t>
            </w:r>
          </w:p>
        </w:tc>
        <w:tc>
          <w:tcPr>
            <w:tcW w:w="1134" w:type="dxa"/>
            <w:tcBorders>
              <w:top w:val="single" w:sz="6" w:space="0" w:color="auto"/>
              <w:left w:val="single" w:sz="6" w:space="0" w:color="auto"/>
              <w:bottom w:val="single" w:sz="6" w:space="0" w:color="auto"/>
            </w:tcBorders>
          </w:tcPr>
          <w:p w14:paraId="683DBCA8" w14:textId="315DCA82" w:rsidR="002D3E64" w:rsidRDefault="002D3E64" w:rsidP="002D3E64">
            <w:pPr>
              <w:pStyle w:val="TableText"/>
              <w:rPr>
                <w:color w:val="000000"/>
              </w:rPr>
            </w:pPr>
            <w:r w:rsidRPr="002C757E">
              <w:rPr>
                <w:color w:val="000000"/>
              </w:rPr>
              <w:t>$0.95</w:t>
            </w:r>
          </w:p>
        </w:tc>
        <w:tc>
          <w:tcPr>
            <w:tcW w:w="1134" w:type="dxa"/>
            <w:tcBorders>
              <w:top w:val="single" w:sz="6" w:space="0" w:color="auto"/>
              <w:left w:val="single" w:sz="6" w:space="0" w:color="auto"/>
              <w:bottom w:val="single" w:sz="6" w:space="0" w:color="auto"/>
            </w:tcBorders>
          </w:tcPr>
          <w:p w14:paraId="237B62AF" w14:textId="780CA609" w:rsidR="002D3E64" w:rsidRPr="002C757E" w:rsidRDefault="002D3E64" w:rsidP="002D3E64">
            <w:pPr>
              <w:pStyle w:val="TableText"/>
              <w:rPr>
                <w:color w:val="000000"/>
              </w:rPr>
            </w:pPr>
            <w:r w:rsidRPr="002C757E">
              <w:rPr>
                <w:color w:val="000000"/>
              </w:rPr>
              <w:t>April 15, 2021</w:t>
            </w:r>
          </w:p>
        </w:tc>
        <w:tc>
          <w:tcPr>
            <w:tcW w:w="1266" w:type="dxa"/>
            <w:tcBorders>
              <w:top w:val="single" w:sz="6" w:space="0" w:color="auto"/>
              <w:left w:val="single" w:sz="6" w:space="0" w:color="auto"/>
              <w:bottom w:val="single" w:sz="6" w:space="0" w:color="auto"/>
              <w:right w:val="double" w:sz="6" w:space="0" w:color="auto"/>
            </w:tcBorders>
          </w:tcPr>
          <w:p w14:paraId="4F858B65" w14:textId="02B72254" w:rsidR="002D3E64" w:rsidRDefault="002D3E64" w:rsidP="002D3E64">
            <w:pPr>
              <w:pStyle w:val="TableText"/>
              <w:jc w:val="center"/>
              <w:rPr>
                <w:color w:val="000000"/>
              </w:rPr>
            </w:pPr>
            <w:r w:rsidRPr="00A3554F">
              <w:rPr>
                <w:color w:val="000000"/>
              </w:rPr>
              <w:t>N/A</w:t>
            </w:r>
          </w:p>
        </w:tc>
      </w:tr>
      <w:tr w:rsidR="002D3E64" w14:paraId="669C5198" w14:textId="77777777" w:rsidTr="001464DC">
        <w:tc>
          <w:tcPr>
            <w:tcW w:w="1987" w:type="dxa"/>
            <w:tcBorders>
              <w:top w:val="single" w:sz="6" w:space="0" w:color="auto"/>
              <w:left w:val="double" w:sz="6" w:space="0" w:color="auto"/>
              <w:bottom w:val="single" w:sz="6" w:space="0" w:color="auto"/>
            </w:tcBorders>
          </w:tcPr>
          <w:p w14:paraId="5A072CBD" w14:textId="46ACAACF" w:rsidR="002D3E64" w:rsidRDefault="002D3E64" w:rsidP="002D3E64">
            <w:pPr>
              <w:pStyle w:val="TableText"/>
              <w:rPr>
                <w:color w:val="000000"/>
              </w:rPr>
            </w:pPr>
          </w:p>
        </w:tc>
        <w:tc>
          <w:tcPr>
            <w:tcW w:w="1843" w:type="dxa"/>
            <w:tcBorders>
              <w:top w:val="single" w:sz="6" w:space="0" w:color="auto"/>
              <w:left w:val="single" w:sz="6" w:space="0" w:color="auto"/>
              <w:bottom w:val="single" w:sz="6" w:space="0" w:color="auto"/>
            </w:tcBorders>
          </w:tcPr>
          <w:p w14:paraId="604C329D" w14:textId="6921AD2D" w:rsidR="002D3E64" w:rsidRDefault="002D3E64" w:rsidP="002D3E64">
            <w:pPr>
              <w:pStyle w:val="TableText"/>
              <w:rPr>
                <w:color w:val="000000"/>
              </w:rPr>
            </w:pPr>
          </w:p>
        </w:tc>
        <w:tc>
          <w:tcPr>
            <w:tcW w:w="992" w:type="dxa"/>
            <w:tcBorders>
              <w:top w:val="single" w:sz="6" w:space="0" w:color="auto"/>
              <w:left w:val="single" w:sz="6" w:space="0" w:color="auto"/>
              <w:bottom w:val="single" w:sz="6" w:space="0" w:color="auto"/>
            </w:tcBorders>
          </w:tcPr>
          <w:p w14:paraId="663E96B6" w14:textId="4BFD905B" w:rsidR="002D3E64" w:rsidRPr="002C757E" w:rsidRDefault="002D3E64" w:rsidP="002D3E64">
            <w:pPr>
              <w:pStyle w:val="TableText"/>
              <w:rPr>
                <w:color w:val="000000"/>
              </w:rPr>
            </w:pPr>
          </w:p>
        </w:tc>
        <w:tc>
          <w:tcPr>
            <w:tcW w:w="1276" w:type="dxa"/>
            <w:tcBorders>
              <w:top w:val="single" w:sz="6" w:space="0" w:color="auto"/>
              <w:left w:val="single" w:sz="6" w:space="0" w:color="auto"/>
              <w:bottom w:val="single" w:sz="6" w:space="0" w:color="auto"/>
            </w:tcBorders>
          </w:tcPr>
          <w:p w14:paraId="0A28B09E" w14:textId="5997DA4F" w:rsidR="002D3E64" w:rsidRDefault="002D3E64" w:rsidP="002D3E64">
            <w:pPr>
              <w:pStyle w:val="TableText"/>
              <w:rPr>
                <w:color w:val="000000"/>
              </w:rPr>
            </w:pPr>
          </w:p>
        </w:tc>
        <w:tc>
          <w:tcPr>
            <w:tcW w:w="1134" w:type="dxa"/>
            <w:tcBorders>
              <w:top w:val="single" w:sz="6" w:space="0" w:color="auto"/>
              <w:left w:val="single" w:sz="6" w:space="0" w:color="auto"/>
              <w:bottom w:val="single" w:sz="6" w:space="0" w:color="auto"/>
            </w:tcBorders>
          </w:tcPr>
          <w:p w14:paraId="560C5179" w14:textId="319EEE14" w:rsidR="002D3E64" w:rsidRPr="002C757E" w:rsidRDefault="002D3E64" w:rsidP="002D3E64">
            <w:pPr>
              <w:jc w:val="center"/>
              <w:rPr>
                <w:rFonts w:ascii="Arial" w:hAnsi="Arial"/>
                <w:color w:val="000000"/>
                <w:lang w:eastAsia="en-US"/>
              </w:rPr>
            </w:pPr>
          </w:p>
        </w:tc>
        <w:tc>
          <w:tcPr>
            <w:tcW w:w="1134" w:type="dxa"/>
            <w:tcBorders>
              <w:top w:val="single" w:sz="6" w:space="0" w:color="auto"/>
              <w:left w:val="single" w:sz="6" w:space="0" w:color="auto"/>
              <w:bottom w:val="single" w:sz="6" w:space="0" w:color="auto"/>
            </w:tcBorders>
          </w:tcPr>
          <w:p w14:paraId="319E7203" w14:textId="392045E4" w:rsidR="002D3E64" w:rsidRPr="002C757E" w:rsidRDefault="002D3E64" w:rsidP="002D3E64">
            <w:pPr>
              <w:rPr>
                <w:rFonts w:ascii="Arial" w:hAnsi="Arial"/>
                <w:color w:val="000000"/>
                <w:lang w:eastAsia="en-US"/>
              </w:rPr>
            </w:pPr>
          </w:p>
        </w:tc>
        <w:tc>
          <w:tcPr>
            <w:tcW w:w="1266" w:type="dxa"/>
            <w:tcBorders>
              <w:top w:val="single" w:sz="6" w:space="0" w:color="auto"/>
              <w:left w:val="single" w:sz="6" w:space="0" w:color="auto"/>
              <w:bottom w:val="single" w:sz="6" w:space="0" w:color="auto"/>
              <w:right w:val="double" w:sz="6" w:space="0" w:color="auto"/>
            </w:tcBorders>
          </w:tcPr>
          <w:p w14:paraId="2688BBE0" w14:textId="26260064" w:rsidR="002D3E64" w:rsidRDefault="002D3E64" w:rsidP="002D3E64">
            <w:pPr>
              <w:pStyle w:val="TableText"/>
              <w:jc w:val="center"/>
              <w:rPr>
                <w:color w:val="000000"/>
              </w:rPr>
            </w:pPr>
          </w:p>
        </w:tc>
      </w:tr>
      <w:tr w:rsidR="002D3E64" w:rsidRPr="00A3554F" w14:paraId="453069A3" w14:textId="77777777" w:rsidTr="001464DC">
        <w:tc>
          <w:tcPr>
            <w:tcW w:w="1987" w:type="dxa"/>
            <w:tcBorders>
              <w:top w:val="single" w:sz="6" w:space="0" w:color="auto"/>
              <w:left w:val="double" w:sz="6" w:space="0" w:color="auto"/>
              <w:bottom w:val="single" w:sz="6" w:space="0" w:color="auto"/>
            </w:tcBorders>
          </w:tcPr>
          <w:p w14:paraId="765CFAEA" w14:textId="77777777" w:rsidR="002D3E64" w:rsidRDefault="002D3E64" w:rsidP="002D3E64">
            <w:pPr>
              <w:pStyle w:val="TableText"/>
              <w:rPr>
                <w:color w:val="000000"/>
              </w:rPr>
            </w:pPr>
          </w:p>
        </w:tc>
        <w:tc>
          <w:tcPr>
            <w:tcW w:w="1843" w:type="dxa"/>
            <w:tcBorders>
              <w:top w:val="single" w:sz="6" w:space="0" w:color="auto"/>
              <w:left w:val="single" w:sz="6" w:space="0" w:color="auto"/>
              <w:bottom w:val="single" w:sz="6" w:space="0" w:color="auto"/>
            </w:tcBorders>
          </w:tcPr>
          <w:p w14:paraId="6812EA1A" w14:textId="77777777" w:rsidR="002D3E64" w:rsidRDefault="002D3E64" w:rsidP="002D3E64">
            <w:pPr>
              <w:pStyle w:val="TableText"/>
              <w:rPr>
                <w:color w:val="000000"/>
              </w:rPr>
            </w:pPr>
          </w:p>
        </w:tc>
        <w:tc>
          <w:tcPr>
            <w:tcW w:w="992" w:type="dxa"/>
            <w:tcBorders>
              <w:top w:val="single" w:sz="6" w:space="0" w:color="auto"/>
              <w:left w:val="single" w:sz="6" w:space="0" w:color="auto"/>
              <w:bottom w:val="single" w:sz="6" w:space="0" w:color="auto"/>
            </w:tcBorders>
          </w:tcPr>
          <w:p w14:paraId="38ABD477" w14:textId="77777777" w:rsidR="002D3E64" w:rsidRDefault="002D3E64" w:rsidP="002D3E64">
            <w:pPr>
              <w:pStyle w:val="TableText"/>
              <w:rPr>
                <w:color w:val="000000"/>
              </w:rPr>
            </w:pPr>
          </w:p>
        </w:tc>
        <w:tc>
          <w:tcPr>
            <w:tcW w:w="1276" w:type="dxa"/>
            <w:tcBorders>
              <w:top w:val="single" w:sz="6" w:space="0" w:color="auto"/>
              <w:left w:val="single" w:sz="6" w:space="0" w:color="auto"/>
              <w:bottom w:val="single" w:sz="6" w:space="0" w:color="auto"/>
            </w:tcBorders>
          </w:tcPr>
          <w:p w14:paraId="3302BE16" w14:textId="77777777" w:rsidR="002D3E64" w:rsidRDefault="002D3E64" w:rsidP="002D3E64">
            <w:pPr>
              <w:pStyle w:val="TableText"/>
              <w:rPr>
                <w:color w:val="000000"/>
              </w:rPr>
            </w:pPr>
          </w:p>
        </w:tc>
        <w:tc>
          <w:tcPr>
            <w:tcW w:w="1134" w:type="dxa"/>
            <w:tcBorders>
              <w:top w:val="single" w:sz="6" w:space="0" w:color="auto"/>
              <w:left w:val="single" w:sz="6" w:space="0" w:color="auto"/>
              <w:bottom w:val="single" w:sz="6" w:space="0" w:color="auto"/>
            </w:tcBorders>
          </w:tcPr>
          <w:p w14:paraId="0B431834" w14:textId="77777777" w:rsidR="002D3E64" w:rsidRDefault="002D3E64" w:rsidP="002D3E64">
            <w:pPr>
              <w:jc w:val="center"/>
            </w:pPr>
          </w:p>
        </w:tc>
        <w:tc>
          <w:tcPr>
            <w:tcW w:w="1134" w:type="dxa"/>
            <w:tcBorders>
              <w:top w:val="single" w:sz="6" w:space="0" w:color="auto"/>
              <w:left w:val="single" w:sz="6" w:space="0" w:color="auto"/>
              <w:bottom w:val="single" w:sz="6" w:space="0" w:color="auto"/>
            </w:tcBorders>
          </w:tcPr>
          <w:p w14:paraId="28043DF0" w14:textId="77777777" w:rsidR="002D3E64" w:rsidRDefault="002D3E64" w:rsidP="002D3E64"/>
        </w:tc>
        <w:tc>
          <w:tcPr>
            <w:tcW w:w="1266" w:type="dxa"/>
            <w:tcBorders>
              <w:top w:val="single" w:sz="6" w:space="0" w:color="auto"/>
              <w:left w:val="single" w:sz="6" w:space="0" w:color="auto"/>
              <w:bottom w:val="single" w:sz="6" w:space="0" w:color="auto"/>
              <w:right w:val="double" w:sz="6" w:space="0" w:color="auto"/>
            </w:tcBorders>
          </w:tcPr>
          <w:p w14:paraId="45C8D8C2" w14:textId="77777777" w:rsidR="002D3E64" w:rsidRPr="00A3554F" w:rsidRDefault="002D3E64" w:rsidP="002D3E64">
            <w:pPr>
              <w:pStyle w:val="TableText"/>
              <w:rPr>
                <w:color w:val="000000"/>
              </w:rPr>
            </w:pPr>
          </w:p>
        </w:tc>
      </w:tr>
      <w:tr w:rsidR="002D3E64" w:rsidRPr="00A3554F" w14:paraId="2BC19B42" w14:textId="77777777" w:rsidTr="001464DC">
        <w:tc>
          <w:tcPr>
            <w:tcW w:w="1987" w:type="dxa"/>
            <w:tcBorders>
              <w:top w:val="single" w:sz="6" w:space="0" w:color="auto"/>
              <w:left w:val="double" w:sz="6" w:space="0" w:color="auto"/>
              <w:bottom w:val="single" w:sz="6" w:space="0" w:color="auto"/>
            </w:tcBorders>
          </w:tcPr>
          <w:p w14:paraId="2A5414EC" w14:textId="77777777" w:rsidR="002D3E64" w:rsidRDefault="002D3E64" w:rsidP="002D3E64">
            <w:pPr>
              <w:pStyle w:val="TableText"/>
              <w:rPr>
                <w:color w:val="000000"/>
              </w:rPr>
            </w:pPr>
          </w:p>
        </w:tc>
        <w:tc>
          <w:tcPr>
            <w:tcW w:w="1843" w:type="dxa"/>
            <w:tcBorders>
              <w:top w:val="single" w:sz="6" w:space="0" w:color="auto"/>
              <w:left w:val="single" w:sz="6" w:space="0" w:color="auto"/>
              <w:bottom w:val="single" w:sz="6" w:space="0" w:color="auto"/>
            </w:tcBorders>
          </w:tcPr>
          <w:p w14:paraId="76B378CC" w14:textId="77777777" w:rsidR="002D3E64" w:rsidRDefault="002D3E64" w:rsidP="002D3E64">
            <w:pPr>
              <w:pStyle w:val="TableText"/>
              <w:rPr>
                <w:color w:val="000000"/>
              </w:rPr>
            </w:pPr>
          </w:p>
        </w:tc>
        <w:tc>
          <w:tcPr>
            <w:tcW w:w="992" w:type="dxa"/>
            <w:tcBorders>
              <w:top w:val="single" w:sz="6" w:space="0" w:color="auto"/>
              <w:left w:val="single" w:sz="6" w:space="0" w:color="auto"/>
              <w:bottom w:val="single" w:sz="6" w:space="0" w:color="auto"/>
            </w:tcBorders>
          </w:tcPr>
          <w:p w14:paraId="5E2E2CDC" w14:textId="77777777" w:rsidR="002D3E64" w:rsidRDefault="002D3E64" w:rsidP="002D3E64">
            <w:pPr>
              <w:pStyle w:val="TableText"/>
              <w:rPr>
                <w:color w:val="000000"/>
              </w:rPr>
            </w:pPr>
          </w:p>
        </w:tc>
        <w:tc>
          <w:tcPr>
            <w:tcW w:w="1276" w:type="dxa"/>
            <w:tcBorders>
              <w:top w:val="single" w:sz="6" w:space="0" w:color="auto"/>
              <w:left w:val="single" w:sz="6" w:space="0" w:color="auto"/>
              <w:bottom w:val="single" w:sz="6" w:space="0" w:color="auto"/>
            </w:tcBorders>
          </w:tcPr>
          <w:p w14:paraId="2C7BCC6A" w14:textId="77777777" w:rsidR="002D3E64" w:rsidRDefault="002D3E64" w:rsidP="002D3E64">
            <w:pPr>
              <w:pStyle w:val="TableText"/>
              <w:rPr>
                <w:color w:val="000000"/>
              </w:rPr>
            </w:pPr>
          </w:p>
        </w:tc>
        <w:tc>
          <w:tcPr>
            <w:tcW w:w="1134" w:type="dxa"/>
            <w:tcBorders>
              <w:top w:val="single" w:sz="6" w:space="0" w:color="auto"/>
              <w:left w:val="single" w:sz="6" w:space="0" w:color="auto"/>
              <w:bottom w:val="single" w:sz="6" w:space="0" w:color="auto"/>
            </w:tcBorders>
          </w:tcPr>
          <w:p w14:paraId="245DC5D7" w14:textId="77777777" w:rsidR="002D3E64" w:rsidRDefault="002D3E64" w:rsidP="002D3E64">
            <w:pPr>
              <w:jc w:val="center"/>
            </w:pPr>
          </w:p>
        </w:tc>
        <w:tc>
          <w:tcPr>
            <w:tcW w:w="1134" w:type="dxa"/>
            <w:tcBorders>
              <w:top w:val="single" w:sz="6" w:space="0" w:color="auto"/>
              <w:left w:val="single" w:sz="6" w:space="0" w:color="auto"/>
              <w:bottom w:val="single" w:sz="6" w:space="0" w:color="auto"/>
            </w:tcBorders>
          </w:tcPr>
          <w:p w14:paraId="3C7B9FF3" w14:textId="77777777" w:rsidR="002D3E64" w:rsidRDefault="002D3E64" w:rsidP="002D3E64"/>
        </w:tc>
        <w:tc>
          <w:tcPr>
            <w:tcW w:w="1266" w:type="dxa"/>
            <w:tcBorders>
              <w:top w:val="single" w:sz="6" w:space="0" w:color="auto"/>
              <w:left w:val="single" w:sz="6" w:space="0" w:color="auto"/>
              <w:bottom w:val="single" w:sz="6" w:space="0" w:color="auto"/>
              <w:right w:val="double" w:sz="6" w:space="0" w:color="auto"/>
            </w:tcBorders>
          </w:tcPr>
          <w:p w14:paraId="6DB3F4C2" w14:textId="77777777" w:rsidR="002D3E64" w:rsidRPr="00A3554F" w:rsidRDefault="002D3E64" w:rsidP="002D3E64">
            <w:pPr>
              <w:pStyle w:val="TableText"/>
              <w:rPr>
                <w:color w:val="000000"/>
              </w:rPr>
            </w:pPr>
          </w:p>
        </w:tc>
      </w:tr>
      <w:tr w:rsidR="002D3E64" w:rsidRPr="00A3554F" w14:paraId="0D0CA50A" w14:textId="77777777" w:rsidTr="001464DC">
        <w:tc>
          <w:tcPr>
            <w:tcW w:w="1987" w:type="dxa"/>
            <w:tcBorders>
              <w:top w:val="single" w:sz="6" w:space="0" w:color="auto"/>
              <w:left w:val="double" w:sz="6" w:space="0" w:color="auto"/>
              <w:bottom w:val="single" w:sz="6" w:space="0" w:color="auto"/>
            </w:tcBorders>
          </w:tcPr>
          <w:p w14:paraId="61842164" w14:textId="3924362B" w:rsidR="002D3E64" w:rsidRDefault="002D3E64" w:rsidP="002D3E64">
            <w:pPr>
              <w:pStyle w:val="TableText"/>
              <w:rPr>
                <w:color w:val="000000"/>
              </w:rPr>
            </w:pPr>
          </w:p>
        </w:tc>
        <w:tc>
          <w:tcPr>
            <w:tcW w:w="1843" w:type="dxa"/>
            <w:tcBorders>
              <w:top w:val="single" w:sz="6" w:space="0" w:color="auto"/>
              <w:left w:val="single" w:sz="6" w:space="0" w:color="auto"/>
              <w:bottom w:val="single" w:sz="6" w:space="0" w:color="auto"/>
            </w:tcBorders>
          </w:tcPr>
          <w:p w14:paraId="2501D9C3" w14:textId="1AE9B786" w:rsidR="002D3E64" w:rsidRDefault="002D3E64" w:rsidP="002D3E64">
            <w:pPr>
              <w:pStyle w:val="TableText"/>
              <w:rPr>
                <w:color w:val="000000"/>
              </w:rPr>
            </w:pPr>
            <w:r w:rsidRPr="009E5943">
              <w:rPr>
                <w:b/>
                <w:color w:val="000000"/>
              </w:rPr>
              <w:t>Total</w:t>
            </w:r>
          </w:p>
        </w:tc>
        <w:tc>
          <w:tcPr>
            <w:tcW w:w="992" w:type="dxa"/>
            <w:tcBorders>
              <w:top w:val="single" w:sz="6" w:space="0" w:color="auto"/>
              <w:left w:val="single" w:sz="6" w:space="0" w:color="auto"/>
              <w:bottom w:val="single" w:sz="6" w:space="0" w:color="auto"/>
            </w:tcBorders>
          </w:tcPr>
          <w:p w14:paraId="530BDEE9" w14:textId="77777777" w:rsidR="002D3E64" w:rsidRDefault="002D3E64" w:rsidP="002D3E64">
            <w:pPr>
              <w:pStyle w:val="TableText"/>
              <w:rPr>
                <w:color w:val="000000"/>
              </w:rPr>
            </w:pPr>
          </w:p>
        </w:tc>
        <w:tc>
          <w:tcPr>
            <w:tcW w:w="1276" w:type="dxa"/>
            <w:tcBorders>
              <w:top w:val="single" w:sz="6" w:space="0" w:color="auto"/>
              <w:left w:val="single" w:sz="6" w:space="0" w:color="auto"/>
              <w:bottom w:val="single" w:sz="6" w:space="0" w:color="auto"/>
            </w:tcBorders>
          </w:tcPr>
          <w:p w14:paraId="09737F04" w14:textId="03FBB392" w:rsidR="002D3E64" w:rsidRPr="00DD73C3" w:rsidRDefault="00DD73C3" w:rsidP="002D3E64">
            <w:pPr>
              <w:pStyle w:val="TableText"/>
              <w:rPr>
                <w:b/>
                <w:color w:val="000000"/>
              </w:rPr>
            </w:pPr>
            <w:r w:rsidRPr="00DD73C3">
              <w:rPr>
                <w:b/>
                <w:color w:val="000000"/>
              </w:rPr>
              <w:t>2,323,482</w:t>
            </w:r>
          </w:p>
        </w:tc>
        <w:tc>
          <w:tcPr>
            <w:tcW w:w="1134" w:type="dxa"/>
            <w:tcBorders>
              <w:top w:val="single" w:sz="6" w:space="0" w:color="auto"/>
              <w:left w:val="single" w:sz="6" w:space="0" w:color="auto"/>
              <w:bottom w:val="single" w:sz="6" w:space="0" w:color="auto"/>
            </w:tcBorders>
          </w:tcPr>
          <w:p w14:paraId="2EDC8549" w14:textId="77777777" w:rsidR="002D3E64" w:rsidRDefault="002D3E64" w:rsidP="002D3E64">
            <w:pPr>
              <w:jc w:val="center"/>
            </w:pPr>
          </w:p>
        </w:tc>
        <w:tc>
          <w:tcPr>
            <w:tcW w:w="1134" w:type="dxa"/>
            <w:tcBorders>
              <w:top w:val="single" w:sz="6" w:space="0" w:color="auto"/>
              <w:left w:val="single" w:sz="6" w:space="0" w:color="auto"/>
              <w:bottom w:val="single" w:sz="6" w:space="0" w:color="auto"/>
            </w:tcBorders>
          </w:tcPr>
          <w:p w14:paraId="5CF20A46" w14:textId="77777777" w:rsidR="002D3E64" w:rsidRDefault="002D3E64" w:rsidP="002D3E64"/>
        </w:tc>
        <w:tc>
          <w:tcPr>
            <w:tcW w:w="1266" w:type="dxa"/>
            <w:tcBorders>
              <w:top w:val="single" w:sz="6" w:space="0" w:color="auto"/>
              <w:left w:val="single" w:sz="6" w:space="0" w:color="auto"/>
              <w:bottom w:val="single" w:sz="6" w:space="0" w:color="auto"/>
              <w:right w:val="double" w:sz="6" w:space="0" w:color="auto"/>
            </w:tcBorders>
          </w:tcPr>
          <w:p w14:paraId="4C810794" w14:textId="77777777" w:rsidR="002D3E64" w:rsidRPr="00A3554F" w:rsidRDefault="002D3E64" w:rsidP="002D3E64">
            <w:pPr>
              <w:pStyle w:val="TableText"/>
              <w:rPr>
                <w:color w:val="000000"/>
              </w:rPr>
            </w:pPr>
          </w:p>
        </w:tc>
      </w:tr>
      <w:tr w:rsidR="002D3E64" w:rsidRPr="00A3554F" w14:paraId="6E1808EA" w14:textId="77777777" w:rsidTr="001464DC">
        <w:tc>
          <w:tcPr>
            <w:tcW w:w="1987" w:type="dxa"/>
            <w:tcBorders>
              <w:top w:val="single" w:sz="6" w:space="0" w:color="auto"/>
              <w:left w:val="double" w:sz="6" w:space="0" w:color="auto"/>
              <w:bottom w:val="single" w:sz="6" w:space="0" w:color="auto"/>
            </w:tcBorders>
          </w:tcPr>
          <w:p w14:paraId="0ADDCC75" w14:textId="77777777" w:rsidR="002D3E64" w:rsidRDefault="002D3E64" w:rsidP="002D3E64">
            <w:pPr>
              <w:pStyle w:val="TableText"/>
              <w:rPr>
                <w:color w:val="000000"/>
              </w:rPr>
            </w:pPr>
          </w:p>
        </w:tc>
        <w:tc>
          <w:tcPr>
            <w:tcW w:w="1843" w:type="dxa"/>
            <w:tcBorders>
              <w:top w:val="single" w:sz="6" w:space="0" w:color="auto"/>
              <w:left w:val="single" w:sz="6" w:space="0" w:color="auto"/>
              <w:bottom w:val="single" w:sz="6" w:space="0" w:color="auto"/>
            </w:tcBorders>
          </w:tcPr>
          <w:p w14:paraId="79F96B3C" w14:textId="225C9375" w:rsidR="002D3E64" w:rsidRPr="009E5943" w:rsidRDefault="002D3E64" w:rsidP="002D3E64">
            <w:pPr>
              <w:pStyle w:val="TableText"/>
              <w:rPr>
                <w:b/>
                <w:color w:val="000000"/>
              </w:rPr>
            </w:pPr>
          </w:p>
        </w:tc>
        <w:tc>
          <w:tcPr>
            <w:tcW w:w="992" w:type="dxa"/>
            <w:tcBorders>
              <w:top w:val="single" w:sz="6" w:space="0" w:color="auto"/>
              <w:left w:val="single" w:sz="6" w:space="0" w:color="auto"/>
              <w:bottom w:val="single" w:sz="6" w:space="0" w:color="auto"/>
            </w:tcBorders>
          </w:tcPr>
          <w:p w14:paraId="7093C89E" w14:textId="77777777" w:rsidR="002D3E64" w:rsidRDefault="002D3E64" w:rsidP="002D3E64">
            <w:pPr>
              <w:pStyle w:val="TableText"/>
              <w:rPr>
                <w:color w:val="000000"/>
              </w:rPr>
            </w:pPr>
          </w:p>
        </w:tc>
        <w:tc>
          <w:tcPr>
            <w:tcW w:w="1276" w:type="dxa"/>
            <w:tcBorders>
              <w:top w:val="single" w:sz="6" w:space="0" w:color="auto"/>
              <w:left w:val="single" w:sz="6" w:space="0" w:color="auto"/>
              <w:bottom w:val="single" w:sz="6" w:space="0" w:color="auto"/>
            </w:tcBorders>
          </w:tcPr>
          <w:p w14:paraId="70843DEC" w14:textId="77777777" w:rsidR="002D3E64" w:rsidRPr="009E5943" w:rsidRDefault="002D3E64" w:rsidP="002D3E64">
            <w:pPr>
              <w:pStyle w:val="TableText"/>
              <w:rPr>
                <w:b/>
                <w:color w:val="000000"/>
              </w:rPr>
            </w:pPr>
          </w:p>
        </w:tc>
        <w:tc>
          <w:tcPr>
            <w:tcW w:w="1134" w:type="dxa"/>
            <w:tcBorders>
              <w:top w:val="single" w:sz="6" w:space="0" w:color="auto"/>
              <w:left w:val="single" w:sz="6" w:space="0" w:color="auto"/>
              <w:bottom w:val="single" w:sz="6" w:space="0" w:color="auto"/>
            </w:tcBorders>
          </w:tcPr>
          <w:p w14:paraId="1C486F90" w14:textId="77777777" w:rsidR="002D3E64" w:rsidRDefault="002D3E64" w:rsidP="002D3E64"/>
        </w:tc>
        <w:tc>
          <w:tcPr>
            <w:tcW w:w="1134" w:type="dxa"/>
            <w:tcBorders>
              <w:top w:val="single" w:sz="6" w:space="0" w:color="auto"/>
              <w:left w:val="single" w:sz="6" w:space="0" w:color="auto"/>
              <w:bottom w:val="single" w:sz="6" w:space="0" w:color="auto"/>
            </w:tcBorders>
          </w:tcPr>
          <w:p w14:paraId="21EC9F49" w14:textId="77777777" w:rsidR="002D3E64" w:rsidRDefault="002D3E64" w:rsidP="002D3E64"/>
        </w:tc>
        <w:tc>
          <w:tcPr>
            <w:tcW w:w="1266" w:type="dxa"/>
            <w:tcBorders>
              <w:top w:val="single" w:sz="6" w:space="0" w:color="auto"/>
              <w:left w:val="single" w:sz="6" w:space="0" w:color="auto"/>
              <w:bottom w:val="single" w:sz="6" w:space="0" w:color="auto"/>
              <w:right w:val="double" w:sz="6" w:space="0" w:color="auto"/>
            </w:tcBorders>
          </w:tcPr>
          <w:p w14:paraId="0DA7814C" w14:textId="77777777" w:rsidR="002D3E64" w:rsidRPr="00A3554F" w:rsidRDefault="002D3E64" w:rsidP="002D3E64">
            <w:pPr>
              <w:pStyle w:val="TableText"/>
              <w:jc w:val="center"/>
              <w:rPr>
                <w:color w:val="000000"/>
              </w:rPr>
            </w:pPr>
          </w:p>
        </w:tc>
      </w:tr>
    </w:tbl>
    <w:p w14:paraId="2B1ADDB7" w14:textId="77777777" w:rsidR="0075622A" w:rsidRDefault="0075622A" w:rsidP="0075622A">
      <w:pPr>
        <w:pBdr>
          <w:top w:val="nil"/>
          <w:left w:val="nil"/>
          <w:bottom w:val="nil"/>
          <w:right w:val="nil"/>
          <w:between w:val="nil"/>
        </w:pBdr>
        <w:spacing w:before="120"/>
        <w:ind w:left="720"/>
        <w:jc w:val="both"/>
        <w:rPr>
          <w:rFonts w:ascii="Arial" w:eastAsia="Arial" w:hAnsi="Arial" w:cs="Arial"/>
          <w:b/>
          <w:color w:val="000000"/>
          <w:sz w:val="24"/>
          <w:szCs w:val="24"/>
        </w:rPr>
      </w:pPr>
    </w:p>
    <w:p w14:paraId="40B86DC0" w14:textId="77777777" w:rsidR="002E1C77" w:rsidRDefault="00862042">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7E574865" w14:textId="77777777" w:rsidR="002E1C77" w:rsidRDefault="00862042">
      <w:pPr>
        <w:keepNext/>
        <w:keepLines/>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None</w:t>
      </w:r>
    </w:p>
    <w:p w14:paraId="75814F3D" w14:textId="77777777" w:rsidR="002E1C77" w:rsidRDefault="00862042">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w:t>
      </w:r>
      <w:bookmarkStart w:id="1" w:name="_GoBack"/>
      <w:bookmarkEnd w:id="1"/>
      <w:r>
        <w:rPr>
          <w:rFonts w:ascii="Arial" w:eastAsia="Arial" w:hAnsi="Arial" w:cs="Arial"/>
          <w:color w:val="000000"/>
          <w:sz w:val="24"/>
          <w:szCs w:val="24"/>
        </w:rPr>
        <w:t>tee members.</w:t>
      </w:r>
    </w:p>
    <w:p w14:paraId="7CC9BD6F" w14:textId="77777777" w:rsidR="002E1C77" w:rsidRDefault="00862042">
      <w:pPr>
        <w:pBdr>
          <w:top w:val="nil"/>
          <w:left w:val="nil"/>
          <w:bottom w:val="nil"/>
          <w:right w:val="nil"/>
          <w:between w:val="nil"/>
        </w:pBdr>
        <w:spacing w:before="120"/>
        <w:ind w:left="720"/>
        <w:jc w:val="both"/>
        <w:rPr>
          <w:rFonts w:ascii="Arial" w:eastAsia="Arial" w:hAnsi="Arial" w:cs="Arial"/>
          <w:b/>
          <w:color w:val="000000"/>
          <w:sz w:val="24"/>
          <w:szCs w:val="24"/>
        </w:rPr>
      </w:pPr>
      <w:r>
        <w:rPr>
          <w:rFonts w:ascii="Arial" w:eastAsia="Arial" w:hAnsi="Arial" w:cs="Arial"/>
          <w:b/>
          <w:color w:val="000000"/>
          <w:sz w:val="24"/>
          <w:szCs w:val="24"/>
        </w:rPr>
        <w:t>N/A</w:t>
      </w:r>
    </w:p>
    <w:p w14:paraId="62754947" w14:textId="77777777" w:rsidR="002E1C77" w:rsidRDefault="00862042">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48890FAB" w14:textId="77777777" w:rsidR="002E1C77" w:rsidRDefault="00862042">
      <w:pPr>
        <w:pBdr>
          <w:top w:val="nil"/>
          <w:left w:val="nil"/>
          <w:bottom w:val="nil"/>
          <w:right w:val="nil"/>
          <w:between w:val="nil"/>
        </w:pBdr>
        <w:spacing w:before="240"/>
        <w:ind w:left="720" w:right="11"/>
        <w:rPr>
          <w:rFonts w:ascii="Arial" w:eastAsia="Arial" w:hAnsi="Arial" w:cs="Arial"/>
          <w:b/>
          <w:color w:val="000000"/>
          <w:sz w:val="24"/>
          <w:szCs w:val="24"/>
        </w:rPr>
      </w:pPr>
      <w:r>
        <w:rPr>
          <w:rFonts w:ascii="Arial" w:eastAsia="Arial" w:hAnsi="Arial" w:cs="Arial"/>
          <w:b/>
          <w:color w:val="000000"/>
          <w:sz w:val="24"/>
          <w:szCs w:val="24"/>
        </w:rPr>
        <w:t xml:space="preserve">The Resulting Issuer is operating in the payment processing industry, which is strictly regulated. Regulation is extensive and designed to protect consumers and the public, while providing standard guidelines for business operations. In the offering of its products, the Resulting Issuer is subject to certain federal and provincial laws and regulations relating to its financial product offerings, including laws and regulations governing such things as Know-Your-Customer (KYC), Anti-Money Laundering (AML), Anti-Terrorist Financing (ATF) and safeguarding the privacy of customers' personal information. Failure to comply with, or changes to, existing or future laws and regulations could result in significant unforeseen costs and limitations, and could have an adverse impact on the Resulting Issuer’s business, results of operations and/or financial condition. </w:t>
      </w:r>
    </w:p>
    <w:p w14:paraId="4D2AFC05" w14:textId="77777777" w:rsidR="002E1C77" w:rsidRDefault="00862042">
      <w:pPr>
        <w:pBdr>
          <w:top w:val="nil"/>
          <w:left w:val="nil"/>
          <w:bottom w:val="nil"/>
          <w:right w:val="nil"/>
          <w:between w:val="nil"/>
        </w:pBdr>
        <w:spacing w:before="240"/>
        <w:ind w:left="720" w:right="11"/>
        <w:rPr>
          <w:rFonts w:ascii="Arial" w:eastAsia="Arial" w:hAnsi="Arial" w:cs="Arial"/>
          <w:b/>
          <w:color w:val="000000"/>
          <w:sz w:val="24"/>
          <w:szCs w:val="24"/>
        </w:rPr>
      </w:pPr>
      <w:r>
        <w:rPr>
          <w:rFonts w:ascii="Arial" w:eastAsia="Arial" w:hAnsi="Arial" w:cs="Arial"/>
          <w:b/>
          <w:color w:val="000000"/>
          <w:sz w:val="24"/>
          <w:szCs w:val="24"/>
        </w:rPr>
        <w:lastRenderedPageBreak/>
        <w:t>Accordingly, there are certain risks related to crypto currencies, including the risk of regulation reforms which may prohibit payment processing transactions related to the business of the Resulting Issuer. Additionally, financial institutions may impose restrictions on persons that engage in business that is based on crypto currency transactions. Risks related to the acceptance and use of crypto currencies will have a significant impact on the volume of crypto currency transactions. Such acceptance or lack thereof, and reforms in regulation could adversely affect the Resulting Issuer’s assets, liabilities, business, financial condition, prospects and results of operations.</w:t>
      </w:r>
    </w:p>
    <w:p w14:paraId="0513310C" w14:textId="77777777" w:rsidR="002E1C77" w:rsidRDefault="00862042">
      <w:pPr>
        <w:pBdr>
          <w:top w:val="nil"/>
          <w:left w:val="nil"/>
          <w:bottom w:val="nil"/>
          <w:right w:val="nil"/>
          <w:between w:val="nil"/>
        </w:pBdr>
        <w:spacing w:before="240"/>
        <w:ind w:left="720"/>
        <w:rPr>
          <w:rFonts w:ascii="Arial" w:eastAsia="Arial" w:hAnsi="Arial" w:cs="Arial"/>
          <w:b/>
          <w:i/>
          <w:color w:val="000000"/>
          <w:sz w:val="24"/>
          <w:szCs w:val="24"/>
        </w:rPr>
      </w:pPr>
      <w:r>
        <w:rPr>
          <w:rFonts w:ascii="Arial" w:eastAsia="Arial" w:hAnsi="Arial" w:cs="Arial"/>
          <w:b/>
          <w:color w:val="000000"/>
          <w:sz w:val="24"/>
          <w:szCs w:val="24"/>
        </w:rPr>
        <w:t>The Issuer endeavours to offset or mitigates these potentialities by ensuring they are working in concert with the appropriate legal counsel and regulatory bodies. The Resulting Issuer believes that at this time it is in compliance with all laws and regulations although many of the rules that apply to it have only recently been implemented, are complex and sometimes ambiguous and, accordingly, the Resulting Issuer cannot assure that it is in 100% compliance with all applicable</w:t>
      </w:r>
      <w:r>
        <w:rPr>
          <w:rFonts w:ascii="Arial" w:eastAsia="Arial" w:hAnsi="Arial" w:cs="Arial"/>
          <w:color w:val="000000"/>
          <w:sz w:val="24"/>
          <w:szCs w:val="24"/>
        </w:rPr>
        <w:t xml:space="preserve"> </w:t>
      </w:r>
      <w:r>
        <w:rPr>
          <w:rFonts w:ascii="Arial" w:eastAsia="Arial" w:hAnsi="Arial" w:cs="Arial"/>
          <w:b/>
          <w:color w:val="000000"/>
          <w:sz w:val="24"/>
          <w:szCs w:val="24"/>
        </w:rPr>
        <w:t xml:space="preserve">laws, much less that all courts, arbitrators and regulators would agree that it is in 100% compliance. </w:t>
      </w:r>
    </w:p>
    <w:p w14:paraId="4C4D5C0C" w14:textId="77777777" w:rsidR="002E1C77" w:rsidRDefault="00862042">
      <w:pPr>
        <w:pBdr>
          <w:top w:val="nil"/>
          <w:left w:val="nil"/>
          <w:bottom w:val="nil"/>
          <w:right w:val="nil"/>
          <w:between w:val="nil"/>
        </w:pBdr>
        <w:spacing w:before="240"/>
        <w:ind w:left="720" w:right="11"/>
        <w:rPr>
          <w:rFonts w:ascii="Arial" w:eastAsia="Arial" w:hAnsi="Arial" w:cs="Arial"/>
          <w:b/>
          <w:color w:val="000000"/>
          <w:sz w:val="24"/>
          <w:szCs w:val="24"/>
        </w:rPr>
      </w:pPr>
      <w:r>
        <w:rPr>
          <w:rFonts w:ascii="Arial" w:eastAsia="Arial" w:hAnsi="Arial" w:cs="Arial"/>
          <w:b/>
          <w:color w:val="000000"/>
          <w:sz w:val="24"/>
          <w:szCs w:val="24"/>
        </w:rPr>
        <w:t xml:space="preserve">The market for payment processing is rapidly evolving and intensely competitive, and the Issuer expects competition to intensify further in the future. There is high potential the Issuer will face competition from other companies, some of which can be expected to have longer operating histories and more financial resources and marketing experience. Increased competition by larger and better financed competitors could materially and adversely affect the business, financial condition and results of operations of the Issuer. </w:t>
      </w:r>
    </w:p>
    <w:p w14:paraId="4ED10529" w14:textId="77777777" w:rsidR="002E1C77" w:rsidRDefault="002E1C77">
      <w:pPr>
        <w:pBdr>
          <w:top w:val="nil"/>
          <w:left w:val="nil"/>
          <w:bottom w:val="nil"/>
          <w:right w:val="nil"/>
          <w:between w:val="nil"/>
        </w:pBdr>
        <w:spacing w:before="120"/>
        <w:ind w:left="720"/>
        <w:jc w:val="both"/>
        <w:rPr>
          <w:rFonts w:ascii="Arial" w:eastAsia="Arial" w:hAnsi="Arial" w:cs="Arial"/>
          <w:color w:val="000000"/>
          <w:sz w:val="24"/>
          <w:szCs w:val="24"/>
        </w:rPr>
      </w:pPr>
    </w:p>
    <w:p w14:paraId="43BFD6B4" w14:textId="77777777" w:rsidR="002E1C77" w:rsidRDefault="00862042">
      <w:pPr>
        <w:keepNext/>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 xml:space="preserve">Certificate </w:t>
      </w:r>
      <w:proofErr w:type="gramStart"/>
      <w:r>
        <w:rPr>
          <w:rFonts w:ascii="Arial" w:eastAsia="Arial" w:hAnsi="Arial" w:cs="Arial"/>
          <w:b/>
          <w:color w:val="000000"/>
          <w:sz w:val="24"/>
          <w:szCs w:val="24"/>
        </w:rPr>
        <w:t>Of</w:t>
      </w:r>
      <w:proofErr w:type="gramEnd"/>
      <w:r>
        <w:rPr>
          <w:rFonts w:ascii="Arial" w:eastAsia="Arial" w:hAnsi="Arial" w:cs="Arial"/>
          <w:b/>
          <w:color w:val="000000"/>
          <w:sz w:val="24"/>
          <w:szCs w:val="24"/>
        </w:rPr>
        <w:t xml:space="preserve"> Compliance</w:t>
      </w:r>
    </w:p>
    <w:p w14:paraId="319C84F1" w14:textId="77777777" w:rsidR="002E1C77" w:rsidRDefault="00862042">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CA4EB50" w14:textId="77777777" w:rsidR="002E1C77" w:rsidRDefault="00862042">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3DE44D21" w14:textId="77777777" w:rsidR="002E1C77" w:rsidRDefault="00862042">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 is no material information concerning the Issuer which has not been publicly disclosed.</w:t>
      </w:r>
    </w:p>
    <w:p w14:paraId="7A6FC87F" w14:textId="77777777" w:rsidR="002E1C77" w:rsidRDefault="00862042">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D6BA45A" w14:textId="77777777" w:rsidR="002E1C77" w:rsidRDefault="00862042">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58CE00C" w14:textId="77777777" w:rsidR="002E1C77" w:rsidRDefault="00573A20">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Dated: </w:t>
      </w:r>
      <w:r w:rsidR="008F3791">
        <w:rPr>
          <w:rFonts w:ascii="Arial" w:eastAsia="Arial" w:hAnsi="Arial" w:cs="Arial"/>
          <w:color w:val="000000"/>
          <w:sz w:val="24"/>
          <w:szCs w:val="24"/>
        </w:rPr>
        <w:t>May 7</w:t>
      </w:r>
      <w:r w:rsidR="000702E2">
        <w:rPr>
          <w:rFonts w:ascii="Arial" w:eastAsia="Arial" w:hAnsi="Arial" w:cs="Arial"/>
          <w:color w:val="000000"/>
          <w:sz w:val="24"/>
          <w:szCs w:val="24"/>
        </w:rPr>
        <w:t>, 2019</w:t>
      </w:r>
    </w:p>
    <w:p w14:paraId="587BED8C" w14:textId="77777777" w:rsidR="002E1C77" w:rsidRDefault="00862042">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t>Gordon Jessop</w:t>
      </w:r>
    </w:p>
    <w:p w14:paraId="2554EEC0" w14:textId="77777777" w:rsidR="002E1C77" w:rsidRDefault="00862042">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t>Name of Director or Senior Officer</w:t>
      </w:r>
    </w:p>
    <w:p w14:paraId="4657FBE3" w14:textId="77777777" w:rsidR="002E1C77" w:rsidRDefault="00862042">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noProof/>
          <w:color w:val="000000"/>
          <w:sz w:val="24"/>
          <w:szCs w:val="24"/>
          <w:lang w:val="en-CA"/>
        </w:rPr>
        <w:drawing>
          <wp:inline distT="0" distB="0" distL="0" distR="0" wp14:anchorId="75DD8BA0" wp14:editId="4F427821">
            <wp:extent cx="1947973" cy="477853"/>
            <wp:effectExtent l="0" t="0" r="0" b="0"/>
            <wp:docPr id="9" name="image3.png" descr="E:\Esignatures\GJ Esignature.png"/>
            <wp:cNvGraphicFramePr/>
            <a:graphic xmlns:a="http://schemas.openxmlformats.org/drawingml/2006/main">
              <a:graphicData uri="http://schemas.openxmlformats.org/drawingml/2006/picture">
                <pic:pic xmlns:pic="http://schemas.openxmlformats.org/drawingml/2006/picture">
                  <pic:nvPicPr>
                    <pic:cNvPr id="0" name="image3.png" descr="E:\Esignatures\GJ Esignature.png"/>
                    <pic:cNvPicPr preferRelativeResize="0"/>
                  </pic:nvPicPr>
                  <pic:blipFill>
                    <a:blip r:embed="rId8" cstate="print"/>
                    <a:srcRect/>
                    <a:stretch>
                      <a:fillRect/>
                    </a:stretch>
                  </pic:blipFill>
                  <pic:spPr>
                    <a:xfrm>
                      <a:off x="0" y="0"/>
                      <a:ext cx="1947973" cy="477853"/>
                    </a:xfrm>
                    <a:prstGeom prst="rect">
                      <a:avLst/>
                    </a:prstGeom>
                    <a:ln/>
                  </pic:spPr>
                </pic:pic>
              </a:graphicData>
            </a:graphic>
          </wp:inline>
        </w:drawing>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38671FE3" w14:textId="77777777" w:rsidR="002E1C77" w:rsidRDefault="00862042">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rPr>
        <w:t>President COO</w:t>
      </w:r>
      <w:r>
        <w:rPr>
          <w:rFonts w:ascii="Arial" w:eastAsia="Arial" w:hAnsi="Arial" w:cs="Arial"/>
          <w:color w:val="000000"/>
          <w:sz w:val="24"/>
          <w:szCs w:val="24"/>
        </w:rPr>
        <w:tab/>
      </w:r>
      <w:r>
        <w:rPr>
          <w:rFonts w:ascii="Arial" w:eastAsia="Arial" w:hAnsi="Arial" w:cs="Arial"/>
          <w:color w:val="000000"/>
          <w:sz w:val="24"/>
          <w:szCs w:val="24"/>
        </w:rPr>
        <w:br/>
        <w:t>Official Capacity</w:t>
      </w:r>
    </w:p>
    <w:p w14:paraId="673F1AEF" w14:textId="77777777" w:rsidR="00544A60" w:rsidRDefault="00544A60">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4"/>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372"/>
        <w:gridCol w:w="2306"/>
        <w:gridCol w:w="2898"/>
      </w:tblGrid>
      <w:tr w:rsidR="002E1C77" w14:paraId="72970359" w14:textId="77777777">
        <w:tc>
          <w:tcPr>
            <w:tcW w:w="4372" w:type="dxa"/>
            <w:tcBorders>
              <w:top w:val="single" w:sz="18" w:space="0" w:color="000000"/>
              <w:bottom w:val="nil"/>
              <w:right w:val="single" w:sz="18" w:space="0" w:color="000000"/>
            </w:tcBorders>
          </w:tcPr>
          <w:p w14:paraId="7AF929FF" w14:textId="77777777" w:rsidR="002E1C77" w:rsidRDefault="00862042">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43CD2069"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F6130E4" w14:textId="77777777" w:rsidR="002E1C77" w:rsidRDefault="00862042">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NetCents Technology Inc.</w:t>
            </w:r>
          </w:p>
        </w:tc>
        <w:tc>
          <w:tcPr>
            <w:tcW w:w="2306" w:type="dxa"/>
            <w:tcBorders>
              <w:top w:val="single" w:sz="18" w:space="0" w:color="000000"/>
              <w:left w:val="single" w:sz="18" w:space="0" w:color="000000"/>
              <w:bottom w:val="nil"/>
              <w:right w:val="single" w:sz="18" w:space="0" w:color="000000"/>
            </w:tcBorders>
          </w:tcPr>
          <w:p w14:paraId="3E9D5F03"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r w:rsidR="005C4F73">
              <w:rPr>
                <w:rFonts w:ascii="Arial" w:eastAsia="Arial" w:hAnsi="Arial" w:cs="Arial"/>
                <w:color w:val="000000"/>
                <w:sz w:val="24"/>
                <w:szCs w:val="24"/>
              </w:rPr>
              <w:t>:</w:t>
            </w:r>
            <w:r>
              <w:rPr>
                <w:rFonts w:ascii="Arial" w:eastAsia="Arial" w:hAnsi="Arial" w:cs="Arial"/>
                <w:color w:val="000000"/>
                <w:sz w:val="24"/>
                <w:szCs w:val="24"/>
              </w:rPr>
              <w:t xml:space="preserve"> </w:t>
            </w:r>
          </w:p>
          <w:p w14:paraId="3652DB2B" w14:textId="77777777" w:rsidR="002E1C77" w:rsidRDefault="008F3791" w:rsidP="008F3791">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April </w:t>
            </w:r>
            <w:r w:rsidR="0008791A">
              <w:rPr>
                <w:rFonts w:ascii="Arial" w:eastAsia="Arial" w:hAnsi="Arial" w:cs="Arial"/>
                <w:color w:val="000000"/>
                <w:sz w:val="24"/>
                <w:szCs w:val="24"/>
              </w:rPr>
              <w:t>3</w:t>
            </w:r>
            <w:r>
              <w:rPr>
                <w:rFonts w:ascii="Arial" w:eastAsia="Arial" w:hAnsi="Arial" w:cs="Arial"/>
                <w:color w:val="000000"/>
                <w:sz w:val="24"/>
                <w:szCs w:val="24"/>
              </w:rPr>
              <w:t>0</w:t>
            </w:r>
            <w:r w:rsidR="0008791A">
              <w:rPr>
                <w:rFonts w:ascii="Arial" w:eastAsia="Arial" w:hAnsi="Arial" w:cs="Arial"/>
                <w:color w:val="000000"/>
                <w:sz w:val="24"/>
                <w:szCs w:val="24"/>
              </w:rPr>
              <w:t xml:space="preserve">, </w:t>
            </w:r>
            <w:r w:rsidR="00FC3A77">
              <w:rPr>
                <w:rFonts w:ascii="Arial" w:eastAsia="Arial" w:hAnsi="Arial" w:cs="Arial"/>
                <w:color w:val="000000"/>
                <w:sz w:val="24"/>
                <w:szCs w:val="24"/>
              </w:rPr>
              <w:t>201</w:t>
            </w:r>
            <w:r w:rsidR="00A77540">
              <w:rPr>
                <w:rFonts w:ascii="Arial" w:eastAsia="Arial" w:hAnsi="Arial" w:cs="Arial"/>
                <w:color w:val="000000"/>
                <w:sz w:val="24"/>
                <w:szCs w:val="24"/>
              </w:rPr>
              <w:t>9</w:t>
            </w:r>
          </w:p>
        </w:tc>
        <w:tc>
          <w:tcPr>
            <w:tcW w:w="2898" w:type="dxa"/>
            <w:tcBorders>
              <w:top w:val="single" w:sz="18" w:space="0" w:color="000000"/>
              <w:left w:val="single" w:sz="18" w:space="0" w:color="000000"/>
              <w:bottom w:val="nil"/>
            </w:tcBorders>
          </w:tcPr>
          <w:p w14:paraId="23AEDBBC"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06309058"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01E39AB"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w:t>
            </w:r>
            <w:r w:rsidR="00A509A7">
              <w:rPr>
                <w:rFonts w:ascii="Arial" w:eastAsia="Arial" w:hAnsi="Arial" w:cs="Arial"/>
                <w:color w:val="000000"/>
                <w:sz w:val="24"/>
                <w:szCs w:val="24"/>
              </w:rPr>
              <w:t>9</w:t>
            </w:r>
            <w:r>
              <w:rPr>
                <w:rFonts w:ascii="Arial" w:eastAsia="Arial" w:hAnsi="Arial" w:cs="Arial"/>
                <w:color w:val="000000"/>
                <w:sz w:val="24"/>
                <w:szCs w:val="24"/>
              </w:rPr>
              <w:t>/</w:t>
            </w:r>
            <w:r w:rsidR="00A509A7">
              <w:rPr>
                <w:rFonts w:ascii="Arial" w:eastAsia="Arial" w:hAnsi="Arial" w:cs="Arial"/>
                <w:color w:val="000000"/>
                <w:sz w:val="24"/>
                <w:szCs w:val="24"/>
              </w:rPr>
              <w:t>0</w:t>
            </w:r>
            <w:r w:rsidR="008F3791">
              <w:rPr>
                <w:rFonts w:ascii="Arial" w:eastAsia="Arial" w:hAnsi="Arial" w:cs="Arial"/>
                <w:color w:val="000000"/>
                <w:sz w:val="24"/>
                <w:szCs w:val="24"/>
              </w:rPr>
              <w:t>5</w:t>
            </w:r>
            <w:r>
              <w:rPr>
                <w:rFonts w:ascii="Arial" w:eastAsia="Arial" w:hAnsi="Arial" w:cs="Arial"/>
                <w:color w:val="000000"/>
                <w:sz w:val="24"/>
                <w:szCs w:val="24"/>
              </w:rPr>
              <w:t>/</w:t>
            </w:r>
            <w:r w:rsidR="008F3791">
              <w:rPr>
                <w:rFonts w:ascii="Arial" w:eastAsia="Arial" w:hAnsi="Arial" w:cs="Arial"/>
                <w:color w:val="000000"/>
                <w:sz w:val="24"/>
                <w:szCs w:val="24"/>
              </w:rPr>
              <w:t>07</w:t>
            </w:r>
          </w:p>
        </w:tc>
      </w:tr>
      <w:tr w:rsidR="002E1C77" w14:paraId="59BCFEC7" w14:textId="77777777">
        <w:tc>
          <w:tcPr>
            <w:tcW w:w="9576" w:type="dxa"/>
            <w:gridSpan w:val="3"/>
            <w:tcBorders>
              <w:top w:val="single" w:sz="18" w:space="0" w:color="000000"/>
              <w:bottom w:val="single" w:sz="18" w:space="0" w:color="000000"/>
            </w:tcBorders>
          </w:tcPr>
          <w:p w14:paraId="2668704F"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0FA94DA9"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1000 – 1021 West Hastings St.</w:t>
            </w:r>
          </w:p>
          <w:p w14:paraId="6D150064" w14:textId="77777777" w:rsidR="002E1C77" w:rsidRDefault="002E1C77">
            <w:pPr>
              <w:pBdr>
                <w:top w:val="nil"/>
                <w:left w:val="nil"/>
                <w:bottom w:val="nil"/>
                <w:right w:val="nil"/>
                <w:between w:val="nil"/>
              </w:pBdr>
              <w:rPr>
                <w:rFonts w:ascii="Arial" w:eastAsia="Arial" w:hAnsi="Arial" w:cs="Arial"/>
                <w:color w:val="000000"/>
                <w:sz w:val="24"/>
                <w:szCs w:val="24"/>
              </w:rPr>
            </w:pPr>
          </w:p>
        </w:tc>
      </w:tr>
      <w:tr w:rsidR="002E1C77" w14:paraId="5B49E069" w14:textId="77777777">
        <w:tc>
          <w:tcPr>
            <w:tcW w:w="4372" w:type="dxa"/>
            <w:tcBorders>
              <w:top w:val="single" w:sz="18" w:space="0" w:color="000000"/>
              <w:bottom w:val="single" w:sz="18" w:space="0" w:color="000000"/>
              <w:right w:val="single" w:sz="18" w:space="0" w:color="000000"/>
            </w:tcBorders>
          </w:tcPr>
          <w:p w14:paraId="4286FB46"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4F62843F"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0B2</w:t>
            </w:r>
          </w:p>
        </w:tc>
        <w:tc>
          <w:tcPr>
            <w:tcW w:w="2306" w:type="dxa"/>
            <w:tcBorders>
              <w:top w:val="single" w:sz="18" w:space="0" w:color="000000"/>
              <w:left w:val="single" w:sz="18" w:space="0" w:color="000000"/>
              <w:bottom w:val="single" w:sz="18" w:space="0" w:color="000000"/>
              <w:right w:val="single" w:sz="18" w:space="0" w:color="000000"/>
            </w:tcBorders>
          </w:tcPr>
          <w:p w14:paraId="11783A3C"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4C5EBF00"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69D24D79"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43F2F911"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( 604) 638-5556</w:t>
            </w:r>
          </w:p>
        </w:tc>
      </w:tr>
      <w:tr w:rsidR="002E1C77" w14:paraId="52474CF5" w14:textId="77777777">
        <w:trPr>
          <w:trHeight w:val="520"/>
        </w:trPr>
        <w:tc>
          <w:tcPr>
            <w:tcW w:w="4372" w:type="dxa"/>
            <w:tcBorders>
              <w:top w:val="single" w:sz="18" w:space="0" w:color="000000"/>
              <w:bottom w:val="single" w:sz="18" w:space="0" w:color="000000"/>
              <w:right w:val="single" w:sz="18" w:space="0" w:color="000000"/>
            </w:tcBorders>
          </w:tcPr>
          <w:p w14:paraId="3C32F0D0"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094D3F25"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Gordon Jessop</w:t>
            </w:r>
          </w:p>
        </w:tc>
        <w:tc>
          <w:tcPr>
            <w:tcW w:w="2306" w:type="dxa"/>
            <w:tcBorders>
              <w:top w:val="single" w:sz="18" w:space="0" w:color="000000"/>
              <w:left w:val="single" w:sz="18" w:space="0" w:color="000000"/>
              <w:bottom w:val="single" w:sz="18" w:space="0" w:color="000000"/>
              <w:right w:val="single" w:sz="18" w:space="0" w:color="000000"/>
            </w:tcBorders>
          </w:tcPr>
          <w:p w14:paraId="737C3146"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7E7B4B87"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President COO</w:t>
            </w:r>
          </w:p>
        </w:tc>
        <w:tc>
          <w:tcPr>
            <w:tcW w:w="2898" w:type="dxa"/>
            <w:tcBorders>
              <w:top w:val="single" w:sz="18" w:space="0" w:color="000000"/>
              <w:left w:val="single" w:sz="18" w:space="0" w:color="000000"/>
              <w:bottom w:val="single" w:sz="18" w:space="0" w:color="000000"/>
            </w:tcBorders>
          </w:tcPr>
          <w:p w14:paraId="5B0D790C"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2EE996B4"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604 638-5556</w:t>
            </w:r>
          </w:p>
        </w:tc>
      </w:tr>
      <w:tr w:rsidR="002E1C77" w14:paraId="7B5E96F5" w14:textId="77777777">
        <w:trPr>
          <w:trHeight w:val="80"/>
        </w:trPr>
        <w:tc>
          <w:tcPr>
            <w:tcW w:w="4372" w:type="dxa"/>
            <w:tcBorders>
              <w:top w:val="single" w:sz="18" w:space="0" w:color="000000"/>
              <w:bottom w:val="single" w:sz="18" w:space="0" w:color="000000"/>
              <w:right w:val="single" w:sz="18" w:space="0" w:color="000000"/>
            </w:tcBorders>
          </w:tcPr>
          <w:p w14:paraId="14603D7B"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4B234F6E"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gord.jessop@net-cents.com</w:t>
            </w:r>
          </w:p>
        </w:tc>
        <w:tc>
          <w:tcPr>
            <w:tcW w:w="5204" w:type="dxa"/>
            <w:gridSpan w:val="2"/>
            <w:tcBorders>
              <w:top w:val="single" w:sz="18" w:space="0" w:color="000000"/>
              <w:left w:val="single" w:sz="18" w:space="0" w:color="000000"/>
              <w:bottom w:val="single" w:sz="18" w:space="0" w:color="000000"/>
            </w:tcBorders>
          </w:tcPr>
          <w:p w14:paraId="24AB0E32" w14:textId="77777777" w:rsidR="002E1C77" w:rsidRDefault="0086204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14C68D5" w14:textId="77777777" w:rsidR="002E1C77" w:rsidRDefault="00FE5174">
            <w:pPr>
              <w:pBdr>
                <w:top w:val="nil"/>
                <w:left w:val="nil"/>
                <w:bottom w:val="nil"/>
                <w:right w:val="nil"/>
                <w:between w:val="nil"/>
              </w:pBdr>
              <w:rPr>
                <w:rFonts w:ascii="Arial" w:eastAsia="Arial" w:hAnsi="Arial" w:cs="Arial"/>
                <w:color w:val="000000"/>
                <w:sz w:val="24"/>
                <w:szCs w:val="24"/>
              </w:rPr>
            </w:pPr>
            <w:hyperlink r:id="rId9">
              <w:r w:rsidR="00862042">
                <w:rPr>
                  <w:rFonts w:ascii="Arial" w:eastAsia="Arial" w:hAnsi="Arial" w:cs="Arial"/>
                  <w:color w:val="0000FF"/>
                  <w:sz w:val="24"/>
                  <w:szCs w:val="24"/>
                  <w:u w:val="single"/>
                </w:rPr>
                <w:t>www.net-cents.com</w:t>
              </w:r>
            </w:hyperlink>
            <w:r w:rsidR="00862042">
              <w:rPr>
                <w:rFonts w:ascii="Arial" w:eastAsia="Arial" w:hAnsi="Arial" w:cs="Arial"/>
                <w:color w:val="000000"/>
                <w:sz w:val="24"/>
                <w:szCs w:val="24"/>
              </w:rPr>
              <w:t xml:space="preserve"> / blog.net-cents.com</w:t>
            </w:r>
          </w:p>
        </w:tc>
      </w:tr>
    </w:tbl>
    <w:p w14:paraId="76D21E33" w14:textId="77777777" w:rsidR="002E1C77" w:rsidRDefault="002E1C77" w:rsidP="00FA2509">
      <w:pPr>
        <w:pBdr>
          <w:top w:val="nil"/>
          <w:left w:val="nil"/>
          <w:bottom w:val="nil"/>
          <w:right w:val="nil"/>
          <w:between w:val="nil"/>
        </w:pBdr>
        <w:spacing w:before="240"/>
        <w:rPr>
          <w:color w:val="000000"/>
          <w:sz w:val="24"/>
          <w:szCs w:val="24"/>
        </w:rPr>
      </w:pPr>
    </w:p>
    <w:sectPr w:rsidR="002E1C77" w:rsidSect="002E1C77">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8794D" w14:textId="77777777" w:rsidR="00FE5174" w:rsidRDefault="00FE5174" w:rsidP="002E1C77">
      <w:r>
        <w:separator/>
      </w:r>
    </w:p>
  </w:endnote>
  <w:endnote w:type="continuationSeparator" w:id="0">
    <w:p w14:paraId="4B8422ED" w14:textId="77777777" w:rsidR="00FE5174" w:rsidRDefault="00FE5174" w:rsidP="002E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1433" w14:textId="77777777" w:rsidR="002E1C77" w:rsidRDefault="002E1C77">
    <w:pPr>
      <w:pBdr>
        <w:top w:val="nil"/>
        <w:left w:val="nil"/>
        <w:bottom w:val="nil"/>
        <w:right w:val="nil"/>
        <w:between w:val="nil"/>
      </w:pBdr>
      <w:tabs>
        <w:tab w:val="center" w:pos="4680"/>
        <w:tab w:val="right" w:pos="9360"/>
      </w:tabs>
      <w:rPr>
        <w:b/>
        <w:color w:val="000000"/>
      </w:rPr>
    </w:pPr>
  </w:p>
  <w:p w14:paraId="7749F085" w14:textId="77777777" w:rsidR="002E1C77" w:rsidRDefault="00862042">
    <w:pPr>
      <w:tabs>
        <w:tab w:val="center" w:pos="4680"/>
        <w:tab w:val="left" w:pos="8280"/>
      </w:tabs>
      <w:jc w:val="center"/>
      <w:rPr>
        <w:rFonts w:ascii="Arial" w:eastAsia="Arial" w:hAnsi="Arial" w:cs="Arial"/>
        <w:b/>
      </w:rPr>
    </w:pPr>
    <w:r>
      <w:rPr>
        <w:rFonts w:ascii="Arial" w:eastAsia="Arial" w:hAnsi="Arial" w:cs="Arial"/>
        <w:b/>
      </w:rPr>
      <w:t>FORM 7 – MONTHLY PROGRESS REPORT</w:t>
    </w:r>
    <w:r w:rsidR="00FE5174">
      <w:rPr>
        <w:noProof/>
      </w:rPr>
      <w:pict w14:anchorId="76FA1B72">
        <v:line id="_x0000_s2050" style="position:absolute;left:0;text-align:left;flip:x;z-index:251658240;visibility:visible;mso-wrap-style:square;mso-wrap-distance-left:9pt;mso-wrap-distance-top:0;mso-wrap-distance-right:9pt;mso-wrap-distance-bottom:0;mso-position-horizontal:absolute;mso-position-horizontal-relative:margin;mso-position-vertical:absolute;mso-position-vertical-relative:text"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LwoeCvGAQAAeAMAAA4AAAAAAAAAAAAA&#10;AAAALgIAAGRycy9lMm9Eb2MueG1sUEsBAi0AFAAGAAgAAAAhAB8wuCncAAAACgEAAA8AAAAAAAAA&#10;AAAAAAAAIAQAAGRycy9kb3ducmV2LnhtbFBLBQYAAAAABAAEAPMAAAApBQAAAAA=&#10;">
          <w10:wrap anchorx="margin"/>
        </v:line>
      </w:pict>
    </w:r>
  </w:p>
  <w:p w14:paraId="6A9D123A" w14:textId="77777777" w:rsidR="002E1C77" w:rsidRDefault="008F3791">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April</w:t>
    </w:r>
    <w:r w:rsidR="007F7FD1">
      <w:rPr>
        <w:rFonts w:ascii="Arial" w:eastAsia="Arial" w:hAnsi="Arial" w:cs="Arial"/>
        <w:color w:val="000000"/>
        <w:sz w:val="16"/>
        <w:szCs w:val="16"/>
      </w:rPr>
      <w:t xml:space="preserve"> 2019</w:t>
    </w:r>
  </w:p>
  <w:p w14:paraId="26D13B46" w14:textId="77777777" w:rsidR="002E1C77" w:rsidRDefault="00862042">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sidR="007712FF">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7712FF">
      <w:rPr>
        <w:rFonts w:ascii="Arial" w:eastAsia="Arial" w:hAnsi="Arial" w:cs="Arial"/>
        <w:color w:val="000000"/>
        <w:sz w:val="16"/>
        <w:szCs w:val="16"/>
      </w:rPr>
      <w:fldChar w:fldCharType="separate"/>
    </w:r>
    <w:r w:rsidR="006B68E2">
      <w:rPr>
        <w:rFonts w:ascii="Arial" w:eastAsia="Arial" w:hAnsi="Arial" w:cs="Arial"/>
        <w:noProof/>
        <w:color w:val="000000"/>
        <w:sz w:val="16"/>
        <w:szCs w:val="16"/>
      </w:rPr>
      <w:t>2</w:t>
    </w:r>
    <w:r w:rsidR="007712FF">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C4D5" w14:textId="77777777" w:rsidR="002E1C77" w:rsidRDefault="002E1C77">
    <w:pPr>
      <w:pBdr>
        <w:top w:val="nil"/>
        <w:left w:val="nil"/>
        <w:bottom w:val="nil"/>
        <w:right w:val="nil"/>
        <w:between w:val="nil"/>
      </w:pBdr>
      <w:tabs>
        <w:tab w:val="center" w:pos="4680"/>
        <w:tab w:val="right" w:pos="9360"/>
      </w:tabs>
      <w:rPr>
        <w:b/>
        <w:color w:val="000000"/>
      </w:rPr>
    </w:pPr>
  </w:p>
  <w:p w14:paraId="314413F8" w14:textId="77777777" w:rsidR="002E1C77" w:rsidRDefault="00862042">
    <w:pPr>
      <w:tabs>
        <w:tab w:val="center" w:pos="4674"/>
        <w:tab w:val="left" w:pos="8460"/>
      </w:tabs>
      <w:jc w:val="center"/>
      <w:rPr>
        <w:rFonts w:ascii="Arial" w:eastAsia="Arial" w:hAnsi="Arial" w:cs="Arial"/>
        <w:b/>
      </w:rPr>
    </w:pPr>
    <w:r>
      <w:rPr>
        <w:rFonts w:ascii="Arial" w:eastAsia="Arial" w:hAnsi="Arial" w:cs="Arial"/>
        <w:b/>
      </w:rPr>
      <w:t>FORM 7 – MONTHLY PROGRESS REPORT</w:t>
    </w:r>
    <w:r w:rsidR="00FE5174">
      <w:rPr>
        <w:noProof/>
      </w:rPr>
      <w:pict w14:anchorId="73FBD5ED">
        <v:line id="_x0000_s2049" style="position:absolute;left:0;text-align:left;flip:x;z-index:251659264;visibility:visible;mso-wrap-style:square;mso-wrap-distance-left:9pt;mso-wrap-distance-top:0;mso-wrap-distance-right:9pt;mso-wrap-distance-bottom:0;mso-position-horizontal:absolute;mso-position-horizontal-relative:margin;mso-position-vertical:absolute;mso-position-vertical-relative:text"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bFESKxwEAAHgDAAAOAAAAAAAAAAAA&#10;AAAAAC4CAABkcnMvZTJvRG9jLnhtbFBLAQItABQABgAIAAAAIQAfMLgp3AAAAAoBAAAPAAAAAAAA&#10;AAAAAAAAACEEAABkcnMvZG93bnJldi54bWxQSwUGAAAAAAQABADzAAAAKgUAAAAA&#10;">
          <w10:wrap anchorx="margin"/>
        </v:line>
      </w:pict>
    </w:r>
  </w:p>
  <w:p w14:paraId="1BBEDCD9" w14:textId="77777777" w:rsidR="002E1C77" w:rsidRDefault="008620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42B3CD0" w14:textId="77777777" w:rsidR="002E1C77" w:rsidRDefault="00862042">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sidR="007712FF">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7712FF">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79980" w14:textId="77777777" w:rsidR="00FE5174" w:rsidRDefault="00FE5174" w:rsidP="002E1C77">
      <w:r>
        <w:separator/>
      </w:r>
    </w:p>
  </w:footnote>
  <w:footnote w:type="continuationSeparator" w:id="0">
    <w:p w14:paraId="2D8DD6C6" w14:textId="77777777" w:rsidR="00FE5174" w:rsidRDefault="00FE5174" w:rsidP="002E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70C1" w14:textId="77777777" w:rsidR="002E1C77" w:rsidRDefault="007712FF">
    <w:pPr>
      <w:pBdr>
        <w:top w:val="nil"/>
        <w:left w:val="nil"/>
        <w:bottom w:val="nil"/>
        <w:right w:val="nil"/>
        <w:between w:val="nil"/>
      </w:pBdr>
      <w:tabs>
        <w:tab w:val="center" w:pos="4320"/>
        <w:tab w:val="right" w:pos="8640"/>
      </w:tabs>
      <w:jc w:val="center"/>
      <w:rPr>
        <w:color w:val="000000"/>
      </w:rPr>
    </w:pPr>
    <w:r>
      <w:rPr>
        <w:color w:val="000000"/>
      </w:rPr>
      <w:fldChar w:fldCharType="begin"/>
    </w:r>
    <w:r w:rsidR="00862042">
      <w:rPr>
        <w:color w:val="000000"/>
      </w:rPr>
      <w:instrText>PAGE</w:instrText>
    </w:r>
    <w:r>
      <w:rPr>
        <w:color w:val="000000"/>
      </w:rPr>
      <w:fldChar w:fldCharType="end"/>
    </w:r>
  </w:p>
  <w:p w14:paraId="2CDE708F" w14:textId="77777777" w:rsidR="002E1C77" w:rsidRDefault="002E1C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8554" w14:textId="77777777" w:rsidR="002E1C77" w:rsidRDefault="002E1C77">
    <w:pPr>
      <w:pBdr>
        <w:top w:val="nil"/>
        <w:left w:val="nil"/>
        <w:bottom w:val="nil"/>
        <w:right w:val="nil"/>
        <w:between w:val="nil"/>
      </w:pBdr>
      <w:tabs>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428B"/>
    <w:multiLevelType w:val="multilevel"/>
    <w:tmpl w:val="FEB62FEA"/>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7F3D07"/>
    <w:multiLevelType w:val="multilevel"/>
    <w:tmpl w:val="D9681DC0"/>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0C95517"/>
    <w:multiLevelType w:val="multilevel"/>
    <w:tmpl w:val="5190617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2ED3854"/>
    <w:multiLevelType w:val="multilevel"/>
    <w:tmpl w:val="8CF40E26"/>
    <w:lvl w:ilvl="0">
      <w:start w:val="1"/>
      <w:numFmt w:val="decimal"/>
      <w:lvlText w:val="(%1)"/>
      <w:lvlJc w:val="left"/>
      <w:pPr>
        <w:ind w:left="502" w:hanging="360"/>
      </w:pPr>
      <w:rPr>
        <w:b w:val="0"/>
        <w: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1C77"/>
    <w:rsid w:val="00030E34"/>
    <w:rsid w:val="0005503E"/>
    <w:rsid w:val="000622FE"/>
    <w:rsid w:val="00064004"/>
    <w:rsid w:val="000702E2"/>
    <w:rsid w:val="0007528E"/>
    <w:rsid w:val="0008791A"/>
    <w:rsid w:val="000B48EC"/>
    <w:rsid w:val="00103E5D"/>
    <w:rsid w:val="00116CCA"/>
    <w:rsid w:val="00133D5E"/>
    <w:rsid w:val="00137CCD"/>
    <w:rsid w:val="001464DC"/>
    <w:rsid w:val="0019174E"/>
    <w:rsid w:val="00197411"/>
    <w:rsid w:val="001D3994"/>
    <w:rsid w:val="001D4C16"/>
    <w:rsid w:val="00255E6C"/>
    <w:rsid w:val="002563F9"/>
    <w:rsid w:val="00266F0A"/>
    <w:rsid w:val="002B38A9"/>
    <w:rsid w:val="002B6CAC"/>
    <w:rsid w:val="002D3E64"/>
    <w:rsid w:val="002D44BB"/>
    <w:rsid w:val="002E1C77"/>
    <w:rsid w:val="00355CE0"/>
    <w:rsid w:val="00367EFE"/>
    <w:rsid w:val="00394196"/>
    <w:rsid w:val="003A7273"/>
    <w:rsid w:val="003B12CF"/>
    <w:rsid w:val="003B5394"/>
    <w:rsid w:val="003C4BC8"/>
    <w:rsid w:val="003E1756"/>
    <w:rsid w:val="00400638"/>
    <w:rsid w:val="00411889"/>
    <w:rsid w:val="004B2750"/>
    <w:rsid w:val="00544A60"/>
    <w:rsid w:val="00553702"/>
    <w:rsid w:val="00573A20"/>
    <w:rsid w:val="00590FED"/>
    <w:rsid w:val="005C4F73"/>
    <w:rsid w:val="0062260B"/>
    <w:rsid w:val="00623F97"/>
    <w:rsid w:val="006707EA"/>
    <w:rsid w:val="006B68E2"/>
    <w:rsid w:val="00704EFB"/>
    <w:rsid w:val="0075622A"/>
    <w:rsid w:val="007712FF"/>
    <w:rsid w:val="00790A3F"/>
    <w:rsid w:val="007A698E"/>
    <w:rsid w:val="007D2DDD"/>
    <w:rsid w:val="007D6493"/>
    <w:rsid w:val="007F7FD1"/>
    <w:rsid w:val="00816489"/>
    <w:rsid w:val="008445DF"/>
    <w:rsid w:val="00862042"/>
    <w:rsid w:val="008A5324"/>
    <w:rsid w:val="008C046C"/>
    <w:rsid w:val="008E571A"/>
    <w:rsid w:val="008F3791"/>
    <w:rsid w:val="00924316"/>
    <w:rsid w:val="00943C56"/>
    <w:rsid w:val="009440F9"/>
    <w:rsid w:val="009573DC"/>
    <w:rsid w:val="00994DF4"/>
    <w:rsid w:val="009D1AAF"/>
    <w:rsid w:val="00A00B5D"/>
    <w:rsid w:val="00A115A5"/>
    <w:rsid w:val="00A509A7"/>
    <w:rsid w:val="00A572C8"/>
    <w:rsid w:val="00A77540"/>
    <w:rsid w:val="00A7776F"/>
    <w:rsid w:val="00A84516"/>
    <w:rsid w:val="00A955DD"/>
    <w:rsid w:val="00AB116E"/>
    <w:rsid w:val="00B035A5"/>
    <w:rsid w:val="00B04112"/>
    <w:rsid w:val="00B261BA"/>
    <w:rsid w:val="00B26928"/>
    <w:rsid w:val="00B85381"/>
    <w:rsid w:val="00BB5355"/>
    <w:rsid w:val="00BF468D"/>
    <w:rsid w:val="00C0004E"/>
    <w:rsid w:val="00C03989"/>
    <w:rsid w:val="00C201C9"/>
    <w:rsid w:val="00C43976"/>
    <w:rsid w:val="00C44097"/>
    <w:rsid w:val="00C91B47"/>
    <w:rsid w:val="00CA6C9F"/>
    <w:rsid w:val="00D45376"/>
    <w:rsid w:val="00D47031"/>
    <w:rsid w:val="00D622B2"/>
    <w:rsid w:val="00D75D26"/>
    <w:rsid w:val="00D95EDE"/>
    <w:rsid w:val="00DD702F"/>
    <w:rsid w:val="00DD73C3"/>
    <w:rsid w:val="00DF0B36"/>
    <w:rsid w:val="00E03C7A"/>
    <w:rsid w:val="00E45549"/>
    <w:rsid w:val="00E50478"/>
    <w:rsid w:val="00E728E7"/>
    <w:rsid w:val="00E970CB"/>
    <w:rsid w:val="00EC77EA"/>
    <w:rsid w:val="00EE5C71"/>
    <w:rsid w:val="00EF2E0D"/>
    <w:rsid w:val="00F35755"/>
    <w:rsid w:val="00F4288B"/>
    <w:rsid w:val="00F5349C"/>
    <w:rsid w:val="00F70D7A"/>
    <w:rsid w:val="00FA2509"/>
    <w:rsid w:val="00FC3A77"/>
    <w:rsid w:val="00FD0DC9"/>
    <w:rsid w:val="00FE51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5F804F"/>
  <w15:docId w15:val="{53BBA351-FE78-4B32-97B7-176D2F60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5F"/>
  </w:style>
  <w:style w:type="paragraph" w:styleId="Heading1">
    <w:name w:val="heading 1"/>
    <w:basedOn w:val="Normal"/>
    <w:next w:val="Normal"/>
    <w:link w:val="Heading1Char"/>
    <w:uiPriority w:val="9"/>
    <w:qFormat/>
    <w:rsid w:val="00942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54095F"/>
    <w:pPr>
      <w:keepNext/>
      <w:ind w:left="1080" w:hanging="1080"/>
      <w:outlineLvl w:val="1"/>
    </w:pPr>
    <w:rPr>
      <w:rFonts w:ascii="Arial" w:hAnsi="Arial"/>
      <w:b/>
      <w:sz w:val="28"/>
    </w:rPr>
  </w:style>
  <w:style w:type="paragraph" w:styleId="Heading3">
    <w:name w:val="heading 3"/>
    <w:basedOn w:val="Normal2"/>
    <w:next w:val="Normal2"/>
    <w:rsid w:val="002E1C77"/>
    <w:pPr>
      <w:keepNext/>
      <w:keepLines/>
      <w:spacing w:before="280" w:after="80"/>
      <w:outlineLvl w:val="2"/>
    </w:pPr>
    <w:rPr>
      <w:b/>
      <w:sz w:val="28"/>
      <w:szCs w:val="28"/>
    </w:rPr>
  </w:style>
  <w:style w:type="paragraph" w:styleId="Heading4">
    <w:name w:val="heading 4"/>
    <w:basedOn w:val="Normal2"/>
    <w:next w:val="Normal2"/>
    <w:rsid w:val="002E1C77"/>
    <w:pPr>
      <w:keepNext/>
      <w:keepLines/>
      <w:spacing w:before="240" w:after="40"/>
      <w:outlineLvl w:val="3"/>
    </w:pPr>
    <w:rPr>
      <w:b/>
      <w:sz w:val="24"/>
      <w:szCs w:val="24"/>
    </w:rPr>
  </w:style>
  <w:style w:type="paragraph" w:styleId="Heading5">
    <w:name w:val="heading 5"/>
    <w:basedOn w:val="Normal2"/>
    <w:next w:val="Normal2"/>
    <w:rsid w:val="002E1C77"/>
    <w:pPr>
      <w:keepNext/>
      <w:keepLines/>
      <w:spacing w:before="220" w:after="40"/>
      <w:outlineLvl w:val="4"/>
    </w:pPr>
    <w:rPr>
      <w:b/>
      <w:sz w:val="22"/>
      <w:szCs w:val="22"/>
    </w:rPr>
  </w:style>
  <w:style w:type="paragraph" w:styleId="Heading6">
    <w:name w:val="heading 6"/>
    <w:basedOn w:val="Normal2"/>
    <w:next w:val="Normal2"/>
    <w:rsid w:val="002E1C7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1C77"/>
  </w:style>
  <w:style w:type="paragraph" w:styleId="Title">
    <w:name w:val="Title"/>
    <w:basedOn w:val="BodyText"/>
    <w:qFormat/>
    <w:rsid w:val="0054095F"/>
    <w:pPr>
      <w:spacing w:after="240"/>
      <w:jc w:val="center"/>
    </w:pPr>
    <w:rPr>
      <w:rFonts w:ascii="Arial" w:hAnsi="Arial"/>
      <w:b/>
      <w:sz w:val="40"/>
    </w:rPr>
  </w:style>
  <w:style w:type="paragraph" w:customStyle="1" w:styleId="Normal2">
    <w:name w:val="Normal2"/>
    <w:rsid w:val="002E1C77"/>
  </w:style>
  <w:style w:type="paragraph" w:styleId="BodyText">
    <w:name w:val="Body Text"/>
    <w:basedOn w:val="Normal"/>
    <w:rsid w:val="0054095F"/>
    <w:pPr>
      <w:spacing w:before="240"/>
    </w:pPr>
    <w:rPr>
      <w:sz w:val="24"/>
    </w:rPr>
  </w:style>
  <w:style w:type="paragraph" w:styleId="List">
    <w:name w:val="List"/>
    <w:basedOn w:val="BodyText"/>
    <w:rsid w:val="0054095F"/>
    <w:pPr>
      <w:ind w:left="1080" w:hanging="1080"/>
    </w:pPr>
  </w:style>
  <w:style w:type="paragraph" w:customStyle="1" w:styleId="amend">
    <w:name w:val="amend"/>
    <w:basedOn w:val="Normal"/>
    <w:rsid w:val="0054095F"/>
    <w:pPr>
      <w:tabs>
        <w:tab w:val="left" w:pos="1080"/>
      </w:tabs>
      <w:spacing w:before="40" w:after="40"/>
      <w:jc w:val="right"/>
    </w:pPr>
    <w:rPr>
      <w:rFonts w:ascii="Arial" w:hAnsi="Arial"/>
      <w:b/>
      <w:sz w:val="24"/>
      <w:vertAlign w:val="superscript"/>
    </w:rPr>
  </w:style>
  <w:style w:type="paragraph" w:styleId="Header">
    <w:name w:val="header"/>
    <w:basedOn w:val="Normal"/>
    <w:rsid w:val="0054095F"/>
    <w:pPr>
      <w:tabs>
        <w:tab w:val="center" w:pos="4320"/>
        <w:tab w:val="right" w:pos="8640"/>
      </w:tabs>
    </w:pPr>
  </w:style>
  <w:style w:type="paragraph" w:styleId="Footer">
    <w:name w:val="footer"/>
    <w:basedOn w:val="Normal"/>
    <w:rsid w:val="0054095F"/>
    <w:pPr>
      <w:tabs>
        <w:tab w:val="center" w:pos="4320"/>
        <w:tab w:val="right" w:pos="8640"/>
      </w:tabs>
    </w:pPr>
  </w:style>
  <w:style w:type="character" w:styleId="PageNumber">
    <w:name w:val="page number"/>
    <w:basedOn w:val="DefaultParagraphFont"/>
    <w:rsid w:val="0054095F"/>
  </w:style>
  <w:style w:type="paragraph" w:styleId="BalloonText">
    <w:name w:val="Balloon Text"/>
    <w:basedOn w:val="Normal"/>
    <w:semiHidden/>
    <w:rsid w:val="0054095F"/>
    <w:rPr>
      <w:rFonts w:ascii="Tahoma" w:hAnsi="Tahoma" w:cs="Tahoma"/>
      <w:sz w:val="16"/>
      <w:szCs w:val="16"/>
    </w:rPr>
  </w:style>
  <w:style w:type="character" w:styleId="Hyperlink">
    <w:name w:val="Hyperlink"/>
    <w:basedOn w:val="DefaultParagraphFont"/>
    <w:uiPriority w:val="99"/>
    <w:unhideWhenUsed/>
    <w:rsid w:val="006C7D8A"/>
    <w:rPr>
      <w:color w:val="0000FF" w:themeColor="hyperlink"/>
      <w:u w:val="single"/>
    </w:rPr>
  </w:style>
  <w:style w:type="character" w:customStyle="1" w:styleId="Heading1Char">
    <w:name w:val="Heading 1 Char"/>
    <w:basedOn w:val="DefaultParagraphFont"/>
    <w:link w:val="Heading1"/>
    <w:uiPriority w:val="9"/>
    <w:rsid w:val="0094235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C1802"/>
    <w:rPr>
      <w:sz w:val="16"/>
      <w:szCs w:val="16"/>
    </w:rPr>
  </w:style>
  <w:style w:type="paragraph" w:styleId="CommentText">
    <w:name w:val="annotation text"/>
    <w:basedOn w:val="Normal"/>
    <w:link w:val="CommentTextChar"/>
    <w:uiPriority w:val="99"/>
    <w:semiHidden/>
    <w:unhideWhenUsed/>
    <w:rsid w:val="00DC1802"/>
  </w:style>
  <w:style w:type="character" w:customStyle="1" w:styleId="CommentTextChar">
    <w:name w:val="Comment Text Char"/>
    <w:basedOn w:val="DefaultParagraphFont"/>
    <w:link w:val="CommentText"/>
    <w:uiPriority w:val="99"/>
    <w:semiHidden/>
    <w:rsid w:val="00DC1802"/>
  </w:style>
  <w:style w:type="paragraph" w:styleId="CommentSubject">
    <w:name w:val="annotation subject"/>
    <w:basedOn w:val="CommentText"/>
    <w:next w:val="CommentText"/>
    <w:link w:val="CommentSubjectChar"/>
    <w:uiPriority w:val="99"/>
    <w:semiHidden/>
    <w:unhideWhenUsed/>
    <w:rsid w:val="00DC1802"/>
    <w:rPr>
      <w:b/>
      <w:bCs/>
    </w:rPr>
  </w:style>
  <w:style w:type="character" w:customStyle="1" w:styleId="CommentSubjectChar">
    <w:name w:val="Comment Subject Char"/>
    <w:basedOn w:val="CommentTextChar"/>
    <w:link w:val="CommentSubject"/>
    <w:uiPriority w:val="99"/>
    <w:semiHidden/>
    <w:rsid w:val="00DC1802"/>
    <w:rPr>
      <w:b/>
      <w:bCs/>
    </w:rPr>
  </w:style>
  <w:style w:type="paragraph" w:customStyle="1" w:styleId="Normal0">
    <w:name w:val="Normal_0"/>
    <w:qFormat/>
    <w:rsid w:val="00941671"/>
    <w:pPr>
      <w:pBdr>
        <w:top w:val="nil"/>
        <w:left w:val="nil"/>
        <w:bottom w:val="nil"/>
        <w:right w:val="nil"/>
        <w:between w:val="nil"/>
      </w:pBdr>
      <w:spacing w:after="160" w:line="259" w:lineRule="auto"/>
    </w:pPr>
    <w:rPr>
      <w:rFonts w:ascii="Calibri" w:eastAsia="Calibri" w:hAnsi="Calibri" w:cs="Calibri"/>
      <w:color w:val="000000"/>
      <w:sz w:val="22"/>
      <w:szCs w:val="22"/>
      <w:lang w:val="en-CA"/>
    </w:rPr>
  </w:style>
  <w:style w:type="paragraph" w:styleId="Subtitle">
    <w:name w:val="Subtitle"/>
    <w:basedOn w:val="Normal"/>
    <w:next w:val="Normal"/>
    <w:rsid w:val="002E1C77"/>
    <w:pPr>
      <w:keepNext/>
      <w:keepLines/>
      <w:spacing w:before="360" w:after="80"/>
    </w:pPr>
    <w:rPr>
      <w:rFonts w:ascii="Georgia" w:eastAsia="Georgia" w:hAnsi="Georgia" w:cs="Georgia"/>
      <w:i/>
      <w:color w:val="666666"/>
      <w:sz w:val="48"/>
      <w:szCs w:val="48"/>
    </w:rPr>
  </w:style>
  <w:style w:type="table" w:customStyle="1" w:styleId="a">
    <w:basedOn w:val="TableNormal"/>
    <w:rsid w:val="002E1C77"/>
    <w:tblPr>
      <w:tblStyleRowBandSize w:val="1"/>
      <w:tblStyleColBandSize w:val="1"/>
      <w:tblCellMar>
        <w:left w:w="115" w:type="dxa"/>
        <w:right w:w="115" w:type="dxa"/>
      </w:tblCellMar>
    </w:tblPr>
  </w:style>
  <w:style w:type="table" w:customStyle="1" w:styleId="a0">
    <w:basedOn w:val="TableNormal"/>
    <w:rsid w:val="002E1C77"/>
    <w:tblPr>
      <w:tblStyleRowBandSize w:val="1"/>
      <w:tblStyleColBandSize w:val="1"/>
      <w:tblCellMar>
        <w:left w:w="115" w:type="dxa"/>
        <w:right w:w="115" w:type="dxa"/>
      </w:tblCellMar>
    </w:tblPr>
  </w:style>
  <w:style w:type="table" w:customStyle="1" w:styleId="a1">
    <w:basedOn w:val="TableNormal"/>
    <w:rsid w:val="002E1C77"/>
    <w:tblPr>
      <w:tblStyleRowBandSize w:val="1"/>
      <w:tblStyleColBandSize w:val="1"/>
      <w:tblCellMar>
        <w:left w:w="115" w:type="dxa"/>
        <w:right w:w="115" w:type="dxa"/>
      </w:tblCellMar>
    </w:tblPr>
  </w:style>
  <w:style w:type="table" w:customStyle="1" w:styleId="a2">
    <w:basedOn w:val="TableNormal"/>
    <w:rsid w:val="002E1C77"/>
    <w:tblPr>
      <w:tblStyleRowBandSize w:val="1"/>
      <w:tblStyleColBandSize w:val="1"/>
      <w:tblCellMar>
        <w:left w:w="115" w:type="dxa"/>
        <w:right w:w="115" w:type="dxa"/>
      </w:tblCellMar>
    </w:tblPr>
  </w:style>
  <w:style w:type="table" w:customStyle="1" w:styleId="a3">
    <w:basedOn w:val="TableNormal"/>
    <w:rsid w:val="002E1C77"/>
    <w:tblPr>
      <w:tblStyleRowBandSize w:val="1"/>
      <w:tblStyleColBandSize w:val="1"/>
      <w:tblCellMar>
        <w:left w:w="115" w:type="dxa"/>
        <w:right w:w="115" w:type="dxa"/>
      </w:tblCellMar>
    </w:tblPr>
  </w:style>
  <w:style w:type="table" w:customStyle="1" w:styleId="a4">
    <w:basedOn w:val="TableNormal"/>
    <w:rsid w:val="002E1C77"/>
    <w:tblPr>
      <w:tblStyleRowBandSize w:val="1"/>
      <w:tblStyleColBandSize w:val="1"/>
      <w:tblCellMar>
        <w:left w:w="115" w:type="dxa"/>
        <w:right w:w="115" w:type="dxa"/>
      </w:tblCellMar>
    </w:tblPr>
  </w:style>
  <w:style w:type="paragraph" w:styleId="ListParagraph">
    <w:name w:val="List Paragraph"/>
    <w:basedOn w:val="Normal"/>
    <w:uiPriority w:val="34"/>
    <w:qFormat/>
    <w:rsid w:val="008C046C"/>
    <w:pPr>
      <w:ind w:left="720"/>
      <w:contextualSpacing/>
    </w:pPr>
  </w:style>
  <w:style w:type="paragraph" w:customStyle="1" w:styleId="TableHeading">
    <w:name w:val="TableHeading"/>
    <w:basedOn w:val="BodyText"/>
    <w:rsid w:val="0075622A"/>
    <w:pPr>
      <w:spacing w:before="60" w:after="60"/>
    </w:pPr>
    <w:rPr>
      <w:rFonts w:ascii="Arial" w:hAnsi="Arial"/>
      <w:b/>
      <w:sz w:val="20"/>
      <w:lang w:eastAsia="en-US"/>
    </w:rPr>
  </w:style>
  <w:style w:type="paragraph" w:customStyle="1" w:styleId="TableText">
    <w:name w:val="TableText"/>
    <w:basedOn w:val="BodyText"/>
    <w:rsid w:val="0075622A"/>
    <w:pPr>
      <w:spacing w:before="40" w:after="40"/>
    </w:pPr>
    <w:rPr>
      <w:rFonts w:ascii="Arial" w:hAnsi="Arial"/>
      <w:sz w:val="20"/>
      <w:lang w:eastAsia="en-US"/>
    </w:rPr>
  </w:style>
  <w:style w:type="paragraph" w:styleId="ListContinue2">
    <w:name w:val="List Continue 2"/>
    <w:basedOn w:val="BodyText"/>
    <w:rsid w:val="00C0004E"/>
    <w:rPr>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692">
      <w:bodyDiv w:val="1"/>
      <w:marLeft w:val="0"/>
      <w:marRight w:val="0"/>
      <w:marTop w:val="0"/>
      <w:marBottom w:val="0"/>
      <w:divBdr>
        <w:top w:val="none" w:sz="0" w:space="0" w:color="auto"/>
        <w:left w:val="none" w:sz="0" w:space="0" w:color="auto"/>
        <w:bottom w:val="none" w:sz="0" w:space="0" w:color="auto"/>
        <w:right w:val="none" w:sz="0" w:space="0" w:color="auto"/>
      </w:divBdr>
    </w:div>
    <w:div w:id="269166376">
      <w:bodyDiv w:val="1"/>
      <w:marLeft w:val="0"/>
      <w:marRight w:val="0"/>
      <w:marTop w:val="0"/>
      <w:marBottom w:val="0"/>
      <w:divBdr>
        <w:top w:val="none" w:sz="0" w:space="0" w:color="auto"/>
        <w:left w:val="none" w:sz="0" w:space="0" w:color="auto"/>
        <w:bottom w:val="none" w:sz="0" w:space="0" w:color="auto"/>
        <w:right w:val="none" w:sz="0" w:space="0" w:color="auto"/>
      </w:divBdr>
    </w:div>
    <w:div w:id="1289628727">
      <w:bodyDiv w:val="1"/>
      <w:marLeft w:val="0"/>
      <w:marRight w:val="0"/>
      <w:marTop w:val="0"/>
      <w:marBottom w:val="0"/>
      <w:divBdr>
        <w:top w:val="none" w:sz="0" w:space="0" w:color="auto"/>
        <w:left w:val="none" w:sz="0" w:space="0" w:color="auto"/>
        <w:bottom w:val="none" w:sz="0" w:space="0" w:color="auto"/>
        <w:right w:val="none" w:sz="0" w:space="0" w:color="auto"/>
      </w:divBdr>
    </w:div>
    <w:div w:id="1806461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t-cen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F440C-07FF-4DD9-AA6C-E171F085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dc:creator>
  <cp:lastModifiedBy>It Netcents</cp:lastModifiedBy>
  <cp:revision>6</cp:revision>
  <cp:lastPrinted>2019-01-07T22:49:00Z</cp:lastPrinted>
  <dcterms:created xsi:type="dcterms:W3CDTF">2019-05-08T15:28:00Z</dcterms:created>
  <dcterms:modified xsi:type="dcterms:W3CDTF">2019-05-08T20:07:00Z</dcterms:modified>
</cp:coreProperties>
</file>