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77" w:rsidRDefault="00862042">
      <w:pPr>
        <w:pStyle w:val="Title"/>
        <w:spacing w:before="0" w:after="0"/>
        <w:rPr>
          <w:color w:val="000000"/>
          <w:sz w:val="28"/>
          <w:szCs w:val="28"/>
          <w:u w:val="single"/>
        </w:rPr>
      </w:pPr>
      <w:bookmarkStart w:id="0" w:name="_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rsidR="002E1C77" w:rsidRDefault="00862042">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Pr>
          <w:rFonts w:ascii="Arial" w:eastAsia="Arial" w:hAnsi="Arial" w:cs="Arial"/>
          <w:b/>
          <w:color w:val="000000"/>
          <w:sz w:val="24"/>
          <w:szCs w:val="24"/>
        </w:rPr>
        <w:t>NetCents Technology Inc</w:t>
      </w:r>
      <w:r>
        <w:rPr>
          <w:rFonts w:ascii="Arial" w:eastAsia="Arial" w:hAnsi="Arial" w:cs="Arial"/>
          <w:color w:val="000000"/>
          <w:sz w:val="24"/>
          <w:szCs w:val="24"/>
        </w:rPr>
        <w:t>.</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Pr>
          <w:rFonts w:ascii="Arial" w:eastAsia="Arial" w:hAnsi="Arial" w:cs="Arial"/>
          <w:b/>
          <w:color w:val="000000"/>
          <w:sz w:val="24"/>
          <w:szCs w:val="24"/>
        </w:rPr>
        <w:t>NC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Number of Outstanding Listed Securities</w:t>
      </w:r>
      <w:r w:rsidRPr="00553702">
        <w:rPr>
          <w:rFonts w:ascii="Arial" w:eastAsia="Arial" w:hAnsi="Arial" w:cs="Arial"/>
          <w:color w:val="000000"/>
          <w:sz w:val="22"/>
          <w:szCs w:val="22"/>
        </w:rPr>
        <w:t xml:space="preserve">: </w:t>
      </w:r>
      <w:r w:rsidR="00553702" w:rsidRPr="00553702">
        <w:rPr>
          <w:rFonts w:ascii="Arial" w:eastAsia="Arial" w:hAnsi="Arial" w:cs="Arial"/>
          <w:b/>
          <w:color w:val="000000"/>
          <w:sz w:val="22"/>
          <w:szCs w:val="22"/>
        </w:rPr>
        <w:t>Issued:</w:t>
      </w:r>
      <w:r w:rsidR="00553702" w:rsidRPr="00553702">
        <w:rPr>
          <w:rFonts w:ascii="Arial" w:eastAsia="Arial" w:hAnsi="Arial" w:cs="Arial"/>
          <w:color w:val="000000"/>
          <w:sz w:val="22"/>
          <w:szCs w:val="22"/>
        </w:rPr>
        <w:t xml:space="preserve"> </w:t>
      </w:r>
      <w:r w:rsidRPr="00553702">
        <w:rPr>
          <w:rFonts w:ascii="Arial" w:eastAsia="Arial" w:hAnsi="Arial" w:cs="Arial"/>
          <w:b/>
          <w:color w:val="000000"/>
          <w:sz w:val="22"/>
          <w:szCs w:val="22"/>
        </w:rPr>
        <w:t>4</w:t>
      </w:r>
      <w:r w:rsidR="00367EFE" w:rsidRPr="00553702">
        <w:rPr>
          <w:rFonts w:ascii="Arial" w:eastAsia="Arial" w:hAnsi="Arial" w:cs="Arial"/>
          <w:b/>
          <w:color w:val="000000"/>
          <w:sz w:val="22"/>
          <w:szCs w:val="22"/>
        </w:rPr>
        <w:t>4,</w:t>
      </w:r>
      <w:r w:rsidR="00553702" w:rsidRPr="00553702">
        <w:rPr>
          <w:rFonts w:ascii="Arial" w:eastAsia="Arial" w:hAnsi="Arial" w:cs="Arial"/>
          <w:b/>
          <w:color w:val="000000"/>
          <w:sz w:val="22"/>
          <w:szCs w:val="22"/>
        </w:rPr>
        <w:t>501,467, Reserved: 10,484,042</w:t>
      </w:r>
      <w:r w:rsidRPr="00553702">
        <w:rPr>
          <w:rFonts w:ascii="Arial" w:eastAsia="Arial" w:hAnsi="Arial" w:cs="Arial"/>
          <w:color w:val="000000"/>
          <w:sz w:val="24"/>
          <w:szCs w:val="24"/>
        </w:rPr>
        <w:tab/>
      </w:r>
    </w:p>
    <w:p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Date</w:t>
      </w:r>
      <w:r>
        <w:rPr>
          <w:rFonts w:ascii="Arial" w:eastAsia="Arial" w:hAnsi="Arial" w:cs="Arial"/>
          <w:b/>
          <w:color w:val="000000"/>
          <w:sz w:val="24"/>
          <w:szCs w:val="24"/>
        </w:rPr>
        <w:t xml:space="preserve">: </w:t>
      </w:r>
      <w:r w:rsidR="00F5349C">
        <w:rPr>
          <w:rFonts w:ascii="Arial" w:eastAsia="Arial" w:hAnsi="Arial" w:cs="Arial"/>
          <w:b/>
          <w:color w:val="000000"/>
          <w:sz w:val="24"/>
          <w:szCs w:val="24"/>
        </w:rPr>
        <w:t>February 5, 2019</w:t>
      </w:r>
      <w:r>
        <w:rPr>
          <w:rFonts w:ascii="Arial" w:eastAsia="Arial" w:hAnsi="Arial" w:cs="Arial"/>
          <w:color w:val="000000"/>
          <w:sz w:val="24"/>
          <w:szCs w:val="24"/>
          <w:u w:val="single"/>
        </w:rPr>
        <w:tab/>
      </w:r>
      <w:r>
        <w:rPr>
          <w:rFonts w:ascii="Arial" w:eastAsia="Arial" w:hAnsi="Arial" w:cs="Arial"/>
          <w:color w:val="000000"/>
          <w:sz w:val="24"/>
          <w:szCs w:val="24"/>
          <w:u w:val="single"/>
        </w:rPr>
        <w:tab/>
      </w:r>
    </w:p>
    <w:p w:rsidR="002E1C77" w:rsidRDefault="00862042">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2E1C77" w:rsidRDefault="00862042">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rsidR="002E1C77" w:rsidRDefault="00862042">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2E1C77" w:rsidRDefault="00862042">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rsidR="002E1C77" w:rsidRDefault="00862042">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rsidR="002E1C77" w:rsidRDefault="00862042">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continued to build its business: </w:t>
      </w:r>
    </w:p>
    <w:p w:rsidR="000B48EC" w:rsidRPr="000B48EC" w:rsidRDefault="000B48EC" w:rsidP="000B48EC">
      <w:pPr>
        <w:pBdr>
          <w:top w:val="nil"/>
          <w:left w:val="nil"/>
          <w:bottom w:val="nil"/>
          <w:right w:val="nil"/>
          <w:between w:val="nil"/>
        </w:pBdr>
        <w:spacing w:before="120"/>
        <w:ind w:left="720"/>
        <w:jc w:val="both"/>
        <w:rPr>
          <w:rFonts w:ascii="Arial" w:eastAsia="Arial" w:hAnsi="Arial" w:cs="Arial"/>
          <w:b/>
          <w:color w:val="000000"/>
          <w:sz w:val="24"/>
          <w:szCs w:val="24"/>
        </w:rPr>
      </w:pPr>
      <w:r w:rsidRPr="000B48EC">
        <w:rPr>
          <w:rFonts w:ascii="Arial" w:eastAsia="Arial" w:hAnsi="Arial" w:cs="Arial"/>
          <w:b/>
          <w:color w:val="000000"/>
          <w:sz w:val="24"/>
          <w:szCs w:val="24"/>
        </w:rPr>
        <w:t xml:space="preserve">January 29, 2019 </w:t>
      </w:r>
      <w:r>
        <w:rPr>
          <w:rFonts w:ascii="Arial" w:eastAsia="Arial" w:hAnsi="Arial" w:cs="Arial"/>
          <w:b/>
          <w:color w:val="000000"/>
          <w:sz w:val="24"/>
          <w:szCs w:val="24"/>
        </w:rPr>
        <w:t>Comp</w:t>
      </w:r>
      <w:r w:rsidR="002D44BB">
        <w:rPr>
          <w:rFonts w:ascii="Arial" w:eastAsia="Arial" w:hAnsi="Arial" w:cs="Arial"/>
          <w:b/>
          <w:color w:val="000000"/>
          <w:sz w:val="24"/>
          <w:szCs w:val="24"/>
        </w:rPr>
        <w:t>an</w:t>
      </w:r>
      <w:r>
        <w:rPr>
          <w:rFonts w:ascii="Arial" w:eastAsia="Arial" w:hAnsi="Arial" w:cs="Arial"/>
          <w:b/>
          <w:color w:val="000000"/>
          <w:sz w:val="24"/>
          <w:szCs w:val="24"/>
        </w:rPr>
        <w:t xml:space="preserve">y announced </w:t>
      </w:r>
      <w:r w:rsidRPr="000B48EC">
        <w:rPr>
          <w:rFonts w:ascii="Arial" w:eastAsia="Arial" w:hAnsi="Arial" w:cs="Arial"/>
          <w:b/>
          <w:color w:val="000000"/>
          <w:sz w:val="24"/>
          <w:szCs w:val="24"/>
        </w:rPr>
        <w:t xml:space="preserve">that the direct integration into the PAX Global Technology, LTD. (PAX) A920 Smart Terminal has been completed. </w:t>
      </w:r>
    </w:p>
    <w:p w:rsidR="000B48EC" w:rsidRDefault="000B48EC" w:rsidP="000B48EC">
      <w:pPr>
        <w:pBdr>
          <w:top w:val="nil"/>
          <w:left w:val="nil"/>
          <w:bottom w:val="nil"/>
          <w:right w:val="nil"/>
          <w:between w:val="nil"/>
        </w:pBdr>
        <w:spacing w:before="120"/>
        <w:ind w:left="720"/>
        <w:jc w:val="both"/>
        <w:rPr>
          <w:rFonts w:ascii="Arial" w:eastAsia="Arial" w:hAnsi="Arial" w:cs="Arial"/>
          <w:b/>
          <w:color w:val="000000"/>
          <w:sz w:val="24"/>
          <w:szCs w:val="24"/>
        </w:rPr>
      </w:pPr>
      <w:r w:rsidRPr="000B48EC">
        <w:rPr>
          <w:rFonts w:ascii="Arial" w:eastAsia="Arial" w:hAnsi="Arial" w:cs="Arial"/>
          <w:b/>
          <w:color w:val="000000"/>
          <w:sz w:val="24"/>
          <w:szCs w:val="24"/>
        </w:rPr>
        <w:lastRenderedPageBreak/>
        <w:t>PAX has been serving the global retail marketplace for over 17 years, has distribution in over 100 countries shipping over 26 million terminals worldwide and is one of the fastest-growing POS terminal providers in the world.</w:t>
      </w:r>
    </w:p>
    <w:p w:rsidR="000B48EC" w:rsidRDefault="000B48EC" w:rsidP="000B48EC">
      <w:pPr>
        <w:pBdr>
          <w:top w:val="nil"/>
          <w:left w:val="nil"/>
          <w:bottom w:val="nil"/>
          <w:right w:val="nil"/>
          <w:between w:val="nil"/>
        </w:pBdr>
        <w:spacing w:before="120"/>
        <w:ind w:left="720"/>
        <w:jc w:val="both"/>
        <w:rPr>
          <w:rFonts w:ascii="Arial" w:hAnsi="Arial" w:cs="Arial"/>
          <w:b/>
          <w:sz w:val="24"/>
          <w:szCs w:val="24"/>
        </w:rPr>
      </w:pPr>
      <w:r w:rsidRPr="000B48EC">
        <w:rPr>
          <w:rFonts w:ascii="Arial" w:hAnsi="Arial" w:cs="Arial"/>
          <w:b/>
          <w:sz w:val="24"/>
          <w:szCs w:val="24"/>
        </w:rPr>
        <w:t>January 22, 2019</w:t>
      </w:r>
      <w:r>
        <w:rPr>
          <w:rFonts w:ascii="Arial" w:hAnsi="Arial" w:cs="Arial"/>
          <w:b/>
          <w:sz w:val="24"/>
          <w:szCs w:val="24"/>
        </w:rPr>
        <w:t xml:space="preserve">, Company announced </w:t>
      </w:r>
      <w:r w:rsidRPr="000B48EC">
        <w:rPr>
          <w:rFonts w:ascii="Arial" w:hAnsi="Arial" w:cs="Arial"/>
          <w:b/>
          <w:sz w:val="24"/>
          <w:szCs w:val="24"/>
        </w:rPr>
        <w:t>that it ha</w:t>
      </w:r>
      <w:r>
        <w:rPr>
          <w:rFonts w:ascii="Arial" w:hAnsi="Arial" w:cs="Arial"/>
          <w:b/>
          <w:sz w:val="24"/>
          <w:szCs w:val="24"/>
        </w:rPr>
        <w:t>d</w:t>
      </w:r>
      <w:r w:rsidRPr="000B48EC">
        <w:rPr>
          <w:rFonts w:ascii="Arial" w:hAnsi="Arial" w:cs="Arial"/>
          <w:b/>
          <w:sz w:val="24"/>
          <w:szCs w:val="24"/>
        </w:rPr>
        <w:t xml:space="preserve"> entered into a five-year ISO Reseller Agreement with </w:t>
      </w:r>
      <w:proofErr w:type="spellStart"/>
      <w:r w:rsidRPr="000B48EC">
        <w:rPr>
          <w:rFonts w:ascii="Arial" w:hAnsi="Arial" w:cs="Arial"/>
          <w:b/>
          <w:sz w:val="24"/>
          <w:szCs w:val="24"/>
        </w:rPr>
        <w:t>SalesSource</w:t>
      </w:r>
      <w:proofErr w:type="spellEnd"/>
      <w:r w:rsidRPr="000B48EC">
        <w:rPr>
          <w:rFonts w:ascii="Arial" w:hAnsi="Arial" w:cs="Arial"/>
          <w:b/>
          <w:sz w:val="24"/>
          <w:szCs w:val="24"/>
        </w:rPr>
        <w:t xml:space="preserve"> LLC</w:t>
      </w:r>
      <w:r>
        <w:rPr>
          <w:rFonts w:ascii="Arial" w:hAnsi="Arial" w:cs="Arial"/>
          <w:b/>
          <w:sz w:val="24"/>
          <w:szCs w:val="24"/>
        </w:rPr>
        <w:t xml:space="preserve">. </w:t>
      </w:r>
      <w:r w:rsidRPr="000B48EC">
        <w:rPr>
          <w:rFonts w:ascii="Arial" w:hAnsi="Arial" w:cs="Arial"/>
          <w:b/>
          <w:sz w:val="24"/>
          <w:szCs w:val="24"/>
        </w:rPr>
        <w:t xml:space="preserve"> </w:t>
      </w:r>
      <w:proofErr w:type="spellStart"/>
      <w:r w:rsidRPr="000B48EC">
        <w:rPr>
          <w:rFonts w:ascii="Arial" w:hAnsi="Arial" w:cs="Arial"/>
          <w:b/>
          <w:sz w:val="24"/>
          <w:szCs w:val="24"/>
        </w:rPr>
        <w:t>SalesSource</w:t>
      </w:r>
      <w:proofErr w:type="spellEnd"/>
      <w:r w:rsidRPr="000B48EC">
        <w:rPr>
          <w:rFonts w:ascii="Arial" w:hAnsi="Arial" w:cs="Arial"/>
          <w:b/>
          <w:sz w:val="24"/>
          <w:szCs w:val="24"/>
        </w:rPr>
        <w:t xml:space="preserve"> specializes in merchant acquiring, prepaid card issuance, mobile wallet, payments facilitation and funds management. Through this agreement, </w:t>
      </w:r>
      <w:proofErr w:type="spellStart"/>
      <w:r w:rsidRPr="000B48EC">
        <w:rPr>
          <w:rFonts w:ascii="Arial" w:hAnsi="Arial" w:cs="Arial"/>
          <w:b/>
          <w:sz w:val="24"/>
          <w:szCs w:val="24"/>
        </w:rPr>
        <w:t>SalesSource</w:t>
      </w:r>
      <w:proofErr w:type="spellEnd"/>
      <w:r w:rsidRPr="000B48EC">
        <w:rPr>
          <w:rFonts w:ascii="Arial" w:hAnsi="Arial" w:cs="Arial"/>
          <w:b/>
          <w:sz w:val="24"/>
          <w:szCs w:val="24"/>
        </w:rPr>
        <w:t xml:space="preserve"> will promote and sell the </w:t>
      </w:r>
      <w:proofErr w:type="spellStart"/>
      <w:r w:rsidRPr="000B48EC">
        <w:rPr>
          <w:rFonts w:ascii="Arial" w:hAnsi="Arial" w:cs="Arial"/>
          <w:b/>
          <w:sz w:val="24"/>
          <w:szCs w:val="24"/>
        </w:rPr>
        <w:t>NetCents</w:t>
      </w:r>
      <w:proofErr w:type="spellEnd"/>
      <w:r w:rsidRPr="000B48EC">
        <w:rPr>
          <w:rFonts w:ascii="Arial" w:hAnsi="Arial" w:cs="Arial"/>
          <w:b/>
          <w:sz w:val="24"/>
          <w:szCs w:val="24"/>
        </w:rPr>
        <w:t xml:space="preserve"> Cryptocurrency Merchant Gateway, e-Wallet and Card related services to their extensive merchant network which includes multiple avenues of international and domestic processing, mobile and virtual terminal processing, eCommerce, high risk, alternative payment and cash advance methods, and POS systems integrations.</w:t>
      </w:r>
    </w:p>
    <w:p w:rsidR="000B48EC" w:rsidRDefault="000B48EC" w:rsidP="000B48EC">
      <w:pPr>
        <w:pBdr>
          <w:top w:val="nil"/>
          <w:left w:val="nil"/>
          <w:bottom w:val="nil"/>
          <w:right w:val="nil"/>
          <w:between w:val="nil"/>
        </w:pBdr>
        <w:spacing w:before="120"/>
        <w:ind w:left="720"/>
        <w:jc w:val="both"/>
        <w:rPr>
          <w:rFonts w:ascii="Arial" w:hAnsi="Arial" w:cs="Arial"/>
          <w:b/>
          <w:sz w:val="24"/>
          <w:szCs w:val="24"/>
        </w:rPr>
      </w:pPr>
      <w:r w:rsidRPr="00F35755">
        <w:rPr>
          <w:rFonts w:ascii="Arial" w:hAnsi="Arial" w:cs="Arial"/>
          <w:b/>
          <w:sz w:val="24"/>
          <w:szCs w:val="24"/>
        </w:rPr>
        <w:t>January 17, 2019</w:t>
      </w:r>
      <w:r>
        <w:rPr>
          <w:rFonts w:ascii="Arial" w:hAnsi="Arial" w:cs="Arial"/>
          <w:b/>
          <w:sz w:val="24"/>
          <w:szCs w:val="24"/>
        </w:rPr>
        <w:t xml:space="preserve">, Company announced that it </w:t>
      </w:r>
      <w:r w:rsidRPr="00F35755">
        <w:rPr>
          <w:rFonts w:ascii="Arial" w:hAnsi="Arial" w:cs="Arial"/>
          <w:b/>
          <w:sz w:val="24"/>
          <w:szCs w:val="24"/>
        </w:rPr>
        <w:t>initiated the formal application process to trade on the OTCQB. The OTCQB listing is a partnership offered through CSE. The Company is now listed in Canada with the CSE, Germany with the Frankfurt Stock Exchange, and soon to the United States with the OTCQB</w:t>
      </w:r>
      <w:r>
        <w:rPr>
          <w:rFonts w:ascii="Arial" w:hAnsi="Arial" w:cs="Arial"/>
          <w:b/>
          <w:sz w:val="24"/>
          <w:szCs w:val="24"/>
        </w:rPr>
        <w:t>.</w:t>
      </w:r>
    </w:p>
    <w:p w:rsidR="000B48EC" w:rsidRDefault="000B48EC" w:rsidP="003C4BC8">
      <w:pPr>
        <w:pBdr>
          <w:top w:val="nil"/>
          <w:left w:val="nil"/>
          <w:bottom w:val="nil"/>
          <w:right w:val="nil"/>
          <w:between w:val="nil"/>
        </w:pBdr>
        <w:spacing w:before="120"/>
        <w:ind w:left="720"/>
        <w:jc w:val="both"/>
        <w:rPr>
          <w:rFonts w:ascii="Arial" w:hAnsi="Arial" w:cs="Arial"/>
          <w:b/>
          <w:sz w:val="24"/>
          <w:szCs w:val="24"/>
        </w:rPr>
      </w:pPr>
      <w:r w:rsidRPr="00400638">
        <w:rPr>
          <w:rFonts w:ascii="Arial" w:hAnsi="Arial" w:cs="Arial"/>
          <w:b/>
          <w:sz w:val="24"/>
          <w:szCs w:val="24"/>
        </w:rPr>
        <w:t>January 15, 2019</w:t>
      </w:r>
      <w:r>
        <w:rPr>
          <w:rFonts w:ascii="Arial" w:hAnsi="Arial" w:cs="Arial"/>
          <w:b/>
          <w:sz w:val="24"/>
          <w:szCs w:val="24"/>
        </w:rPr>
        <w:t xml:space="preserve">, Company </w:t>
      </w:r>
      <w:bookmarkStart w:id="1" w:name="_GoBack"/>
      <w:bookmarkEnd w:id="1"/>
      <w:r w:rsidRPr="00400638">
        <w:rPr>
          <w:rFonts w:ascii="Arial" w:hAnsi="Arial" w:cs="Arial"/>
          <w:b/>
          <w:sz w:val="24"/>
          <w:szCs w:val="24"/>
        </w:rPr>
        <w:t>announce</w:t>
      </w:r>
      <w:r>
        <w:rPr>
          <w:rFonts w:ascii="Arial" w:hAnsi="Arial" w:cs="Arial"/>
          <w:b/>
          <w:sz w:val="24"/>
          <w:szCs w:val="24"/>
        </w:rPr>
        <w:t>d</w:t>
      </w:r>
      <w:r w:rsidRPr="00400638">
        <w:rPr>
          <w:rFonts w:ascii="Arial" w:hAnsi="Arial" w:cs="Arial"/>
          <w:b/>
          <w:sz w:val="24"/>
          <w:szCs w:val="24"/>
        </w:rPr>
        <w:t xml:space="preserve"> the addition of Eric </w:t>
      </w:r>
      <w:proofErr w:type="spellStart"/>
      <w:r w:rsidRPr="00400638">
        <w:rPr>
          <w:rFonts w:ascii="Arial" w:hAnsi="Arial" w:cs="Arial"/>
          <w:b/>
          <w:sz w:val="24"/>
          <w:szCs w:val="24"/>
        </w:rPr>
        <w:t>Turille</w:t>
      </w:r>
      <w:proofErr w:type="spellEnd"/>
      <w:r w:rsidRPr="00400638">
        <w:rPr>
          <w:rFonts w:ascii="Arial" w:hAnsi="Arial" w:cs="Arial"/>
          <w:b/>
          <w:sz w:val="24"/>
          <w:szCs w:val="24"/>
        </w:rPr>
        <w:t xml:space="preserve"> and Don </w:t>
      </w:r>
      <w:proofErr w:type="spellStart"/>
      <w:r w:rsidRPr="00400638">
        <w:rPr>
          <w:rFonts w:ascii="Arial" w:hAnsi="Arial" w:cs="Arial"/>
          <w:b/>
          <w:sz w:val="24"/>
          <w:szCs w:val="24"/>
        </w:rPr>
        <w:t>Sieb</w:t>
      </w:r>
      <w:proofErr w:type="spellEnd"/>
      <w:r w:rsidRPr="00400638">
        <w:rPr>
          <w:rFonts w:ascii="Arial" w:hAnsi="Arial" w:cs="Arial"/>
          <w:b/>
          <w:sz w:val="24"/>
          <w:szCs w:val="24"/>
        </w:rPr>
        <w:t xml:space="preserve"> to the Company’s Board of Advisors.</w:t>
      </w:r>
      <w:r>
        <w:rPr>
          <w:rFonts w:ascii="Arial" w:hAnsi="Arial" w:cs="Arial"/>
          <w:b/>
          <w:sz w:val="24"/>
          <w:szCs w:val="24"/>
        </w:rPr>
        <w:t xml:space="preserve"> Mr </w:t>
      </w:r>
      <w:proofErr w:type="spellStart"/>
      <w:r>
        <w:rPr>
          <w:rFonts w:ascii="Arial" w:hAnsi="Arial" w:cs="Arial"/>
          <w:b/>
          <w:sz w:val="24"/>
          <w:szCs w:val="24"/>
        </w:rPr>
        <w:t>Turille</w:t>
      </w:r>
      <w:proofErr w:type="spellEnd"/>
      <w:r>
        <w:rPr>
          <w:rFonts w:ascii="Arial" w:hAnsi="Arial" w:cs="Arial"/>
          <w:b/>
          <w:sz w:val="24"/>
          <w:szCs w:val="24"/>
        </w:rPr>
        <w:t xml:space="preserve"> and Mr. </w:t>
      </w:r>
      <w:proofErr w:type="spellStart"/>
      <w:r>
        <w:rPr>
          <w:rFonts w:ascii="Arial" w:hAnsi="Arial" w:cs="Arial"/>
          <w:b/>
          <w:sz w:val="24"/>
          <w:szCs w:val="24"/>
        </w:rPr>
        <w:t>Sieb</w:t>
      </w:r>
      <w:proofErr w:type="spellEnd"/>
      <w:r>
        <w:rPr>
          <w:rFonts w:ascii="Arial" w:hAnsi="Arial" w:cs="Arial"/>
          <w:b/>
          <w:sz w:val="24"/>
          <w:szCs w:val="24"/>
        </w:rPr>
        <w:t xml:space="preserve"> have over 30 </w:t>
      </w:r>
      <w:proofErr w:type="spellStart"/>
      <w:r>
        <w:rPr>
          <w:rFonts w:ascii="Arial" w:hAnsi="Arial" w:cs="Arial"/>
          <w:b/>
          <w:sz w:val="24"/>
          <w:szCs w:val="24"/>
        </w:rPr>
        <w:t>years experience</w:t>
      </w:r>
      <w:proofErr w:type="spellEnd"/>
      <w:r>
        <w:rPr>
          <w:rFonts w:ascii="Arial" w:hAnsi="Arial" w:cs="Arial"/>
          <w:b/>
          <w:sz w:val="24"/>
          <w:szCs w:val="24"/>
        </w:rPr>
        <w:t xml:space="preserve"> in payment industry. </w:t>
      </w:r>
      <w:r w:rsidRPr="00400638">
        <w:rPr>
          <w:rFonts w:ascii="Arial" w:hAnsi="Arial" w:cs="Arial"/>
          <w:b/>
          <w:sz w:val="24"/>
          <w:szCs w:val="24"/>
        </w:rPr>
        <w:t xml:space="preserve">The addition of Mr. </w:t>
      </w:r>
      <w:proofErr w:type="spellStart"/>
      <w:r w:rsidRPr="00400638">
        <w:rPr>
          <w:rFonts w:ascii="Arial" w:hAnsi="Arial" w:cs="Arial"/>
          <w:b/>
          <w:sz w:val="24"/>
          <w:szCs w:val="24"/>
        </w:rPr>
        <w:t>Turille</w:t>
      </w:r>
      <w:proofErr w:type="spellEnd"/>
      <w:r w:rsidRPr="00400638">
        <w:rPr>
          <w:rFonts w:ascii="Arial" w:hAnsi="Arial" w:cs="Arial"/>
          <w:b/>
          <w:sz w:val="24"/>
          <w:szCs w:val="24"/>
        </w:rPr>
        <w:t xml:space="preserve"> and Mr. </w:t>
      </w:r>
      <w:proofErr w:type="spellStart"/>
      <w:r w:rsidRPr="00400638">
        <w:rPr>
          <w:rFonts w:ascii="Arial" w:hAnsi="Arial" w:cs="Arial"/>
          <w:b/>
          <w:sz w:val="24"/>
          <w:szCs w:val="24"/>
        </w:rPr>
        <w:t>Sieb</w:t>
      </w:r>
      <w:proofErr w:type="spellEnd"/>
      <w:r w:rsidRPr="00400638">
        <w:rPr>
          <w:rFonts w:ascii="Arial" w:hAnsi="Arial" w:cs="Arial"/>
          <w:b/>
          <w:sz w:val="24"/>
          <w:szCs w:val="24"/>
        </w:rPr>
        <w:t xml:space="preserve"> to the Board of Advisors adds decades of payment industry knowledge, experience, and relationships to the </w:t>
      </w:r>
      <w:proofErr w:type="spellStart"/>
      <w:r w:rsidRPr="00400638">
        <w:rPr>
          <w:rFonts w:ascii="Arial" w:hAnsi="Arial" w:cs="Arial"/>
          <w:b/>
          <w:sz w:val="24"/>
          <w:szCs w:val="24"/>
        </w:rPr>
        <w:t>NetCents</w:t>
      </w:r>
      <w:proofErr w:type="spellEnd"/>
      <w:r w:rsidRPr="00400638">
        <w:rPr>
          <w:rFonts w:ascii="Arial" w:hAnsi="Arial" w:cs="Arial"/>
          <w:b/>
          <w:sz w:val="24"/>
          <w:szCs w:val="24"/>
        </w:rPr>
        <w:t xml:space="preserve"> management team.</w:t>
      </w:r>
    </w:p>
    <w:p w:rsidR="000B48EC" w:rsidRDefault="000B48EC" w:rsidP="003C4BC8">
      <w:pPr>
        <w:pBdr>
          <w:top w:val="nil"/>
          <w:left w:val="nil"/>
          <w:bottom w:val="nil"/>
          <w:right w:val="nil"/>
          <w:between w:val="nil"/>
        </w:pBdr>
        <w:spacing w:before="120"/>
        <w:ind w:left="720"/>
        <w:jc w:val="both"/>
        <w:rPr>
          <w:rFonts w:ascii="Arial" w:hAnsi="Arial" w:cs="Arial"/>
          <w:b/>
          <w:sz w:val="24"/>
          <w:szCs w:val="24"/>
        </w:rPr>
      </w:pPr>
      <w:r w:rsidRPr="00400638">
        <w:rPr>
          <w:rFonts w:ascii="Arial" w:hAnsi="Arial" w:cs="Arial"/>
          <w:b/>
          <w:sz w:val="24"/>
          <w:szCs w:val="24"/>
        </w:rPr>
        <w:t>January 10, 2019</w:t>
      </w:r>
      <w:r>
        <w:rPr>
          <w:rFonts w:ascii="Arial" w:hAnsi="Arial" w:cs="Arial"/>
          <w:b/>
          <w:sz w:val="24"/>
          <w:szCs w:val="24"/>
        </w:rPr>
        <w:t xml:space="preserve">, Company announced that it </w:t>
      </w:r>
      <w:r w:rsidRPr="00400638">
        <w:rPr>
          <w:rFonts w:ascii="Arial" w:hAnsi="Arial" w:cs="Arial"/>
          <w:b/>
          <w:sz w:val="24"/>
          <w:szCs w:val="24"/>
        </w:rPr>
        <w:t>ha</w:t>
      </w:r>
      <w:r>
        <w:rPr>
          <w:rFonts w:ascii="Arial" w:hAnsi="Arial" w:cs="Arial"/>
          <w:b/>
          <w:sz w:val="24"/>
          <w:szCs w:val="24"/>
        </w:rPr>
        <w:t>d</w:t>
      </w:r>
      <w:r w:rsidRPr="00400638">
        <w:rPr>
          <w:rFonts w:ascii="Arial" w:hAnsi="Arial" w:cs="Arial"/>
          <w:b/>
          <w:sz w:val="24"/>
          <w:szCs w:val="24"/>
        </w:rPr>
        <w:t xml:space="preserve"> </w:t>
      </w:r>
      <w:proofErr w:type="gramStart"/>
      <w:r w:rsidRPr="00400638">
        <w:rPr>
          <w:rFonts w:ascii="Arial" w:hAnsi="Arial" w:cs="Arial"/>
          <w:b/>
          <w:sz w:val="24"/>
          <w:szCs w:val="24"/>
        </w:rPr>
        <w:t>opened up</w:t>
      </w:r>
      <w:proofErr w:type="gramEnd"/>
      <w:r w:rsidRPr="00400638">
        <w:rPr>
          <w:rFonts w:ascii="Arial" w:hAnsi="Arial" w:cs="Arial"/>
          <w:b/>
          <w:sz w:val="24"/>
          <w:szCs w:val="24"/>
        </w:rPr>
        <w:t xml:space="preserve"> applications to the beta for its upcoming Cryptocurrency Credit Card program. The Company is finalizing the integration of the credit card program into the user portal and Instant Settlement program. Once complete, the Company will have a trial alpha period over the next couple of months.</w:t>
      </w:r>
    </w:p>
    <w:p w:rsidR="00544A60" w:rsidRDefault="00400638" w:rsidP="003C4BC8">
      <w:pPr>
        <w:pBdr>
          <w:top w:val="nil"/>
          <w:left w:val="nil"/>
          <w:bottom w:val="nil"/>
          <w:right w:val="nil"/>
          <w:between w:val="nil"/>
        </w:pBdr>
        <w:spacing w:before="120"/>
        <w:ind w:left="720"/>
        <w:jc w:val="both"/>
        <w:rPr>
          <w:rFonts w:ascii="Arial" w:hAnsi="Arial" w:cs="Arial"/>
          <w:b/>
          <w:sz w:val="24"/>
          <w:szCs w:val="24"/>
        </w:rPr>
      </w:pPr>
      <w:r>
        <w:rPr>
          <w:rFonts w:ascii="Arial" w:hAnsi="Arial" w:cs="Arial"/>
          <w:b/>
          <w:sz w:val="24"/>
          <w:szCs w:val="24"/>
        </w:rPr>
        <w:t>On January 7, 2019, the Company release a corporate update listing the milestones and objectives which the Company accomplished in 2018.</w:t>
      </w:r>
    </w:p>
    <w:p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Over the past month, management has continued to focus on expanding the company’s global reach working to build a pipeline of new potential partners to further increase revenue of the business. </w:t>
      </w:r>
    </w:p>
    <w:p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Refer to Item 1 above</w:t>
      </w:r>
      <w:r>
        <w:rPr>
          <w:rFonts w:ascii="Arial" w:eastAsia="Arial" w:hAnsi="Arial" w:cs="Arial"/>
          <w:color w:val="000000"/>
          <w:sz w:val="24"/>
          <w:szCs w:val="24"/>
        </w:rPr>
        <w:t xml:space="preserve">.  </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Refer to Item 1 above</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None </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Refer to Item 1 above</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rsidR="00A115A5" w:rsidRPr="00A115A5" w:rsidRDefault="00A115A5" w:rsidP="00A115A5">
      <w:pPr>
        <w:pBdr>
          <w:top w:val="nil"/>
          <w:left w:val="nil"/>
          <w:bottom w:val="nil"/>
          <w:right w:val="nil"/>
          <w:between w:val="nil"/>
        </w:pBdr>
        <w:spacing w:before="120"/>
        <w:ind w:left="720"/>
        <w:jc w:val="both"/>
        <w:rPr>
          <w:rFonts w:ascii="Arial" w:eastAsia="Arial" w:hAnsi="Arial" w:cs="Arial"/>
          <w:b/>
          <w:color w:val="000000"/>
          <w:sz w:val="24"/>
          <w:szCs w:val="24"/>
        </w:rPr>
      </w:pPr>
      <w:r w:rsidRPr="00A115A5">
        <w:rPr>
          <w:rFonts w:ascii="Arial" w:eastAsia="Arial" w:hAnsi="Arial" w:cs="Arial"/>
          <w:b/>
          <w:color w:val="000000"/>
          <w:sz w:val="24"/>
          <w:szCs w:val="24"/>
        </w:rPr>
        <w:t>N/A</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Refer to Item 1 above </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See Item 1 above</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Refer to item 1 above</w:t>
      </w:r>
      <w:r>
        <w:rPr>
          <w:rFonts w:ascii="Arial" w:eastAsia="Arial" w:hAnsi="Arial" w:cs="Arial"/>
          <w:color w:val="000000"/>
          <w:sz w:val="24"/>
          <w:szCs w:val="24"/>
        </w:rPr>
        <w:t>.</w:t>
      </w:r>
    </w:p>
    <w:p w:rsidR="002E1C77" w:rsidRPr="008C046C"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r>
        <w:rPr>
          <w:rFonts w:ascii="Arial" w:eastAsia="Arial" w:hAnsi="Arial" w:cs="Arial"/>
          <w:b/>
          <w:color w:val="000000"/>
          <w:sz w:val="24"/>
          <w:szCs w:val="24"/>
        </w:rPr>
        <w:t xml:space="preserve"> </w:t>
      </w:r>
      <w:r w:rsidR="00A115A5">
        <w:rPr>
          <w:rFonts w:ascii="Arial" w:eastAsia="Arial" w:hAnsi="Arial" w:cs="Arial"/>
          <w:b/>
          <w:color w:val="000000"/>
          <w:sz w:val="24"/>
          <w:szCs w:val="24"/>
        </w:rPr>
        <w:t xml:space="preserve"> N/A</w:t>
      </w:r>
    </w:p>
    <w:p w:rsidR="002E1C77" w:rsidRDefault="00862042" w:rsidP="00BB5355">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color w:val="000000"/>
          <w:sz w:val="24"/>
          <w:szCs w:val="24"/>
        </w:rPr>
        <w:t>Report on any labour disputes and resolutions of those disputes if applicable.</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None</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2E1C77" w:rsidRDefault="00862042">
      <w:pPr>
        <w:pBdr>
          <w:top w:val="nil"/>
          <w:left w:val="nil"/>
          <w:bottom w:val="nil"/>
          <w:right w:val="nil"/>
          <w:between w:val="nil"/>
        </w:pBdr>
        <w:spacing w:before="120"/>
        <w:ind w:left="720"/>
        <w:jc w:val="both"/>
        <w:rPr>
          <w:rFonts w:ascii="Arial" w:eastAsia="Arial" w:hAnsi="Arial" w:cs="Arial"/>
          <w:b/>
          <w:sz w:val="24"/>
          <w:szCs w:val="24"/>
        </w:rPr>
      </w:pPr>
      <w:r w:rsidRPr="00862042">
        <w:rPr>
          <w:rFonts w:ascii="Arial" w:eastAsia="Arial" w:hAnsi="Arial" w:cs="Arial"/>
          <w:b/>
          <w:sz w:val="24"/>
          <w:szCs w:val="24"/>
        </w:rPr>
        <w:t xml:space="preserve">In regard to the matter between the Issuer and the advancement of funds to a third party, the matter has gone to arbitration. Funds in the amount of $392,722 owing to the Issuer by a third party processor have not been forwarded by the processor to the Issuer for payout by the Issuer. </w:t>
      </w:r>
    </w:p>
    <w:p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rsidR="00B035A5" w:rsidRPr="00B85381" w:rsidRDefault="007A698E" w:rsidP="007A698E">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N/A </w:t>
      </w:r>
    </w:p>
    <w:p w:rsidR="002E1C77" w:rsidRDefault="002E1C77">
      <w:pPr>
        <w:pBdr>
          <w:top w:val="nil"/>
          <w:left w:val="nil"/>
          <w:bottom w:val="nil"/>
          <w:right w:val="nil"/>
          <w:between w:val="nil"/>
        </w:pBdr>
        <w:spacing w:before="120"/>
        <w:ind w:left="720"/>
        <w:jc w:val="both"/>
        <w:rPr>
          <w:rFonts w:ascii="Arial" w:eastAsia="Arial" w:hAnsi="Arial" w:cs="Arial"/>
          <w:color w:val="000000"/>
          <w:sz w:val="24"/>
          <w:szCs w:val="24"/>
        </w:rPr>
      </w:pPr>
    </w:p>
    <w:tbl>
      <w:tblPr>
        <w:tblStyle w:val="a2"/>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1376"/>
        <w:gridCol w:w="1192"/>
        <w:gridCol w:w="1376"/>
        <w:gridCol w:w="1376"/>
        <w:gridCol w:w="1494"/>
        <w:gridCol w:w="1258"/>
        <w:gridCol w:w="1100"/>
      </w:tblGrid>
      <w:tr w:rsidR="002E1C77">
        <w:trPr>
          <w:trHeight w:val="1280"/>
        </w:trPr>
        <w:tc>
          <w:tcPr>
            <w:tcW w:w="1394"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 xml:space="preserve">Full Name &amp; Residential Address of </w:t>
            </w:r>
            <w:proofErr w:type="spellStart"/>
            <w:r>
              <w:rPr>
                <w:rFonts w:ascii="Verdana" w:eastAsia="Verdana" w:hAnsi="Verdana" w:cs="Verdana"/>
                <w:b/>
                <w:color w:val="000000"/>
                <w:sz w:val="16"/>
                <w:szCs w:val="16"/>
              </w:rPr>
              <w:t>Placee</w:t>
            </w:r>
            <w:proofErr w:type="spellEnd"/>
          </w:p>
        </w:tc>
        <w:tc>
          <w:tcPr>
            <w:tcW w:w="1376"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Number of Securities Purchased or to be Purchased</w:t>
            </w:r>
          </w:p>
        </w:tc>
        <w:tc>
          <w:tcPr>
            <w:tcW w:w="1192"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Purchase price per Security (CDN$)</w:t>
            </w:r>
          </w:p>
        </w:tc>
        <w:tc>
          <w:tcPr>
            <w:tcW w:w="1376"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Conversion</w:t>
            </w:r>
          </w:p>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Price (if</w:t>
            </w:r>
          </w:p>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Applicable)</w:t>
            </w:r>
          </w:p>
        </w:tc>
        <w:tc>
          <w:tcPr>
            <w:tcW w:w="1376"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Prospectus Exemption</w:t>
            </w:r>
          </w:p>
        </w:tc>
        <w:tc>
          <w:tcPr>
            <w:tcW w:w="1494"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No. of Securities, directly or indirectly, Owned, Controlled or Directed</w:t>
            </w:r>
          </w:p>
        </w:tc>
        <w:tc>
          <w:tcPr>
            <w:tcW w:w="1258"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Payment Date(1)</w:t>
            </w:r>
          </w:p>
        </w:tc>
        <w:tc>
          <w:tcPr>
            <w:tcW w:w="1100"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Describe relations-hip to Issuer (2)</w:t>
            </w:r>
          </w:p>
        </w:tc>
      </w:tr>
      <w:tr w:rsidR="002E1C77">
        <w:trPr>
          <w:trHeight w:val="860"/>
        </w:trPr>
        <w:tc>
          <w:tcPr>
            <w:tcW w:w="1394" w:type="dxa"/>
          </w:tcPr>
          <w:p w:rsidR="002E1C77" w:rsidRDefault="002E1C77">
            <w:pPr>
              <w:pBdr>
                <w:top w:val="nil"/>
                <w:left w:val="nil"/>
                <w:bottom w:val="nil"/>
                <w:right w:val="nil"/>
                <w:between w:val="nil"/>
              </w:pBdr>
              <w:rPr>
                <w:color w:val="000000"/>
              </w:rPr>
            </w:pPr>
          </w:p>
        </w:tc>
        <w:tc>
          <w:tcPr>
            <w:tcW w:w="1376" w:type="dxa"/>
          </w:tcPr>
          <w:p w:rsidR="002E1C77" w:rsidRDefault="002E1C77">
            <w:pPr>
              <w:pBdr>
                <w:top w:val="nil"/>
                <w:left w:val="nil"/>
                <w:bottom w:val="nil"/>
                <w:right w:val="nil"/>
                <w:between w:val="nil"/>
              </w:pBdr>
              <w:jc w:val="center"/>
              <w:rPr>
                <w:color w:val="000000"/>
              </w:rPr>
            </w:pPr>
          </w:p>
        </w:tc>
        <w:tc>
          <w:tcPr>
            <w:tcW w:w="1192" w:type="dxa"/>
          </w:tcPr>
          <w:p w:rsidR="002E1C77" w:rsidRDefault="002E1C77">
            <w:pPr>
              <w:pBdr>
                <w:top w:val="nil"/>
                <w:left w:val="nil"/>
                <w:bottom w:val="nil"/>
                <w:right w:val="nil"/>
                <w:between w:val="nil"/>
              </w:pBdr>
              <w:jc w:val="center"/>
              <w:rPr>
                <w:color w:val="000000"/>
              </w:rPr>
            </w:pPr>
          </w:p>
        </w:tc>
        <w:tc>
          <w:tcPr>
            <w:tcW w:w="1376" w:type="dxa"/>
          </w:tcPr>
          <w:p w:rsidR="002E1C77" w:rsidRDefault="002E1C77">
            <w:pPr>
              <w:pBdr>
                <w:top w:val="nil"/>
                <w:left w:val="nil"/>
                <w:bottom w:val="nil"/>
                <w:right w:val="nil"/>
                <w:between w:val="nil"/>
              </w:pBdr>
              <w:jc w:val="center"/>
              <w:rPr>
                <w:color w:val="000000"/>
              </w:rPr>
            </w:pPr>
          </w:p>
        </w:tc>
        <w:tc>
          <w:tcPr>
            <w:tcW w:w="1376" w:type="dxa"/>
          </w:tcPr>
          <w:p w:rsidR="002E1C77" w:rsidRDefault="002E1C77">
            <w:pPr>
              <w:pBdr>
                <w:top w:val="nil"/>
                <w:left w:val="nil"/>
                <w:bottom w:val="nil"/>
                <w:right w:val="nil"/>
                <w:between w:val="nil"/>
              </w:pBdr>
              <w:jc w:val="center"/>
              <w:rPr>
                <w:color w:val="000000"/>
              </w:rPr>
            </w:pPr>
          </w:p>
        </w:tc>
        <w:tc>
          <w:tcPr>
            <w:tcW w:w="1494" w:type="dxa"/>
          </w:tcPr>
          <w:p w:rsidR="002E1C77" w:rsidRDefault="002E1C77">
            <w:pPr>
              <w:rPr>
                <w:color w:val="000000"/>
              </w:rPr>
            </w:pPr>
          </w:p>
        </w:tc>
        <w:tc>
          <w:tcPr>
            <w:tcW w:w="1258" w:type="dxa"/>
          </w:tcPr>
          <w:p w:rsidR="002E1C77" w:rsidRDefault="002E1C77">
            <w:pPr>
              <w:pBdr>
                <w:top w:val="nil"/>
                <w:left w:val="nil"/>
                <w:bottom w:val="nil"/>
                <w:right w:val="nil"/>
                <w:between w:val="nil"/>
              </w:pBdr>
              <w:jc w:val="center"/>
              <w:rPr>
                <w:color w:val="000000"/>
              </w:rPr>
            </w:pPr>
          </w:p>
        </w:tc>
        <w:tc>
          <w:tcPr>
            <w:tcW w:w="1100" w:type="dxa"/>
          </w:tcPr>
          <w:p w:rsidR="002E1C77" w:rsidRDefault="002E1C77">
            <w:pPr>
              <w:pBdr>
                <w:top w:val="nil"/>
                <w:left w:val="nil"/>
                <w:bottom w:val="nil"/>
                <w:right w:val="nil"/>
                <w:between w:val="nil"/>
              </w:pBdr>
              <w:jc w:val="center"/>
              <w:rPr>
                <w:color w:val="000000"/>
              </w:rPr>
            </w:pPr>
          </w:p>
        </w:tc>
      </w:tr>
    </w:tbl>
    <w:p w:rsidR="002E1C77" w:rsidRDefault="002E1C77">
      <w:pPr>
        <w:pBdr>
          <w:top w:val="nil"/>
          <w:left w:val="nil"/>
          <w:bottom w:val="nil"/>
          <w:right w:val="nil"/>
          <w:between w:val="nil"/>
        </w:pBdr>
        <w:spacing w:before="120"/>
        <w:ind w:left="720"/>
        <w:jc w:val="both"/>
        <w:rPr>
          <w:rFonts w:ascii="Arial" w:eastAsia="Arial" w:hAnsi="Arial" w:cs="Arial"/>
          <w:color w:val="000000"/>
          <w:sz w:val="24"/>
          <w:szCs w:val="24"/>
        </w:rPr>
      </w:pPr>
    </w:p>
    <w:p w:rsidR="002E1C77" w:rsidRDefault="00862042">
      <w:pPr>
        <w:numPr>
          <w:ilvl w:val="0"/>
          <w:numId w:val="2"/>
        </w:numPr>
        <w:pBdr>
          <w:top w:val="nil"/>
          <w:left w:val="nil"/>
          <w:bottom w:val="nil"/>
          <w:right w:val="nil"/>
          <w:between w:val="nil"/>
        </w:pBdr>
        <w:spacing w:before="120"/>
        <w:jc w:val="both"/>
        <w:rPr>
          <w:rFonts w:ascii="Arial" w:eastAsia="Arial" w:hAnsi="Arial" w:cs="Arial"/>
          <w:b/>
          <w:color w:val="000000"/>
          <w:sz w:val="24"/>
          <w:szCs w:val="24"/>
        </w:rPr>
      </w:pPr>
      <w:r>
        <w:rPr>
          <w:rFonts w:ascii="Arial" w:eastAsia="Arial" w:hAnsi="Arial" w:cs="Arial"/>
          <w:color w:val="000000"/>
          <w:sz w:val="24"/>
          <w:szCs w:val="24"/>
        </w:rPr>
        <w:t xml:space="preserve">Provide details of any securities issued and options or warrants granted. </w:t>
      </w:r>
      <w:r w:rsidR="006707EA" w:rsidRPr="00FA2509">
        <w:rPr>
          <w:rFonts w:ascii="Arial" w:eastAsia="Arial" w:hAnsi="Arial" w:cs="Arial"/>
          <w:b/>
          <w:color w:val="000000"/>
          <w:sz w:val="24"/>
          <w:szCs w:val="24"/>
          <w:u w:val="single"/>
        </w:rPr>
        <w:t>CANCELLE</w:t>
      </w:r>
      <w:r w:rsidR="0075622A" w:rsidRPr="00FA2509">
        <w:rPr>
          <w:rFonts w:ascii="Arial" w:eastAsia="Arial" w:hAnsi="Arial" w:cs="Arial"/>
          <w:b/>
          <w:color w:val="000000"/>
          <w:sz w:val="24"/>
          <w:szCs w:val="24"/>
          <w:u w:val="single"/>
        </w:rPr>
        <w:t>D on January 7, 2019</w:t>
      </w:r>
    </w:p>
    <w:p w:rsidR="0075622A" w:rsidRDefault="0075622A" w:rsidP="0075622A">
      <w:pPr>
        <w:pBdr>
          <w:top w:val="nil"/>
          <w:left w:val="nil"/>
          <w:bottom w:val="nil"/>
          <w:right w:val="nil"/>
          <w:between w:val="nil"/>
        </w:pBdr>
        <w:spacing w:before="120"/>
        <w:ind w:left="720"/>
        <w:jc w:val="both"/>
        <w:rPr>
          <w:rFonts w:ascii="Arial" w:eastAsia="Arial" w:hAnsi="Arial" w:cs="Arial"/>
          <w:b/>
          <w:color w:val="000000"/>
          <w:sz w:val="24"/>
          <w:szCs w:val="24"/>
        </w:rPr>
      </w:pPr>
    </w:p>
    <w:tbl>
      <w:tblPr>
        <w:tblW w:w="9632" w:type="dxa"/>
        <w:tblInd w:w="120" w:type="dxa"/>
        <w:tblLayout w:type="fixed"/>
        <w:tblCellMar>
          <w:left w:w="122" w:type="dxa"/>
          <w:right w:w="122" w:type="dxa"/>
        </w:tblCellMar>
        <w:tblLook w:val="0000" w:firstRow="0" w:lastRow="0" w:firstColumn="0" w:lastColumn="0" w:noHBand="0" w:noVBand="0"/>
      </w:tblPr>
      <w:tblGrid>
        <w:gridCol w:w="1987"/>
        <w:gridCol w:w="1843"/>
        <w:gridCol w:w="992"/>
        <w:gridCol w:w="1276"/>
        <w:gridCol w:w="1134"/>
        <w:gridCol w:w="1134"/>
        <w:gridCol w:w="1266"/>
      </w:tblGrid>
      <w:tr w:rsidR="0075622A" w:rsidTr="00E8190F">
        <w:tc>
          <w:tcPr>
            <w:tcW w:w="1987" w:type="dxa"/>
            <w:tcBorders>
              <w:top w:val="double" w:sz="6" w:space="0" w:color="auto"/>
              <w:left w:val="double" w:sz="6" w:space="0" w:color="auto"/>
              <w:bottom w:val="single" w:sz="6" w:space="0" w:color="auto"/>
            </w:tcBorders>
          </w:tcPr>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r>
              <w:rPr>
                <w:color w:val="000000"/>
              </w:rPr>
              <w:t>Name of Optionee</w:t>
            </w:r>
          </w:p>
        </w:tc>
        <w:tc>
          <w:tcPr>
            <w:tcW w:w="1843" w:type="dxa"/>
            <w:tcBorders>
              <w:top w:val="double" w:sz="6" w:space="0" w:color="auto"/>
              <w:left w:val="single" w:sz="6" w:space="0" w:color="auto"/>
              <w:bottom w:val="single" w:sz="6" w:space="0" w:color="auto"/>
            </w:tcBorders>
          </w:tcPr>
          <w:p w:rsidR="0075622A" w:rsidRDefault="0075622A" w:rsidP="00E8190F">
            <w:pPr>
              <w:pStyle w:val="TableHeading"/>
              <w:spacing w:before="0" w:after="0" w:line="280" w:lineRule="exact"/>
              <w:jc w:val="center"/>
              <w:rPr>
                <w:color w:val="000000"/>
              </w:rPr>
            </w:pPr>
            <w:r>
              <w:rPr>
                <w:color w:val="000000"/>
              </w:rPr>
              <w:t>Position (Director/ Officer/</w:t>
            </w:r>
          </w:p>
          <w:p w:rsidR="0075622A" w:rsidRDefault="0075622A" w:rsidP="00E8190F">
            <w:pPr>
              <w:pStyle w:val="TableHeading"/>
              <w:spacing w:before="0" w:after="0" w:line="280" w:lineRule="exact"/>
              <w:jc w:val="center"/>
              <w:rPr>
                <w:color w:val="000000"/>
              </w:rPr>
            </w:pPr>
            <w:r>
              <w:rPr>
                <w:color w:val="000000"/>
              </w:rPr>
              <w:t>Employee/ Consultant/ Management Company</w:t>
            </w:r>
          </w:p>
        </w:tc>
        <w:tc>
          <w:tcPr>
            <w:tcW w:w="992" w:type="dxa"/>
            <w:tcBorders>
              <w:top w:val="double" w:sz="6" w:space="0" w:color="auto"/>
              <w:left w:val="single" w:sz="6" w:space="0" w:color="auto"/>
              <w:bottom w:val="single" w:sz="6" w:space="0" w:color="auto"/>
            </w:tcBorders>
          </w:tcPr>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r>
              <w:rPr>
                <w:color w:val="000000"/>
              </w:rPr>
              <w:t>Insider Yes or No?</w:t>
            </w:r>
          </w:p>
        </w:tc>
        <w:tc>
          <w:tcPr>
            <w:tcW w:w="1276" w:type="dxa"/>
            <w:tcBorders>
              <w:top w:val="double" w:sz="6" w:space="0" w:color="auto"/>
              <w:left w:val="single" w:sz="6" w:space="0" w:color="auto"/>
              <w:bottom w:val="single" w:sz="6" w:space="0" w:color="auto"/>
            </w:tcBorders>
          </w:tcPr>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r>
              <w:rPr>
                <w:color w:val="000000"/>
              </w:rPr>
              <w:t>No. of Optioned Shares</w:t>
            </w:r>
          </w:p>
        </w:tc>
        <w:tc>
          <w:tcPr>
            <w:tcW w:w="1134" w:type="dxa"/>
            <w:tcBorders>
              <w:top w:val="double" w:sz="6" w:space="0" w:color="auto"/>
              <w:left w:val="single" w:sz="6" w:space="0" w:color="auto"/>
              <w:bottom w:val="single" w:sz="6" w:space="0" w:color="auto"/>
            </w:tcBorders>
          </w:tcPr>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r>
              <w:rPr>
                <w:color w:val="000000"/>
              </w:rPr>
              <w:t>Exercise Price</w:t>
            </w:r>
          </w:p>
        </w:tc>
        <w:tc>
          <w:tcPr>
            <w:tcW w:w="1134" w:type="dxa"/>
            <w:tcBorders>
              <w:top w:val="double" w:sz="6" w:space="0" w:color="auto"/>
              <w:left w:val="single" w:sz="6" w:space="0" w:color="auto"/>
              <w:bottom w:val="single" w:sz="6" w:space="0" w:color="auto"/>
            </w:tcBorders>
          </w:tcPr>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r>
              <w:rPr>
                <w:color w:val="000000"/>
              </w:rPr>
              <w:t>Expiry Date</w:t>
            </w:r>
          </w:p>
        </w:tc>
        <w:tc>
          <w:tcPr>
            <w:tcW w:w="1266" w:type="dxa"/>
            <w:tcBorders>
              <w:top w:val="double" w:sz="6" w:space="0" w:color="auto"/>
              <w:left w:val="single" w:sz="6" w:space="0" w:color="auto"/>
              <w:bottom w:val="single" w:sz="6" w:space="0" w:color="auto"/>
              <w:right w:val="double" w:sz="6" w:space="0" w:color="auto"/>
            </w:tcBorders>
          </w:tcPr>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p>
          <w:p w:rsidR="0075622A" w:rsidRDefault="0075622A" w:rsidP="00E8190F">
            <w:pPr>
              <w:pStyle w:val="TableHeading"/>
              <w:spacing w:before="0" w:after="0" w:line="280" w:lineRule="exact"/>
              <w:jc w:val="center"/>
              <w:rPr>
                <w:color w:val="000000"/>
              </w:rPr>
            </w:pPr>
            <w:r>
              <w:rPr>
                <w:color w:val="000000"/>
              </w:rPr>
              <w:t>No. of Options Granted in Past 12 Months</w:t>
            </w:r>
          </w:p>
        </w:tc>
      </w:tr>
      <w:tr w:rsidR="0075622A" w:rsidTr="00E8190F">
        <w:tc>
          <w:tcPr>
            <w:tcW w:w="1987" w:type="dxa"/>
            <w:tcBorders>
              <w:left w:val="double" w:sz="6" w:space="0" w:color="auto"/>
            </w:tcBorders>
          </w:tcPr>
          <w:p w:rsidR="0075622A" w:rsidRPr="00BF3FB4" w:rsidRDefault="0075622A" w:rsidP="00E8190F">
            <w:pPr>
              <w:pStyle w:val="TableText"/>
              <w:rPr>
                <w:color w:val="000000"/>
              </w:rPr>
            </w:pPr>
            <w:r>
              <w:rPr>
                <w:color w:val="000000"/>
              </w:rPr>
              <w:t>Jennifer Lowther</w:t>
            </w:r>
          </w:p>
        </w:tc>
        <w:tc>
          <w:tcPr>
            <w:tcW w:w="1843" w:type="dxa"/>
            <w:tcBorders>
              <w:left w:val="single" w:sz="6" w:space="0" w:color="auto"/>
            </w:tcBorders>
          </w:tcPr>
          <w:p w:rsidR="0075622A" w:rsidRDefault="0075622A" w:rsidP="00E8190F">
            <w:pPr>
              <w:pStyle w:val="TableText"/>
              <w:rPr>
                <w:color w:val="000000"/>
              </w:rPr>
            </w:pPr>
            <w:r>
              <w:rPr>
                <w:color w:val="000000"/>
              </w:rPr>
              <w:t>Chief Revenue Officer</w:t>
            </w:r>
          </w:p>
        </w:tc>
        <w:tc>
          <w:tcPr>
            <w:tcW w:w="992" w:type="dxa"/>
            <w:tcBorders>
              <w:left w:val="single" w:sz="6" w:space="0" w:color="auto"/>
            </w:tcBorders>
          </w:tcPr>
          <w:p w:rsidR="0075622A" w:rsidRPr="00577DD2" w:rsidRDefault="0075622A" w:rsidP="00E8190F">
            <w:pPr>
              <w:pStyle w:val="TableText"/>
              <w:rPr>
                <w:rFonts w:cs="Arial"/>
                <w:color w:val="000000"/>
              </w:rPr>
            </w:pPr>
            <w:r w:rsidRPr="00577DD2">
              <w:rPr>
                <w:rFonts w:cs="Arial"/>
                <w:color w:val="000000"/>
              </w:rPr>
              <w:t>Yes</w:t>
            </w:r>
          </w:p>
        </w:tc>
        <w:tc>
          <w:tcPr>
            <w:tcW w:w="1276" w:type="dxa"/>
            <w:tcBorders>
              <w:left w:val="single" w:sz="6" w:space="0" w:color="auto"/>
            </w:tcBorders>
          </w:tcPr>
          <w:p w:rsidR="0075622A" w:rsidRDefault="0075622A" w:rsidP="00E8190F">
            <w:pPr>
              <w:pStyle w:val="TableText"/>
              <w:rPr>
                <w:color w:val="000000"/>
              </w:rPr>
            </w:pPr>
            <w:r>
              <w:rPr>
                <w:color w:val="000000"/>
              </w:rPr>
              <w:t>250,000</w:t>
            </w:r>
          </w:p>
        </w:tc>
        <w:tc>
          <w:tcPr>
            <w:tcW w:w="1134" w:type="dxa"/>
            <w:tcBorders>
              <w:left w:val="single" w:sz="6" w:space="0" w:color="auto"/>
            </w:tcBorders>
          </w:tcPr>
          <w:p w:rsidR="0075622A" w:rsidRPr="00577DD2" w:rsidRDefault="0075622A" w:rsidP="00E8190F">
            <w:pPr>
              <w:pStyle w:val="TableText"/>
              <w:jc w:val="center"/>
              <w:rPr>
                <w:rFonts w:cs="Arial"/>
                <w:color w:val="000000"/>
              </w:rPr>
            </w:pPr>
            <w:r>
              <w:rPr>
                <w:rFonts w:cs="Arial"/>
                <w:color w:val="000000"/>
              </w:rPr>
              <w:t>$3.20</w:t>
            </w:r>
          </w:p>
        </w:tc>
        <w:tc>
          <w:tcPr>
            <w:tcW w:w="1134" w:type="dxa"/>
            <w:tcBorders>
              <w:left w:val="single" w:sz="6" w:space="0" w:color="auto"/>
            </w:tcBorders>
          </w:tcPr>
          <w:p w:rsidR="0075622A" w:rsidRDefault="0075622A" w:rsidP="00E8190F">
            <w:pPr>
              <w:pStyle w:val="TableText"/>
              <w:rPr>
                <w:color w:val="000000"/>
              </w:rPr>
            </w:pPr>
          </w:p>
        </w:tc>
        <w:tc>
          <w:tcPr>
            <w:tcW w:w="1266" w:type="dxa"/>
            <w:tcBorders>
              <w:left w:val="single" w:sz="6" w:space="0" w:color="auto"/>
              <w:right w:val="double" w:sz="6" w:space="0" w:color="auto"/>
            </w:tcBorders>
          </w:tcPr>
          <w:p w:rsidR="0075622A" w:rsidRDefault="0075622A" w:rsidP="00E8190F">
            <w:pPr>
              <w:pStyle w:val="TableText"/>
              <w:jc w:val="center"/>
              <w:rPr>
                <w:color w:val="000000"/>
              </w:rPr>
            </w:pPr>
            <w:r>
              <w:rPr>
                <w:color w:val="000000"/>
              </w:rPr>
              <w:t>200,000</w:t>
            </w:r>
          </w:p>
        </w:tc>
      </w:tr>
      <w:tr w:rsidR="0075622A"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r>
              <w:rPr>
                <w:color w:val="000000"/>
              </w:rPr>
              <w:t>Clayton Moore</w:t>
            </w:r>
          </w:p>
        </w:tc>
        <w:tc>
          <w:tcPr>
            <w:tcW w:w="1843"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Pr>
                <w:color w:val="000000"/>
              </w:rPr>
              <w:t>CEO</w:t>
            </w:r>
          </w:p>
        </w:tc>
        <w:tc>
          <w:tcPr>
            <w:tcW w:w="992" w:type="dxa"/>
            <w:tcBorders>
              <w:top w:val="single" w:sz="6" w:space="0" w:color="auto"/>
              <w:left w:val="single" w:sz="6" w:space="0" w:color="auto"/>
              <w:bottom w:val="single" w:sz="6" w:space="0" w:color="auto"/>
            </w:tcBorders>
          </w:tcPr>
          <w:p w:rsidR="0075622A" w:rsidRPr="00577DD2" w:rsidRDefault="0075622A" w:rsidP="00E8190F">
            <w:pPr>
              <w:pStyle w:val="TableText"/>
              <w:rPr>
                <w:rFonts w:cs="Arial"/>
                <w:color w:val="000000"/>
              </w:rPr>
            </w:pPr>
            <w:r w:rsidRPr="00577DD2">
              <w:rPr>
                <w:rFonts w:cs="Arial"/>
                <w:color w:val="000000"/>
              </w:rPr>
              <w:t>Yes</w:t>
            </w:r>
          </w:p>
        </w:tc>
        <w:tc>
          <w:tcPr>
            <w:tcW w:w="1276"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Pr>
                <w:color w:val="000000"/>
              </w:rPr>
              <w:t>250,000</w:t>
            </w:r>
          </w:p>
        </w:tc>
        <w:tc>
          <w:tcPr>
            <w:tcW w:w="1134" w:type="dxa"/>
            <w:tcBorders>
              <w:top w:val="single" w:sz="6" w:space="0" w:color="auto"/>
              <w:left w:val="single" w:sz="6" w:space="0" w:color="auto"/>
              <w:bottom w:val="single" w:sz="6" w:space="0" w:color="auto"/>
            </w:tcBorders>
          </w:tcPr>
          <w:p w:rsidR="0075622A" w:rsidRPr="00577DD2" w:rsidRDefault="0075622A" w:rsidP="00E8190F">
            <w:pPr>
              <w:jc w:val="center"/>
              <w:rPr>
                <w:rFonts w:ascii="Arial" w:hAnsi="Arial" w:cs="Arial"/>
              </w:rPr>
            </w:pPr>
            <w:r>
              <w:rPr>
                <w:rFonts w:ascii="Arial" w:hAnsi="Arial" w:cs="Arial"/>
              </w:rPr>
              <w:t>$3.20</w:t>
            </w:r>
          </w:p>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Default="0075622A" w:rsidP="00E8190F">
            <w:pPr>
              <w:pStyle w:val="TableText"/>
              <w:jc w:val="center"/>
              <w:rPr>
                <w:color w:val="000000"/>
              </w:rPr>
            </w:pPr>
            <w:r>
              <w:rPr>
                <w:color w:val="000000"/>
              </w:rPr>
              <w:t>100,000</w:t>
            </w:r>
          </w:p>
        </w:tc>
      </w:tr>
      <w:tr w:rsidR="0075622A"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r>
              <w:rPr>
                <w:color w:val="000000"/>
              </w:rPr>
              <w:t>Gordon Jessop</w:t>
            </w:r>
          </w:p>
        </w:tc>
        <w:tc>
          <w:tcPr>
            <w:tcW w:w="1843"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Pr>
                <w:color w:val="000000"/>
              </w:rPr>
              <w:t>President</w:t>
            </w:r>
          </w:p>
        </w:tc>
        <w:tc>
          <w:tcPr>
            <w:tcW w:w="992" w:type="dxa"/>
            <w:tcBorders>
              <w:top w:val="single" w:sz="6" w:space="0" w:color="auto"/>
              <w:left w:val="single" w:sz="6" w:space="0" w:color="auto"/>
              <w:bottom w:val="single" w:sz="6" w:space="0" w:color="auto"/>
            </w:tcBorders>
          </w:tcPr>
          <w:p w:rsidR="0075622A" w:rsidRPr="00577DD2" w:rsidRDefault="0075622A" w:rsidP="00E8190F">
            <w:pPr>
              <w:pStyle w:val="TableText"/>
              <w:rPr>
                <w:rFonts w:cs="Arial"/>
                <w:color w:val="000000"/>
              </w:rPr>
            </w:pPr>
            <w:r w:rsidRPr="00577DD2">
              <w:rPr>
                <w:rFonts w:cs="Arial"/>
                <w:color w:val="000000"/>
              </w:rPr>
              <w:t>Yes</w:t>
            </w:r>
          </w:p>
        </w:tc>
        <w:tc>
          <w:tcPr>
            <w:tcW w:w="1276"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Pr>
                <w:color w:val="000000"/>
              </w:rPr>
              <w:t>250,000</w:t>
            </w:r>
          </w:p>
        </w:tc>
        <w:tc>
          <w:tcPr>
            <w:tcW w:w="1134" w:type="dxa"/>
            <w:tcBorders>
              <w:top w:val="single" w:sz="6" w:space="0" w:color="auto"/>
              <w:left w:val="single" w:sz="6" w:space="0" w:color="auto"/>
              <w:bottom w:val="single" w:sz="6" w:space="0" w:color="auto"/>
            </w:tcBorders>
          </w:tcPr>
          <w:p w:rsidR="0075622A" w:rsidRPr="00577DD2" w:rsidRDefault="0075622A" w:rsidP="00E8190F">
            <w:pPr>
              <w:jc w:val="center"/>
              <w:rPr>
                <w:rFonts w:ascii="Arial" w:hAnsi="Arial" w:cs="Arial"/>
              </w:rPr>
            </w:pPr>
            <w:r>
              <w:rPr>
                <w:rFonts w:ascii="Arial" w:hAnsi="Arial" w:cs="Arial"/>
              </w:rPr>
              <w:t>$3.20</w:t>
            </w:r>
          </w:p>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Default="0075622A" w:rsidP="00E8190F">
            <w:pPr>
              <w:pStyle w:val="TableText"/>
              <w:jc w:val="center"/>
              <w:rPr>
                <w:color w:val="000000"/>
              </w:rPr>
            </w:pPr>
            <w:r>
              <w:rPr>
                <w:color w:val="000000"/>
              </w:rPr>
              <w:t>100,000</w:t>
            </w:r>
          </w:p>
        </w:tc>
      </w:tr>
      <w:tr w:rsidR="0075622A"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r>
              <w:rPr>
                <w:color w:val="000000"/>
              </w:rPr>
              <w:t>Mitchel Wright</w:t>
            </w:r>
          </w:p>
        </w:tc>
        <w:tc>
          <w:tcPr>
            <w:tcW w:w="1843"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Pr>
                <w:color w:val="000000"/>
              </w:rPr>
              <w:t>Employee</w:t>
            </w:r>
          </w:p>
        </w:tc>
        <w:tc>
          <w:tcPr>
            <w:tcW w:w="992" w:type="dxa"/>
            <w:tcBorders>
              <w:top w:val="single" w:sz="6" w:space="0" w:color="auto"/>
              <w:left w:val="single" w:sz="6" w:space="0" w:color="auto"/>
              <w:bottom w:val="single" w:sz="6" w:space="0" w:color="auto"/>
            </w:tcBorders>
          </w:tcPr>
          <w:p w:rsidR="0075622A" w:rsidRPr="00577DD2" w:rsidRDefault="0075622A" w:rsidP="00E8190F">
            <w:pPr>
              <w:pStyle w:val="TableText"/>
              <w:rPr>
                <w:rFonts w:cs="Arial"/>
                <w:color w:val="000000"/>
              </w:rPr>
            </w:pPr>
            <w:r w:rsidRPr="00577DD2">
              <w:rPr>
                <w:rFonts w:cs="Arial"/>
                <w:color w:val="000000"/>
              </w:rPr>
              <w:t>No</w:t>
            </w:r>
          </w:p>
        </w:tc>
        <w:tc>
          <w:tcPr>
            <w:tcW w:w="1276"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Pr>
                <w:color w:val="000000"/>
              </w:rPr>
              <w:t>50,000</w:t>
            </w:r>
          </w:p>
        </w:tc>
        <w:tc>
          <w:tcPr>
            <w:tcW w:w="1134" w:type="dxa"/>
            <w:tcBorders>
              <w:top w:val="single" w:sz="6" w:space="0" w:color="auto"/>
              <w:left w:val="single" w:sz="6" w:space="0" w:color="auto"/>
              <w:bottom w:val="single" w:sz="6" w:space="0" w:color="auto"/>
            </w:tcBorders>
          </w:tcPr>
          <w:p w:rsidR="0075622A" w:rsidRPr="00577DD2" w:rsidRDefault="0075622A" w:rsidP="00E8190F">
            <w:pPr>
              <w:jc w:val="center"/>
              <w:rPr>
                <w:rFonts w:ascii="Arial" w:hAnsi="Arial" w:cs="Arial"/>
              </w:rPr>
            </w:pPr>
            <w:r>
              <w:rPr>
                <w:rFonts w:ascii="Arial" w:hAnsi="Arial" w:cs="Arial"/>
              </w:rPr>
              <w:t>$1.95</w:t>
            </w:r>
          </w:p>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Default="0075622A" w:rsidP="00E8190F">
            <w:pPr>
              <w:pStyle w:val="TableText"/>
              <w:jc w:val="center"/>
              <w:rPr>
                <w:color w:val="000000"/>
              </w:rPr>
            </w:pPr>
            <w:r>
              <w:rPr>
                <w:color w:val="000000"/>
              </w:rPr>
              <w:t>55,000</w:t>
            </w:r>
          </w:p>
        </w:tc>
      </w:tr>
      <w:tr w:rsidR="0075622A"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r>
              <w:rPr>
                <w:color w:val="000000"/>
              </w:rPr>
              <w:t xml:space="preserve">Sara </w:t>
            </w:r>
            <w:proofErr w:type="spellStart"/>
            <w:r>
              <w:rPr>
                <w:color w:val="000000"/>
              </w:rPr>
              <w:t>Gunnarrson</w:t>
            </w:r>
            <w:proofErr w:type="spellEnd"/>
          </w:p>
        </w:tc>
        <w:tc>
          <w:tcPr>
            <w:tcW w:w="1843"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sidRPr="00172A5A">
              <w:rPr>
                <w:color w:val="000000"/>
              </w:rPr>
              <w:t>Employee</w:t>
            </w:r>
          </w:p>
        </w:tc>
        <w:tc>
          <w:tcPr>
            <w:tcW w:w="992" w:type="dxa"/>
            <w:tcBorders>
              <w:top w:val="single" w:sz="6" w:space="0" w:color="auto"/>
              <w:left w:val="single" w:sz="6" w:space="0" w:color="auto"/>
              <w:bottom w:val="single" w:sz="6" w:space="0" w:color="auto"/>
            </w:tcBorders>
          </w:tcPr>
          <w:p w:rsidR="0075622A" w:rsidRPr="00577DD2" w:rsidRDefault="0075622A" w:rsidP="00E8190F">
            <w:pPr>
              <w:pStyle w:val="TableText"/>
              <w:rPr>
                <w:rFonts w:cs="Arial"/>
                <w:color w:val="000000"/>
              </w:rPr>
            </w:pPr>
            <w:r w:rsidRPr="00577DD2">
              <w:rPr>
                <w:rFonts w:cs="Arial"/>
                <w:color w:val="000000"/>
              </w:rPr>
              <w:t>No</w:t>
            </w:r>
          </w:p>
        </w:tc>
        <w:tc>
          <w:tcPr>
            <w:tcW w:w="1276"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Pr>
                <w:color w:val="000000"/>
              </w:rPr>
              <w:t>40,000</w:t>
            </w:r>
          </w:p>
        </w:tc>
        <w:tc>
          <w:tcPr>
            <w:tcW w:w="1134" w:type="dxa"/>
            <w:tcBorders>
              <w:top w:val="single" w:sz="6" w:space="0" w:color="auto"/>
              <w:left w:val="single" w:sz="6" w:space="0" w:color="auto"/>
              <w:bottom w:val="single" w:sz="6" w:space="0" w:color="auto"/>
            </w:tcBorders>
          </w:tcPr>
          <w:p w:rsidR="0075622A" w:rsidRPr="00577DD2" w:rsidRDefault="0075622A" w:rsidP="00E8190F">
            <w:pPr>
              <w:jc w:val="center"/>
              <w:rPr>
                <w:rFonts w:ascii="Arial" w:hAnsi="Arial" w:cs="Arial"/>
              </w:rPr>
            </w:pPr>
            <w:r>
              <w:rPr>
                <w:rFonts w:ascii="Arial" w:hAnsi="Arial" w:cs="Arial"/>
              </w:rPr>
              <w:t>$1.90</w:t>
            </w:r>
          </w:p>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Default="0075622A" w:rsidP="00E8190F">
            <w:pPr>
              <w:pStyle w:val="TableText"/>
              <w:jc w:val="center"/>
              <w:rPr>
                <w:color w:val="000000"/>
              </w:rPr>
            </w:pPr>
            <w:r>
              <w:rPr>
                <w:color w:val="000000"/>
              </w:rPr>
              <w:t>45,000</w:t>
            </w:r>
          </w:p>
        </w:tc>
      </w:tr>
      <w:tr w:rsidR="0075622A"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r>
              <w:rPr>
                <w:color w:val="000000"/>
              </w:rPr>
              <w:t>Cameron Sherman</w:t>
            </w:r>
          </w:p>
        </w:tc>
        <w:tc>
          <w:tcPr>
            <w:tcW w:w="1843"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sidRPr="00172A5A">
              <w:rPr>
                <w:color w:val="000000"/>
              </w:rPr>
              <w:t>Employee</w:t>
            </w:r>
          </w:p>
        </w:tc>
        <w:tc>
          <w:tcPr>
            <w:tcW w:w="992" w:type="dxa"/>
            <w:tcBorders>
              <w:top w:val="single" w:sz="6" w:space="0" w:color="auto"/>
              <w:left w:val="single" w:sz="6" w:space="0" w:color="auto"/>
              <w:bottom w:val="single" w:sz="6" w:space="0" w:color="auto"/>
            </w:tcBorders>
          </w:tcPr>
          <w:p w:rsidR="0075622A" w:rsidRPr="00577DD2" w:rsidRDefault="0075622A" w:rsidP="00E8190F">
            <w:pPr>
              <w:pStyle w:val="TableText"/>
              <w:rPr>
                <w:rFonts w:cs="Arial"/>
                <w:color w:val="000000"/>
              </w:rPr>
            </w:pPr>
            <w:r w:rsidRPr="00577DD2">
              <w:rPr>
                <w:rFonts w:cs="Arial"/>
                <w:color w:val="000000"/>
              </w:rPr>
              <w:t>No</w:t>
            </w:r>
          </w:p>
        </w:tc>
        <w:tc>
          <w:tcPr>
            <w:tcW w:w="1276" w:type="dxa"/>
            <w:tcBorders>
              <w:top w:val="single" w:sz="6" w:space="0" w:color="auto"/>
              <w:left w:val="single" w:sz="6" w:space="0" w:color="auto"/>
              <w:bottom w:val="single" w:sz="6" w:space="0" w:color="auto"/>
            </w:tcBorders>
          </w:tcPr>
          <w:p w:rsidR="0075622A" w:rsidRDefault="0075622A" w:rsidP="00E8190F">
            <w:pPr>
              <w:pStyle w:val="TableText"/>
              <w:rPr>
                <w:color w:val="000000"/>
              </w:rPr>
            </w:pPr>
            <w:r>
              <w:rPr>
                <w:color w:val="000000"/>
              </w:rPr>
              <w:t>50,000</w:t>
            </w:r>
          </w:p>
        </w:tc>
        <w:tc>
          <w:tcPr>
            <w:tcW w:w="1134" w:type="dxa"/>
            <w:tcBorders>
              <w:top w:val="single" w:sz="6" w:space="0" w:color="auto"/>
              <w:left w:val="single" w:sz="6" w:space="0" w:color="auto"/>
              <w:bottom w:val="single" w:sz="6" w:space="0" w:color="auto"/>
            </w:tcBorders>
          </w:tcPr>
          <w:p w:rsidR="0075622A" w:rsidRPr="00577DD2" w:rsidRDefault="0075622A" w:rsidP="00E8190F">
            <w:pPr>
              <w:jc w:val="center"/>
              <w:rPr>
                <w:rFonts w:ascii="Arial" w:hAnsi="Arial" w:cs="Arial"/>
              </w:rPr>
            </w:pPr>
            <w:r>
              <w:rPr>
                <w:rFonts w:ascii="Arial" w:hAnsi="Arial" w:cs="Arial"/>
              </w:rPr>
              <w:t>$1.90</w:t>
            </w:r>
          </w:p>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Default="0075622A" w:rsidP="00E8190F">
            <w:pPr>
              <w:pStyle w:val="TableText"/>
              <w:jc w:val="center"/>
              <w:rPr>
                <w:color w:val="000000"/>
              </w:rPr>
            </w:pPr>
            <w:r>
              <w:rPr>
                <w:color w:val="000000"/>
              </w:rPr>
              <w:t>55,000</w:t>
            </w:r>
          </w:p>
        </w:tc>
      </w:tr>
      <w:tr w:rsidR="0075622A"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p>
        </w:tc>
        <w:tc>
          <w:tcPr>
            <w:tcW w:w="1843"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992"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1276"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1134" w:type="dxa"/>
            <w:tcBorders>
              <w:top w:val="single" w:sz="6" w:space="0" w:color="auto"/>
              <w:left w:val="single" w:sz="6" w:space="0" w:color="auto"/>
              <w:bottom w:val="single" w:sz="6" w:space="0" w:color="auto"/>
            </w:tcBorders>
          </w:tcPr>
          <w:p w:rsidR="0075622A" w:rsidRDefault="0075622A" w:rsidP="00E8190F">
            <w:pPr>
              <w:jc w:val="center"/>
            </w:pPr>
          </w:p>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Default="0075622A" w:rsidP="00E8190F">
            <w:pPr>
              <w:pStyle w:val="TableText"/>
              <w:jc w:val="center"/>
              <w:rPr>
                <w:color w:val="000000"/>
              </w:rPr>
            </w:pPr>
          </w:p>
        </w:tc>
      </w:tr>
      <w:tr w:rsidR="0075622A"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p>
        </w:tc>
        <w:tc>
          <w:tcPr>
            <w:tcW w:w="1843"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992"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1276"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1134" w:type="dxa"/>
            <w:tcBorders>
              <w:top w:val="single" w:sz="6" w:space="0" w:color="auto"/>
              <w:left w:val="single" w:sz="6" w:space="0" w:color="auto"/>
              <w:bottom w:val="single" w:sz="6" w:space="0" w:color="auto"/>
            </w:tcBorders>
          </w:tcPr>
          <w:p w:rsidR="0075622A" w:rsidRDefault="0075622A" w:rsidP="00E8190F">
            <w:pPr>
              <w:jc w:val="center"/>
            </w:pPr>
          </w:p>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Default="0075622A" w:rsidP="00E8190F">
            <w:pPr>
              <w:pStyle w:val="TableText"/>
              <w:jc w:val="center"/>
              <w:rPr>
                <w:color w:val="000000"/>
              </w:rPr>
            </w:pPr>
          </w:p>
        </w:tc>
      </w:tr>
      <w:tr w:rsidR="0075622A"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p>
        </w:tc>
        <w:tc>
          <w:tcPr>
            <w:tcW w:w="1843"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992"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1276"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1134" w:type="dxa"/>
            <w:tcBorders>
              <w:top w:val="single" w:sz="6" w:space="0" w:color="auto"/>
              <w:left w:val="single" w:sz="6" w:space="0" w:color="auto"/>
              <w:bottom w:val="single" w:sz="6" w:space="0" w:color="auto"/>
            </w:tcBorders>
          </w:tcPr>
          <w:p w:rsidR="0075622A" w:rsidRDefault="0075622A" w:rsidP="00E8190F">
            <w:pPr>
              <w:jc w:val="center"/>
            </w:pPr>
          </w:p>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Default="0075622A" w:rsidP="00E8190F">
            <w:pPr>
              <w:pStyle w:val="TableText"/>
              <w:jc w:val="center"/>
              <w:rPr>
                <w:color w:val="000000"/>
              </w:rPr>
            </w:pPr>
          </w:p>
        </w:tc>
      </w:tr>
      <w:tr w:rsidR="0075622A" w:rsidRPr="00A3554F"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p>
        </w:tc>
        <w:tc>
          <w:tcPr>
            <w:tcW w:w="1843"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992"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1276"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1134" w:type="dxa"/>
            <w:tcBorders>
              <w:top w:val="single" w:sz="6" w:space="0" w:color="auto"/>
              <w:left w:val="single" w:sz="6" w:space="0" w:color="auto"/>
              <w:bottom w:val="single" w:sz="6" w:space="0" w:color="auto"/>
            </w:tcBorders>
          </w:tcPr>
          <w:p w:rsidR="0075622A" w:rsidRDefault="0075622A" w:rsidP="00E8190F">
            <w:pPr>
              <w:jc w:val="center"/>
            </w:pPr>
          </w:p>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Pr="00A3554F" w:rsidRDefault="0075622A" w:rsidP="00E8190F">
            <w:pPr>
              <w:pStyle w:val="TableText"/>
              <w:jc w:val="center"/>
              <w:rPr>
                <w:color w:val="000000"/>
              </w:rPr>
            </w:pPr>
          </w:p>
        </w:tc>
      </w:tr>
      <w:tr w:rsidR="0075622A" w:rsidRPr="00A3554F" w:rsidTr="00E8190F">
        <w:tc>
          <w:tcPr>
            <w:tcW w:w="1987" w:type="dxa"/>
            <w:tcBorders>
              <w:top w:val="single" w:sz="6" w:space="0" w:color="auto"/>
              <w:left w:val="double" w:sz="6" w:space="0" w:color="auto"/>
              <w:bottom w:val="single" w:sz="6" w:space="0" w:color="auto"/>
            </w:tcBorders>
          </w:tcPr>
          <w:p w:rsidR="0075622A" w:rsidRDefault="0075622A" w:rsidP="00E8190F">
            <w:pPr>
              <w:pStyle w:val="TableText"/>
              <w:rPr>
                <w:color w:val="000000"/>
              </w:rPr>
            </w:pPr>
          </w:p>
        </w:tc>
        <w:tc>
          <w:tcPr>
            <w:tcW w:w="1843" w:type="dxa"/>
            <w:tcBorders>
              <w:top w:val="single" w:sz="6" w:space="0" w:color="auto"/>
              <w:left w:val="single" w:sz="6" w:space="0" w:color="auto"/>
              <w:bottom w:val="single" w:sz="6" w:space="0" w:color="auto"/>
            </w:tcBorders>
          </w:tcPr>
          <w:p w:rsidR="0075622A" w:rsidRPr="009E5943" w:rsidRDefault="0075622A" w:rsidP="00E8190F">
            <w:pPr>
              <w:pStyle w:val="TableText"/>
              <w:rPr>
                <w:b/>
                <w:color w:val="000000"/>
              </w:rPr>
            </w:pPr>
            <w:r w:rsidRPr="009E5943">
              <w:rPr>
                <w:b/>
                <w:color w:val="000000"/>
              </w:rPr>
              <w:t>Total</w:t>
            </w:r>
          </w:p>
        </w:tc>
        <w:tc>
          <w:tcPr>
            <w:tcW w:w="992" w:type="dxa"/>
            <w:tcBorders>
              <w:top w:val="single" w:sz="6" w:space="0" w:color="auto"/>
              <w:left w:val="single" w:sz="6" w:space="0" w:color="auto"/>
              <w:bottom w:val="single" w:sz="6" w:space="0" w:color="auto"/>
            </w:tcBorders>
          </w:tcPr>
          <w:p w:rsidR="0075622A" w:rsidRDefault="0075622A" w:rsidP="00E8190F">
            <w:pPr>
              <w:pStyle w:val="TableText"/>
              <w:rPr>
                <w:color w:val="000000"/>
              </w:rPr>
            </w:pPr>
          </w:p>
        </w:tc>
        <w:tc>
          <w:tcPr>
            <w:tcW w:w="1276" w:type="dxa"/>
            <w:tcBorders>
              <w:top w:val="single" w:sz="6" w:space="0" w:color="auto"/>
              <w:left w:val="single" w:sz="6" w:space="0" w:color="auto"/>
              <w:bottom w:val="single" w:sz="6" w:space="0" w:color="auto"/>
            </w:tcBorders>
          </w:tcPr>
          <w:p w:rsidR="0075622A" w:rsidRPr="009E5943" w:rsidRDefault="0075622A" w:rsidP="00E8190F">
            <w:pPr>
              <w:pStyle w:val="TableText"/>
              <w:rPr>
                <w:b/>
                <w:color w:val="000000"/>
              </w:rPr>
            </w:pPr>
            <w:r>
              <w:rPr>
                <w:b/>
                <w:color w:val="000000"/>
              </w:rPr>
              <w:t>890,000</w:t>
            </w:r>
          </w:p>
        </w:tc>
        <w:tc>
          <w:tcPr>
            <w:tcW w:w="1134" w:type="dxa"/>
            <w:tcBorders>
              <w:top w:val="single" w:sz="6" w:space="0" w:color="auto"/>
              <w:left w:val="single" w:sz="6" w:space="0" w:color="auto"/>
              <w:bottom w:val="single" w:sz="6" w:space="0" w:color="auto"/>
            </w:tcBorders>
          </w:tcPr>
          <w:p w:rsidR="0075622A" w:rsidRDefault="0075622A" w:rsidP="00E8190F"/>
        </w:tc>
        <w:tc>
          <w:tcPr>
            <w:tcW w:w="1134" w:type="dxa"/>
            <w:tcBorders>
              <w:top w:val="single" w:sz="6" w:space="0" w:color="auto"/>
              <w:left w:val="single" w:sz="6" w:space="0" w:color="auto"/>
              <w:bottom w:val="single" w:sz="6" w:space="0" w:color="auto"/>
            </w:tcBorders>
          </w:tcPr>
          <w:p w:rsidR="0075622A" w:rsidRDefault="0075622A" w:rsidP="00E8190F"/>
        </w:tc>
        <w:tc>
          <w:tcPr>
            <w:tcW w:w="1266" w:type="dxa"/>
            <w:tcBorders>
              <w:top w:val="single" w:sz="6" w:space="0" w:color="auto"/>
              <w:left w:val="single" w:sz="6" w:space="0" w:color="auto"/>
              <w:bottom w:val="single" w:sz="6" w:space="0" w:color="auto"/>
              <w:right w:val="double" w:sz="6" w:space="0" w:color="auto"/>
            </w:tcBorders>
          </w:tcPr>
          <w:p w:rsidR="0075622A" w:rsidRPr="00A3554F" w:rsidRDefault="0075622A" w:rsidP="00E8190F">
            <w:pPr>
              <w:pStyle w:val="TableText"/>
              <w:jc w:val="center"/>
              <w:rPr>
                <w:color w:val="000000"/>
              </w:rPr>
            </w:pPr>
          </w:p>
        </w:tc>
      </w:tr>
    </w:tbl>
    <w:p w:rsidR="0075622A" w:rsidRDefault="0075622A" w:rsidP="0075622A">
      <w:pPr>
        <w:pBdr>
          <w:top w:val="nil"/>
          <w:left w:val="nil"/>
          <w:bottom w:val="nil"/>
          <w:right w:val="nil"/>
          <w:between w:val="nil"/>
        </w:pBdr>
        <w:spacing w:before="120"/>
        <w:ind w:left="720"/>
        <w:jc w:val="both"/>
        <w:rPr>
          <w:rFonts w:ascii="Arial" w:eastAsia="Arial" w:hAnsi="Arial" w:cs="Arial"/>
          <w:b/>
          <w:color w:val="000000"/>
          <w:sz w:val="24"/>
          <w:szCs w:val="24"/>
        </w:rPr>
      </w:pPr>
    </w:p>
    <w:p w:rsidR="002E1C77" w:rsidRDefault="00862042">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rsidR="002E1C77" w:rsidRDefault="00862042">
      <w:pPr>
        <w:keepNext/>
        <w:keepLines/>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None</w:t>
      </w:r>
    </w:p>
    <w:p w:rsidR="002E1C77" w:rsidRDefault="00862042">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N/A</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rsidR="002E1C77" w:rsidRDefault="00862042">
      <w:pPr>
        <w:pBdr>
          <w:top w:val="nil"/>
          <w:left w:val="nil"/>
          <w:bottom w:val="nil"/>
          <w:right w:val="nil"/>
          <w:between w:val="nil"/>
        </w:pBdr>
        <w:spacing w:before="240"/>
        <w:ind w:left="720" w:right="11"/>
        <w:rPr>
          <w:rFonts w:ascii="Arial" w:eastAsia="Arial" w:hAnsi="Arial" w:cs="Arial"/>
          <w:b/>
          <w:color w:val="000000"/>
          <w:sz w:val="24"/>
          <w:szCs w:val="24"/>
        </w:rPr>
      </w:pPr>
      <w:r>
        <w:rPr>
          <w:rFonts w:ascii="Arial" w:eastAsia="Arial" w:hAnsi="Arial" w:cs="Arial"/>
          <w:b/>
          <w:color w:val="000000"/>
          <w:sz w:val="24"/>
          <w:szCs w:val="24"/>
        </w:rPr>
        <w:t xml:space="preserve">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Anti-Terrorist Financing (ATF) and safeguarding the privacy of customers' personal information. Failure to comply with, or changes to, existing or future laws and regulations could result in significant unforeseen costs and limitations, and could have an adverse impact on the Resulting Issuer’s business, results of operations and/or financial condition. </w:t>
      </w:r>
    </w:p>
    <w:p w:rsidR="002E1C77" w:rsidRDefault="00862042">
      <w:pPr>
        <w:pBdr>
          <w:top w:val="nil"/>
          <w:left w:val="nil"/>
          <w:bottom w:val="nil"/>
          <w:right w:val="nil"/>
          <w:between w:val="nil"/>
        </w:pBdr>
        <w:spacing w:before="240"/>
        <w:ind w:left="720" w:right="11"/>
        <w:rPr>
          <w:rFonts w:ascii="Arial" w:eastAsia="Arial" w:hAnsi="Arial" w:cs="Arial"/>
          <w:b/>
          <w:color w:val="000000"/>
          <w:sz w:val="24"/>
          <w:szCs w:val="24"/>
        </w:rPr>
      </w:pPr>
      <w:r>
        <w:rPr>
          <w:rFonts w:ascii="Arial" w:eastAsia="Arial" w:hAnsi="Arial" w:cs="Arial"/>
          <w:b/>
          <w:color w:val="000000"/>
          <w:sz w:val="24"/>
          <w:szCs w:val="24"/>
        </w:rPr>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rsidR="002E1C77" w:rsidRDefault="00862042">
      <w:pPr>
        <w:pBdr>
          <w:top w:val="nil"/>
          <w:left w:val="nil"/>
          <w:bottom w:val="nil"/>
          <w:right w:val="nil"/>
          <w:between w:val="nil"/>
        </w:pBdr>
        <w:spacing w:before="240"/>
        <w:ind w:left="720"/>
        <w:rPr>
          <w:rFonts w:ascii="Arial" w:eastAsia="Arial" w:hAnsi="Arial" w:cs="Arial"/>
          <w:b/>
          <w:i/>
          <w:color w:val="000000"/>
          <w:sz w:val="24"/>
          <w:szCs w:val="24"/>
        </w:rPr>
      </w:pPr>
      <w:r>
        <w:rPr>
          <w:rFonts w:ascii="Arial" w:eastAsia="Arial" w:hAnsi="Arial" w:cs="Arial"/>
          <w:b/>
          <w:color w:val="000000"/>
          <w:sz w:val="24"/>
          <w:szCs w:val="24"/>
        </w:rPr>
        <w:t>The Issuer endeavours to offset or mitigates these potentialities by ensuring they are working in concert with the appropriate legal counsel and regulatory bodies. The Resulting Issuer believes that at this time it is in compliance with all laws and regulations although many of the rules that apply to it have only recently been implemented, are complex and sometimes ambiguous and, accordingly, the Resulting Issuer cannot assure that it is in 100% compliance with all applicable</w:t>
      </w:r>
      <w:r>
        <w:rPr>
          <w:rFonts w:ascii="Arial" w:eastAsia="Arial" w:hAnsi="Arial" w:cs="Arial"/>
          <w:color w:val="000000"/>
          <w:sz w:val="24"/>
          <w:szCs w:val="24"/>
        </w:rPr>
        <w:t xml:space="preserve"> </w:t>
      </w:r>
      <w:r>
        <w:rPr>
          <w:rFonts w:ascii="Arial" w:eastAsia="Arial" w:hAnsi="Arial" w:cs="Arial"/>
          <w:b/>
          <w:color w:val="000000"/>
          <w:sz w:val="24"/>
          <w:szCs w:val="24"/>
        </w:rPr>
        <w:t xml:space="preserve">laws, much less that all courts, arbitrators and regulators would agree that it is in 100% compliance. </w:t>
      </w:r>
    </w:p>
    <w:p w:rsidR="002E1C77" w:rsidRDefault="00862042">
      <w:pPr>
        <w:pBdr>
          <w:top w:val="nil"/>
          <w:left w:val="nil"/>
          <w:bottom w:val="nil"/>
          <w:right w:val="nil"/>
          <w:between w:val="nil"/>
        </w:pBdr>
        <w:spacing w:before="240"/>
        <w:ind w:left="720" w:right="11"/>
        <w:rPr>
          <w:rFonts w:ascii="Arial" w:eastAsia="Arial" w:hAnsi="Arial" w:cs="Arial"/>
          <w:b/>
          <w:color w:val="000000"/>
          <w:sz w:val="24"/>
          <w:szCs w:val="24"/>
        </w:rPr>
      </w:pPr>
      <w:r>
        <w:rPr>
          <w:rFonts w:ascii="Arial" w:eastAsia="Arial" w:hAnsi="Arial" w:cs="Arial"/>
          <w:b/>
          <w:color w:val="000000"/>
          <w:sz w:val="24"/>
          <w:szCs w:val="24"/>
        </w:rPr>
        <w:t xml:space="preserve">The market for payment processing is rapidly evolving and intensely competitive, and the Issuer expects competition to intensify further in the future. There is high potential the Issuer will face competition from other companies, some of which can be expected to have longer operating histories and more financial resources and marketing experience. Increased competition by larger and better financed competitors could materially and adversely affect the business, financial condition and results of operations of the Issuer. </w:t>
      </w:r>
    </w:p>
    <w:p w:rsidR="002E1C77" w:rsidRDefault="002E1C77">
      <w:pPr>
        <w:pBdr>
          <w:top w:val="nil"/>
          <w:left w:val="nil"/>
          <w:bottom w:val="nil"/>
          <w:right w:val="nil"/>
          <w:between w:val="nil"/>
        </w:pBdr>
        <w:spacing w:before="120"/>
        <w:ind w:left="720"/>
        <w:jc w:val="both"/>
        <w:rPr>
          <w:rFonts w:ascii="Arial" w:eastAsia="Arial" w:hAnsi="Arial" w:cs="Arial"/>
          <w:color w:val="000000"/>
          <w:sz w:val="24"/>
          <w:szCs w:val="24"/>
        </w:rPr>
      </w:pPr>
    </w:p>
    <w:p w:rsidR="002E1C77" w:rsidRDefault="00862042">
      <w:pPr>
        <w:keepNext/>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 xml:space="preserve">Certificate </w:t>
      </w:r>
      <w:proofErr w:type="gramStart"/>
      <w:r>
        <w:rPr>
          <w:rFonts w:ascii="Arial" w:eastAsia="Arial" w:hAnsi="Arial" w:cs="Arial"/>
          <w:b/>
          <w:color w:val="000000"/>
          <w:sz w:val="24"/>
          <w:szCs w:val="24"/>
        </w:rPr>
        <w:t>Of</w:t>
      </w:r>
      <w:proofErr w:type="gramEnd"/>
      <w:r>
        <w:rPr>
          <w:rFonts w:ascii="Arial" w:eastAsia="Arial" w:hAnsi="Arial" w:cs="Arial"/>
          <w:b/>
          <w:color w:val="000000"/>
          <w:sz w:val="24"/>
          <w:szCs w:val="24"/>
        </w:rPr>
        <w:t xml:space="preserve"> Compliance</w:t>
      </w:r>
    </w:p>
    <w:p w:rsidR="002E1C77" w:rsidRDefault="00862042">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rsidR="002E1C77" w:rsidRDefault="00862042">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rsidR="002E1C77" w:rsidRDefault="00862042">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 is no material information concerning the Issuer which has not been publicly disclosed.</w:t>
      </w:r>
    </w:p>
    <w:p w:rsidR="002E1C77" w:rsidRDefault="00862042">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rsidR="002E1C77" w:rsidRDefault="00862042">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rsidR="002E1C77" w:rsidRDefault="00573A20">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0702E2">
        <w:rPr>
          <w:rFonts w:ascii="Arial" w:eastAsia="Arial" w:hAnsi="Arial" w:cs="Arial"/>
          <w:color w:val="000000"/>
          <w:sz w:val="24"/>
          <w:szCs w:val="24"/>
        </w:rPr>
        <w:t>Feb 5, 2019</w:t>
      </w:r>
    </w:p>
    <w:p w:rsidR="002E1C77" w:rsidRDefault="00862042">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t>Gordon Jessop</w:t>
      </w:r>
    </w:p>
    <w:p w:rsidR="002E1C77" w:rsidRDefault="00862042">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t>Name of Director or Senior Officer</w:t>
      </w:r>
    </w:p>
    <w:p w:rsidR="002E1C77" w:rsidRDefault="00862042">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noProof/>
          <w:color w:val="000000"/>
          <w:sz w:val="24"/>
          <w:szCs w:val="24"/>
          <w:lang w:val="en-CA"/>
        </w:rPr>
        <w:drawing>
          <wp:inline distT="0" distB="0" distL="0" distR="0">
            <wp:extent cx="1947973" cy="477853"/>
            <wp:effectExtent l="0" t="0" r="0" b="0"/>
            <wp:docPr id="9" name="image3.png" descr="E:\Esignatures\GJ Esignature.png"/>
            <wp:cNvGraphicFramePr/>
            <a:graphic xmlns:a="http://schemas.openxmlformats.org/drawingml/2006/main">
              <a:graphicData uri="http://schemas.openxmlformats.org/drawingml/2006/picture">
                <pic:pic xmlns:pic="http://schemas.openxmlformats.org/drawingml/2006/picture">
                  <pic:nvPicPr>
                    <pic:cNvPr id="0" name="image3.png" descr="E:\Esignatures\GJ Esignature.png"/>
                    <pic:cNvPicPr preferRelativeResize="0"/>
                  </pic:nvPicPr>
                  <pic:blipFill>
                    <a:blip r:embed="rId7" cstate="print"/>
                    <a:srcRect/>
                    <a:stretch>
                      <a:fillRect/>
                    </a:stretch>
                  </pic:blipFill>
                  <pic:spPr>
                    <a:xfrm>
                      <a:off x="0" y="0"/>
                      <a:ext cx="1947973" cy="477853"/>
                    </a:xfrm>
                    <a:prstGeom prst="rect">
                      <a:avLst/>
                    </a:prstGeom>
                    <a:ln/>
                  </pic:spPr>
                </pic:pic>
              </a:graphicData>
            </a:graphic>
          </wp:inline>
        </w:drawing>
      </w:r>
      <w:r>
        <w:rPr>
          <w:rFonts w:ascii="Arial" w:eastAsia="Arial" w:hAnsi="Arial" w:cs="Arial"/>
          <w:color w:val="000000"/>
          <w:sz w:val="24"/>
          <w:szCs w:val="24"/>
          <w:u w:val="single"/>
        </w:rPr>
        <w:tab/>
      </w:r>
      <w:r>
        <w:rPr>
          <w:rFonts w:ascii="Arial" w:eastAsia="Arial" w:hAnsi="Arial" w:cs="Arial"/>
          <w:color w:val="000000"/>
          <w:sz w:val="24"/>
          <w:szCs w:val="24"/>
        </w:rPr>
        <w:br/>
        <w:t>Signature</w:t>
      </w:r>
    </w:p>
    <w:p w:rsidR="002E1C77" w:rsidRDefault="00862042">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rPr>
        <w:t>President COO</w:t>
      </w:r>
      <w:r>
        <w:rPr>
          <w:rFonts w:ascii="Arial" w:eastAsia="Arial" w:hAnsi="Arial" w:cs="Arial"/>
          <w:color w:val="000000"/>
          <w:sz w:val="24"/>
          <w:szCs w:val="24"/>
        </w:rPr>
        <w:tab/>
      </w:r>
      <w:r>
        <w:rPr>
          <w:rFonts w:ascii="Arial" w:eastAsia="Arial" w:hAnsi="Arial" w:cs="Arial"/>
          <w:color w:val="000000"/>
          <w:sz w:val="24"/>
          <w:szCs w:val="24"/>
        </w:rPr>
        <w:br/>
        <w:t>Official Capacity</w:t>
      </w:r>
    </w:p>
    <w:p w:rsidR="00544A60" w:rsidRDefault="00544A60">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4"/>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372"/>
        <w:gridCol w:w="2306"/>
        <w:gridCol w:w="2898"/>
      </w:tblGrid>
      <w:tr w:rsidR="002E1C77">
        <w:tc>
          <w:tcPr>
            <w:tcW w:w="4372" w:type="dxa"/>
            <w:tcBorders>
              <w:top w:val="single" w:sz="18" w:space="0" w:color="000000"/>
              <w:bottom w:val="nil"/>
              <w:right w:val="single" w:sz="18" w:space="0" w:color="000000"/>
            </w:tcBorders>
          </w:tcPr>
          <w:p w:rsidR="002E1C77" w:rsidRDefault="00862042">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rsidR="002E1C77" w:rsidRDefault="00862042">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NetCents Technology Inc.</w:t>
            </w:r>
          </w:p>
        </w:tc>
        <w:tc>
          <w:tcPr>
            <w:tcW w:w="2306" w:type="dxa"/>
            <w:tcBorders>
              <w:top w:val="single" w:sz="18" w:space="0" w:color="000000"/>
              <w:left w:val="single" w:sz="18" w:space="0" w:color="000000"/>
              <w:bottom w:val="nil"/>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r w:rsidR="005C4F73">
              <w:rPr>
                <w:rFonts w:ascii="Arial" w:eastAsia="Arial" w:hAnsi="Arial" w:cs="Arial"/>
                <w:color w:val="000000"/>
                <w:sz w:val="24"/>
                <w:szCs w:val="24"/>
              </w:rPr>
              <w:t>:</w:t>
            </w:r>
            <w:r>
              <w:rPr>
                <w:rFonts w:ascii="Arial" w:eastAsia="Arial" w:hAnsi="Arial" w:cs="Arial"/>
                <w:color w:val="000000"/>
                <w:sz w:val="24"/>
                <w:szCs w:val="24"/>
              </w:rPr>
              <w:t xml:space="preserve"> </w:t>
            </w:r>
          </w:p>
          <w:p w:rsidR="002E1C77" w:rsidRDefault="00A77540" w:rsidP="00A115A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Jan </w:t>
            </w:r>
            <w:r w:rsidR="00A509A7">
              <w:rPr>
                <w:rFonts w:ascii="Arial" w:eastAsia="Arial" w:hAnsi="Arial" w:cs="Arial"/>
                <w:color w:val="000000"/>
                <w:sz w:val="24"/>
                <w:szCs w:val="24"/>
              </w:rPr>
              <w:t xml:space="preserve">31, </w:t>
            </w:r>
            <w:r w:rsidR="00FC3A77">
              <w:rPr>
                <w:rFonts w:ascii="Arial" w:eastAsia="Arial" w:hAnsi="Arial" w:cs="Arial"/>
                <w:color w:val="000000"/>
                <w:sz w:val="24"/>
                <w:szCs w:val="24"/>
              </w:rPr>
              <w:t>201</w:t>
            </w:r>
            <w:r>
              <w:rPr>
                <w:rFonts w:ascii="Arial" w:eastAsia="Arial" w:hAnsi="Arial" w:cs="Arial"/>
                <w:color w:val="000000"/>
                <w:sz w:val="24"/>
                <w:szCs w:val="24"/>
              </w:rPr>
              <w:t>9</w:t>
            </w:r>
          </w:p>
        </w:tc>
        <w:tc>
          <w:tcPr>
            <w:tcW w:w="2898" w:type="dxa"/>
            <w:tcBorders>
              <w:top w:val="single" w:sz="18" w:space="0" w:color="000000"/>
              <w:left w:val="single" w:sz="18" w:space="0" w:color="000000"/>
              <w:bottom w:val="nil"/>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w:t>
            </w:r>
            <w:r w:rsidR="00A509A7">
              <w:rPr>
                <w:rFonts w:ascii="Arial" w:eastAsia="Arial" w:hAnsi="Arial" w:cs="Arial"/>
                <w:color w:val="000000"/>
                <w:sz w:val="24"/>
                <w:szCs w:val="24"/>
              </w:rPr>
              <w:t>9</w:t>
            </w:r>
            <w:r>
              <w:rPr>
                <w:rFonts w:ascii="Arial" w:eastAsia="Arial" w:hAnsi="Arial" w:cs="Arial"/>
                <w:color w:val="000000"/>
                <w:sz w:val="24"/>
                <w:szCs w:val="24"/>
              </w:rPr>
              <w:t>/</w:t>
            </w:r>
            <w:r w:rsidR="00A509A7">
              <w:rPr>
                <w:rFonts w:ascii="Arial" w:eastAsia="Arial" w:hAnsi="Arial" w:cs="Arial"/>
                <w:color w:val="000000"/>
                <w:sz w:val="24"/>
                <w:szCs w:val="24"/>
              </w:rPr>
              <w:t>0</w:t>
            </w:r>
            <w:r w:rsidR="00A77540">
              <w:rPr>
                <w:rFonts w:ascii="Arial" w:eastAsia="Arial" w:hAnsi="Arial" w:cs="Arial"/>
                <w:color w:val="000000"/>
                <w:sz w:val="24"/>
                <w:szCs w:val="24"/>
              </w:rPr>
              <w:t>2</w:t>
            </w:r>
            <w:r>
              <w:rPr>
                <w:rFonts w:ascii="Arial" w:eastAsia="Arial" w:hAnsi="Arial" w:cs="Arial"/>
                <w:color w:val="000000"/>
                <w:sz w:val="24"/>
                <w:szCs w:val="24"/>
              </w:rPr>
              <w:t>/0</w:t>
            </w:r>
            <w:r w:rsidR="00A77540">
              <w:rPr>
                <w:rFonts w:ascii="Arial" w:eastAsia="Arial" w:hAnsi="Arial" w:cs="Arial"/>
                <w:color w:val="000000"/>
                <w:sz w:val="24"/>
                <w:szCs w:val="24"/>
              </w:rPr>
              <w:t>5</w:t>
            </w:r>
          </w:p>
        </w:tc>
      </w:tr>
      <w:tr w:rsidR="002E1C77">
        <w:tc>
          <w:tcPr>
            <w:tcW w:w="9576" w:type="dxa"/>
            <w:gridSpan w:val="3"/>
            <w:tcBorders>
              <w:top w:val="single" w:sz="18" w:space="0" w:color="000000"/>
              <w:bottom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1000 – 1021 West Hastings St.</w:t>
            </w:r>
          </w:p>
          <w:p w:rsidR="002E1C77" w:rsidRDefault="002E1C77">
            <w:pPr>
              <w:pBdr>
                <w:top w:val="nil"/>
                <w:left w:val="nil"/>
                <w:bottom w:val="nil"/>
                <w:right w:val="nil"/>
                <w:between w:val="nil"/>
              </w:pBdr>
              <w:rPr>
                <w:rFonts w:ascii="Arial" w:eastAsia="Arial" w:hAnsi="Arial" w:cs="Arial"/>
                <w:color w:val="000000"/>
                <w:sz w:val="24"/>
                <w:szCs w:val="24"/>
              </w:rPr>
            </w:pPr>
          </w:p>
        </w:tc>
      </w:tr>
      <w:tr w:rsidR="002E1C77">
        <w:tc>
          <w:tcPr>
            <w:tcW w:w="4372" w:type="dxa"/>
            <w:tcBorders>
              <w:top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0B2</w:t>
            </w:r>
          </w:p>
        </w:tc>
        <w:tc>
          <w:tcPr>
            <w:tcW w:w="2306" w:type="dxa"/>
            <w:tcBorders>
              <w:top w:val="single" w:sz="18" w:space="0" w:color="000000"/>
              <w:left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( 604) 638-5556</w:t>
            </w:r>
          </w:p>
        </w:tc>
      </w:tr>
      <w:tr w:rsidR="002E1C77">
        <w:trPr>
          <w:trHeight w:val="520"/>
        </w:trPr>
        <w:tc>
          <w:tcPr>
            <w:tcW w:w="4372" w:type="dxa"/>
            <w:tcBorders>
              <w:top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Gordon Jessop</w:t>
            </w:r>
          </w:p>
        </w:tc>
        <w:tc>
          <w:tcPr>
            <w:tcW w:w="2306" w:type="dxa"/>
            <w:tcBorders>
              <w:top w:val="single" w:sz="18" w:space="0" w:color="000000"/>
              <w:left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President COO</w:t>
            </w:r>
          </w:p>
        </w:tc>
        <w:tc>
          <w:tcPr>
            <w:tcW w:w="2898" w:type="dxa"/>
            <w:tcBorders>
              <w:top w:val="single" w:sz="18" w:space="0" w:color="000000"/>
              <w:left w:val="single" w:sz="18" w:space="0" w:color="000000"/>
              <w:bottom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604 638-5556</w:t>
            </w:r>
          </w:p>
        </w:tc>
      </w:tr>
      <w:tr w:rsidR="002E1C77">
        <w:trPr>
          <w:trHeight w:val="80"/>
        </w:trPr>
        <w:tc>
          <w:tcPr>
            <w:tcW w:w="4372" w:type="dxa"/>
            <w:tcBorders>
              <w:top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gord.jessop@net-cents.com</w:t>
            </w:r>
          </w:p>
        </w:tc>
        <w:tc>
          <w:tcPr>
            <w:tcW w:w="5204" w:type="dxa"/>
            <w:gridSpan w:val="2"/>
            <w:tcBorders>
              <w:top w:val="single" w:sz="18" w:space="0" w:color="000000"/>
              <w:left w:val="single" w:sz="18" w:space="0" w:color="000000"/>
              <w:bottom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rsidR="002E1C77" w:rsidRDefault="002D44BB">
            <w:pPr>
              <w:pBdr>
                <w:top w:val="nil"/>
                <w:left w:val="nil"/>
                <w:bottom w:val="nil"/>
                <w:right w:val="nil"/>
                <w:between w:val="nil"/>
              </w:pBdr>
              <w:rPr>
                <w:rFonts w:ascii="Arial" w:eastAsia="Arial" w:hAnsi="Arial" w:cs="Arial"/>
                <w:color w:val="000000"/>
                <w:sz w:val="24"/>
                <w:szCs w:val="24"/>
              </w:rPr>
            </w:pPr>
            <w:hyperlink r:id="rId8">
              <w:r w:rsidR="00862042">
                <w:rPr>
                  <w:rFonts w:ascii="Arial" w:eastAsia="Arial" w:hAnsi="Arial" w:cs="Arial"/>
                  <w:color w:val="0000FF"/>
                  <w:sz w:val="24"/>
                  <w:szCs w:val="24"/>
                  <w:u w:val="single"/>
                </w:rPr>
                <w:t>www.net-cents.com</w:t>
              </w:r>
            </w:hyperlink>
            <w:r w:rsidR="00862042">
              <w:rPr>
                <w:rFonts w:ascii="Arial" w:eastAsia="Arial" w:hAnsi="Arial" w:cs="Arial"/>
                <w:color w:val="000000"/>
                <w:sz w:val="24"/>
                <w:szCs w:val="24"/>
              </w:rPr>
              <w:t xml:space="preserve"> / blog.net-cents.com</w:t>
            </w:r>
          </w:p>
        </w:tc>
      </w:tr>
    </w:tbl>
    <w:p w:rsidR="002E1C77" w:rsidRDefault="002E1C77" w:rsidP="00FA2509">
      <w:pPr>
        <w:pBdr>
          <w:top w:val="nil"/>
          <w:left w:val="nil"/>
          <w:bottom w:val="nil"/>
          <w:right w:val="nil"/>
          <w:between w:val="nil"/>
        </w:pBdr>
        <w:spacing w:before="240"/>
        <w:rPr>
          <w:color w:val="000000"/>
          <w:sz w:val="24"/>
          <w:szCs w:val="24"/>
        </w:rPr>
      </w:pPr>
    </w:p>
    <w:sectPr w:rsidR="002E1C77" w:rsidSect="002E1C77">
      <w:headerReference w:type="even" r:id="rId9"/>
      <w:headerReference w:type="default" r:id="rId10"/>
      <w:footerReference w:type="default" r:id="rId11"/>
      <w:footerReference w:type="first" r:id="rId12"/>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77" w:rsidRDefault="002E1C77" w:rsidP="002E1C77">
      <w:r>
        <w:separator/>
      </w:r>
    </w:p>
  </w:endnote>
  <w:endnote w:type="continuationSeparator" w:id="0">
    <w:p w:rsidR="002E1C77" w:rsidRDefault="002E1C77" w:rsidP="002E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77" w:rsidRDefault="002E1C77">
    <w:pPr>
      <w:pBdr>
        <w:top w:val="nil"/>
        <w:left w:val="nil"/>
        <w:bottom w:val="nil"/>
        <w:right w:val="nil"/>
        <w:between w:val="nil"/>
      </w:pBdr>
      <w:tabs>
        <w:tab w:val="center" w:pos="4680"/>
        <w:tab w:val="right" w:pos="9360"/>
      </w:tabs>
      <w:rPr>
        <w:b/>
        <w:color w:val="000000"/>
      </w:rPr>
    </w:pPr>
  </w:p>
  <w:p w:rsidR="002E1C77" w:rsidRDefault="00862042">
    <w:pPr>
      <w:tabs>
        <w:tab w:val="center" w:pos="4680"/>
        <w:tab w:val="left" w:pos="8280"/>
      </w:tabs>
      <w:jc w:val="center"/>
      <w:rPr>
        <w:rFonts w:ascii="Arial" w:eastAsia="Arial" w:hAnsi="Arial" w:cs="Arial"/>
        <w:b/>
      </w:rPr>
    </w:pPr>
    <w:r>
      <w:rPr>
        <w:rFonts w:ascii="Arial" w:eastAsia="Arial" w:hAnsi="Arial" w:cs="Arial"/>
        <w:b/>
      </w:rPr>
      <w:t>FORM 7 – MONTHLY PROGRESS REPORT</w:t>
    </w:r>
    <w:r w:rsidR="002D44BB">
      <w:rPr>
        <w:noProof/>
      </w:rPr>
      <w:pict>
        <v:line id="_x0000_s2050" style="position:absolute;left:0;text-align:left;flip:x;z-index:251658240;visibility:visible;mso-wrap-style:square;mso-wrap-distance-left:9pt;mso-wrap-distance-top:0;mso-wrap-distance-right:9pt;mso-wrap-distance-bottom:0;mso-position-horizontal:absolute;mso-position-horizontal-relative:margin;mso-position-vertical:absolute;mso-position-vertical-relative:text"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grxgEAAHgDAAAOAAAAZHJzL2Uyb0RvYy54bWysU01vGyEQvVfqf0Dc67VdOUpWXufgNO0h&#10;bS0l/QFjPnZRgUGAvfa/74A/kra3qntADDPzmPceu7w/OMv2KiaDvuOzyZQz5QVK4/uO/3h5/HDL&#10;WcrgJVj0quNHlfj96v275RhaNccBrVSREYhP7Rg6PuQc2qZJYlAO0gSD8pTUGB1kCmPfyAgjoTvb&#10;zKfTm2bEKENEoVKi04dTkq8qvtZK5O9aJ5WZ7TjNlusa67ota7NaQttHCIMR5zHgH6ZwYDxdeoV6&#10;gAxsF81fUM6IiAl1ngh0DWpthKociM1s+geb5wGCqlxInBSuMqX/Byu+7TeRGdlxMsqDI4uKJmNI&#10;LaXWfhMLK3Hwz+EJxc/EPK4H8L2qs70cAzXMSkfzW0sJUiDk7fgVJdXALmMV6KCjY9qa8KU0FnAS&#10;gR2qI8erI+qQmaDDxe3Nx8UdGScuuQbaAlEaQ0z5s0LHyqbj1vgiFrSwf0q5jPRaUo49Phprq+HW&#10;s7Hjd4v5ojYktEaWZClLsd+ubWR7KE+mfpUfZd6WRdx5WcEGBfLTeZ/B2NOeLre+4BGV8zgXUU7y&#10;blEeN/GiHNlbBz4/xfJ+3sZV39cfZvUL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LwoeCvGAQAAeAMAAA4AAAAAAAAAAAAA&#10;AAAALgIAAGRycy9lMm9Eb2MueG1sUEsBAi0AFAAGAAgAAAAhAB8wuCncAAAACgEAAA8AAAAAAAAA&#10;AAAAAAAAIAQAAGRycy9kb3ducmV2LnhtbFBLBQYAAAAABAAEAPMAAAApBQAAAAA=&#10;">
          <w10:wrap anchorx="margin"/>
        </v:line>
      </w:pict>
    </w:r>
  </w:p>
  <w:p w:rsidR="002E1C77" w:rsidRDefault="00A77540">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2019</w:t>
    </w:r>
  </w:p>
  <w:p w:rsidR="002E1C77" w:rsidRDefault="00862042">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sidR="00103E5D">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103E5D">
      <w:rPr>
        <w:rFonts w:ascii="Arial" w:eastAsia="Arial" w:hAnsi="Arial" w:cs="Arial"/>
        <w:color w:val="000000"/>
        <w:sz w:val="16"/>
        <w:szCs w:val="16"/>
      </w:rPr>
      <w:fldChar w:fldCharType="separate"/>
    </w:r>
    <w:r w:rsidR="00E970CB">
      <w:rPr>
        <w:rFonts w:ascii="Arial" w:eastAsia="Arial" w:hAnsi="Arial" w:cs="Arial"/>
        <w:noProof/>
        <w:color w:val="000000"/>
        <w:sz w:val="16"/>
        <w:szCs w:val="16"/>
      </w:rPr>
      <w:t>2</w:t>
    </w:r>
    <w:r w:rsidR="00103E5D">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77" w:rsidRDefault="002E1C77">
    <w:pPr>
      <w:pBdr>
        <w:top w:val="nil"/>
        <w:left w:val="nil"/>
        <w:bottom w:val="nil"/>
        <w:right w:val="nil"/>
        <w:between w:val="nil"/>
      </w:pBdr>
      <w:tabs>
        <w:tab w:val="center" w:pos="4680"/>
        <w:tab w:val="right" w:pos="9360"/>
      </w:tabs>
      <w:rPr>
        <w:b/>
        <w:color w:val="000000"/>
      </w:rPr>
    </w:pPr>
  </w:p>
  <w:p w:rsidR="002E1C77" w:rsidRDefault="00862042">
    <w:pPr>
      <w:tabs>
        <w:tab w:val="center" w:pos="4674"/>
        <w:tab w:val="left" w:pos="8460"/>
      </w:tabs>
      <w:jc w:val="center"/>
      <w:rPr>
        <w:rFonts w:ascii="Arial" w:eastAsia="Arial" w:hAnsi="Arial" w:cs="Arial"/>
        <w:b/>
      </w:rPr>
    </w:pPr>
    <w:r>
      <w:rPr>
        <w:rFonts w:ascii="Arial" w:eastAsia="Arial" w:hAnsi="Arial" w:cs="Arial"/>
        <w:b/>
      </w:rPr>
      <w:t>FORM 7 – MONTHLY PROGRESS REPORT</w:t>
    </w:r>
    <w:r w:rsidR="002D44BB">
      <w:rPr>
        <w:noProof/>
      </w:rPr>
      <w:pict>
        <v:line id="_x0000_s2049" style="position:absolute;left:0;text-align:left;flip:x;z-index:251659264;visibility:visible;mso-wrap-style:square;mso-wrap-distance-left:9pt;mso-wrap-distance-top:0;mso-wrap-distance-right:9pt;mso-wrap-distance-bottom:0;mso-position-horizontal:absolute;mso-position-horizontal-relative:margin;mso-position-vertical:absolute;mso-position-vertical-relative:text"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SKxwEAAHgDAAAOAAAAZHJzL2Uyb0RvYy54bWysU8tu2zAQvBfoPxC817JdOE0Eyzk4TXtI&#10;WwNJP2DNh0SE4hIkbcl/3yX9SNLeiuhAcLm7w5lZank79pbtVYgGXcNnkylnygmUxrUN//10/+ma&#10;s5jASbDoVMMPKvLb1ccPy8HXao4dWqkCIxAX68E3vEvJ11UVRad6iBP0ylFSY+ghURjaSgYYCL23&#10;1Xw6vaoGDNIHFCpGOr07Jvmq4GutRPqldVSJ2YYTt1TWUNZtXqvVEuo2gO+MONGA/2DRg3F06QXq&#10;DhKwXTD/QPVGBIyo00RgX6HWRqiigdTMpn+peezAq6KFzIn+YlN8P1jxc78JzMiGf+HMQU8jyp4M&#10;PtaUWrtNyKrE6B79A4rnyByuO3CtKtyeDp4aZrmjetOSg+gJeTv8QEk1sEtYDBp16Jm2xn/PjRmc&#10;TGBjmcjhMhE1JibocHF99XlxQ4MT51wFdYbIjT7E9E1hz/Km4da4bBbUsH+IKVN6KcnHDu+NtWXg&#10;1rGh4TeL+aI0RLRG5mQui6Hdrm1ge8hPpnxFH2VelwXcOVnAOgXy62mfwNjjni63LuORlBOdsylH&#10;e7coD5twdo7GWwifnmJ+P6/j4u/LD7P6A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bFESKxwEAAHgDAAAOAAAAAAAAAAAA&#10;AAAAAC4CAABkcnMvZTJvRG9jLnhtbFBLAQItABQABgAIAAAAIQAfMLgp3AAAAAoBAAAPAAAAAAAA&#10;AAAAAAAAACEEAABkcnMvZG93bnJldi54bWxQSwUGAAAAAAQABADzAAAAKgUAAAAA&#10;">
          <w10:wrap anchorx="margin"/>
        </v:line>
      </w:pict>
    </w:r>
  </w:p>
  <w:p w:rsidR="002E1C77" w:rsidRDefault="008620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rsidR="002E1C77" w:rsidRDefault="00862042">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sidR="00103E5D">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103E5D">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77" w:rsidRDefault="002E1C77" w:rsidP="002E1C77">
      <w:r>
        <w:separator/>
      </w:r>
    </w:p>
  </w:footnote>
  <w:footnote w:type="continuationSeparator" w:id="0">
    <w:p w:rsidR="002E1C77" w:rsidRDefault="002E1C77" w:rsidP="002E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77" w:rsidRDefault="00103E5D">
    <w:pPr>
      <w:pBdr>
        <w:top w:val="nil"/>
        <w:left w:val="nil"/>
        <w:bottom w:val="nil"/>
        <w:right w:val="nil"/>
        <w:between w:val="nil"/>
      </w:pBdr>
      <w:tabs>
        <w:tab w:val="center" w:pos="4320"/>
        <w:tab w:val="right" w:pos="8640"/>
      </w:tabs>
      <w:jc w:val="center"/>
      <w:rPr>
        <w:color w:val="000000"/>
      </w:rPr>
    </w:pPr>
    <w:r>
      <w:rPr>
        <w:color w:val="000000"/>
      </w:rPr>
      <w:fldChar w:fldCharType="begin"/>
    </w:r>
    <w:r w:rsidR="00862042">
      <w:rPr>
        <w:color w:val="000000"/>
      </w:rPr>
      <w:instrText>PAGE</w:instrText>
    </w:r>
    <w:r>
      <w:rPr>
        <w:color w:val="000000"/>
      </w:rPr>
      <w:fldChar w:fldCharType="end"/>
    </w:r>
  </w:p>
  <w:p w:rsidR="002E1C77" w:rsidRDefault="002E1C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77" w:rsidRDefault="002E1C77">
    <w:pPr>
      <w:pBdr>
        <w:top w:val="nil"/>
        <w:left w:val="nil"/>
        <w:bottom w:val="nil"/>
        <w:right w:val="nil"/>
        <w:between w:val="nil"/>
      </w:pBdr>
      <w:tabs>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428B"/>
    <w:multiLevelType w:val="multilevel"/>
    <w:tmpl w:val="FEB62FEA"/>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7F3D07"/>
    <w:multiLevelType w:val="multilevel"/>
    <w:tmpl w:val="D9681DC0"/>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0C95517"/>
    <w:multiLevelType w:val="multilevel"/>
    <w:tmpl w:val="5190617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2ED3854"/>
    <w:multiLevelType w:val="multilevel"/>
    <w:tmpl w:val="8CF40E26"/>
    <w:lvl w:ilvl="0">
      <w:start w:val="1"/>
      <w:numFmt w:val="decimal"/>
      <w:lvlText w:val="(%1)"/>
      <w:lvlJc w:val="left"/>
      <w:pPr>
        <w:ind w:left="502" w:hanging="360"/>
      </w:pPr>
      <w:rPr>
        <w:b w:val="0"/>
        <w: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C77"/>
    <w:rsid w:val="00030E34"/>
    <w:rsid w:val="0005503E"/>
    <w:rsid w:val="000622FE"/>
    <w:rsid w:val="00064004"/>
    <w:rsid w:val="000702E2"/>
    <w:rsid w:val="0007528E"/>
    <w:rsid w:val="000B48EC"/>
    <w:rsid w:val="00103E5D"/>
    <w:rsid w:val="00116CCA"/>
    <w:rsid w:val="00137CCD"/>
    <w:rsid w:val="0019174E"/>
    <w:rsid w:val="001D3994"/>
    <w:rsid w:val="001D4C16"/>
    <w:rsid w:val="00255E6C"/>
    <w:rsid w:val="002563F9"/>
    <w:rsid w:val="002B38A9"/>
    <w:rsid w:val="002D44BB"/>
    <w:rsid w:val="002E1C77"/>
    <w:rsid w:val="00367EFE"/>
    <w:rsid w:val="003A7273"/>
    <w:rsid w:val="003B5394"/>
    <w:rsid w:val="003C4BC8"/>
    <w:rsid w:val="00400638"/>
    <w:rsid w:val="00411889"/>
    <w:rsid w:val="004B2750"/>
    <w:rsid w:val="00544A60"/>
    <w:rsid w:val="00553702"/>
    <w:rsid w:val="00573A20"/>
    <w:rsid w:val="005C4F73"/>
    <w:rsid w:val="0062260B"/>
    <w:rsid w:val="00623F97"/>
    <w:rsid w:val="006707EA"/>
    <w:rsid w:val="0075622A"/>
    <w:rsid w:val="00790A3F"/>
    <w:rsid w:val="007A698E"/>
    <w:rsid w:val="007D6493"/>
    <w:rsid w:val="00816489"/>
    <w:rsid w:val="008445DF"/>
    <w:rsid w:val="00862042"/>
    <w:rsid w:val="008A5324"/>
    <w:rsid w:val="008C046C"/>
    <w:rsid w:val="008E571A"/>
    <w:rsid w:val="00924316"/>
    <w:rsid w:val="00943C56"/>
    <w:rsid w:val="009440F9"/>
    <w:rsid w:val="00994DF4"/>
    <w:rsid w:val="00A00B5D"/>
    <w:rsid w:val="00A115A5"/>
    <w:rsid w:val="00A509A7"/>
    <w:rsid w:val="00A77540"/>
    <w:rsid w:val="00A7776F"/>
    <w:rsid w:val="00A84516"/>
    <w:rsid w:val="00AB116E"/>
    <w:rsid w:val="00B035A5"/>
    <w:rsid w:val="00B261BA"/>
    <w:rsid w:val="00B26928"/>
    <w:rsid w:val="00B85381"/>
    <w:rsid w:val="00BB5355"/>
    <w:rsid w:val="00C201C9"/>
    <w:rsid w:val="00C43976"/>
    <w:rsid w:val="00CA6C9F"/>
    <w:rsid w:val="00D45376"/>
    <w:rsid w:val="00D47031"/>
    <w:rsid w:val="00D622B2"/>
    <w:rsid w:val="00D75D26"/>
    <w:rsid w:val="00D95EDE"/>
    <w:rsid w:val="00DD702F"/>
    <w:rsid w:val="00E03C7A"/>
    <w:rsid w:val="00E45549"/>
    <w:rsid w:val="00E970CB"/>
    <w:rsid w:val="00EC77EA"/>
    <w:rsid w:val="00EE5C71"/>
    <w:rsid w:val="00EF2E0D"/>
    <w:rsid w:val="00F35755"/>
    <w:rsid w:val="00F4288B"/>
    <w:rsid w:val="00F5349C"/>
    <w:rsid w:val="00F70D7A"/>
    <w:rsid w:val="00FA2509"/>
    <w:rsid w:val="00FC3A77"/>
    <w:rsid w:val="00FD0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9697DB"/>
  <w15:docId w15:val="{914904C8-8EE8-4217-BA6E-AF92C199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95F"/>
  </w:style>
  <w:style w:type="paragraph" w:styleId="Heading1">
    <w:name w:val="heading 1"/>
    <w:basedOn w:val="Normal"/>
    <w:next w:val="Normal"/>
    <w:link w:val="Heading1Char"/>
    <w:uiPriority w:val="9"/>
    <w:qFormat/>
    <w:rsid w:val="00942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54095F"/>
    <w:pPr>
      <w:keepNext/>
      <w:ind w:left="1080" w:hanging="1080"/>
      <w:outlineLvl w:val="1"/>
    </w:pPr>
    <w:rPr>
      <w:rFonts w:ascii="Arial" w:hAnsi="Arial"/>
      <w:b/>
      <w:sz w:val="28"/>
    </w:rPr>
  </w:style>
  <w:style w:type="paragraph" w:styleId="Heading3">
    <w:name w:val="heading 3"/>
    <w:basedOn w:val="Normal2"/>
    <w:next w:val="Normal2"/>
    <w:rsid w:val="002E1C77"/>
    <w:pPr>
      <w:keepNext/>
      <w:keepLines/>
      <w:spacing w:before="280" w:after="80"/>
      <w:outlineLvl w:val="2"/>
    </w:pPr>
    <w:rPr>
      <w:b/>
      <w:sz w:val="28"/>
      <w:szCs w:val="28"/>
    </w:rPr>
  </w:style>
  <w:style w:type="paragraph" w:styleId="Heading4">
    <w:name w:val="heading 4"/>
    <w:basedOn w:val="Normal2"/>
    <w:next w:val="Normal2"/>
    <w:rsid w:val="002E1C77"/>
    <w:pPr>
      <w:keepNext/>
      <w:keepLines/>
      <w:spacing w:before="240" w:after="40"/>
      <w:outlineLvl w:val="3"/>
    </w:pPr>
    <w:rPr>
      <w:b/>
      <w:sz w:val="24"/>
      <w:szCs w:val="24"/>
    </w:rPr>
  </w:style>
  <w:style w:type="paragraph" w:styleId="Heading5">
    <w:name w:val="heading 5"/>
    <w:basedOn w:val="Normal2"/>
    <w:next w:val="Normal2"/>
    <w:rsid w:val="002E1C77"/>
    <w:pPr>
      <w:keepNext/>
      <w:keepLines/>
      <w:spacing w:before="220" w:after="40"/>
      <w:outlineLvl w:val="4"/>
    </w:pPr>
    <w:rPr>
      <w:b/>
      <w:sz w:val="22"/>
      <w:szCs w:val="22"/>
    </w:rPr>
  </w:style>
  <w:style w:type="paragraph" w:styleId="Heading6">
    <w:name w:val="heading 6"/>
    <w:basedOn w:val="Normal2"/>
    <w:next w:val="Normal2"/>
    <w:rsid w:val="002E1C7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1C77"/>
  </w:style>
  <w:style w:type="paragraph" w:styleId="Title">
    <w:name w:val="Title"/>
    <w:basedOn w:val="BodyText"/>
    <w:qFormat/>
    <w:rsid w:val="0054095F"/>
    <w:pPr>
      <w:spacing w:after="240"/>
      <w:jc w:val="center"/>
    </w:pPr>
    <w:rPr>
      <w:rFonts w:ascii="Arial" w:hAnsi="Arial"/>
      <w:b/>
      <w:sz w:val="40"/>
    </w:rPr>
  </w:style>
  <w:style w:type="paragraph" w:customStyle="1" w:styleId="Normal2">
    <w:name w:val="Normal2"/>
    <w:rsid w:val="002E1C77"/>
  </w:style>
  <w:style w:type="paragraph" w:styleId="BodyText">
    <w:name w:val="Body Text"/>
    <w:basedOn w:val="Normal"/>
    <w:rsid w:val="0054095F"/>
    <w:pPr>
      <w:spacing w:before="240"/>
    </w:pPr>
    <w:rPr>
      <w:sz w:val="24"/>
    </w:rPr>
  </w:style>
  <w:style w:type="paragraph" w:styleId="List">
    <w:name w:val="List"/>
    <w:basedOn w:val="BodyText"/>
    <w:rsid w:val="0054095F"/>
    <w:pPr>
      <w:ind w:left="1080" w:hanging="1080"/>
    </w:p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 w:type="character" w:customStyle="1" w:styleId="Heading1Char">
    <w:name w:val="Heading 1 Char"/>
    <w:basedOn w:val="DefaultParagraphFont"/>
    <w:link w:val="Heading1"/>
    <w:uiPriority w:val="9"/>
    <w:rsid w:val="0094235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C1802"/>
    <w:rPr>
      <w:sz w:val="16"/>
      <w:szCs w:val="16"/>
    </w:rPr>
  </w:style>
  <w:style w:type="paragraph" w:styleId="CommentText">
    <w:name w:val="annotation text"/>
    <w:basedOn w:val="Normal"/>
    <w:link w:val="CommentTextChar"/>
    <w:uiPriority w:val="99"/>
    <w:semiHidden/>
    <w:unhideWhenUsed/>
    <w:rsid w:val="00DC1802"/>
  </w:style>
  <w:style w:type="character" w:customStyle="1" w:styleId="CommentTextChar">
    <w:name w:val="Comment Text Char"/>
    <w:basedOn w:val="DefaultParagraphFont"/>
    <w:link w:val="CommentText"/>
    <w:uiPriority w:val="99"/>
    <w:semiHidden/>
    <w:rsid w:val="00DC1802"/>
  </w:style>
  <w:style w:type="paragraph" w:styleId="CommentSubject">
    <w:name w:val="annotation subject"/>
    <w:basedOn w:val="CommentText"/>
    <w:next w:val="CommentText"/>
    <w:link w:val="CommentSubjectChar"/>
    <w:uiPriority w:val="99"/>
    <w:semiHidden/>
    <w:unhideWhenUsed/>
    <w:rsid w:val="00DC1802"/>
    <w:rPr>
      <w:b/>
      <w:bCs/>
    </w:rPr>
  </w:style>
  <w:style w:type="character" w:customStyle="1" w:styleId="CommentSubjectChar">
    <w:name w:val="Comment Subject Char"/>
    <w:basedOn w:val="CommentTextChar"/>
    <w:link w:val="CommentSubject"/>
    <w:uiPriority w:val="99"/>
    <w:semiHidden/>
    <w:rsid w:val="00DC1802"/>
    <w:rPr>
      <w:b/>
      <w:bCs/>
    </w:rPr>
  </w:style>
  <w:style w:type="paragraph" w:customStyle="1" w:styleId="Normal0">
    <w:name w:val="Normal_0"/>
    <w:qFormat/>
    <w:rsid w:val="00941671"/>
    <w:pPr>
      <w:pBdr>
        <w:top w:val="nil"/>
        <w:left w:val="nil"/>
        <w:bottom w:val="nil"/>
        <w:right w:val="nil"/>
        <w:between w:val="nil"/>
      </w:pBdr>
      <w:spacing w:after="160" w:line="259" w:lineRule="auto"/>
    </w:pPr>
    <w:rPr>
      <w:rFonts w:ascii="Calibri" w:eastAsia="Calibri" w:hAnsi="Calibri" w:cs="Calibri"/>
      <w:color w:val="000000"/>
      <w:sz w:val="22"/>
      <w:szCs w:val="22"/>
      <w:lang w:val="en-CA"/>
    </w:rPr>
  </w:style>
  <w:style w:type="paragraph" w:styleId="Subtitle">
    <w:name w:val="Subtitle"/>
    <w:basedOn w:val="Normal"/>
    <w:next w:val="Normal"/>
    <w:rsid w:val="002E1C77"/>
    <w:pPr>
      <w:keepNext/>
      <w:keepLines/>
      <w:spacing w:before="360" w:after="80"/>
    </w:pPr>
    <w:rPr>
      <w:rFonts w:ascii="Georgia" w:eastAsia="Georgia" w:hAnsi="Georgia" w:cs="Georgia"/>
      <w:i/>
      <w:color w:val="666666"/>
      <w:sz w:val="48"/>
      <w:szCs w:val="48"/>
    </w:rPr>
  </w:style>
  <w:style w:type="table" w:customStyle="1" w:styleId="a">
    <w:basedOn w:val="TableNormal"/>
    <w:rsid w:val="002E1C77"/>
    <w:tblPr>
      <w:tblStyleRowBandSize w:val="1"/>
      <w:tblStyleColBandSize w:val="1"/>
      <w:tblCellMar>
        <w:left w:w="115" w:type="dxa"/>
        <w:right w:w="115" w:type="dxa"/>
      </w:tblCellMar>
    </w:tblPr>
  </w:style>
  <w:style w:type="table" w:customStyle="1" w:styleId="a0">
    <w:basedOn w:val="TableNormal"/>
    <w:rsid w:val="002E1C77"/>
    <w:tblPr>
      <w:tblStyleRowBandSize w:val="1"/>
      <w:tblStyleColBandSize w:val="1"/>
      <w:tblCellMar>
        <w:left w:w="115" w:type="dxa"/>
        <w:right w:w="115" w:type="dxa"/>
      </w:tblCellMar>
    </w:tblPr>
  </w:style>
  <w:style w:type="table" w:customStyle="1" w:styleId="a1">
    <w:basedOn w:val="TableNormal"/>
    <w:rsid w:val="002E1C77"/>
    <w:tblPr>
      <w:tblStyleRowBandSize w:val="1"/>
      <w:tblStyleColBandSize w:val="1"/>
      <w:tblCellMar>
        <w:left w:w="115" w:type="dxa"/>
        <w:right w:w="115" w:type="dxa"/>
      </w:tblCellMar>
    </w:tblPr>
  </w:style>
  <w:style w:type="table" w:customStyle="1" w:styleId="a2">
    <w:basedOn w:val="TableNormal"/>
    <w:rsid w:val="002E1C77"/>
    <w:tblPr>
      <w:tblStyleRowBandSize w:val="1"/>
      <w:tblStyleColBandSize w:val="1"/>
      <w:tblCellMar>
        <w:left w:w="115" w:type="dxa"/>
        <w:right w:w="115" w:type="dxa"/>
      </w:tblCellMar>
    </w:tblPr>
  </w:style>
  <w:style w:type="table" w:customStyle="1" w:styleId="a3">
    <w:basedOn w:val="TableNormal"/>
    <w:rsid w:val="002E1C77"/>
    <w:tblPr>
      <w:tblStyleRowBandSize w:val="1"/>
      <w:tblStyleColBandSize w:val="1"/>
      <w:tblCellMar>
        <w:left w:w="115" w:type="dxa"/>
        <w:right w:w="115" w:type="dxa"/>
      </w:tblCellMar>
    </w:tblPr>
  </w:style>
  <w:style w:type="table" w:customStyle="1" w:styleId="a4">
    <w:basedOn w:val="TableNormal"/>
    <w:rsid w:val="002E1C77"/>
    <w:tblPr>
      <w:tblStyleRowBandSize w:val="1"/>
      <w:tblStyleColBandSize w:val="1"/>
      <w:tblCellMar>
        <w:left w:w="115" w:type="dxa"/>
        <w:right w:w="115" w:type="dxa"/>
      </w:tblCellMar>
    </w:tblPr>
  </w:style>
  <w:style w:type="paragraph" w:styleId="ListParagraph">
    <w:name w:val="List Paragraph"/>
    <w:basedOn w:val="Normal"/>
    <w:uiPriority w:val="34"/>
    <w:qFormat/>
    <w:rsid w:val="008C046C"/>
    <w:pPr>
      <w:ind w:left="720"/>
      <w:contextualSpacing/>
    </w:pPr>
  </w:style>
  <w:style w:type="paragraph" w:customStyle="1" w:styleId="TableHeading">
    <w:name w:val="TableHeading"/>
    <w:basedOn w:val="BodyText"/>
    <w:rsid w:val="0075622A"/>
    <w:pPr>
      <w:spacing w:before="60" w:after="60"/>
    </w:pPr>
    <w:rPr>
      <w:rFonts w:ascii="Arial" w:hAnsi="Arial"/>
      <w:b/>
      <w:sz w:val="20"/>
      <w:lang w:eastAsia="en-US"/>
    </w:rPr>
  </w:style>
  <w:style w:type="paragraph" w:customStyle="1" w:styleId="TableText">
    <w:name w:val="TableText"/>
    <w:basedOn w:val="BodyText"/>
    <w:rsid w:val="0075622A"/>
    <w:pPr>
      <w:spacing w:before="40" w:after="40"/>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dc:creator>
  <cp:lastModifiedBy>Gordon Jessop</cp:lastModifiedBy>
  <cp:revision>12</cp:revision>
  <cp:lastPrinted>2019-01-07T22:49:00Z</cp:lastPrinted>
  <dcterms:created xsi:type="dcterms:W3CDTF">2019-02-05T19:46:00Z</dcterms:created>
  <dcterms:modified xsi:type="dcterms:W3CDTF">2019-02-05T21:27:00Z</dcterms:modified>
</cp:coreProperties>
</file>