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6A2D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832C338" w14:textId="395436D0" w:rsidR="00640E94" w:rsidRDefault="00640E94">
      <w:pPr>
        <w:pStyle w:val="BodyText"/>
        <w:tabs>
          <w:tab w:val="left" w:pos="0"/>
        </w:tabs>
        <w:rPr>
          <w:rFonts w:ascii="Arial" w:hAnsi="Arial"/>
          <w:color w:val="000000"/>
        </w:rPr>
      </w:pPr>
      <w:r>
        <w:rPr>
          <w:rFonts w:ascii="Arial" w:hAnsi="Arial"/>
          <w:color w:val="000000"/>
        </w:rPr>
        <w:t>Name of</w:t>
      </w:r>
      <w:r w:rsidR="00E73153">
        <w:rPr>
          <w:rFonts w:ascii="Arial" w:hAnsi="Arial"/>
          <w:color w:val="000000"/>
        </w:rPr>
        <w:t xml:space="preserve"> the CNSX</w:t>
      </w:r>
      <w:r>
        <w:rPr>
          <w:rFonts w:ascii="Arial" w:hAnsi="Arial"/>
          <w:color w:val="000000"/>
        </w:rPr>
        <w:t xml:space="preserve"> Issuer: </w:t>
      </w:r>
      <w:r w:rsidR="00E73153">
        <w:rPr>
          <w:rFonts w:ascii="Arial" w:hAnsi="Arial"/>
          <w:color w:val="000000"/>
          <w:u w:val="single"/>
        </w:rPr>
        <w:t>UPCO International Inc.</w:t>
      </w:r>
      <w:r>
        <w:rPr>
          <w:rFonts w:ascii="Arial" w:hAnsi="Arial"/>
          <w:color w:val="000000"/>
          <w:u w:val="single"/>
        </w:rPr>
        <w:tab/>
      </w:r>
      <w:r>
        <w:rPr>
          <w:rFonts w:ascii="Arial" w:hAnsi="Arial"/>
          <w:color w:val="000000"/>
          <w:u w:val="single"/>
        </w:rPr>
        <w:tab/>
      </w:r>
      <w:r>
        <w:rPr>
          <w:rFonts w:ascii="Arial" w:hAnsi="Arial"/>
          <w:color w:val="000000"/>
        </w:rPr>
        <w:t>(the “Issuer”</w:t>
      </w:r>
      <w:r w:rsidR="00E73153">
        <w:rPr>
          <w:rFonts w:ascii="Arial" w:hAnsi="Arial"/>
          <w:color w:val="000000"/>
        </w:rPr>
        <w:t xml:space="preserve"> or “</w:t>
      </w:r>
      <w:proofErr w:type="spellStart"/>
      <w:r w:rsidR="00E73153">
        <w:rPr>
          <w:rFonts w:ascii="Arial" w:hAnsi="Arial"/>
          <w:color w:val="000000"/>
        </w:rPr>
        <w:t>Upco</w:t>
      </w:r>
      <w:proofErr w:type="spellEnd"/>
      <w:r>
        <w:rPr>
          <w:rFonts w:ascii="Arial" w:hAnsi="Arial"/>
          <w:color w:val="000000"/>
        </w:rPr>
        <w:t>).</w:t>
      </w:r>
    </w:p>
    <w:p w14:paraId="1E77E109" w14:textId="09AF3633"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E73153">
        <w:rPr>
          <w:rFonts w:ascii="Arial" w:hAnsi="Arial"/>
          <w:color w:val="000000"/>
        </w:rPr>
        <w:t>UPCO</w:t>
      </w:r>
      <w:r>
        <w:rPr>
          <w:rFonts w:ascii="Arial" w:hAnsi="Arial"/>
          <w:color w:val="000000"/>
          <w:u w:val="single"/>
        </w:rPr>
        <w:tab/>
      </w:r>
      <w:r>
        <w:rPr>
          <w:rFonts w:ascii="Arial" w:hAnsi="Arial"/>
          <w:color w:val="000000"/>
          <w:u w:val="single"/>
        </w:rPr>
        <w:tab/>
      </w:r>
    </w:p>
    <w:p w14:paraId="7800D7C1" w14:textId="35B40285"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73153">
        <w:rPr>
          <w:rFonts w:ascii="Arial" w:hAnsi="Arial"/>
          <w:color w:val="000000"/>
        </w:rPr>
        <w:t>79,060,005</w:t>
      </w:r>
      <w:r>
        <w:rPr>
          <w:rFonts w:ascii="Arial" w:hAnsi="Arial"/>
          <w:color w:val="000000"/>
          <w:u w:val="single"/>
        </w:rPr>
        <w:tab/>
      </w:r>
      <w:r>
        <w:rPr>
          <w:rFonts w:ascii="Arial" w:hAnsi="Arial"/>
          <w:color w:val="000000"/>
          <w:u w:val="single"/>
        </w:rPr>
        <w:tab/>
      </w:r>
    </w:p>
    <w:p w14:paraId="5361FDE0" w14:textId="5B9C8FE7"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E73153">
        <w:rPr>
          <w:rFonts w:ascii="Arial" w:hAnsi="Arial"/>
          <w:color w:val="000000"/>
        </w:rPr>
        <w:t>May 30, 2020</w:t>
      </w:r>
      <w:r>
        <w:rPr>
          <w:rFonts w:ascii="Arial" w:hAnsi="Arial"/>
          <w:color w:val="000000"/>
          <w:u w:val="single"/>
        </w:rPr>
        <w:tab/>
      </w:r>
      <w:r>
        <w:rPr>
          <w:rFonts w:ascii="Arial" w:hAnsi="Arial"/>
          <w:color w:val="000000"/>
          <w:u w:val="single"/>
        </w:rPr>
        <w:tab/>
      </w:r>
    </w:p>
    <w:p w14:paraId="73EFB13C" w14:textId="77777777" w:rsidR="00E73153" w:rsidRDefault="00E73153" w:rsidP="00E73153">
      <w:pPr>
        <w:pStyle w:val="BodyText"/>
        <w:numPr>
          <w:ilvl w:val="0"/>
          <w:numId w:val="29"/>
        </w:numPr>
        <w:tabs>
          <w:tab w:val="left" w:pos="7920"/>
          <w:tab w:val="left" w:pos="9180"/>
        </w:tabs>
        <w:jc w:val="both"/>
        <w:rPr>
          <w:rFonts w:ascii="Arial" w:hAnsi="Arial"/>
          <w:color w:val="000000"/>
        </w:rPr>
      </w:pPr>
      <w:r>
        <w:rPr>
          <w:rFonts w:ascii="Arial" w:hAnsi="Arial"/>
          <w:color w:val="000000"/>
        </w:rPr>
        <w:t>Provide a general overview and discussion of the development of the Issuer’s business and operations over the previous month. Where the Issuer was inactive disclose the fact.</w:t>
      </w:r>
    </w:p>
    <w:p w14:paraId="1D252ABA" w14:textId="28A05BDD" w:rsidR="00E73153" w:rsidRDefault="00E73153" w:rsidP="00E73153">
      <w:pPr>
        <w:pStyle w:val="BodyText"/>
        <w:numPr>
          <w:ilvl w:val="0"/>
          <w:numId w:val="29"/>
        </w:numPr>
        <w:tabs>
          <w:tab w:val="left" w:pos="7920"/>
          <w:tab w:val="left" w:pos="9180"/>
        </w:tabs>
        <w:jc w:val="both"/>
        <w:rPr>
          <w:rFonts w:ascii="Arial" w:hAnsi="Arial"/>
          <w:color w:val="000000"/>
        </w:rPr>
      </w:pPr>
      <w:r>
        <w:rPr>
          <w:rFonts w:ascii="Arial" w:hAnsi="Arial"/>
          <w:color w:val="000000"/>
        </w:rPr>
        <w:t>The new Board has been appointed beginning of the month. It has been created an Executive Management team formed by some members of the Board. The team immediately considered to refocus the company by fixing many contracts in place in all Group and defining a better new strategy of the Company. The company will have two business focus: Wholesale telecom and Digital Services.</w:t>
      </w:r>
    </w:p>
    <w:p w14:paraId="2C2A7B29" w14:textId="77777777" w:rsidR="00E73153" w:rsidRDefault="00E73153" w:rsidP="00E73153">
      <w:pPr>
        <w:pStyle w:val="BodyText"/>
        <w:numPr>
          <w:ilvl w:val="0"/>
          <w:numId w:val="29"/>
        </w:numPr>
        <w:tabs>
          <w:tab w:val="left" w:pos="7920"/>
          <w:tab w:val="left" w:pos="9180"/>
        </w:tabs>
        <w:jc w:val="both"/>
        <w:rPr>
          <w:rFonts w:ascii="Arial" w:hAnsi="Arial"/>
          <w:color w:val="000000"/>
        </w:rPr>
      </w:pPr>
      <w:r>
        <w:rPr>
          <w:rFonts w:ascii="Arial" w:hAnsi="Arial"/>
          <w:color w:val="000000"/>
        </w:rPr>
        <w:t>Provide a general overview and discussion of the activities of management.</w:t>
      </w:r>
    </w:p>
    <w:p w14:paraId="5C23EDDD" w14:textId="7172E40A" w:rsidR="00AC3EC3" w:rsidRDefault="00E73153" w:rsidP="00E73153">
      <w:pPr>
        <w:pStyle w:val="BodyText"/>
        <w:numPr>
          <w:ilvl w:val="0"/>
          <w:numId w:val="29"/>
        </w:numPr>
        <w:tabs>
          <w:tab w:val="left" w:pos="7920"/>
          <w:tab w:val="left" w:pos="9180"/>
        </w:tabs>
        <w:jc w:val="both"/>
        <w:rPr>
          <w:rFonts w:ascii="Arial" w:hAnsi="Arial"/>
          <w:color w:val="000000"/>
        </w:rPr>
      </w:pPr>
      <w:r>
        <w:rPr>
          <w:rFonts w:ascii="Arial" w:hAnsi="Arial"/>
          <w:color w:val="000000"/>
        </w:rPr>
        <w:t xml:space="preserve">Reviewing all old commercial </w:t>
      </w:r>
      <w:r w:rsidR="00AC3EC3">
        <w:rPr>
          <w:rFonts w:ascii="Arial" w:hAnsi="Arial"/>
          <w:color w:val="000000"/>
        </w:rPr>
        <w:t xml:space="preserve">and corporate </w:t>
      </w:r>
      <w:r w:rsidR="002863F3">
        <w:rPr>
          <w:rFonts w:ascii="Arial" w:hAnsi="Arial"/>
          <w:color w:val="000000"/>
        </w:rPr>
        <w:t>contracts,</w:t>
      </w:r>
      <w:r w:rsidR="00AC3EC3">
        <w:rPr>
          <w:rFonts w:ascii="Arial" w:hAnsi="Arial"/>
          <w:color w:val="000000"/>
        </w:rPr>
        <w:t xml:space="preserve"> working new steps to be  any mineral or oil and gas or other reports required under Ontario securities law.</w:t>
      </w:r>
    </w:p>
    <w:p w14:paraId="5FB66DAC" w14:textId="6B163232" w:rsidR="00AC3EC3" w:rsidRDefault="00AC3EC3" w:rsidP="00E73153">
      <w:pPr>
        <w:pStyle w:val="BodyText"/>
        <w:numPr>
          <w:ilvl w:val="0"/>
          <w:numId w:val="29"/>
        </w:numPr>
        <w:tabs>
          <w:tab w:val="left" w:pos="7920"/>
          <w:tab w:val="left" w:pos="9180"/>
        </w:tabs>
        <w:jc w:val="both"/>
        <w:rPr>
          <w:rFonts w:ascii="Arial" w:hAnsi="Arial"/>
          <w:color w:val="000000"/>
        </w:rPr>
      </w:pPr>
      <w:r>
        <w:rPr>
          <w:rFonts w:ascii="Arial" w:hAnsi="Arial"/>
          <w:color w:val="000000"/>
        </w:rPr>
        <w:t>Describe and provide details of any new products or services developed or offered. For resources companies, provide details of new drilling, exploration or production programs and acquisitions of any new properties and attached any Minerals or Oil and gas or other reports required under Ontario Securities Law.</w:t>
      </w:r>
    </w:p>
    <w:p w14:paraId="4D908620" w14:textId="02D9F85D" w:rsidR="00AC3EC3" w:rsidRDefault="00AC3EC3" w:rsidP="002863F3">
      <w:pPr>
        <w:pStyle w:val="BodyText"/>
        <w:tabs>
          <w:tab w:val="left" w:pos="7920"/>
          <w:tab w:val="left" w:pos="9180"/>
        </w:tabs>
        <w:ind w:left="720"/>
        <w:jc w:val="both"/>
        <w:rPr>
          <w:rFonts w:ascii="Arial" w:hAnsi="Arial"/>
          <w:color w:val="000000"/>
        </w:rPr>
      </w:pPr>
      <w:r>
        <w:rPr>
          <w:rFonts w:ascii="Arial" w:hAnsi="Arial"/>
          <w:color w:val="000000"/>
        </w:rPr>
        <w:t xml:space="preserve">Still confirmed the focus for </w:t>
      </w:r>
      <w:proofErr w:type="spellStart"/>
      <w:r>
        <w:rPr>
          <w:rFonts w:ascii="Arial" w:hAnsi="Arial"/>
          <w:color w:val="000000"/>
        </w:rPr>
        <w:t>UpcoPay</w:t>
      </w:r>
      <w:proofErr w:type="spellEnd"/>
      <w:r>
        <w:rPr>
          <w:rFonts w:ascii="Arial" w:hAnsi="Arial"/>
          <w:color w:val="000000"/>
        </w:rPr>
        <w:t xml:space="preserve"> and the agreement with the company belong to Open Banking projects, ( the name will be disclosed in the next Press Release) By offering access to the major EU banking systems, which wi</w:t>
      </w:r>
      <w:r w:rsidR="002863F3">
        <w:rPr>
          <w:rFonts w:ascii="Arial" w:hAnsi="Arial"/>
          <w:color w:val="000000"/>
        </w:rPr>
        <w:t>ll have an important impact on the section payment of the app. The integration via API will forecast to be ready in July 2020. Developed the new product/strategy for the telecom business (Federated Carrier Program)</w:t>
      </w:r>
    </w:p>
    <w:p w14:paraId="4E9285B5" w14:textId="4E391A08" w:rsidR="002863F3" w:rsidRDefault="002863F3" w:rsidP="00E73153">
      <w:pPr>
        <w:pStyle w:val="BodyText"/>
        <w:numPr>
          <w:ilvl w:val="0"/>
          <w:numId w:val="29"/>
        </w:numPr>
        <w:tabs>
          <w:tab w:val="left" w:pos="7920"/>
          <w:tab w:val="left" w:pos="9180"/>
        </w:tabs>
        <w:jc w:val="both"/>
        <w:rPr>
          <w:rFonts w:ascii="Arial" w:hAnsi="Arial"/>
          <w:color w:val="000000"/>
        </w:rPr>
      </w:pPr>
      <w:r>
        <w:rPr>
          <w:rFonts w:ascii="Arial" w:hAnsi="Arial"/>
          <w:color w:val="000000"/>
        </w:rPr>
        <w:t>Describe and provide details of any products or services that were discontinued. For resources companies, provide details of any drilling, exploration or production programs that have been amended or abandoned.</w:t>
      </w:r>
    </w:p>
    <w:p w14:paraId="7FA887BC" w14:textId="3B3749A3" w:rsidR="002863F3" w:rsidRDefault="002863F3" w:rsidP="002863F3">
      <w:pPr>
        <w:pStyle w:val="BodyText"/>
        <w:tabs>
          <w:tab w:val="left" w:pos="7920"/>
          <w:tab w:val="left" w:pos="9180"/>
        </w:tabs>
        <w:ind w:left="720"/>
        <w:jc w:val="both"/>
        <w:rPr>
          <w:rFonts w:ascii="Arial" w:hAnsi="Arial"/>
          <w:color w:val="000000"/>
        </w:rPr>
      </w:pPr>
      <w:r>
        <w:rPr>
          <w:rFonts w:ascii="Arial" w:hAnsi="Arial"/>
          <w:color w:val="000000"/>
        </w:rPr>
        <w:t>N/A</w:t>
      </w:r>
    </w:p>
    <w:p w14:paraId="5310D6D8" w14:textId="1746B2CA" w:rsidR="002863F3" w:rsidRDefault="002863F3" w:rsidP="002863F3">
      <w:pPr>
        <w:pStyle w:val="BodyText"/>
        <w:numPr>
          <w:ilvl w:val="0"/>
          <w:numId w:val="29"/>
        </w:numPr>
        <w:tabs>
          <w:tab w:val="left" w:pos="7920"/>
          <w:tab w:val="left" w:pos="9180"/>
        </w:tabs>
        <w:jc w:val="both"/>
        <w:rPr>
          <w:rFonts w:ascii="Arial" w:hAnsi="Arial"/>
          <w:color w:val="000000"/>
        </w:rPr>
      </w:pPr>
      <w:r>
        <w:rPr>
          <w:rFonts w:ascii="Arial" w:hAnsi="Arial"/>
          <w:color w:val="000000"/>
        </w:rPr>
        <w:t xml:space="preserve">Described any new business relationship entered into between the Issuer, the Issuer’s affiliates or third parties including contracts to supply products or services , joint venture agreements licensing agreements etc. State whether the </w:t>
      </w:r>
      <w:r>
        <w:rPr>
          <w:rFonts w:ascii="Arial" w:hAnsi="Arial"/>
          <w:color w:val="000000"/>
        </w:rPr>
        <w:lastRenderedPageBreak/>
        <w:t>relationship is with a Related Person of the Issuer and provide details of the relationship.</w:t>
      </w:r>
    </w:p>
    <w:p w14:paraId="0E45BF2F" w14:textId="34204810" w:rsidR="002863F3" w:rsidRDefault="002863F3" w:rsidP="002863F3">
      <w:pPr>
        <w:pStyle w:val="BodyText"/>
        <w:tabs>
          <w:tab w:val="left" w:pos="7920"/>
          <w:tab w:val="left" w:pos="9180"/>
        </w:tabs>
        <w:ind w:left="720"/>
        <w:jc w:val="both"/>
        <w:rPr>
          <w:rFonts w:ascii="Arial" w:hAnsi="Arial"/>
          <w:color w:val="000000"/>
        </w:rPr>
      </w:pPr>
      <w:r>
        <w:rPr>
          <w:rFonts w:ascii="Arial" w:hAnsi="Arial"/>
          <w:color w:val="000000"/>
        </w:rPr>
        <w:t>See Section 2</w:t>
      </w:r>
    </w:p>
    <w:p w14:paraId="55795B5D" w14:textId="02BFA76B" w:rsidR="002863F3" w:rsidRDefault="002863F3" w:rsidP="002863F3">
      <w:pPr>
        <w:pStyle w:val="BodyText"/>
        <w:numPr>
          <w:ilvl w:val="0"/>
          <w:numId w:val="29"/>
        </w:numPr>
        <w:tabs>
          <w:tab w:val="left" w:pos="7920"/>
          <w:tab w:val="left" w:pos="9180"/>
        </w:tabs>
        <w:jc w:val="both"/>
        <w:rPr>
          <w:rFonts w:ascii="Arial" w:hAnsi="Arial"/>
          <w:color w:val="000000"/>
        </w:rPr>
      </w:pPr>
      <w:r>
        <w:rPr>
          <w:rFonts w:ascii="Arial" w:hAnsi="Arial"/>
          <w:color w:val="000000"/>
        </w:rPr>
        <w:t>Descri</w:t>
      </w:r>
      <w:r w:rsidR="00BF7C9E">
        <w:rPr>
          <w:rFonts w:ascii="Arial" w:hAnsi="Arial"/>
          <w:color w:val="000000"/>
        </w:rPr>
        <w:t>be the expiry of termination of any contracts of agreements between the Issuer, the Issuer’s affiliates or third party or cancellation of any financing arrangements that have been previously announced.</w:t>
      </w:r>
    </w:p>
    <w:p w14:paraId="0D8665C7" w14:textId="46F640B1" w:rsidR="00BF7C9E" w:rsidRDefault="00BF7C9E" w:rsidP="00BF7C9E">
      <w:pPr>
        <w:pStyle w:val="BodyText"/>
        <w:tabs>
          <w:tab w:val="left" w:pos="7920"/>
          <w:tab w:val="left" w:pos="9180"/>
        </w:tabs>
        <w:ind w:left="720"/>
        <w:jc w:val="both"/>
        <w:rPr>
          <w:rFonts w:ascii="Arial" w:hAnsi="Arial"/>
          <w:color w:val="000000"/>
        </w:rPr>
      </w:pPr>
      <w:r>
        <w:rPr>
          <w:rFonts w:ascii="Arial" w:hAnsi="Arial"/>
          <w:color w:val="000000"/>
        </w:rPr>
        <w:t>List of contracts: RB Milestones agreement has been revitalized with objective to restart the communication with the investors in particular in USA financial market, the management is reviewing all the Consulting contracts to decrease all General Expenses of the Issuer.</w:t>
      </w:r>
    </w:p>
    <w:p w14:paraId="33B6CF1E" w14:textId="02E408C2" w:rsidR="00BF7C9E" w:rsidRDefault="00BF7C9E" w:rsidP="00BF7C9E">
      <w:pPr>
        <w:pStyle w:val="BodyText"/>
        <w:tabs>
          <w:tab w:val="left" w:pos="7920"/>
          <w:tab w:val="left" w:pos="9180"/>
        </w:tabs>
        <w:jc w:val="both"/>
        <w:rPr>
          <w:rFonts w:ascii="Arial" w:hAnsi="Arial"/>
          <w:color w:val="000000"/>
        </w:rPr>
      </w:pPr>
    </w:p>
    <w:p w14:paraId="106956C1" w14:textId="77777777" w:rsidR="005C042C" w:rsidRDefault="00BF7C9E" w:rsidP="005C042C">
      <w:pPr>
        <w:pStyle w:val="BodyText"/>
        <w:numPr>
          <w:ilvl w:val="0"/>
          <w:numId w:val="29"/>
        </w:numPr>
        <w:tabs>
          <w:tab w:val="left" w:pos="7920"/>
          <w:tab w:val="left" w:pos="9180"/>
        </w:tabs>
        <w:jc w:val="both"/>
        <w:rPr>
          <w:rFonts w:ascii="Arial" w:hAnsi="Arial"/>
          <w:color w:val="000000"/>
        </w:rPr>
      </w:pPr>
      <w:r>
        <w:rPr>
          <w:rFonts w:ascii="Arial" w:hAnsi="Arial"/>
          <w:color w:val="00000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w:t>
      </w:r>
      <w:r w:rsidR="005C042C">
        <w:rPr>
          <w:rFonts w:ascii="Arial" w:hAnsi="Arial"/>
          <w:color w:val="000000"/>
        </w:rPr>
        <w:t>of payments if applicable, and of any valuation. State how the consideration was determined and whether the acquisition was from or the disposition was to a Related Person of the Issuer and provide details of the relationship.</w:t>
      </w:r>
    </w:p>
    <w:p w14:paraId="5DA4703A" w14:textId="77777777" w:rsidR="005C042C" w:rsidRDefault="005C042C" w:rsidP="005C042C">
      <w:pPr>
        <w:pStyle w:val="BodyText"/>
        <w:tabs>
          <w:tab w:val="left" w:pos="7920"/>
          <w:tab w:val="left" w:pos="9180"/>
        </w:tabs>
        <w:ind w:left="720"/>
        <w:jc w:val="both"/>
        <w:rPr>
          <w:rFonts w:ascii="Arial" w:hAnsi="Arial"/>
          <w:color w:val="000000"/>
        </w:rPr>
      </w:pPr>
      <w:r>
        <w:rPr>
          <w:rFonts w:ascii="Arial" w:hAnsi="Arial"/>
          <w:color w:val="000000"/>
        </w:rPr>
        <w:t>N/A</w:t>
      </w:r>
    </w:p>
    <w:p w14:paraId="0960C3BE" w14:textId="43B9FE25" w:rsidR="005C042C" w:rsidRDefault="005C042C" w:rsidP="005C042C">
      <w:pPr>
        <w:pStyle w:val="BodyText"/>
        <w:numPr>
          <w:ilvl w:val="0"/>
          <w:numId w:val="29"/>
        </w:numPr>
        <w:tabs>
          <w:tab w:val="left" w:pos="7920"/>
          <w:tab w:val="left" w:pos="9180"/>
        </w:tabs>
        <w:jc w:val="both"/>
        <w:rPr>
          <w:rFonts w:ascii="Arial" w:hAnsi="Arial"/>
          <w:color w:val="000000"/>
        </w:rPr>
      </w:pPr>
      <w:r>
        <w:rPr>
          <w:rFonts w:ascii="Arial" w:hAnsi="Arial"/>
          <w:color w:val="000000"/>
        </w:rPr>
        <w:t>Describe the acquisition of new customers or loss of customers.</w:t>
      </w:r>
    </w:p>
    <w:p w14:paraId="5157A24A" w14:textId="6C32A162" w:rsidR="005C042C" w:rsidRDefault="005C042C" w:rsidP="005C042C">
      <w:pPr>
        <w:pStyle w:val="BodyText"/>
        <w:tabs>
          <w:tab w:val="left" w:pos="7920"/>
          <w:tab w:val="left" w:pos="9180"/>
        </w:tabs>
        <w:ind w:left="720"/>
        <w:jc w:val="both"/>
        <w:rPr>
          <w:rFonts w:ascii="Arial" w:hAnsi="Arial"/>
          <w:color w:val="000000"/>
        </w:rPr>
      </w:pPr>
      <w:r>
        <w:rPr>
          <w:rFonts w:ascii="Arial" w:hAnsi="Arial"/>
          <w:color w:val="000000"/>
        </w:rPr>
        <w:t>N/A</w:t>
      </w:r>
    </w:p>
    <w:p w14:paraId="6D66156C" w14:textId="1AFBAF8C" w:rsidR="005C042C" w:rsidRDefault="005C042C" w:rsidP="005C042C">
      <w:pPr>
        <w:pStyle w:val="BodyText"/>
        <w:numPr>
          <w:ilvl w:val="0"/>
          <w:numId w:val="29"/>
        </w:numPr>
        <w:tabs>
          <w:tab w:val="left" w:pos="7920"/>
          <w:tab w:val="left" w:pos="9180"/>
        </w:tabs>
        <w:jc w:val="both"/>
        <w:rPr>
          <w:rFonts w:ascii="Arial" w:hAnsi="Arial"/>
          <w:color w:val="000000"/>
        </w:rPr>
      </w:pPr>
      <w:r>
        <w:rPr>
          <w:rFonts w:ascii="Arial" w:hAnsi="Arial"/>
          <w:color w:val="000000"/>
        </w:rPr>
        <w:t>Described any new developments or effect on intangible products such as brand names, circulation lists, copyrights, franchises, licenses, patents, software, subscription lists and trade-marks.</w:t>
      </w:r>
    </w:p>
    <w:p w14:paraId="180BA778" w14:textId="6F56D19C" w:rsidR="005C042C" w:rsidRDefault="005C042C" w:rsidP="005C042C">
      <w:pPr>
        <w:pStyle w:val="BodyText"/>
        <w:tabs>
          <w:tab w:val="left" w:pos="7920"/>
          <w:tab w:val="left" w:pos="9180"/>
        </w:tabs>
        <w:ind w:left="360"/>
        <w:jc w:val="both"/>
        <w:rPr>
          <w:rFonts w:ascii="Arial" w:hAnsi="Arial"/>
          <w:color w:val="000000"/>
        </w:rPr>
      </w:pPr>
      <w:r>
        <w:rPr>
          <w:rFonts w:ascii="Arial" w:hAnsi="Arial"/>
          <w:color w:val="000000"/>
        </w:rPr>
        <w:t>N/A</w:t>
      </w:r>
    </w:p>
    <w:p w14:paraId="70B44721" w14:textId="2F563AD6" w:rsidR="005C042C" w:rsidRDefault="005C042C" w:rsidP="005C042C">
      <w:pPr>
        <w:pStyle w:val="BodyText"/>
        <w:numPr>
          <w:ilvl w:val="0"/>
          <w:numId w:val="29"/>
        </w:numPr>
        <w:tabs>
          <w:tab w:val="left" w:pos="7920"/>
          <w:tab w:val="left" w:pos="9180"/>
        </w:tabs>
        <w:jc w:val="both"/>
        <w:rPr>
          <w:rFonts w:ascii="Arial" w:hAnsi="Arial"/>
          <w:color w:val="000000"/>
        </w:rPr>
      </w:pPr>
      <w:r>
        <w:rPr>
          <w:rFonts w:ascii="Arial" w:hAnsi="Arial"/>
          <w:color w:val="000000"/>
        </w:rPr>
        <w:t xml:space="preserve">Report on any employee </w:t>
      </w:r>
      <w:proofErr w:type="spellStart"/>
      <w:r>
        <w:rPr>
          <w:rFonts w:ascii="Arial" w:hAnsi="Arial"/>
          <w:color w:val="000000"/>
        </w:rPr>
        <w:t>hirings</w:t>
      </w:r>
      <w:proofErr w:type="spellEnd"/>
      <w:r>
        <w:rPr>
          <w:rFonts w:ascii="Arial" w:hAnsi="Arial"/>
          <w:color w:val="000000"/>
        </w:rPr>
        <w:t>, terminations or Lay-offs with details of anticipated length of lay-offs.</w:t>
      </w:r>
    </w:p>
    <w:p w14:paraId="1A1BEFF2" w14:textId="70403FAF" w:rsidR="005C042C" w:rsidRDefault="005C042C" w:rsidP="005C042C">
      <w:pPr>
        <w:pStyle w:val="BodyText"/>
        <w:tabs>
          <w:tab w:val="left" w:pos="7920"/>
          <w:tab w:val="left" w:pos="9180"/>
        </w:tabs>
        <w:ind w:left="720"/>
        <w:jc w:val="both"/>
        <w:rPr>
          <w:rFonts w:ascii="Arial" w:hAnsi="Arial"/>
          <w:color w:val="000000"/>
        </w:rPr>
      </w:pPr>
      <w:r>
        <w:rPr>
          <w:rFonts w:ascii="Arial" w:hAnsi="Arial"/>
          <w:color w:val="000000"/>
        </w:rPr>
        <w:t>N/A</w:t>
      </w:r>
    </w:p>
    <w:p w14:paraId="6BD8059F" w14:textId="59AB8ED5" w:rsidR="005C042C" w:rsidRDefault="005C042C" w:rsidP="005C042C">
      <w:pPr>
        <w:pStyle w:val="BodyText"/>
        <w:numPr>
          <w:ilvl w:val="0"/>
          <w:numId w:val="29"/>
        </w:numPr>
        <w:tabs>
          <w:tab w:val="left" w:pos="7920"/>
          <w:tab w:val="left" w:pos="9180"/>
        </w:tabs>
        <w:jc w:val="both"/>
        <w:rPr>
          <w:rFonts w:ascii="Arial" w:hAnsi="Arial"/>
          <w:color w:val="000000"/>
        </w:rPr>
      </w:pPr>
      <w:r>
        <w:rPr>
          <w:rFonts w:ascii="Arial" w:hAnsi="Arial"/>
          <w:color w:val="000000"/>
        </w:rPr>
        <w:t>Report on any labour disputes and resolutions of those disputes if applicable.</w:t>
      </w:r>
    </w:p>
    <w:p w14:paraId="25936DA7" w14:textId="5B5D16B6" w:rsidR="005C042C" w:rsidRDefault="005C042C" w:rsidP="005C042C">
      <w:pPr>
        <w:pStyle w:val="BodyText"/>
        <w:tabs>
          <w:tab w:val="left" w:pos="7920"/>
          <w:tab w:val="left" w:pos="9180"/>
        </w:tabs>
        <w:ind w:left="720"/>
        <w:jc w:val="both"/>
        <w:rPr>
          <w:rFonts w:ascii="Arial" w:hAnsi="Arial"/>
          <w:color w:val="000000"/>
        </w:rPr>
      </w:pPr>
      <w:r>
        <w:rPr>
          <w:rFonts w:ascii="Arial" w:hAnsi="Arial"/>
          <w:color w:val="000000"/>
        </w:rPr>
        <w:t>N/A</w:t>
      </w:r>
    </w:p>
    <w:p w14:paraId="1D3D1C16" w14:textId="715D671A" w:rsidR="005C042C" w:rsidRDefault="005C042C" w:rsidP="005C042C">
      <w:pPr>
        <w:pStyle w:val="BodyText"/>
        <w:numPr>
          <w:ilvl w:val="0"/>
          <w:numId w:val="29"/>
        </w:numPr>
        <w:tabs>
          <w:tab w:val="left" w:pos="7920"/>
          <w:tab w:val="left" w:pos="9180"/>
        </w:tabs>
        <w:jc w:val="both"/>
        <w:rPr>
          <w:rFonts w:ascii="Arial" w:hAnsi="Arial"/>
          <w:color w:val="000000"/>
        </w:rPr>
      </w:pPr>
      <w:r>
        <w:rPr>
          <w:rFonts w:ascii="Arial" w:hAnsi="Arial"/>
          <w:color w:val="000000"/>
        </w:rPr>
        <w:t xml:space="preserve">Describe and provide details of legal </w:t>
      </w:r>
      <w:r w:rsidR="00C668CC">
        <w:rPr>
          <w:rFonts w:ascii="Arial" w:hAnsi="Arial"/>
          <w:color w:val="000000"/>
        </w:rPr>
        <w:t>proceeding to which the Issuer became a party , including the names of the court or agency, the date instituted, the principal parties to the proceeding are being contested, and the present status of the proceeding.</w:t>
      </w:r>
    </w:p>
    <w:p w14:paraId="27493AB2" w14:textId="38A48737" w:rsidR="00C668CC" w:rsidRDefault="00C668CC" w:rsidP="00C668CC">
      <w:pPr>
        <w:pStyle w:val="BodyText"/>
        <w:tabs>
          <w:tab w:val="left" w:pos="7920"/>
          <w:tab w:val="left" w:pos="9180"/>
        </w:tabs>
        <w:ind w:left="720"/>
        <w:jc w:val="both"/>
        <w:rPr>
          <w:rFonts w:ascii="Arial" w:hAnsi="Arial"/>
          <w:color w:val="000000"/>
        </w:rPr>
      </w:pPr>
      <w:r>
        <w:rPr>
          <w:rFonts w:ascii="Arial" w:hAnsi="Arial"/>
          <w:color w:val="000000"/>
        </w:rPr>
        <w:lastRenderedPageBreak/>
        <w:t>N/A</w:t>
      </w:r>
    </w:p>
    <w:p w14:paraId="2818D2D6" w14:textId="6ABD22B5" w:rsidR="005C042C" w:rsidRDefault="00C668CC" w:rsidP="005C042C">
      <w:pPr>
        <w:pStyle w:val="BodyText"/>
        <w:numPr>
          <w:ilvl w:val="0"/>
          <w:numId w:val="29"/>
        </w:numPr>
        <w:tabs>
          <w:tab w:val="left" w:pos="7920"/>
          <w:tab w:val="left" w:pos="9180"/>
        </w:tabs>
        <w:jc w:val="both"/>
        <w:rPr>
          <w:rFonts w:ascii="Arial" w:hAnsi="Arial"/>
          <w:color w:val="000000"/>
        </w:rPr>
      </w:pPr>
      <w:r>
        <w:rPr>
          <w:rFonts w:ascii="Arial" w:hAnsi="Arial"/>
          <w:color w:val="000000"/>
        </w:rPr>
        <w:t>Provide details of any indebtedness incurred or repaid by the Issuer together with the terms of such indebtedness.</w:t>
      </w:r>
    </w:p>
    <w:p w14:paraId="74E96666" w14:textId="606D494C" w:rsidR="00C668CC" w:rsidRDefault="00C668CC" w:rsidP="00C668CC">
      <w:pPr>
        <w:pStyle w:val="BodyText"/>
        <w:tabs>
          <w:tab w:val="left" w:pos="7920"/>
          <w:tab w:val="left" w:pos="9180"/>
        </w:tabs>
        <w:ind w:left="720"/>
        <w:jc w:val="both"/>
        <w:rPr>
          <w:rFonts w:ascii="Arial" w:hAnsi="Arial"/>
          <w:color w:val="000000"/>
        </w:rPr>
      </w:pPr>
      <w:r>
        <w:rPr>
          <w:rFonts w:ascii="Arial" w:hAnsi="Arial"/>
          <w:color w:val="000000"/>
        </w:rPr>
        <w:t>N/A</w:t>
      </w:r>
    </w:p>
    <w:p w14:paraId="5BA1E271" w14:textId="1A1D9D3E" w:rsidR="00C668CC" w:rsidRDefault="00C668CC" w:rsidP="00C668CC">
      <w:pPr>
        <w:pStyle w:val="BodyText"/>
        <w:numPr>
          <w:ilvl w:val="0"/>
          <w:numId w:val="29"/>
        </w:numPr>
        <w:tabs>
          <w:tab w:val="left" w:pos="7920"/>
          <w:tab w:val="left" w:pos="9180"/>
        </w:tabs>
        <w:jc w:val="both"/>
        <w:rPr>
          <w:rFonts w:ascii="Arial" w:hAnsi="Arial"/>
          <w:color w:val="000000"/>
        </w:rPr>
      </w:pPr>
      <w:r>
        <w:rPr>
          <w:rFonts w:ascii="Arial" w:hAnsi="Arial"/>
          <w:color w:val="000000"/>
        </w:rPr>
        <w:t>Provide details of any securities issued and options or warrants granted.</w:t>
      </w:r>
    </w:p>
    <w:p w14:paraId="7D26177B" w14:textId="77777777" w:rsidR="00C668CC" w:rsidRDefault="00C668CC" w:rsidP="00C668CC">
      <w:pPr>
        <w:pStyle w:val="BodyText"/>
        <w:tabs>
          <w:tab w:val="left" w:pos="7920"/>
          <w:tab w:val="left" w:pos="9180"/>
        </w:tabs>
        <w:ind w:left="720"/>
        <w:jc w:val="both"/>
        <w:rPr>
          <w:rFonts w:ascii="Arial" w:hAnsi="Arial"/>
          <w:color w:val="000000"/>
        </w:rPr>
      </w:pPr>
    </w:p>
    <w:p w14:paraId="37A5D48D" w14:textId="6AB63286" w:rsidR="00C668CC" w:rsidRDefault="00C668CC" w:rsidP="00C668CC">
      <w:pPr>
        <w:pStyle w:val="BodyText"/>
        <w:tabs>
          <w:tab w:val="left" w:pos="7920"/>
          <w:tab w:val="left" w:pos="9180"/>
        </w:tabs>
        <w:jc w:val="both"/>
        <w:rPr>
          <w:rFonts w:ascii="Arial" w:hAnsi="Arial"/>
          <w:color w:val="000000"/>
        </w:rPr>
      </w:pPr>
    </w:p>
    <w:p w14:paraId="211243AF" w14:textId="1B0F185B" w:rsidR="005C042C" w:rsidRDefault="005C042C" w:rsidP="005C042C">
      <w:pPr>
        <w:pStyle w:val="BodyText"/>
        <w:tabs>
          <w:tab w:val="left" w:pos="7920"/>
          <w:tab w:val="left" w:pos="9180"/>
        </w:tabs>
        <w:jc w:val="both"/>
        <w:rPr>
          <w:rFonts w:ascii="Arial" w:hAnsi="Arial"/>
          <w:color w:val="000000"/>
        </w:rPr>
      </w:pPr>
    </w:p>
    <w:p w14:paraId="504F09F6" w14:textId="033E0F9E" w:rsidR="005C042C" w:rsidRDefault="005C042C" w:rsidP="005C042C">
      <w:pPr>
        <w:pStyle w:val="BodyText"/>
        <w:tabs>
          <w:tab w:val="left" w:pos="7920"/>
          <w:tab w:val="left" w:pos="9180"/>
        </w:tabs>
        <w:ind w:left="720"/>
        <w:jc w:val="both"/>
        <w:rPr>
          <w:rFonts w:ascii="Arial" w:hAnsi="Arial"/>
          <w:color w:val="000000"/>
        </w:rPr>
      </w:pPr>
    </w:p>
    <w:p w14:paraId="7EE9D8E4" w14:textId="77777777" w:rsidR="005C042C" w:rsidRDefault="005C042C" w:rsidP="005C042C">
      <w:pPr>
        <w:pStyle w:val="BodyText"/>
        <w:tabs>
          <w:tab w:val="left" w:pos="7920"/>
          <w:tab w:val="left" w:pos="9180"/>
        </w:tabs>
        <w:ind w:left="720"/>
        <w:jc w:val="both"/>
        <w:rPr>
          <w:rFonts w:ascii="Arial" w:hAnsi="Arial"/>
          <w:color w:val="000000"/>
        </w:rPr>
      </w:pPr>
    </w:p>
    <w:p w14:paraId="67B818B0"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B004F7" w14:textId="77777777">
        <w:tc>
          <w:tcPr>
            <w:tcW w:w="2394" w:type="dxa"/>
          </w:tcPr>
          <w:p w14:paraId="1C9800C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E62171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41D074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8AC150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67624A00" w14:textId="77777777">
        <w:tc>
          <w:tcPr>
            <w:tcW w:w="2394" w:type="dxa"/>
          </w:tcPr>
          <w:p w14:paraId="57BB338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3B4739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CC2845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D5C4224" w14:textId="77777777" w:rsidR="00640E94" w:rsidRDefault="00640E94">
            <w:pPr>
              <w:pStyle w:val="List"/>
              <w:tabs>
                <w:tab w:val="left" w:pos="360"/>
              </w:tabs>
              <w:spacing w:before="0" w:line="280" w:lineRule="exact"/>
              <w:ind w:left="0" w:firstLine="0"/>
              <w:jc w:val="both"/>
              <w:rPr>
                <w:rFonts w:ascii="Arial" w:hAnsi="Arial"/>
              </w:rPr>
            </w:pPr>
          </w:p>
        </w:tc>
      </w:tr>
      <w:tr w:rsidR="00640E94" w14:paraId="0AE4D14F" w14:textId="77777777">
        <w:tc>
          <w:tcPr>
            <w:tcW w:w="2394" w:type="dxa"/>
          </w:tcPr>
          <w:p w14:paraId="40BDC38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B040B7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5385E6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E8B23B0" w14:textId="77777777" w:rsidR="00640E94" w:rsidRDefault="00640E94">
            <w:pPr>
              <w:pStyle w:val="List"/>
              <w:tabs>
                <w:tab w:val="left" w:pos="360"/>
              </w:tabs>
              <w:spacing w:before="0" w:line="280" w:lineRule="exact"/>
              <w:ind w:left="0" w:firstLine="0"/>
              <w:jc w:val="both"/>
              <w:rPr>
                <w:rFonts w:ascii="Arial" w:hAnsi="Arial"/>
              </w:rPr>
            </w:pPr>
          </w:p>
        </w:tc>
      </w:tr>
      <w:tr w:rsidR="00640E94" w14:paraId="7A9D3C87" w14:textId="77777777">
        <w:tc>
          <w:tcPr>
            <w:tcW w:w="2394" w:type="dxa"/>
          </w:tcPr>
          <w:p w14:paraId="073E8A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54BCA0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792D25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69B9B2F" w14:textId="77777777" w:rsidR="00640E94" w:rsidRDefault="00640E94">
            <w:pPr>
              <w:pStyle w:val="List"/>
              <w:tabs>
                <w:tab w:val="left" w:pos="360"/>
              </w:tabs>
              <w:spacing w:before="0" w:line="280" w:lineRule="exact"/>
              <w:ind w:left="0" w:firstLine="0"/>
              <w:jc w:val="both"/>
              <w:rPr>
                <w:rFonts w:ascii="Arial" w:hAnsi="Arial"/>
              </w:rPr>
            </w:pPr>
          </w:p>
        </w:tc>
      </w:tr>
    </w:tbl>
    <w:p w14:paraId="7D27FAC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01CDA31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8F6F66F"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558DFEF"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D93BBF9"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79F2BBB" w14:textId="77777777" w:rsidR="00640E94" w:rsidRDefault="00640E94">
      <w:pPr>
        <w:pStyle w:val="BodyText"/>
        <w:keepNext/>
        <w:rPr>
          <w:rFonts w:ascii="Arial" w:hAnsi="Arial"/>
        </w:rPr>
      </w:pPr>
      <w:r>
        <w:rPr>
          <w:rFonts w:ascii="Arial" w:hAnsi="Arial"/>
        </w:rPr>
        <w:t>The undersigned hereby certifies that:</w:t>
      </w:r>
    </w:p>
    <w:p w14:paraId="205D6A8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CD2685"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B4B95D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4DC0CEB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8C752DD" w14:textId="12F8B0F8"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C668CC">
        <w:rPr>
          <w:rFonts w:ascii="Arial" w:hAnsi="Arial"/>
        </w:rPr>
        <w:t xml:space="preserve">May </w:t>
      </w:r>
      <w:r w:rsidR="000E5650">
        <w:rPr>
          <w:rFonts w:ascii="Arial" w:hAnsi="Arial"/>
        </w:rPr>
        <w:t>30, 2020</w:t>
      </w:r>
    </w:p>
    <w:p w14:paraId="11C2E951" w14:textId="15EED67E" w:rsidR="00640E94" w:rsidRDefault="00640E94">
      <w:pPr>
        <w:pStyle w:val="List"/>
        <w:tabs>
          <w:tab w:val="left" w:pos="9180"/>
        </w:tabs>
        <w:ind w:left="5760" w:hanging="5760"/>
        <w:rPr>
          <w:rFonts w:ascii="Arial" w:hAnsi="Arial"/>
        </w:rPr>
      </w:pPr>
      <w:r>
        <w:rPr>
          <w:rFonts w:ascii="Arial" w:hAnsi="Arial"/>
        </w:rPr>
        <w:tab/>
      </w:r>
      <w:r w:rsidR="00C668CC">
        <w:rPr>
          <w:rFonts w:ascii="Arial" w:hAnsi="Arial"/>
        </w:rPr>
        <w:t>Andrea Paga</w:t>
      </w:r>
      <w:r w:rsidR="000E5650">
        <w:rPr>
          <w:rFonts w:ascii="Arial" w:hAnsi="Arial"/>
        </w:rPr>
        <w:t>ni</w:t>
      </w:r>
      <w:r>
        <w:rPr>
          <w:rFonts w:ascii="Arial" w:hAnsi="Arial"/>
          <w:u w:val="single"/>
        </w:rPr>
        <w:br/>
      </w:r>
      <w:r>
        <w:rPr>
          <w:rFonts w:ascii="Arial" w:hAnsi="Arial"/>
        </w:rPr>
        <w:t>Name of Director or Senior Officer</w:t>
      </w:r>
    </w:p>
    <w:p w14:paraId="7D7D73CE" w14:textId="6AE5AD51" w:rsidR="00640E94" w:rsidRDefault="00640E94">
      <w:pPr>
        <w:pStyle w:val="List"/>
        <w:tabs>
          <w:tab w:val="left" w:pos="9180"/>
          <w:tab w:val="left" w:pos="9360"/>
        </w:tabs>
        <w:ind w:left="5760" w:hanging="5760"/>
        <w:rPr>
          <w:rFonts w:ascii="Arial" w:hAnsi="Arial"/>
        </w:rPr>
      </w:pPr>
      <w:r>
        <w:rPr>
          <w:rFonts w:ascii="Arial" w:hAnsi="Arial"/>
        </w:rPr>
        <w:tab/>
      </w:r>
      <w:proofErr w:type="spellStart"/>
      <w:r w:rsidR="000E5650">
        <w:rPr>
          <w:rFonts w:ascii="Arial" w:hAnsi="Arial"/>
        </w:rPr>
        <w:t>Anbdrea</w:t>
      </w:r>
      <w:proofErr w:type="spellEnd"/>
      <w:r w:rsidR="000E5650">
        <w:rPr>
          <w:rFonts w:ascii="Arial" w:hAnsi="Arial"/>
        </w:rPr>
        <w:t xml:space="preserve"> </w:t>
      </w:r>
      <w:proofErr w:type="spellStart"/>
      <w:r w:rsidR="000E5650">
        <w:rPr>
          <w:rFonts w:ascii="Arial" w:hAnsi="Arial"/>
        </w:rPr>
        <w:t>Pagani</w:t>
      </w:r>
      <w:proofErr w:type="spellEnd"/>
      <w:r>
        <w:rPr>
          <w:rFonts w:ascii="Arial" w:hAnsi="Arial"/>
        </w:rPr>
        <w:br/>
        <w:t>Signature</w:t>
      </w:r>
    </w:p>
    <w:p w14:paraId="50D0AC8E" w14:textId="1022D770" w:rsidR="00640E94" w:rsidRDefault="000E5650">
      <w:pPr>
        <w:pStyle w:val="BodyText"/>
        <w:tabs>
          <w:tab w:val="left" w:pos="9180"/>
        </w:tabs>
        <w:spacing w:before="0"/>
        <w:ind w:left="5760"/>
        <w:rPr>
          <w:rFonts w:ascii="Arial" w:hAnsi="Arial"/>
        </w:rPr>
      </w:pPr>
      <w:r>
        <w:rPr>
          <w:rFonts w:ascii="Arial" w:hAnsi="Arial"/>
          <w:u w:val="single"/>
        </w:rPr>
        <w:t>CEO and Director</w:t>
      </w:r>
      <w:r w:rsidR="00640E94">
        <w:rPr>
          <w:rFonts w:ascii="Arial" w:hAnsi="Arial"/>
          <w:u w:val="single"/>
        </w:rPr>
        <w:tab/>
      </w:r>
      <w:r w:rsidR="00640E94">
        <w:rPr>
          <w:rFonts w:ascii="Arial" w:hAnsi="Arial"/>
        </w:rPr>
        <w:br/>
        <w:t>Official Capacity</w:t>
      </w:r>
      <w:bookmarkEnd w:id="4"/>
    </w:p>
    <w:p w14:paraId="7078B433"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B5398C9" w14:textId="77777777">
        <w:tc>
          <w:tcPr>
            <w:tcW w:w="4878" w:type="dxa"/>
            <w:tcBorders>
              <w:top w:val="single" w:sz="18" w:space="0" w:color="auto"/>
              <w:bottom w:val="nil"/>
              <w:right w:val="single" w:sz="18" w:space="0" w:color="auto"/>
            </w:tcBorders>
          </w:tcPr>
          <w:p w14:paraId="61A608F4" w14:textId="77777777" w:rsidR="00640E94" w:rsidRDefault="00640E94">
            <w:pPr>
              <w:pStyle w:val="BodyText"/>
              <w:spacing w:before="0"/>
              <w:rPr>
                <w:rFonts w:ascii="Arial" w:hAnsi="Arial"/>
                <w:b/>
                <w:i/>
              </w:rPr>
            </w:pPr>
            <w:r>
              <w:rPr>
                <w:rFonts w:ascii="Arial" w:hAnsi="Arial"/>
                <w:b/>
                <w:i/>
              </w:rPr>
              <w:t>Issuer Details</w:t>
            </w:r>
          </w:p>
          <w:p w14:paraId="39B25F5E" w14:textId="0D98AAD0" w:rsidR="00640E94" w:rsidRDefault="00640E94">
            <w:pPr>
              <w:pStyle w:val="BodyText"/>
              <w:spacing w:before="0"/>
              <w:rPr>
                <w:rFonts w:ascii="Arial" w:hAnsi="Arial"/>
              </w:rPr>
            </w:pPr>
            <w:r>
              <w:rPr>
                <w:rFonts w:ascii="Arial" w:hAnsi="Arial"/>
              </w:rPr>
              <w:t>Name of Issuer</w:t>
            </w:r>
          </w:p>
          <w:p w14:paraId="34DD9F51" w14:textId="216D2155" w:rsidR="00C668CC" w:rsidRDefault="00C668CC">
            <w:pPr>
              <w:pStyle w:val="BodyText"/>
              <w:spacing w:before="0"/>
              <w:rPr>
                <w:rFonts w:ascii="Arial" w:hAnsi="Arial"/>
              </w:rPr>
            </w:pPr>
            <w:proofErr w:type="spellStart"/>
            <w:r>
              <w:rPr>
                <w:rFonts w:ascii="Arial" w:hAnsi="Arial"/>
              </w:rPr>
              <w:t>Upco</w:t>
            </w:r>
            <w:proofErr w:type="spellEnd"/>
            <w:r>
              <w:rPr>
                <w:rFonts w:ascii="Arial" w:hAnsi="Arial"/>
              </w:rPr>
              <w:t xml:space="preserve"> International</w:t>
            </w:r>
          </w:p>
          <w:p w14:paraId="0B01741D"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51D043A4" w14:textId="3D7BA334" w:rsidR="00640E94" w:rsidRDefault="00640E94">
            <w:pPr>
              <w:pStyle w:val="BodyText"/>
              <w:spacing w:before="0"/>
              <w:rPr>
                <w:rFonts w:ascii="Arial" w:hAnsi="Arial"/>
              </w:rPr>
            </w:pPr>
            <w:r>
              <w:rPr>
                <w:rFonts w:ascii="Arial" w:hAnsi="Arial"/>
              </w:rPr>
              <w:t>For  Month End</w:t>
            </w:r>
            <w:r w:rsidR="00C668CC">
              <w:rPr>
                <w:rFonts w:ascii="Arial" w:hAnsi="Arial"/>
              </w:rPr>
              <w:t xml:space="preserve"> April 2020</w:t>
            </w:r>
          </w:p>
        </w:tc>
        <w:tc>
          <w:tcPr>
            <w:tcW w:w="2898" w:type="dxa"/>
            <w:tcBorders>
              <w:top w:val="single" w:sz="18" w:space="0" w:color="auto"/>
              <w:left w:val="single" w:sz="18" w:space="0" w:color="auto"/>
              <w:bottom w:val="nil"/>
            </w:tcBorders>
          </w:tcPr>
          <w:p w14:paraId="3DBFD2E1" w14:textId="77777777" w:rsidR="00640E94" w:rsidRDefault="00640E94">
            <w:pPr>
              <w:pStyle w:val="BodyText"/>
              <w:spacing w:before="0"/>
              <w:rPr>
                <w:rFonts w:ascii="Arial" w:hAnsi="Arial"/>
              </w:rPr>
            </w:pPr>
            <w:r>
              <w:rPr>
                <w:rFonts w:ascii="Arial" w:hAnsi="Arial"/>
              </w:rPr>
              <w:t>Date of Report</w:t>
            </w:r>
          </w:p>
          <w:p w14:paraId="0309D596" w14:textId="7A616476" w:rsidR="00640E94" w:rsidRDefault="000E5650">
            <w:pPr>
              <w:pStyle w:val="BodyText"/>
              <w:spacing w:before="0"/>
              <w:rPr>
                <w:rFonts w:ascii="Arial" w:hAnsi="Arial"/>
              </w:rPr>
            </w:pPr>
            <w:r>
              <w:rPr>
                <w:rFonts w:ascii="Arial" w:hAnsi="Arial"/>
              </w:rPr>
              <w:t>20</w:t>
            </w:r>
            <w:r w:rsidR="00640E94">
              <w:rPr>
                <w:rFonts w:ascii="Arial" w:hAnsi="Arial"/>
              </w:rPr>
              <w:t>/</w:t>
            </w:r>
            <w:r>
              <w:rPr>
                <w:rFonts w:ascii="Arial" w:hAnsi="Arial"/>
              </w:rPr>
              <w:t>04</w:t>
            </w:r>
            <w:r w:rsidR="00640E94">
              <w:rPr>
                <w:rFonts w:ascii="Arial" w:hAnsi="Arial"/>
              </w:rPr>
              <w:t>/</w:t>
            </w:r>
            <w:r>
              <w:rPr>
                <w:rFonts w:ascii="Arial" w:hAnsi="Arial"/>
              </w:rPr>
              <w:t>30</w:t>
            </w:r>
          </w:p>
        </w:tc>
      </w:tr>
      <w:tr w:rsidR="00640E94" w14:paraId="5BD10116" w14:textId="77777777">
        <w:trPr>
          <w:cantSplit/>
        </w:trPr>
        <w:tc>
          <w:tcPr>
            <w:tcW w:w="9576" w:type="dxa"/>
            <w:gridSpan w:val="3"/>
            <w:tcBorders>
              <w:top w:val="single" w:sz="18" w:space="0" w:color="auto"/>
              <w:bottom w:val="single" w:sz="18" w:space="0" w:color="auto"/>
            </w:tcBorders>
          </w:tcPr>
          <w:p w14:paraId="411920D4" w14:textId="759A64E0" w:rsidR="00640E94" w:rsidRDefault="00640E94">
            <w:pPr>
              <w:pStyle w:val="BodyText"/>
              <w:spacing w:before="0"/>
              <w:rPr>
                <w:rFonts w:ascii="Arial" w:hAnsi="Arial"/>
              </w:rPr>
            </w:pPr>
            <w:r>
              <w:rPr>
                <w:rFonts w:ascii="Arial" w:hAnsi="Arial"/>
              </w:rPr>
              <w:t>Issuer Address</w:t>
            </w:r>
            <w:r w:rsidR="000E5650">
              <w:rPr>
                <w:rFonts w:ascii="Arial" w:hAnsi="Arial"/>
              </w:rPr>
              <w:t xml:space="preserve"> 200-1718- 58 Avenue</w:t>
            </w:r>
          </w:p>
          <w:p w14:paraId="7C0D2C45" w14:textId="77777777" w:rsidR="00640E94" w:rsidRDefault="00640E94">
            <w:pPr>
              <w:pStyle w:val="BodyText"/>
              <w:spacing w:before="0"/>
              <w:rPr>
                <w:rFonts w:ascii="Arial" w:hAnsi="Arial"/>
              </w:rPr>
            </w:pPr>
          </w:p>
          <w:p w14:paraId="2068494E" w14:textId="77777777" w:rsidR="00640E94" w:rsidRDefault="00640E94">
            <w:pPr>
              <w:pStyle w:val="BodyText"/>
              <w:spacing w:before="0"/>
              <w:rPr>
                <w:rFonts w:ascii="Arial" w:hAnsi="Arial"/>
              </w:rPr>
            </w:pPr>
          </w:p>
        </w:tc>
      </w:tr>
      <w:tr w:rsidR="00640E94" w14:paraId="35C6A002" w14:textId="77777777">
        <w:tc>
          <w:tcPr>
            <w:tcW w:w="4878" w:type="dxa"/>
            <w:tcBorders>
              <w:top w:val="single" w:sz="18" w:space="0" w:color="auto"/>
              <w:bottom w:val="single" w:sz="18" w:space="0" w:color="auto"/>
              <w:right w:val="single" w:sz="18" w:space="0" w:color="auto"/>
            </w:tcBorders>
          </w:tcPr>
          <w:p w14:paraId="7C239B54" w14:textId="3F1CD432" w:rsidR="00640E94" w:rsidRDefault="00640E94">
            <w:pPr>
              <w:pStyle w:val="BodyText"/>
              <w:spacing w:before="0"/>
              <w:rPr>
                <w:rFonts w:ascii="Arial" w:hAnsi="Arial"/>
              </w:rPr>
            </w:pPr>
            <w:r>
              <w:rPr>
                <w:rFonts w:ascii="Arial" w:hAnsi="Arial"/>
              </w:rPr>
              <w:t>City/Province/Postal Code</w:t>
            </w:r>
          </w:p>
          <w:p w14:paraId="50054E84" w14:textId="3511A95B" w:rsidR="000E5650" w:rsidRDefault="000E5650">
            <w:pPr>
              <w:pStyle w:val="BodyText"/>
              <w:spacing w:before="0"/>
              <w:rPr>
                <w:rFonts w:ascii="Arial" w:hAnsi="Arial"/>
              </w:rPr>
            </w:pPr>
            <w:r>
              <w:rPr>
                <w:rFonts w:ascii="Arial" w:hAnsi="Arial"/>
              </w:rPr>
              <w:t>Surrey BC, V3S 1L3</w:t>
            </w:r>
          </w:p>
          <w:p w14:paraId="7D0AECC2" w14:textId="77777777" w:rsidR="00640E94" w:rsidRDefault="00640E94">
            <w:pPr>
              <w:pStyle w:val="BodyText"/>
              <w:spacing w:before="0"/>
              <w:rPr>
                <w:rFonts w:ascii="Arial" w:hAnsi="Arial"/>
              </w:rPr>
            </w:pPr>
          </w:p>
          <w:p w14:paraId="2729C970"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09218404" w14:textId="77777777" w:rsidR="00640E94" w:rsidRDefault="00640E94">
            <w:pPr>
              <w:pStyle w:val="BodyText"/>
              <w:spacing w:before="0"/>
              <w:rPr>
                <w:rFonts w:ascii="Arial" w:hAnsi="Arial"/>
              </w:rPr>
            </w:pPr>
            <w:r>
              <w:rPr>
                <w:rFonts w:ascii="Arial" w:hAnsi="Arial"/>
              </w:rPr>
              <w:t>Issuer Fax No.</w:t>
            </w:r>
          </w:p>
          <w:p w14:paraId="65D23503"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4C48B0B2" w14:textId="77777777" w:rsidR="00640E94" w:rsidRDefault="00640E94">
            <w:pPr>
              <w:pStyle w:val="BodyText"/>
              <w:spacing w:before="0"/>
              <w:rPr>
                <w:rFonts w:ascii="Arial" w:hAnsi="Arial"/>
              </w:rPr>
            </w:pPr>
            <w:r>
              <w:rPr>
                <w:rFonts w:ascii="Arial" w:hAnsi="Arial"/>
              </w:rPr>
              <w:t>Issuer Telephone No.</w:t>
            </w:r>
          </w:p>
          <w:p w14:paraId="1BAF7921" w14:textId="005ED468" w:rsidR="00640E94" w:rsidRDefault="00640E94">
            <w:pPr>
              <w:pStyle w:val="BodyText"/>
              <w:spacing w:before="0"/>
              <w:rPr>
                <w:rFonts w:ascii="Arial" w:hAnsi="Arial"/>
              </w:rPr>
            </w:pPr>
            <w:r>
              <w:rPr>
                <w:rFonts w:ascii="Arial" w:hAnsi="Arial"/>
              </w:rPr>
              <w:t>(</w:t>
            </w:r>
            <w:r w:rsidR="000E5650">
              <w:rPr>
                <w:rFonts w:ascii="Arial" w:hAnsi="Arial"/>
              </w:rPr>
              <w:t>604</w:t>
            </w:r>
            <w:r>
              <w:rPr>
                <w:rFonts w:ascii="Arial" w:hAnsi="Arial"/>
              </w:rPr>
              <w:t>)</w:t>
            </w:r>
            <w:r w:rsidR="000E5650">
              <w:rPr>
                <w:rFonts w:ascii="Arial" w:hAnsi="Arial"/>
              </w:rPr>
              <w:t>308-0340</w:t>
            </w:r>
          </w:p>
        </w:tc>
      </w:tr>
      <w:tr w:rsidR="00640E94" w14:paraId="718B594B" w14:textId="77777777">
        <w:tc>
          <w:tcPr>
            <w:tcW w:w="4878" w:type="dxa"/>
            <w:tcBorders>
              <w:top w:val="single" w:sz="18" w:space="0" w:color="auto"/>
              <w:bottom w:val="single" w:sz="18" w:space="0" w:color="auto"/>
              <w:right w:val="single" w:sz="18" w:space="0" w:color="auto"/>
            </w:tcBorders>
          </w:tcPr>
          <w:p w14:paraId="1FF54F56" w14:textId="135F226B" w:rsidR="00640E94" w:rsidRDefault="00640E94">
            <w:pPr>
              <w:pStyle w:val="BodyText"/>
              <w:spacing w:before="0"/>
              <w:rPr>
                <w:rFonts w:ascii="Arial" w:hAnsi="Arial"/>
              </w:rPr>
            </w:pPr>
            <w:r>
              <w:rPr>
                <w:rFonts w:ascii="Arial" w:hAnsi="Arial"/>
              </w:rPr>
              <w:t>Contact Name</w:t>
            </w:r>
          </w:p>
          <w:p w14:paraId="43B80E7B" w14:textId="07105396" w:rsidR="000E5650" w:rsidRDefault="000E5650">
            <w:pPr>
              <w:pStyle w:val="BodyText"/>
              <w:spacing w:before="0"/>
              <w:rPr>
                <w:rFonts w:ascii="Arial" w:hAnsi="Arial"/>
              </w:rPr>
            </w:pPr>
          </w:p>
          <w:p w14:paraId="18635F3C" w14:textId="18BEA1EC" w:rsidR="000E5650" w:rsidRDefault="000E5650">
            <w:pPr>
              <w:pStyle w:val="BodyText"/>
              <w:spacing w:before="0"/>
              <w:rPr>
                <w:rFonts w:ascii="Arial" w:hAnsi="Arial"/>
              </w:rPr>
            </w:pPr>
            <w:r>
              <w:rPr>
                <w:rFonts w:ascii="Arial" w:hAnsi="Arial"/>
              </w:rPr>
              <w:t>Trent Collett</w:t>
            </w:r>
          </w:p>
          <w:p w14:paraId="20F14B38" w14:textId="77777777" w:rsidR="00640E94" w:rsidRDefault="00640E94">
            <w:pPr>
              <w:pStyle w:val="BodyText"/>
              <w:spacing w:before="0"/>
              <w:rPr>
                <w:rFonts w:ascii="Arial" w:hAnsi="Arial"/>
              </w:rPr>
            </w:pPr>
          </w:p>
          <w:p w14:paraId="63DF66E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0C7C8C29" w14:textId="77777777" w:rsidR="00640E94" w:rsidRDefault="00640E94">
            <w:pPr>
              <w:pStyle w:val="BodyText"/>
              <w:spacing w:before="0"/>
              <w:rPr>
                <w:rFonts w:ascii="Arial" w:hAnsi="Arial"/>
              </w:rPr>
            </w:pPr>
            <w:r>
              <w:rPr>
                <w:rFonts w:ascii="Arial" w:hAnsi="Arial"/>
              </w:rPr>
              <w:t>Contact Position</w:t>
            </w:r>
          </w:p>
        </w:tc>
        <w:tc>
          <w:tcPr>
            <w:tcW w:w="2898" w:type="dxa"/>
            <w:tcBorders>
              <w:top w:val="single" w:sz="18" w:space="0" w:color="auto"/>
              <w:left w:val="single" w:sz="18" w:space="0" w:color="auto"/>
              <w:bottom w:val="single" w:sz="18" w:space="0" w:color="auto"/>
            </w:tcBorders>
          </w:tcPr>
          <w:p w14:paraId="2119B040" w14:textId="77777777" w:rsidR="00640E94" w:rsidRDefault="00640E94">
            <w:pPr>
              <w:pStyle w:val="BodyText"/>
              <w:spacing w:before="0"/>
              <w:rPr>
                <w:rFonts w:ascii="Arial" w:hAnsi="Arial"/>
              </w:rPr>
            </w:pPr>
            <w:r>
              <w:rPr>
                <w:rFonts w:ascii="Arial" w:hAnsi="Arial"/>
              </w:rPr>
              <w:t>Contact Telephone No.</w:t>
            </w:r>
          </w:p>
        </w:tc>
      </w:tr>
      <w:tr w:rsidR="00640E94" w14:paraId="4866ED2D" w14:textId="77777777">
        <w:trPr>
          <w:cantSplit/>
        </w:trPr>
        <w:tc>
          <w:tcPr>
            <w:tcW w:w="4878" w:type="dxa"/>
            <w:tcBorders>
              <w:top w:val="single" w:sz="18" w:space="0" w:color="auto"/>
              <w:bottom w:val="single" w:sz="18" w:space="0" w:color="auto"/>
              <w:right w:val="single" w:sz="18" w:space="0" w:color="auto"/>
            </w:tcBorders>
          </w:tcPr>
          <w:p w14:paraId="09ED8E7B" w14:textId="51075C51" w:rsidR="00640E94" w:rsidRDefault="00640E94">
            <w:pPr>
              <w:pStyle w:val="BodyText"/>
              <w:spacing w:before="0"/>
              <w:rPr>
                <w:rFonts w:ascii="Arial" w:hAnsi="Arial"/>
              </w:rPr>
            </w:pPr>
            <w:r>
              <w:rPr>
                <w:rFonts w:ascii="Arial" w:hAnsi="Arial"/>
              </w:rPr>
              <w:lastRenderedPageBreak/>
              <w:t>Contact Email Address</w:t>
            </w:r>
          </w:p>
          <w:p w14:paraId="226D74A8" w14:textId="68E4B401" w:rsidR="000E5650" w:rsidRDefault="000E5650">
            <w:pPr>
              <w:pStyle w:val="BodyText"/>
              <w:spacing w:before="0"/>
              <w:rPr>
                <w:rFonts w:ascii="Arial" w:hAnsi="Arial"/>
              </w:rPr>
            </w:pPr>
            <w:r>
              <w:rPr>
                <w:rFonts w:ascii="Arial" w:hAnsi="Arial"/>
              </w:rPr>
              <w:t>Trent.collett@upcointernational.com</w:t>
            </w:r>
          </w:p>
          <w:p w14:paraId="797FBE73"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34BA43B4" w14:textId="77777777" w:rsidR="00640E94" w:rsidRDefault="00640E94">
            <w:pPr>
              <w:pStyle w:val="BodyText"/>
              <w:spacing w:before="0"/>
              <w:rPr>
                <w:rFonts w:ascii="Arial" w:hAnsi="Arial"/>
              </w:rPr>
            </w:pPr>
            <w:r>
              <w:rPr>
                <w:rFonts w:ascii="Arial" w:hAnsi="Arial"/>
              </w:rPr>
              <w:t>Web Site Address</w:t>
            </w:r>
          </w:p>
          <w:p w14:paraId="12DBD85F" w14:textId="77777777" w:rsidR="000E5650" w:rsidRDefault="000E5650" w:rsidP="000E5650">
            <w:pPr>
              <w:pStyle w:val="BodyText"/>
              <w:spacing w:before="0"/>
              <w:rPr>
                <w:rFonts w:ascii="Arial" w:hAnsi="Arial"/>
              </w:rPr>
            </w:pPr>
            <w:r>
              <w:rPr>
                <w:rFonts w:ascii="Arial" w:hAnsi="Arial"/>
              </w:rPr>
              <w:t>comwww.upcointernational.com</w:t>
            </w:r>
          </w:p>
          <w:p w14:paraId="68C42907" w14:textId="77777777" w:rsidR="00640E94" w:rsidRDefault="00640E94">
            <w:pPr>
              <w:pStyle w:val="BodyText"/>
              <w:spacing w:before="0"/>
              <w:rPr>
                <w:rFonts w:ascii="Arial" w:hAnsi="Arial"/>
              </w:rPr>
            </w:pPr>
          </w:p>
        </w:tc>
      </w:tr>
    </w:tbl>
    <w:p w14:paraId="2FA5A5F3"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89604" w14:textId="77777777" w:rsidR="001C01C4" w:rsidRDefault="001C01C4">
      <w:r>
        <w:separator/>
      </w:r>
    </w:p>
  </w:endnote>
  <w:endnote w:type="continuationSeparator" w:id="0">
    <w:p w14:paraId="5572F722" w14:textId="77777777" w:rsidR="001C01C4" w:rsidRDefault="001C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5D052" w14:textId="77777777" w:rsidR="00640E94" w:rsidRDefault="00640E94">
    <w:pPr>
      <w:pStyle w:val="Footer"/>
      <w:tabs>
        <w:tab w:val="clear" w:pos="4320"/>
        <w:tab w:val="clear" w:pos="8640"/>
        <w:tab w:val="center" w:pos="4680"/>
        <w:tab w:val="right" w:pos="9360"/>
      </w:tabs>
      <w:rPr>
        <w:b/>
      </w:rPr>
    </w:pPr>
  </w:p>
  <w:p w14:paraId="6C959BA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219838C" wp14:editId="57D87FB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AFD8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4281228B"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F17166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59FD" w14:textId="77777777" w:rsidR="00640E94" w:rsidRDefault="00640E94">
    <w:pPr>
      <w:pStyle w:val="Footer"/>
      <w:tabs>
        <w:tab w:val="clear" w:pos="4320"/>
        <w:tab w:val="clear" w:pos="8640"/>
        <w:tab w:val="center" w:pos="4680"/>
        <w:tab w:val="right" w:pos="9360"/>
      </w:tabs>
      <w:rPr>
        <w:b/>
      </w:rPr>
    </w:pPr>
  </w:p>
  <w:p w14:paraId="53163B2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7A80152" wp14:editId="734773F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ECA6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16E7B43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1F9572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9C91E" w14:textId="77777777" w:rsidR="001C01C4" w:rsidRDefault="001C01C4">
      <w:r>
        <w:separator/>
      </w:r>
    </w:p>
  </w:footnote>
  <w:footnote w:type="continuationSeparator" w:id="0">
    <w:p w14:paraId="26D79AB2" w14:textId="77777777" w:rsidR="001C01C4" w:rsidRDefault="001C0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DCF6"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9CDA04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B0C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441592B"/>
    <w:multiLevelType w:val="hybridMultilevel"/>
    <w:tmpl w:val="D8F0ED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30C3C"/>
    <w:rsid w:val="000A1AB1"/>
    <w:rsid w:val="000E5650"/>
    <w:rsid w:val="001C01C4"/>
    <w:rsid w:val="002863F3"/>
    <w:rsid w:val="002C281E"/>
    <w:rsid w:val="002F00EB"/>
    <w:rsid w:val="003669A9"/>
    <w:rsid w:val="00371A64"/>
    <w:rsid w:val="00387FA8"/>
    <w:rsid w:val="005453C8"/>
    <w:rsid w:val="005C042C"/>
    <w:rsid w:val="005F6D8F"/>
    <w:rsid w:val="00620E7F"/>
    <w:rsid w:val="00633ED3"/>
    <w:rsid w:val="00635E9A"/>
    <w:rsid w:val="00640E94"/>
    <w:rsid w:val="006D1A06"/>
    <w:rsid w:val="006F582D"/>
    <w:rsid w:val="008B7E92"/>
    <w:rsid w:val="00922A46"/>
    <w:rsid w:val="00A47914"/>
    <w:rsid w:val="00AC3EC3"/>
    <w:rsid w:val="00BF7C9E"/>
    <w:rsid w:val="00C27A18"/>
    <w:rsid w:val="00C6383E"/>
    <w:rsid w:val="00C668CC"/>
    <w:rsid w:val="00E36141"/>
    <w:rsid w:val="00E73153"/>
    <w:rsid w:val="00E8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9280D6"/>
  <w15:docId w15:val="{88571972-C8D9-4DDA-BFD5-BB17B7B8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61F42-D2D5-4AE7-8503-6425C4FCCC3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915</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Guest User</cp:lastModifiedBy>
  <cp:revision>2</cp:revision>
  <cp:lastPrinted>2004-05-10T18:28:00Z</cp:lastPrinted>
  <dcterms:created xsi:type="dcterms:W3CDTF">2020-07-03T13:45:00Z</dcterms:created>
  <dcterms:modified xsi:type="dcterms:W3CDTF">2020-07-03T13:45:00Z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