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49ED0"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5ABD415E" w14:textId="62F4F519"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586497">
        <w:rPr>
          <w:rFonts w:ascii="Arial" w:hAnsi="Arial"/>
          <w:b/>
          <w:i/>
          <w:color w:val="000000"/>
          <w:u w:val="single"/>
        </w:rPr>
        <w:t>Cruz Cobalt Corp</w:t>
      </w:r>
      <w:r w:rsidR="00856DEB" w:rsidRPr="00856DEB">
        <w:rPr>
          <w:rFonts w:ascii="Arial" w:hAnsi="Arial"/>
          <w:b/>
          <w:i/>
          <w:color w:val="000000"/>
          <w:u w:val="single"/>
        </w:rPr>
        <w:t>.</w:t>
      </w:r>
      <w:r>
        <w:rPr>
          <w:rFonts w:ascii="Arial" w:hAnsi="Arial"/>
          <w:color w:val="000000"/>
        </w:rPr>
        <w:t xml:space="preserve"> (the “Issuer”).</w:t>
      </w:r>
    </w:p>
    <w:p w14:paraId="298188A5" w14:textId="4E6B0220"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586497">
        <w:rPr>
          <w:rFonts w:ascii="Arial" w:hAnsi="Arial"/>
          <w:b/>
          <w:i/>
          <w:color w:val="000000"/>
          <w:u w:val="single"/>
        </w:rPr>
        <w:t>CRUZ</w:t>
      </w:r>
    </w:p>
    <w:p w14:paraId="6963EA8B"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3929D713"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152CC20E" w14:textId="77777777" w:rsidR="0048706B" w:rsidRDefault="0048706B" w:rsidP="00621D06">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711D57DE" w14:textId="77777777" w:rsidR="0048706B" w:rsidRDefault="0048706B" w:rsidP="00621D06">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0DC0D61D" w14:textId="77777777" w:rsidR="0048706B" w:rsidRDefault="0048706B" w:rsidP="00621D06">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39E2D0C1" w14:textId="77777777" w:rsidR="0048706B" w:rsidRDefault="0048706B">
      <w:pPr>
        <w:pStyle w:val="Heading1"/>
        <w:spacing w:line="280" w:lineRule="exact"/>
        <w:rPr>
          <w:rFonts w:ascii="Arial" w:hAnsi="Arial"/>
          <w:b w:val="0"/>
        </w:rPr>
      </w:pPr>
    </w:p>
    <w:p w14:paraId="4D6F5B1F"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44079A64" w14:textId="77777777" w:rsidR="0048706B" w:rsidRDefault="0048706B">
      <w:pPr>
        <w:rPr>
          <w:sz w:val="24"/>
        </w:rPr>
      </w:pPr>
    </w:p>
    <w:p w14:paraId="72BAB7E8"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002E275C" w14:textId="77777777" w:rsidR="0048706B" w:rsidRDefault="0048706B">
      <w:pPr>
        <w:rPr>
          <w:rFonts w:ascii="Arial" w:hAnsi="Arial"/>
          <w:sz w:val="24"/>
        </w:rPr>
      </w:pPr>
    </w:p>
    <w:p w14:paraId="05A8B371"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33F8A050" w14:textId="77777777" w:rsidR="0048706B" w:rsidRDefault="0048706B">
      <w:pPr>
        <w:rPr>
          <w:rFonts w:ascii="Arial" w:hAnsi="Arial"/>
          <w:sz w:val="24"/>
        </w:rPr>
      </w:pPr>
    </w:p>
    <w:p w14:paraId="642AEFFE"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14:paraId="5E45CF81" w14:textId="77777777" w:rsidR="0048706B" w:rsidRDefault="0048706B">
      <w:pPr>
        <w:rPr>
          <w:rFonts w:ascii="Arial" w:hAnsi="Arial"/>
          <w:sz w:val="24"/>
        </w:rPr>
      </w:pPr>
    </w:p>
    <w:p w14:paraId="3736837F" w14:textId="77777777"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14:paraId="415F6DBD" w14:textId="77777777" w:rsidR="00CA3C94" w:rsidRDefault="00CA3C94">
      <w:pPr>
        <w:rPr>
          <w:rFonts w:ascii="Arial" w:hAnsi="Arial"/>
          <w:sz w:val="24"/>
        </w:rPr>
      </w:pPr>
    </w:p>
    <w:p w14:paraId="0501B3E5" w14:textId="77777777" w:rsidR="0048706B" w:rsidRDefault="0048706B">
      <w:pPr>
        <w:pStyle w:val="Heading1"/>
        <w:spacing w:line="280" w:lineRule="exact"/>
        <w:rPr>
          <w:rFonts w:ascii="Arial" w:hAnsi="Arial"/>
        </w:rPr>
      </w:pPr>
      <w:r>
        <w:rPr>
          <w:rFonts w:ascii="Arial" w:hAnsi="Arial"/>
        </w:rPr>
        <w:t>SCHEDULE B:  SUPPLEMENTARY INFORMATION</w:t>
      </w:r>
    </w:p>
    <w:p w14:paraId="2D5F0F91"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32E4EA12" w14:textId="77777777" w:rsidR="0048706B" w:rsidRDefault="0048706B">
      <w:pPr>
        <w:spacing w:line="280" w:lineRule="exact"/>
        <w:jc w:val="both"/>
        <w:rPr>
          <w:rFonts w:ascii="Arial" w:hAnsi="Arial"/>
          <w:sz w:val="24"/>
        </w:rPr>
      </w:pPr>
    </w:p>
    <w:p w14:paraId="12F47774" w14:textId="77777777" w:rsidR="0048706B" w:rsidRDefault="0048706B">
      <w:pPr>
        <w:spacing w:line="280" w:lineRule="exact"/>
        <w:jc w:val="both"/>
        <w:rPr>
          <w:rFonts w:ascii="Arial" w:hAnsi="Arial"/>
          <w:sz w:val="24"/>
        </w:rPr>
      </w:pPr>
    </w:p>
    <w:p w14:paraId="4797587C" w14:textId="77777777" w:rsidR="0048706B" w:rsidRDefault="0048706B" w:rsidP="00621D06">
      <w:pPr>
        <w:numPr>
          <w:ilvl w:val="0"/>
          <w:numId w:val="3"/>
        </w:numPr>
        <w:spacing w:line="280" w:lineRule="exact"/>
        <w:jc w:val="both"/>
        <w:rPr>
          <w:rFonts w:ascii="Arial" w:hAnsi="Arial"/>
          <w:b/>
          <w:sz w:val="24"/>
        </w:rPr>
      </w:pPr>
      <w:r>
        <w:rPr>
          <w:rFonts w:ascii="Arial" w:hAnsi="Arial"/>
          <w:b/>
          <w:sz w:val="24"/>
        </w:rPr>
        <w:t>Related party transactions</w:t>
      </w:r>
    </w:p>
    <w:p w14:paraId="142A617E" w14:textId="77777777" w:rsidR="0048706B" w:rsidRDefault="0048706B">
      <w:pPr>
        <w:spacing w:line="280" w:lineRule="exact"/>
        <w:jc w:val="both"/>
        <w:rPr>
          <w:rFonts w:ascii="Arial" w:hAnsi="Arial"/>
          <w:sz w:val="24"/>
        </w:rPr>
      </w:pPr>
    </w:p>
    <w:p w14:paraId="38EAED73" w14:textId="20E5B9FF" w:rsidR="001239E5" w:rsidRPr="00EB5D37" w:rsidRDefault="001239E5" w:rsidP="001239E5">
      <w:pPr>
        <w:pStyle w:val="BodyTextIndent"/>
        <w:spacing w:line="280" w:lineRule="exact"/>
        <w:rPr>
          <w:rFonts w:ascii="Arial" w:hAnsi="Arial" w:cs="Arial"/>
          <w:b/>
          <w:i/>
          <w:u w:val="single"/>
        </w:rPr>
      </w:pPr>
      <w:r w:rsidRPr="00EB5D37">
        <w:rPr>
          <w:rFonts w:ascii="Arial" w:hAnsi="Arial" w:cs="Arial"/>
          <w:b/>
          <w:i/>
          <w:u w:val="single"/>
        </w:rPr>
        <w:t xml:space="preserve">All related party transactions have been disclosed in the Issuer’s financial statements </w:t>
      </w:r>
      <w:r w:rsidR="00527D0D">
        <w:rPr>
          <w:rFonts w:ascii="Arial" w:hAnsi="Arial" w:cs="Arial"/>
          <w:b/>
          <w:i/>
          <w:u w:val="single"/>
        </w:rPr>
        <w:t xml:space="preserve">and notes </w:t>
      </w:r>
      <w:r w:rsidRPr="00EB5D37">
        <w:rPr>
          <w:rFonts w:ascii="Arial" w:hAnsi="Arial" w:cs="Arial"/>
          <w:b/>
          <w:i/>
          <w:u w:val="single"/>
        </w:rPr>
        <w:t xml:space="preserve">for </w:t>
      </w:r>
      <w:r w:rsidRPr="00586497">
        <w:rPr>
          <w:rFonts w:ascii="Arial" w:hAnsi="Arial" w:cs="Arial"/>
          <w:b/>
          <w:i/>
          <w:u w:val="single"/>
        </w:rPr>
        <w:t xml:space="preserve">the </w:t>
      </w:r>
      <w:r w:rsidR="00586497" w:rsidRPr="00586497">
        <w:rPr>
          <w:rFonts w:ascii="Arial" w:hAnsi="Arial" w:cs="Arial"/>
          <w:b/>
          <w:i/>
          <w:u w:val="single"/>
        </w:rPr>
        <w:t>three months ended October</w:t>
      </w:r>
      <w:r w:rsidR="00F154B7" w:rsidRPr="00586497">
        <w:rPr>
          <w:rFonts w:ascii="Arial" w:hAnsi="Arial" w:cs="Arial"/>
          <w:b/>
          <w:i/>
          <w:u w:val="single"/>
        </w:rPr>
        <w:t xml:space="preserve"> 31</w:t>
      </w:r>
      <w:r w:rsidR="006565F3" w:rsidRPr="00586497">
        <w:rPr>
          <w:rFonts w:ascii="Arial" w:hAnsi="Arial" w:cs="Arial"/>
          <w:b/>
          <w:i/>
          <w:u w:val="single"/>
        </w:rPr>
        <w:t>, 2019</w:t>
      </w:r>
      <w:r w:rsidRPr="00586497">
        <w:rPr>
          <w:rFonts w:ascii="Arial" w:hAnsi="Arial" w:cs="Arial"/>
          <w:b/>
          <w:i/>
          <w:u w:val="single"/>
        </w:rPr>
        <w:t>.</w:t>
      </w:r>
    </w:p>
    <w:p w14:paraId="27A423FA" w14:textId="77777777" w:rsidR="001239E5" w:rsidRDefault="001239E5">
      <w:pPr>
        <w:pStyle w:val="BodyTextIndent"/>
        <w:spacing w:line="280" w:lineRule="exact"/>
        <w:rPr>
          <w:rFonts w:ascii="Arial" w:hAnsi="Arial"/>
        </w:rPr>
      </w:pPr>
    </w:p>
    <w:p w14:paraId="5F05076F"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5EFB1074" w14:textId="77777777" w:rsidR="0048706B" w:rsidRDefault="0048706B">
      <w:pPr>
        <w:pStyle w:val="BodyTextIndent"/>
        <w:spacing w:line="280" w:lineRule="exact"/>
        <w:rPr>
          <w:rFonts w:ascii="Arial" w:hAnsi="Arial"/>
        </w:rPr>
      </w:pPr>
    </w:p>
    <w:p w14:paraId="60B317E4" w14:textId="77777777" w:rsidR="0048706B" w:rsidRDefault="0048706B" w:rsidP="00621D06">
      <w:pPr>
        <w:pStyle w:val="BodyTextIndent"/>
        <w:numPr>
          <w:ilvl w:val="0"/>
          <w:numId w:val="6"/>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51A8794B" w14:textId="77777777" w:rsidR="0048706B" w:rsidRDefault="0048706B" w:rsidP="00621D06">
      <w:pPr>
        <w:pStyle w:val="BodyTextIndent"/>
        <w:numPr>
          <w:ilvl w:val="0"/>
          <w:numId w:val="6"/>
        </w:numPr>
        <w:spacing w:line="280" w:lineRule="exact"/>
        <w:rPr>
          <w:rFonts w:ascii="Arial" w:hAnsi="Arial"/>
        </w:rPr>
      </w:pPr>
      <w:r>
        <w:rPr>
          <w:rFonts w:ascii="Arial" w:hAnsi="Arial"/>
        </w:rPr>
        <w:t>A description of the transaction(s), including those for which no amount has been recorded.</w:t>
      </w:r>
    </w:p>
    <w:p w14:paraId="47420890" w14:textId="77777777" w:rsidR="0048706B" w:rsidRDefault="0048706B" w:rsidP="00621D06">
      <w:pPr>
        <w:pStyle w:val="BodyTextIndent"/>
        <w:numPr>
          <w:ilvl w:val="0"/>
          <w:numId w:val="6"/>
        </w:numPr>
        <w:spacing w:line="280" w:lineRule="exact"/>
        <w:rPr>
          <w:rFonts w:ascii="Arial" w:hAnsi="Arial"/>
        </w:rPr>
      </w:pPr>
      <w:r>
        <w:rPr>
          <w:rFonts w:ascii="Arial" w:hAnsi="Arial"/>
        </w:rPr>
        <w:t>The recorded amount of the transactions classified by financial statement category.</w:t>
      </w:r>
    </w:p>
    <w:p w14:paraId="4B4F5FBE" w14:textId="77777777" w:rsidR="0048706B" w:rsidRDefault="0048706B" w:rsidP="00621D06">
      <w:pPr>
        <w:pStyle w:val="BodyTextIndent"/>
        <w:numPr>
          <w:ilvl w:val="0"/>
          <w:numId w:val="6"/>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3F18D749" w14:textId="77777777" w:rsidR="0048706B" w:rsidRDefault="0048706B" w:rsidP="00621D06">
      <w:pPr>
        <w:pStyle w:val="BodyTextIndent"/>
        <w:numPr>
          <w:ilvl w:val="0"/>
          <w:numId w:val="6"/>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3707EE80" w14:textId="77777777" w:rsidR="0048706B" w:rsidRDefault="0048706B" w:rsidP="00621D06">
      <w:pPr>
        <w:pStyle w:val="BodyTextIndent"/>
        <w:numPr>
          <w:ilvl w:val="0"/>
          <w:numId w:val="6"/>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46557C51" w14:textId="77777777" w:rsidR="0048706B" w:rsidRDefault="0048706B">
      <w:pPr>
        <w:spacing w:line="280" w:lineRule="exact"/>
        <w:ind w:left="720"/>
        <w:jc w:val="both"/>
        <w:rPr>
          <w:rFonts w:ascii="Arial" w:hAnsi="Arial"/>
          <w:sz w:val="24"/>
        </w:rPr>
      </w:pPr>
    </w:p>
    <w:p w14:paraId="588F04C5" w14:textId="77777777" w:rsidR="0048706B" w:rsidRDefault="0048706B" w:rsidP="00621D06">
      <w:pPr>
        <w:numPr>
          <w:ilvl w:val="0"/>
          <w:numId w:val="3"/>
        </w:numPr>
        <w:spacing w:line="280" w:lineRule="exact"/>
        <w:jc w:val="both"/>
        <w:rPr>
          <w:rFonts w:ascii="Arial" w:hAnsi="Arial"/>
          <w:b/>
          <w:sz w:val="24"/>
        </w:rPr>
      </w:pPr>
      <w:r>
        <w:rPr>
          <w:rFonts w:ascii="Arial" w:hAnsi="Arial"/>
          <w:b/>
          <w:sz w:val="24"/>
        </w:rPr>
        <w:t>Summary of securities issued and options granted during the period.</w:t>
      </w:r>
    </w:p>
    <w:p w14:paraId="01B6CF23" w14:textId="77777777" w:rsidR="0048706B" w:rsidRDefault="0048706B">
      <w:pPr>
        <w:spacing w:line="280" w:lineRule="exact"/>
        <w:jc w:val="both"/>
        <w:rPr>
          <w:rFonts w:ascii="Arial" w:hAnsi="Arial"/>
          <w:sz w:val="24"/>
        </w:rPr>
      </w:pPr>
    </w:p>
    <w:p w14:paraId="5D3535D3" w14:textId="04B779BD" w:rsidR="001239E5" w:rsidRPr="00EB5D37" w:rsidRDefault="001239E5" w:rsidP="001239E5">
      <w:pPr>
        <w:pStyle w:val="BodyTextIndent"/>
        <w:spacing w:line="280" w:lineRule="exact"/>
        <w:rPr>
          <w:rFonts w:ascii="Arial" w:hAnsi="Arial" w:cs="Arial"/>
          <w:b/>
          <w:i/>
          <w:u w:val="single"/>
        </w:rPr>
      </w:pPr>
      <w:r w:rsidRPr="00EB5D37">
        <w:rPr>
          <w:rFonts w:ascii="Arial" w:hAnsi="Arial" w:cs="Arial"/>
          <w:b/>
          <w:i/>
          <w:u w:val="single"/>
        </w:rPr>
        <w:t xml:space="preserve">All securities issued and options </w:t>
      </w:r>
      <w:r w:rsidR="001C27B3">
        <w:rPr>
          <w:rFonts w:ascii="Arial" w:hAnsi="Arial" w:cs="Arial"/>
          <w:b/>
          <w:i/>
          <w:u w:val="single"/>
        </w:rPr>
        <w:t xml:space="preserve">granted </w:t>
      </w:r>
      <w:r w:rsidRPr="00EB5D37">
        <w:rPr>
          <w:rFonts w:ascii="Arial" w:hAnsi="Arial" w:cs="Arial"/>
          <w:b/>
          <w:i/>
          <w:u w:val="single"/>
        </w:rPr>
        <w:t xml:space="preserve">have been disclosed in the </w:t>
      </w:r>
      <w:r w:rsidR="00527D0D">
        <w:rPr>
          <w:rFonts w:ascii="Arial" w:hAnsi="Arial" w:cs="Arial"/>
          <w:b/>
          <w:i/>
          <w:u w:val="single"/>
        </w:rPr>
        <w:t>Issuer’s financial statement</w:t>
      </w:r>
      <w:r w:rsidR="001C27B3">
        <w:rPr>
          <w:rFonts w:ascii="Arial" w:hAnsi="Arial" w:cs="Arial"/>
          <w:b/>
          <w:i/>
          <w:u w:val="single"/>
        </w:rPr>
        <w:t>s</w:t>
      </w:r>
      <w:r w:rsidR="00527D0D">
        <w:rPr>
          <w:rFonts w:ascii="Arial" w:hAnsi="Arial" w:cs="Arial"/>
          <w:b/>
          <w:i/>
          <w:u w:val="single"/>
        </w:rPr>
        <w:t xml:space="preserve"> and notes</w:t>
      </w:r>
      <w:r w:rsidRPr="00EB5D37">
        <w:rPr>
          <w:rFonts w:ascii="Arial" w:hAnsi="Arial" w:cs="Arial"/>
          <w:b/>
          <w:i/>
          <w:u w:val="single"/>
        </w:rPr>
        <w:t xml:space="preserve"> for </w:t>
      </w:r>
      <w:r w:rsidRPr="00586497">
        <w:rPr>
          <w:rFonts w:ascii="Arial" w:hAnsi="Arial" w:cs="Arial"/>
          <w:b/>
          <w:i/>
          <w:u w:val="single"/>
        </w:rPr>
        <w:t xml:space="preserve">the </w:t>
      </w:r>
      <w:r w:rsidR="00586497" w:rsidRPr="00586497">
        <w:rPr>
          <w:rFonts w:ascii="Arial" w:hAnsi="Arial" w:cs="Arial"/>
          <w:b/>
          <w:i/>
          <w:u w:val="single"/>
        </w:rPr>
        <w:t>three months ended October</w:t>
      </w:r>
      <w:r w:rsidR="00F154B7" w:rsidRPr="00586497">
        <w:rPr>
          <w:rFonts w:ascii="Arial" w:hAnsi="Arial" w:cs="Arial"/>
          <w:b/>
          <w:i/>
          <w:u w:val="single"/>
        </w:rPr>
        <w:t xml:space="preserve"> 31</w:t>
      </w:r>
      <w:r w:rsidR="006565F3" w:rsidRPr="00F154B7">
        <w:rPr>
          <w:rFonts w:ascii="Arial" w:hAnsi="Arial" w:cs="Arial"/>
          <w:b/>
          <w:i/>
          <w:u w:val="single"/>
        </w:rPr>
        <w:t>,</w:t>
      </w:r>
      <w:r w:rsidR="006565F3" w:rsidRPr="006565F3">
        <w:rPr>
          <w:rFonts w:ascii="Arial" w:hAnsi="Arial" w:cs="Arial"/>
          <w:b/>
          <w:i/>
          <w:u w:val="single"/>
        </w:rPr>
        <w:t xml:space="preserve"> 2019</w:t>
      </w:r>
      <w:r w:rsidRPr="006565F3">
        <w:rPr>
          <w:rFonts w:ascii="Arial" w:hAnsi="Arial" w:cs="Arial"/>
          <w:b/>
          <w:i/>
          <w:u w:val="single"/>
        </w:rPr>
        <w:t>.</w:t>
      </w:r>
    </w:p>
    <w:p w14:paraId="5D5EBDC3" w14:textId="77777777" w:rsidR="001239E5" w:rsidRDefault="001239E5">
      <w:pPr>
        <w:pStyle w:val="BodyTextIndent"/>
        <w:spacing w:line="280" w:lineRule="exact"/>
        <w:rPr>
          <w:rFonts w:ascii="Arial" w:hAnsi="Arial"/>
        </w:rPr>
      </w:pPr>
    </w:p>
    <w:p w14:paraId="16A2D814"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004842DF" w14:textId="77777777" w:rsidR="0048706B" w:rsidRDefault="0048706B">
      <w:pPr>
        <w:spacing w:line="280" w:lineRule="exact"/>
        <w:ind w:left="720"/>
        <w:jc w:val="both"/>
        <w:rPr>
          <w:rFonts w:ascii="Arial" w:hAnsi="Arial"/>
          <w:sz w:val="24"/>
        </w:rPr>
      </w:pPr>
    </w:p>
    <w:p w14:paraId="6F3A230D" w14:textId="77777777" w:rsidR="0048706B" w:rsidRDefault="0048706B" w:rsidP="00621D06">
      <w:pPr>
        <w:numPr>
          <w:ilvl w:val="0"/>
          <w:numId w:val="4"/>
        </w:numPr>
        <w:spacing w:line="280" w:lineRule="exact"/>
        <w:jc w:val="both"/>
        <w:rPr>
          <w:rFonts w:ascii="Arial" w:hAnsi="Arial"/>
          <w:sz w:val="24"/>
        </w:rPr>
      </w:pPr>
      <w:r>
        <w:rPr>
          <w:rFonts w:ascii="Arial" w:hAnsi="Arial"/>
          <w:sz w:val="24"/>
        </w:rPr>
        <w:t>summary of securities issued during the period,</w:t>
      </w:r>
    </w:p>
    <w:p w14:paraId="245F92DA" w14:textId="77777777"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14:paraId="79FA44F3" w14:textId="77777777">
        <w:tc>
          <w:tcPr>
            <w:tcW w:w="990" w:type="dxa"/>
          </w:tcPr>
          <w:p w14:paraId="01917111" w14:textId="77777777" w:rsidR="0048706B" w:rsidRDefault="0048706B">
            <w:pPr>
              <w:keepNext/>
              <w:keepLines/>
              <w:spacing w:line="280" w:lineRule="exact"/>
              <w:jc w:val="center"/>
              <w:rPr>
                <w:rFonts w:ascii="Arial" w:hAnsi="Arial"/>
                <w:b/>
              </w:rPr>
            </w:pPr>
          </w:p>
          <w:p w14:paraId="43AB51AC" w14:textId="77777777" w:rsidR="0048706B" w:rsidRDefault="0048706B">
            <w:pPr>
              <w:keepNext/>
              <w:keepLines/>
              <w:spacing w:line="280" w:lineRule="exact"/>
              <w:jc w:val="center"/>
              <w:rPr>
                <w:rFonts w:ascii="Arial" w:hAnsi="Arial"/>
                <w:b/>
              </w:rPr>
            </w:pPr>
          </w:p>
          <w:p w14:paraId="1E690BAE" w14:textId="77777777" w:rsidR="0048706B" w:rsidRDefault="0048706B">
            <w:pPr>
              <w:keepNext/>
              <w:keepLines/>
              <w:spacing w:line="280" w:lineRule="exact"/>
              <w:jc w:val="center"/>
              <w:rPr>
                <w:rFonts w:ascii="Arial" w:hAnsi="Arial"/>
                <w:b/>
              </w:rPr>
            </w:pPr>
          </w:p>
          <w:p w14:paraId="3EF1C922" w14:textId="77777777" w:rsidR="0048706B" w:rsidRDefault="0048706B">
            <w:pPr>
              <w:keepNext/>
              <w:keepLines/>
              <w:spacing w:line="280" w:lineRule="exact"/>
              <w:jc w:val="center"/>
              <w:rPr>
                <w:rFonts w:ascii="Arial" w:hAnsi="Arial"/>
                <w:b/>
              </w:rPr>
            </w:pPr>
          </w:p>
          <w:p w14:paraId="5CBDFCA9" w14:textId="77777777" w:rsidR="0048706B" w:rsidRDefault="0048706B">
            <w:pPr>
              <w:keepNext/>
              <w:keepLines/>
              <w:spacing w:line="280" w:lineRule="exact"/>
              <w:jc w:val="center"/>
              <w:rPr>
                <w:rFonts w:ascii="Arial" w:hAnsi="Arial"/>
                <w:b/>
              </w:rPr>
            </w:pPr>
          </w:p>
          <w:p w14:paraId="7F92BB07" w14:textId="77777777" w:rsidR="0048706B" w:rsidRDefault="0048706B">
            <w:pPr>
              <w:keepNext/>
              <w:keepLines/>
              <w:spacing w:line="280" w:lineRule="exact"/>
              <w:jc w:val="center"/>
              <w:rPr>
                <w:rFonts w:ascii="Arial" w:hAnsi="Arial"/>
                <w:b/>
              </w:rPr>
            </w:pPr>
          </w:p>
          <w:p w14:paraId="3B1E015E"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09273683" w14:textId="77777777" w:rsidR="0048706B" w:rsidRDefault="0048706B">
            <w:pPr>
              <w:keepNext/>
              <w:keepLines/>
              <w:spacing w:line="280" w:lineRule="exact"/>
              <w:jc w:val="center"/>
              <w:rPr>
                <w:rFonts w:ascii="Arial" w:hAnsi="Arial"/>
                <w:b/>
              </w:rPr>
            </w:pPr>
          </w:p>
          <w:p w14:paraId="4062FE61"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30C5B152"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14:paraId="2B3067B7" w14:textId="77777777" w:rsidR="0048706B" w:rsidRDefault="0048706B">
            <w:pPr>
              <w:pStyle w:val="Heading3"/>
              <w:keepLines/>
              <w:jc w:val="center"/>
              <w:rPr>
                <w:sz w:val="20"/>
              </w:rPr>
            </w:pPr>
          </w:p>
          <w:p w14:paraId="7B07918C" w14:textId="77777777" w:rsidR="0048706B" w:rsidRDefault="0048706B">
            <w:pPr>
              <w:pStyle w:val="Heading3"/>
              <w:keepLines/>
              <w:jc w:val="center"/>
              <w:rPr>
                <w:sz w:val="20"/>
              </w:rPr>
            </w:pPr>
          </w:p>
          <w:p w14:paraId="6C679F4B" w14:textId="77777777" w:rsidR="0048706B" w:rsidRDefault="0048706B">
            <w:pPr>
              <w:pStyle w:val="Heading3"/>
              <w:keepLines/>
              <w:jc w:val="center"/>
              <w:rPr>
                <w:sz w:val="20"/>
              </w:rPr>
            </w:pPr>
          </w:p>
          <w:p w14:paraId="5E56EEC4" w14:textId="77777777" w:rsidR="0048706B" w:rsidRDefault="0048706B">
            <w:pPr>
              <w:pStyle w:val="Heading3"/>
              <w:keepLines/>
              <w:jc w:val="center"/>
              <w:rPr>
                <w:sz w:val="20"/>
              </w:rPr>
            </w:pPr>
          </w:p>
          <w:p w14:paraId="4812AC0B" w14:textId="77777777" w:rsidR="0048706B" w:rsidRDefault="0048706B">
            <w:pPr>
              <w:pStyle w:val="Heading3"/>
              <w:keepLines/>
              <w:jc w:val="center"/>
              <w:rPr>
                <w:sz w:val="20"/>
              </w:rPr>
            </w:pPr>
          </w:p>
          <w:p w14:paraId="0F5F0FD8" w14:textId="77777777" w:rsidR="0048706B" w:rsidRDefault="0048706B">
            <w:pPr>
              <w:pStyle w:val="Heading3"/>
              <w:keepLines/>
              <w:jc w:val="center"/>
              <w:rPr>
                <w:sz w:val="20"/>
              </w:rPr>
            </w:pPr>
          </w:p>
          <w:p w14:paraId="4CEF8FE2" w14:textId="77777777" w:rsidR="0048706B" w:rsidRDefault="0048706B">
            <w:pPr>
              <w:pStyle w:val="Heading3"/>
              <w:keepLines/>
              <w:jc w:val="center"/>
              <w:rPr>
                <w:sz w:val="20"/>
              </w:rPr>
            </w:pPr>
          </w:p>
          <w:p w14:paraId="1D6FB6B5" w14:textId="77777777" w:rsidR="0048706B" w:rsidRDefault="0048706B">
            <w:pPr>
              <w:pStyle w:val="Heading3"/>
              <w:keepLines/>
              <w:jc w:val="center"/>
              <w:rPr>
                <w:sz w:val="20"/>
              </w:rPr>
            </w:pPr>
            <w:r>
              <w:rPr>
                <w:sz w:val="20"/>
              </w:rPr>
              <w:t>Number</w:t>
            </w:r>
          </w:p>
        </w:tc>
        <w:tc>
          <w:tcPr>
            <w:tcW w:w="810" w:type="dxa"/>
          </w:tcPr>
          <w:p w14:paraId="61C0FCEB" w14:textId="77777777" w:rsidR="0048706B" w:rsidRDefault="0048706B">
            <w:pPr>
              <w:keepNext/>
              <w:keepLines/>
              <w:spacing w:line="280" w:lineRule="exact"/>
              <w:jc w:val="center"/>
              <w:rPr>
                <w:rFonts w:ascii="Arial" w:hAnsi="Arial"/>
                <w:b/>
              </w:rPr>
            </w:pPr>
          </w:p>
          <w:p w14:paraId="43B3A1EE" w14:textId="77777777" w:rsidR="0048706B" w:rsidRDefault="0048706B">
            <w:pPr>
              <w:keepNext/>
              <w:keepLines/>
              <w:spacing w:line="280" w:lineRule="exact"/>
              <w:jc w:val="center"/>
              <w:rPr>
                <w:rFonts w:ascii="Arial" w:hAnsi="Arial"/>
                <w:b/>
              </w:rPr>
            </w:pPr>
          </w:p>
          <w:p w14:paraId="5D580A24" w14:textId="77777777" w:rsidR="0048706B" w:rsidRDefault="0048706B">
            <w:pPr>
              <w:keepNext/>
              <w:keepLines/>
              <w:spacing w:line="280" w:lineRule="exact"/>
              <w:jc w:val="center"/>
              <w:rPr>
                <w:rFonts w:ascii="Arial" w:hAnsi="Arial"/>
                <w:b/>
              </w:rPr>
            </w:pPr>
          </w:p>
          <w:p w14:paraId="1589E963" w14:textId="77777777" w:rsidR="0048706B" w:rsidRDefault="0048706B">
            <w:pPr>
              <w:keepNext/>
              <w:keepLines/>
              <w:spacing w:line="280" w:lineRule="exact"/>
              <w:jc w:val="center"/>
              <w:rPr>
                <w:rFonts w:ascii="Arial" w:hAnsi="Arial"/>
                <w:b/>
              </w:rPr>
            </w:pPr>
          </w:p>
          <w:p w14:paraId="66CB3A6D" w14:textId="77777777" w:rsidR="0048706B" w:rsidRDefault="0048706B">
            <w:pPr>
              <w:keepNext/>
              <w:keepLines/>
              <w:spacing w:line="280" w:lineRule="exact"/>
              <w:jc w:val="center"/>
              <w:rPr>
                <w:rFonts w:ascii="Arial" w:hAnsi="Arial"/>
                <w:b/>
              </w:rPr>
            </w:pPr>
          </w:p>
          <w:p w14:paraId="1D8D6208" w14:textId="77777777" w:rsidR="0048706B" w:rsidRDefault="0048706B">
            <w:pPr>
              <w:keepNext/>
              <w:keepLines/>
              <w:spacing w:line="280" w:lineRule="exact"/>
              <w:jc w:val="center"/>
              <w:rPr>
                <w:rFonts w:ascii="Arial" w:hAnsi="Arial"/>
                <w:b/>
              </w:rPr>
            </w:pPr>
          </w:p>
          <w:p w14:paraId="53F69F1A" w14:textId="77777777" w:rsidR="0048706B" w:rsidRDefault="0048706B">
            <w:pPr>
              <w:keepNext/>
              <w:keepLines/>
              <w:spacing w:line="280" w:lineRule="exact"/>
              <w:jc w:val="center"/>
              <w:rPr>
                <w:rFonts w:ascii="Arial" w:hAnsi="Arial"/>
                <w:b/>
              </w:rPr>
            </w:pPr>
          </w:p>
          <w:p w14:paraId="37428C40"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0F0B4AFF" w14:textId="77777777" w:rsidR="0048706B" w:rsidRDefault="0048706B">
            <w:pPr>
              <w:keepNext/>
              <w:keepLines/>
              <w:spacing w:line="280" w:lineRule="exact"/>
              <w:jc w:val="center"/>
              <w:rPr>
                <w:rFonts w:ascii="Arial" w:hAnsi="Arial"/>
                <w:b/>
              </w:rPr>
            </w:pPr>
          </w:p>
          <w:p w14:paraId="3F48C0A6" w14:textId="77777777" w:rsidR="0048706B" w:rsidRDefault="0048706B">
            <w:pPr>
              <w:keepNext/>
              <w:keepLines/>
              <w:spacing w:line="280" w:lineRule="exact"/>
              <w:jc w:val="center"/>
              <w:rPr>
                <w:rFonts w:ascii="Arial" w:hAnsi="Arial"/>
                <w:b/>
              </w:rPr>
            </w:pPr>
          </w:p>
          <w:p w14:paraId="651379FE" w14:textId="77777777" w:rsidR="0048706B" w:rsidRDefault="0048706B">
            <w:pPr>
              <w:keepNext/>
              <w:keepLines/>
              <w:spacing w:line="280" w:lineRule="exact"/>
              <w:jc w:val="center"/>
              <w:rPr>
                <w:rFonts w:ascii="Arial" w:hAnsi="Arial"/>
                <w:b/>
              </w:rPr>
            </w:pPr>
          </w:p>
          <w:p w14:paraId="373BEF5F" w14:textId="77777777" w:rsidR="0048706B" w:rsidRDefault="0048706B">
            <w:pPr>
              <w:keepNext/>
              <w:keepLines/>
              <w:spacing w:line="280" w:lineRule="exact"/>
              <w:jc w:val="center"/>
              <w:rPr>
                <w:rFonts w:ascii="Arial" w:hAnsi="Arial"/>
                <w:b/>
              </w:rPr>
            </w:pPr>
          </w:p>
          <w:p w14:paraId="115AF125" w14:textId="77777777" w:rsidR="0048706B" w:rsidRDefault="0048706B">
            <w:pPr>
              <w:keepNext/>
              <w:keepLines/>
              <w:spacing w:line="280" w:lineRule="exact"/>
              <w:jc w:val="center"/>
              <w:rPr>
                <w:rFonts w:ascii="Arial" w:hAnsi="Arial"/>
                <w:b/>
              </w:rPr>
            </w:pPr>
          </w:p>
          <w:p w14:paraId="68E1E5EA" w14:textId="77777777" w:rsidR="0048706B" w:rsidRDefault="0048706B">
            <w:pPr>
              <w:keepNext/>
              <w:keepLines/>
              <w:spacing w:line="280" w:lineRule="exact"/>
              <w:jc w:val="center"/>
              <w:rPr>
                <w:rFonts w:ascii="Arial" w:hAnsi="Arial"/>
                <w:b/>
              </w:rPr>
            </w:pPr>
          </w:p>
          <w:p w14:paraId="3D3E3B2B" w14:textId="77777777"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14:paraId="1770AF73" w14:textId="77777777" w:rsidR="0048706B" w:rsidRDefault="0048706B">
            <w:pPr>
              <w:keepNext/>
              <w:keepLines/>
              <w:spacing w:line="280" w:lineRule="exact"/>
              <w:jc w:val="center"/>
              <w:rPr>
                <w:rFonts w:ascii="Arial" w:hAnsi="Arial"/>
                <w:b/>
              </w:rPr>
            </w:pPr>
          </w:p>
          <w:p w14:paraId="5907858C" w14:textId="77777777" w:rsidR="0048706B" w:rsidRDefault="0048706B">
            <w:pPr>
              <w:keepNext/>
              <w:keepLines/>
              <w:spacing w:line="280" w:lineRule="exact"/>
              <w:jc w:val="center"/>
              <w:rPr>
                <w:rFonts w:ascii="Arial" w:hAnsi="Arial"/>
                <w:b/>
              </w:rPr>
            </w:pPr>
          </w:p>
          <w:p w14:paraId="109B4399" w14:textId="77777777" w:rsidR="0048706B" w:rsidRDefault="0048706B">
            <w:pPr>
              <w:keepNext/>
              <w:keepLines/>
              <w:spacing w:line="280" w:lineRule="exact"/>
              <w:jc w:val="center"/>
              <w:rPr>
                <w:rFonts w:ascii="Arial" w:hAnsi="Arial"/>
                <w:b/>
              </w:rPr>
            </w:pPr>
          </w:p>
          <w:p w14:paraId="2F7D0219" w14:textId="77777777" w:rsidR="0048706B" w:rsidRDefault="0048706B">
            <w:pPr>
              <w:keepNext/>
              <w:keepLines/>
              <w:spacing w:line="280" w:lineRule="exact"/>
              <w:jc w:val="center"/>
              <w:rPr>
                <w:rFonts w:ascii="Arial" w:hAnsi="Arial"/>
                <w:b/>
              </w:rPr>
            </w:pPr>
          </w:p>
          <w:p w14:paraId="69C657CA"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7922D0FF" w14:textId="77777777" w:rsidR="0048706B" w:rsidRDefault="0048706B">
            <w:pPr>
              <w:keepNext/>
              <w:keepLines/>
              <w:spacing w:line="280" w:lineRule="exact"/>
              <w:jc w:val="center"/>
              <w:rPr>
                <w:rFonts w:ascii="Arial" w:hAnsi="Arial"/>
                <w:b/>
              </w:rPr>
            </w:pPr>
          </w:p>
          <w:p w14:paraId="47B8C710"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16B9978B" w14:textId="77777777" w:rsidR="0048706B" w:rsidRDefault="0048706B">
            <w:pPr>
              <w:keepNext/>
              <w:keepLines/>
              <w:spacing w:line="280" w:lineRule="exact"/>
              <w:jc w:val="center"/>
              <w:rPr>
                <w:rFonts w:ascii="Arial" w:hAnsi="Arial"/>
                <w:b/>
              </w:rPr>
            </w:pPr>
          </w:p>
          <w:p w14:paraId="68F76418" w14:textId="77777777" w:rsidR="0048706B" w:rsidRDefault="0048706B">
            <w:pPr>
              <w:keepNext/>
              <w:keepLines/>
              <w:spacing w:line="280" w:lineRule="exact"/>
              <w:jc w:val="center"/>
              <w:rPr>
                <w:rFonts w:ascii="Arial" w:hAnsi="Arial"/>
                <w:b/>
              </w:rPr>
            </w:pPr>
          </w:p>
          <w:p w14:paraId="75C7DA30" w14:textId="77777777" w:rsidR="0048706B" w:rsidRDefault="0048706B">
            <w:pPr>
              <w:keepNext/>
              <w:keepLines/>
              <w:spacing w:line="280" w:lineRule="exact"/>
              <w:jc w:val="center"/>
              <w:rPr>
                <w:rFonts w:ascii="Arial" w:hAnsi="Arial"/>
                <w:b/>
              </w:rPr>
            </w:pPr>
          </w:p>
          <w:p w14:paraId="0F0A4BBE" w14:textId="77777777" w:rsidR="0048706B" w:rsidRDefault="0048706B">
            <w:pPr>
              <w:keepNext/>
              <w:keepLines/>
              <w:spacing w:line="280" w:lineRule="exact"/>
              <w:jc w:val="center"/>
              <w:rPr>
                <w:rFonts w:ascii="Arial" w:hAnsi="Arial"/>
                <w:b/>
              </w:rPr>
            </w:pPr>
          </w:p>
          <w:p w14:paraId="19086582" w14:textId="77777777" w:rsidR="0048706B" w:rsidRDefault="0048706B">
            <w:pPr>
              <w:keepNext/>
              <w:keepLines/>
              <w:spacing w:line="280" w:lineRule="exact"/>
              <w:jc w:val="center"/>
              <w:rPr>
                <w:rFonts w:ascii="Arial" w:hAnsi="Arial"/>
                <w:b/>
              </w:rPr>
            </w:pPr>
          </w:p>
          <w:p w14:paraId="722AE984" w14:textId="77777777" w:rsidR="0048706B" w:rsidRDefault="0048706B">
            <w:pPr>
              <w:keepNext/>
              <w:keepLines/>
              <w:spacing w:line="280" w:lineRule="exact"/>
              <w:jc w:val="center"/>
              <w:rPr>
                <w:rFonts w:ascii="Arial" w:hAnsi="Arial"/>
                <w:b/>
              </w:rPr>
            </w:pPr>
          </w:p>
          <w:p w14:paraId="734D5D1E" w14:textId="77777777" w:rsidR="0048706B" w:rsidRDefault="0048706B">
            <w:pPr>
              <w:keepNext/>
              <w:keepLines/>
              <w:spacing w:line="280" w:lineRule="exact"/>
              <w:jc w:val="center"/>
              <w:rPr>
                <w:rFonts w:ascii="Arial" w:hAnsi="Arial"/>
                <w:b/>
              </w:rPr>
            </w:pPr>
            <w:r>
              <w:rPr>
                <w:rFonts w:ascii="Arial" w:hAnsi="Arial"/>
                <w:b/>
              </w:rPr>
              <w:t>Commission Paid</w:t>
            </w:r>
          </w:p>
        </w:tc>
      </w:tr>
      <w:tr w:rsidR="0048706B" w14:paraId="29F7A384" w14:textId="77777777">
        <w:tc>
          <w:tcPr>
            <w:tcW w:w="990" w:type="dxa"/>
          </w:tcPr>
          <w:p w14:paraId="113424A1" w14:textId="77777777" w:rsidR="0048706B" w:rsidRPr="00246006" w:rsidRDefault="00246006">
            <w:pPr>
              <w:keepNext/>
              <w:keepLines/>
              <w:spacing w:line="280" w:lineRule="exact"/>
              <w:jc w:val="both"/>
              <w:rPr>
                <w:rFonts w:ascii="Arial" w:hAnsi="Arial"/>
                <w:b/>
                <w:i/>
                <w:u w:val="single"/>
              </w:rPr>
            </w:pPr>
            <w:r w:rsidRPr="00246006">
              <w:rPr>
                <w:rFonts w:ascii="Arial" w:hAnsi="Arial"/>
                <w:b/>
                <w:i/>
                <w:u w:val="single"/>
              </w:rPr>
              <w:t>N/A</w:t>
            </w:r>
          </w:p>
        </w:tc>
        <w:tc>
          <w:tcPr>
            <w:tcW w:w="1440" w:type="dxa"/>
          </w:tcPr>
          <w:p w14:paraId="186DDBD4" w14:textId="77777777" w:rsidR="0048706B" w:rsidRDefault="0048706B">
            <w:pPr>
              <w:keepNext/>
              <w:keepLines/>
              <w:spacing w:line="280" w:lineRule="exact"/>
              <w:jc w:val="both"/>
              <w:rPr>
                <w:rFonts w:ascii="Arial" w:hAnsi="Arial"/>
              </w:rPr>
            </w:pPr>
          </w:p>
        </w:tc>
        <w:tc>
          <w:tcPr>
            <w:tcW w:w="1350" w:type="dxa"/>
          </w:tcPr>
          <w:p w14:paraId="4997155A" w14:textId="77777777" w:rsidR="0048706B" w:rsidRDefault="0048706B">
            <w:pPr>
              <w:keepNext/>
              <w:keepLines/>
              <w:spacing w:line="280" w:lineRule="exact"/>
              <w:jc w:val="both"/>
              <w:rPr>
                <w:rFonts w:ascii="Arial" w:hAnsi="Arial"/>
              </w:rPr>
            </w:pPr>
          </w:p>
        </w:tc>
        <w:tc>
          <w:tcPr>
            <w:tcW w:w="990" w:type="dxa"/>
          </w:tcPr>
          <w:p w14:paraId="441B0685" w14:textId="77777777" w:rsidR="0048706B" w:rsidRDefault="0048706B">
            <w:pPr>
              <w:keepNext/>
              <w:keepLines/>
              <w:spacing w:line="280" w:lineRule="exact"/>
              <w:jc w:val="both"/>
              <w:rPr>
                <w:rFonts w:ascii="Arial" w:hAnsi="Arial"/>
              </w:rPr>
            </w:pPr>
          </w:p>
        </w:tc>
        <w:tc>
          <w:tcPr>
            <w:tcW w:w="810" w:type="dxa"/>
          </w:tcPr>
          <w:p w14:paraId="5BD5FA93" w14:textId="77777777" w:rsidR="0048706B" w:rsidRDefault="0048706B">
            <w:pPr>
              <w:keepNext/>
              <w:keepLines/>
              <w:spacing w:line="280" w:lineRule="exact"/>
              <w:jc w:val="both"/>
              <w:rPr>
                <w:rFonts w:ascii="Arial" w:hAnsi="Arial"/>
              </w:rPr>
            </w:pPr>
          </w:p>
        </w:tc>
        <w:tc>
          <w:tcPr>
            <w:tcW w:w="1260" w:type="dxa"/>
          </w:tcPr>
          <w:p w14:paraId="3AFAC693" w14:textId="77777777" w:rsidR="0048706B" w:rsidRDefault="0048706B">
            <w:pPr>
              <w:keepNext/>
              <w:keepLines/>
              <w:spacing w:line="280" w:lineRule="exact"/>
              <w:jc w:val="both"/>
              <w:rPr>
                <w:rFonts w:ascii="Arial" w:hAnsi="Arial"/>
              </w:rPr>
            </w:pPr>
          </w:p>
        </w:tc>
        <w:tc>
          <w:tcPr>
            <w:tcW w:w="1620" w:type="dxa"/>
          </w:tcPr>
          <w:p w14:paraId="41A0C1D4" w14:textId="77777777" w:rsidR="0048706B" w:rsidRDefault="0048706B">
            <w:pPr>
              <w:keepNext/>
              <w:keepLines/>
              <w:spacing w:line="280" w:lineRule="exact"/>
              <w:jc w:val="both"/>
              <w:rPr>
                <w:rFonts w:ascii="Arial" w:hAnsi="Arial"/>
              </w:rPr>
            </w:pPr>
          </w:p>
        </w:tc>
        <w:tc>
          <w:tcPr>
            <w:tcW w:w="1350" w:type="dxa"/>
          </w:tcPr>
          <w:p w14:paraId="4F38C658" w14:textId="77777777" w:rsidR="0048706B" w:rsidRDefault="0048706B">
            <w:pPr>
              <w:keepNext/>
              <w:keepLines/>
              <w:spacing w:line="280" w:lineRule="exact"/>
              <w:jc w:val="both"/>
              <w:rPr>
                <w:rFonts w:ascii="Arial" w:hAnsi="Arial"/>
              </w:rPr>
            </w:pPr>
          </w:p>
        </w:tc>
        <w:tc>
          <w:tcPr>
            <w:tcW w:w="1440" w:type="dxa"/>
          </w:tcPr>
          <w:p w14:paraId="501E0020" w14:textId="77777777" w:rsidR="0048706B" w:rsidRDefault="0048706B">
            <w:pPr>
              <w:keepNext/>
              <w:keepLines/>
              <w:spacing w:line="280" w:lineRule="exact"/>
              <w:jc w:val="both"/>
              <w:rPr>
                <w:rFonts w:ascii="Arial" w:hAnsi="Arial"/>
              </w:rPr>
            </w:pPr>
          </w:p>
        </w:tc>
      </w:tr>
      <w:tr w:rsidR="0048706B" w14:paraId="79B7137B" w14:textId="77777777">
        <w:tc>
          <w:tcPr>
            <w:tcW w:w="990" w:type="dxa"/>
          </w:tcPr>
          <w:p w14:paraId="1C48DB44" w14:textId="77777777" w:rsidR="0048706B" w:rsidRDefault="0048706B">
            <w:pPr>
              <w:keepNext/>
              <w:keepLines/>
              <w:spacing w:line="280" w:lineRule="exact"/>
              <w:jc w:val="both"/>
              <w:rPr>
                <w:rFonts w:ascii="Arial" w:hAnsi="Arial"/>
              </w:rPr>
            </w:pPr>
          </w:p>
        </w:tc>
        <w:tc>
          <w:tcPr>
            <w:tcW w:w="1440" w:type="dxa"/>
          </w:tcPr>
          <w:p w14:paraId="32109127" w14:textId="77777777" w:rsidR="0048706B" w:rsidRDefault="0048706B">
            <w:pPr>
              <w:keepNext/>
              <w:keepLines/>
              <w:spacing w:line="280" w:lineRule="exact"/>
              <w:jc w:val="both"/>
              <w:rPr>
                <w:rFonts w:ascii="Arial" w:hAnsi="Arial"/>
              </w:rPr>
            </w:pPr>
          </w:p>
        </w:tc>
        <w:tc>
          <w:tcPr>
            <w:tcW w:w="1350" w:type="dxa"/>
          </w:tcPr>
          <w:p w14:paraId="409D49A7" w14:textId="77777777" w:rsidR="0048706B" w:rsidRDefault="0048706B">
            <w:pPr>
              <w:keepNext/>
              <w:keepLines/>
              <w:spacing w:line="280" w:lineRule="exact"/>
              <w:jc w:val="both"/>
              <w:rPr>
                <w:rFonts w:ascii="Arial" w:hAnsi="Arial"/>
              </w:rPr>
            </w:pPr>
          </w:p>
        </w:tc>
        <w:tc>
          <w:tcPr>
            <w:tcW w:w="990" w:type="dxa"/>
          </w:tcPr>
          <w:p w14:paraId="6D1F6641" w14:textId="77777777" w:rsidR="0048706B" w:rsidRDefault="0048706B">
            <w:pPr>
              <w:keepNext/>
              <w:keepLines/>
              <w:spacing w:line="280" w:lineRule="exact"/>
              <w:jc w:val="both"/>
              <w:rPr>
                <w:rFonts w:ascii="Arial" w:hAnsi="Arial"/>
              </w:rPr>
            </w:pPr>
          </w:p>
        </w:tc>
        <w:tc>
          <w:tcPr>
            <w:tcW w:w="810" w:type="dxa"/>
          </w:tcPr>
          <w:p w14:paraId="68A2BC9A" w14:textId="77777777" w:rsidR="0048706B" w:rsidRDefault="0048706B">
            <w:pPr>
              <w:keepNext/>
              <w:keepLines/>
              <w:spacing w:line="280" w:lineRule="exact"/>
              <w:jc w:val="both"/>
              <w:rPr>
                <w:rFonts w:ascii="Arial" w:hAnsi="Arial"/>
              </w:rPr>
            </w:pPr>
          </w:p>
        </w:tc>
        <w:tc>
          <w:tcPr>
            <w:tcW w:w="1260" w:type="dxa"/>
          </w:tcPr>
          <w:p w14:paraId="462A5CDA" w14:textId="77777777" w:rsidR="0048706B" w:rsidRDefault="0048706B">
            <w:pPr>
              <w:keepNext/>
              <w:keepLines/>
              <w:spacing w:line="280" w:lineRule="exact"/>
              <w:jc w:val="both"/>
              <w:rPr>
                <w:rFonts w:ascii="Arial" w:hAnsi="Arial"/>
              </w:rPr>
            </w:pPr>
          </w:p>
        </w:tc>
        <w:tc>
          <w:tcPr>
            <w:tcW w:w="1620" w:type="dxa"/>
          </w:tcPr>
          <w:p w14:paraId="6238E92A" w14:textId="77777777" w:rsidR="0048706B" w:rsidRDefault="0048706B">
            <w:pPr>
              <w:keepNext/>
              <w:keepLines/>
              <w:spacing w:line="280" w:lineRule="exact"/>
              <w:jc w:val="both"/>
              <w:rPr>
                <w:rFonts w:ascii="Arial" w:hAnsi="Arial"/>
              </w:rPr>
            </w:pPr>
          </w:p>
        </w:tc>
        <w:tc>
          <w:tcPr>
            <w:tcW w:w="1350" w:type="dxa"/>
          </w:tcPr>
          <w:p w14:paraId="3C55E585" w14:textId="77777777" w:rsidR="0048706B" w:rsidRDefault="0048706B">
            <w:pPr>
              <w:keepNext/>
              <w:keepLines/>
              <w:spacing w:line="280" w:lineRule="exact"/>
              <w:jc w:val="both"/>
              <w:rPr>
                <w:rFonts w:ascii="Arial" w:hAnsi="Arial"/>
              </w:rPr>
            </w:pPr>
          </w:p>
        </w:tc>
        <w:tc>
          <w:tcPr>
            <w:tcW w:w="1440" w:type="dxa"/>
          </w:tcPr>
          <w:p w14:paraId="4653036C" w14:textId="77777777" w:rsidR="0048706B" w:rsidRDefault="0048706B">
            <w:pPr>
              <w:keepNext/>
              <w:keepLines/>
              <w:spacing w:line="280" w:lineRule="exact"/>
              <w:jc w:val="both"/>
              <w:rPr>
                <w:rFonts w:ascii="Arial" w:hAnsi="Arial"/>
              </w:rPr>
            </w:pPr>
          </w:p>
        </w:tc>
      </w:tr>
      <w:tr w:rsidR="0048706B" w14:paraId="7DA37AD1" w14:textId="77777777">
        <w:tc>
          <w:tcPr>
            <w:tcW w:w="990" w:type="dxa"/>
          </w:tcPr>
          <w:p w14:paraId="7F73604C" w14:textId="77777777" w:rsidR="0048706B" w:rsidRDefault="0048706B">
            <w:pPr>
              <w:keepNext/>
              <w:keepLines/>
              <w:spacing w:line="280" w:lineRule="exact"/>
              <w:jc w:val="both"/>
              <w:rPr>
                <w:rFonts w:ascii="Arial" w:hAnsi="Arial"/>
              </w:rPr>
            </w:pPr>
          </w:p>
        </w:tc>
        <w:tc>
          <w:tcPr>
            <w:tcW w:w="1440" w:type="dxa"/>
          </w:tcPr>
          <w:p w14:paraId="08424550" w14:textId="77777777" w:rsidR="0048706B" w:rsidRDefault="0048706B">
            <w:pPr>
              <w:keepNext/>
              <w:keepLines/>
              <w:spacing w:line="280" w:lineRule="exact"/>
              <w:jc w:val="both"/>
              <w:rPr>
                <w:rFonts w:ascii="Arial" w:hAnsi="Arial"/>
              </w:rPr>
            </w:pPr>
          </w:p>
        </w:tc>
        <w:tc>
          <w:tcPr>
            <w:tcW w:w="1350" w:type="dxa"/>
          </w:tcPr>
          <w:p w14:paraId="7169D1B8" w14:textId="77777777" w:rsidR="0048706B" w:rsidRDefault="0048706B">
            <w:pPr>
              <w:keepNext/>
              <w:keepLines/>
              <w:spacing w:line="280" w:lineRule="exact"/>
              <w:jc w:val="both"/>
              <w:rPr>
                <w:rFonts w:ascii="Arial" w:hAnsi="Arial"/>
              </w:rPr>
            </w:pPr>
          </w:p>
        </w:tc>
        <w:tc>
          <w:tcPr>
            <w:tcW w:w="990" w:type="dxa"/>
          </w:tcPr>
          <w:p w14:paraId="039F80E0" w14:textId="77777777" w:rsidR="0048706B" w:rsidRDefault="0048706B">
            <w:pPr>
              <w:keepNext/>
              <w:keepLines/>
              <w:spacing w:line="280" w:lineRule="exact"/>
              <w:jc w:val="both"/>
              <w:rPr>
                <w:rFonts w:ascii="Arial" w:hAnsi="Arial"/>
              </w:rPr>
            </w:pPr>
          </w:p>
        </w:tc>
        <w:tc>
          <w:tcPr>
            <w:tcW w:w="810" w:type="dxa"/>
          </w:tcPr>
          <w:p w14:paraId="191FBCC3" w14:textId="77777777" w:rsidR="0048706B" w:rsidRDefault="0048706B">
            <w:pPr>
              <w:keepNext/>
              <w:keepLines/>
              <w:spacing w:line="280" w:lineRule="exact"/>
              <w:jc w:val="both"/>
              <w:rPr>
                <w:rFonts w:ascii="Arial" w:hAnsi="Arial"/>
              </w:rPr>
            </w:pPr>
          </w:p>
        </w:tc>
        <w:tc>
          <w:tcPr>
            <w:tcW w:w="1260" w:type="dxa"/>
          </w:tcPr>
          <w:p w14:paraId="71993ED5" w14:textId="77777777" w:rsidR="0048706B" w:rsidRDefault="0048706B">
            <w:pPr>
              <w:keepNext/>
              <w:keepLines/>
              <w:spacing w:line="280" w:lineRule="exact"/>
              <w:jc w:val="both"/>
              <w:rPr>
                <w:rFonts w:ascii="Arial" w:hAnsi="Arial"/>
              </w:rPr>
            </w:pPr>
          </w:p>
        </w:tc>
        <w:tc>
          <w:tcPr>
            <w:tcW w:w="1620" w:type="dxa"/>
          </w:tcPr>
          <w:p w14:paraId="1F0C61D9" w14:textId="77777777" w:rsidR="0048706B" w:rsidRDefault="0048706B">
            <w:pPr>
              <w:keepNext/>
              <w:keepLines/>
              <w:spacing w:line="280" w:lineRule="exact"/>
              <w:jc w:val="both"/>
              <w:rPr>
                <w:rFonts w:ascii="Arial" w:hAnsi="Arial"/>
              </w:rPr>
            </w:pPr>
          </w:p>
        </w:tc>
        <w:tc>
          <w:tcPr>
            <w:tcW w:w="1350" w:type="dxa"/>
          </w:tcPr>
          <w:p w14:paraId="39128E09" w14:textId="77777777" w:rsidR="0048706B" w:rsidRDefault="0048706B">
            <w:pPr>
              <w:keepNext/>
              <w:keepLines/>
              <w:spacing w:line="280" w:lineRule="exact"/>
              <w:jc w:val="both"/>
              <w:rPr>
                <w:rFonts w:ascii="Arial" w:hAnsi="Arial"/>
              </w:rPr>
            </w:pPr>
          </w:p>
        </w:tc>
        <w:tc>
          <w:tcPr>
            <w:tcW w:w="1440" w:type="dxa"/>
          </w:tcPr>
          <w:p w14:paraId="17DFBEB2" w14:textId="77777777" w:rsidR="0048706B" w:rsidRDefault="0048706B">
            <w:pPr>
              <w:keepNext/>
              <w:keepLines/>
              <w:spacing w:line="280" w:lineRule="exact"/>
              <w:jc w:val="both"/>
              <w:rPr>
                <w:rFonts w:ascii="Arial" w:hAnsi="Arial"/>
              </w:rPr>
            </w:pPr>
          </w:p>
        </w:tc>
      </w:tr>
    </w:tbl>
    <w:p w14:paraId="03ABA10F" w14:textId="77777777" w:rsidR="0048706B" w:rsidRDefault="0048706B">
      <w:pPr>
        <w:spacing w:line="280" w:lineRule="exact"/>
        <w:ind w:left="720"/>
        <w:jc w:val="both"/>
        <w:rPr>
          <w:rFonts w:ascii="Arial" w:hAnsi="Arial"/>
          <w:sz w:val="24"/>
        </w:rPr>
      </w:pPr>
    </w:p>
    <w:p w14:paraId="6A4E7D1C" w14:textId="77777777" w:rsidR="0048706B" w:rsidRDefault="0048706B" w:rsidP="00621D06">
      <w:pPr>
        <w:numPr>
          <w:ilvl w:val="0"/>
          <w:numId w:val="4"/>
        </w:numPr>
        <w:spacing w:line="280" w:lineRule="exact"/>
        <w:jc w:val="both"/>
        <w:rPr>
          <w:rFonts w:ascii="Arial" w:hAnsi="Arial"/>
          <w:sz w:val="24"/>
        </w:rPr>
      </w:pPr>
      <w:r>
        <w:rPr>
          <w:rFonts w:ascii="Arial" w:hAnsi="Arial"/>
          <w:sz w:val="24"/>
        </w:rPr>
        <w:t>summary of options granted during the period,</w:t>
      </w:r>
    </w:p>
    <w:p w14:paraId="60229202"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14:paraId="2F68289B" w14:textId="77777777">
        <w:tc>
          <w:tcPr>
            <w:tcW w:w="1098" w:type="dxa"/>
          </w:tcPr>
          <w:p w14:paraId="294833B7" w14:textId="77777777" w:rsidR="0048706B" w:rsidRDefault="0048706B">
            <w:pPr>
              <w:pStyle w:val="Heading4"/>
              <w:jc w:val="center"/>
            </w:pPr>
          </w:p>
          <w:p w14:paraId="51F4B6EA" w14:textId="77777777" w:rsidR="0048706B" w:rsidRDefault="0048706B">
            <w:pPr>
              <w:pStyle w:val="Heading4"/>
              <w:jc w:val="center"/>
            </w:pPr>
          </w:p>
          <w:p w14:paraId="341A1B21" w14:textId="77777777" w:rsidR="0048706B" w:rsidRDefault="0048706B">
            <w:pPr>
              <w:pStyle w:val="Heading4"/>
              <w:jc w:val="center"/>
            </w:pPr>
            <w:r>
              <w:t>Date</w:t>
            </w:r>
          </w:p>
        </w:tc>
        <w:tc>
          <w:tcPr>
            <w:tcW w:w="1350" w:type="dxa"/>
          </w:tcPr>
          <w:p w14:paraId="688F9EF2" w14:textId="77777777" w:rsidR="0048706B" w:rsidRDefault="0048706B">
            <w:pPr>
              <w:spacing w:line="280" w:lineRule="exact"/>
              <w:jc w:val="center"/>
              <w:rPr>
                <w:rFonts w:ascii="Arial" w:hAnsi="Arial"/>
                <w:b/>
              </w:rPr>
            </w:pPr>
          </w:p>
          <w:p w14:paraId="68D1A193" w14:textId="77777777" w:rsidR="0048706B" w:rsidRDefault="0048706B">
            <w:pPr>
              <w:spacing w:line="280" w:lineRule="exact"/>
              <w:jc w:val="center"/>
              <w:rPr>
                <w:rFonts w:ascii="Arial" w:hAnsi="Arial"/>
                <w:b/>
              </w:rPr>
            </w:pPr>
          </w:p>
          <w:p w14:paraId="4D306150" w14:textId="77777777" w:rsidR="0048706B" w:rsidRDefault="0048706B">
            <w:pPr>
              <w:spacing w:line="280" w:lineRule="exact"/>
              <w:jc w:val="center"/>
              <w:rPr>
                <w:rFonts w:ascii="Arial" w:hAnsi="Arial"/>
                <w:b/>
              </w:rPr>
            </w:pPr>
            <w:r>
              <w:rPr>
                <w:rFonts w:ascii="Arial" w:hAnsi="Arial"/>
                <w:b/>
              </w:rPr>
              <w:t>Number</w:t>
            </w:r>
          </w:p>
        </w:tc>
        <w:tc>
          <w:tcPr>
            <w:tcW w:w="2160" w:type="dxa"/>
          </w:tcPr>
          <w:p w14:paraId="54121CE4" w14:textId="77777777" w:rsidR="0048706B" w:rsidRDefault="0048706B">
            <w:pPr>
              <w:spacing w:line="280" w:lineRule="exact"/>
              <w:jc w:val="center"/>
              <w:rPr>
                <w:rFonts w:ascii="Arial" w:hAnsi="Arial"/>
                <w:b/>
              </w:rPr>
            </w:pPr>
          </w:p>
          <w:p w14:paraId="55EB4712" w14:textId="77777777" w:rsidR="0048706B" w:rsidRDefault="0048706B">
            <w:pPr>
              <w:spacing w:line="280" w:lineRule="exact"/>
              <w:jc w:val="center"/>
              <w:rPr>
                <w:rFonts w:ascii="Arial" w:hAnsi="Arial"/>
                <w:b/>
              </w:rPr>
            </w:pPr>
            <w:r>
              <w:rPr>
                <w:rFonts w:ascii="Arial" w:hAnsi="Arial"/>
                <w:b/>
              </w:rPr>
              <w:t>Name of Optionee</w:t>
            </w:r>
          </w:p>
          <w:p w14:paraId="3E125B20" w14:textId="77777777" w:rsidR="0048706B" w:rsidRDefault="0048706B">
            <w:pPr>
              <w:spacing w:line="280" w:lineRule="exact"/>
              <w:jc w:val="center"/>
              <w:rPr>
                <w:rFonts w:ascii="Arial" w:hAnsi="Arial"/>
                <w:b/>
              </w:rPr>
            </w:pPr>
            <w:r>
              <w:rPr>
                <w:rFonts w:ascii="Arial" w:hAnsi="Arial"/>
                <w:b/>
              </w:rPr>
              <w:t>if Related Person</w:t>
            </w:r>
          </w:p>
          <w:p w14:paraId="613EAF71"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3CDD7391" w14:textId="77777777" w:rsidR="0048706B" w:rsidRDefault="0048706B">
            <w:pPr>
              <w:spacing w:line="280" w:lineRule="exact"/>
              <w:jc w:val="center"/>
              <w:rPr>
                <w:rFonts w:ascii="Arial" w:hAnsi="Arial"/>
                <w:b/>
              </w:rPr>
            </w:pPr>
          </w:p>
          <w:p w14:paraId="16A762A3"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2E7FBC57" w14:textId="77777777" w:rsidR="0048706B" w:rsidRDefault="0048706B">
            <w:pPr>
              <w:spacing w:line="280" w:lineRule="exact"/>
              <w:jc w:val="center"/>
              <w:rPr>
                <w:rFonts w:ascii="Arial" w:hAnsi="Arial"/>
                <w:b/>
              </w:rPr>
            </w:pPr>
          </w:p>
          <w:p w14:paraId="75692720" w14:textId="77777777" w:rsidR="0048706B" w:rsidRDefault="0048706B">
            <w:pPr>
              <w:spacing w:line="280" w:lineRule="exact"/>
              <w:jc w:val="center"/>
              <w:rPr>
                <w:rFonts w:ascii="Arial" w:hAnsi="Arial"/>
                <w:b/>
              </w:rPr>
            </w:pPr>
          </w:p>
          <w:p w14:paraId="5E0EE871"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7CF80D97" w14:textId="77777777" w:rsidR="0048706B" w:rsidRDefault="0048706B">
            <w:pPr>
              <w:spacing w:line="280" w:lineRule="exact"/>
              <w:jc w:val="center"/>
              <w:rPr>
                <w:rFonts w:ascii="Arial" w:hAnsi="Arial"/>
                <w:b/>
              </w:rPr>
            </w:pPr>
          </w:p>
          <w:p w14:paraId="532E5231" w14:textId="77777777" w:rsidR="0048706B" w:rsidRDefault="0048706B">
            <w:pPr>
              <w:spacing w:line="280" w:lineRule="exact"/>
              <w:jc w:val="center"/>
              <w:rPr>
                <w:rFonts w:ascii="Arial" w:hAnsi="Arial"/>
                <w:b/>
              </w:rPr>
            </w:pPr>
          </w:p>
          <w:p w14:paraId="3313F0DA"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1F0BA6E0" w14:textId="77777777" w:rsidR="0048706B" w:rsidRDefault="0048706B">
            <w:pPr>
              <w:spacing w:line="280" w:lineRule="exact"/>
              <w:jc w:val="center"/>
              <w:rPr>
                <w:rFonts w:ascii="Arial" w:hAnsi="Arial"/>
                <w:b/>
              </w:rPr>
            </w:pPr>
          </w:p>
          <w:p w14:paraId="1D0DA463"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30B7605E" w14:textId="77777777">
        <w:tc>
          <w:tcPr>
            <w:tcW w:w="1098" w:type="dxa"/>
          </w:tcPr>
          <w:p w14:paraId="49EA9674" w14:textId="77777777" w:rsidR="0048706B" w:rsidRDefault="00246006">
            <w:pPr>
              <w:spacing w:line="280" w:lineRule="exact"/>
              <w:jc w:val="both"/>
              <w:rPr>
                <w:rFonts w:ascii="Arial" w:hAnsi="Arial"/>
              </w:rPr>
            </w:pPr>
            <w:r w:rsidRPr="00246006">
              <w:rPr>
                <w:rFonts w:ascii="Arial" w:hAnsi="Arial"/>
                <w:b/>
                <w:i/>
                <w:u w:val="single"/>
              </w:rPr>
              <w:t>N/A</w:t>
            </w:r>
          </w:p>
        </w:tc>
        <w:tc>
          <w:tcPr>
            <w:tcW w:w="1350" w:type="dxa"/>
          </w:tcPr>
          <w:p w14:paraId="479AB94E" w14:textId="77777777" w:rsidR="0048706B" w:rsidRDefault="0048706B">
            <w:pPr>
              <w:spacing w:line="280" w:lineRule="exact"/>
              <w:jc w:val="both"/>
              <w:rPr>
                <w:rFonts w:ascii="Arial" w:hAnsi="Arial"/>
              </w:rPr>
            </w:pPr>
          </w:p>
        </w:tc>
        <w:tc>
          <w:tcPr>
            <w:tcW w:w="2160" w:type="dxa"/>
          </w:tcPr>
          <w:p w14:paraId="15C3C506" w14:textId="77777777" w:rsidR="0048706B" w:rsidRDefault="0048706B">
            <w:pPr>
              <w:spacing w:line="280" w:lineRule="exact"/>
              <w:jc w:val="both"/>
              <w:rPr>
                <w:rFonts w:ascii="Arial" w:hAnsi="Arial"/>
              </w:rPr>
            </w:pPr>
          </w:p>
        </w:tc>
        <w:tc>
          <w:tcPr>
            <w:tcW w:w="2250" w:type="dxa"/>
          </w:tcPr>
          <w:p w14:paraId="126A28EF" w14:textId="77777777" w:rsidR="0048706B" w:rsidRDefault="0048706B">
            <w:pPr>
              <w:spacing w:line="280" w:lineRule="exact"/>
              <w:jc w:val="both"/>
              <w:rPr>
                <w:rFonts w:ascii="Arial" w:hAnsi="Arial"/>
              </w:rPr>
            </w:pPr>
          </w:p>
        </w:tc>
        <w:tc>
          <w:tcPr>
            <w:tcW w:w="1620" w:type="dxa"/>
          </w:tcPr>
          <w:p w14:paraId="0DB123AE" w14:textId="77777777" w:rsidR="0048706B" w:rsidRDefault="0048706B">
            <w:pPr>
              <w:spacing w:line="280" w:lineRule="exact"/>
              <w:jc w:val="both"/>
              <w:rPr>
                <w:rFonts w:ascii="Arial" w:hAnsi="Arial"/>
              </w:rPr>
            </w:pPr>
          </w:p>
        </w:tc>
        <w:tc>
          <w:tcPr>
            <w:tcW w:w="1422" w:type="dxa"/>
          </w:tcPr>
          <w:p w14:paraId="5FB28F4B" w14:textId="77777777" w:rsidR="0048706B" w:rsidRDefault="0048706B">
            <w:pPr>
              <w:spacing w:line="280" w:lineRule="exact"/>
              <w:jc w:val="both"/>
              <w:rPr>
                <w:rFonts w:ascii="Arial" w:hAnsi="Arial"/>
              </w:rPr>
            </w:pPr>
          </w:p>
        </w:tc>
        <w:tc>
          <w:tcPr>
            <w:tcW w:w="1350" w:type="dxa"/>
          </w:tcPr>
          <w:p w14:paraId="60301C37" w14:textId="77777777" w:rsidR="0048706B" w:rsidRDefault="0048706B">
            <w:pPr>
              <w:spacing w:line="280" w:lineRule="exact"/>
              <w:jc w:val="both"/>
              <w:rPr>
                <w:rFonts w:ascii="Arial" w:hAnsi="Arial"/>
              </w:rPr>
            </w:pPr>
          </w:p>
        </w:tc>
      </w:tr>
      <w:tr w:rsidR="0048706B" w14:paraId="76C99C77" w14:textId="77777777">
        <w:tc>
          <w:tcPr>
            <w:tcW w:w="1098" w:type="dxa"/>
          </w:tcPr>
          <w:p w14:paraId="05F8CFB1" w14:textId="77777777" w:rsidR="0048706B" w:rsidRDefault="0048706B">
            <w:pPr>
              <w:spacing w:line="280" w:lineRule="exact"/>
              <w:jc w:val="both"/>
              <w:rPr>
                <w:rFonts w:ascii="Arial" w:hAnsi="Arial"/>
              </w:rPr>
            </w:pPr>
          </w:p>
        </w:tc>
        <w:tc>
          <w:tcPr>
            <w:tcW w:w="1350" w:type="dxa"/>
          </w:tcPr>
          <w:p w14:paraId="35446F1A" w14:textId="77777777" w:rsidR="0048706B" w:rsidRDefault="0048706B">
            <w:pPr>
              <w:spacing w:line="280" w:lineRule="exact"/>
              <w:jc w:val="both"/>
              <w:rPr>
                <w:rFonts w:ascii="Arial" w:hAnsi="Arial"/>
              </w:rPr>
            </w:pPr>
          </w:p>
        </w:tc>
        <w:tc>
          <w:tcPr>
            <w:tcW w:w="2160" w:type="dxa"/>
          </w:tcPr>
          <w:p w14:paraId="1D66FBF5" w14:textId="77777777" w:rsidR="0048706B" w:rsidRDefault="0048706B">
            <w:pPr>
              <w:spacing w:line="280" w:lineRule="exact"/>
              <w:jc w:val="both"/>
              <w:rPr>
                <w:rFonts w:ascii="Arial" w:hAnsi="Arial"/>
              </w:rPr>
            </w:pPr>
          </w:p>
        </w:tc>
        <w:tc>
          <w:tcPr>
            <w:tcW w:w="2250" w:type="dxa"/>
          </w:tcPr>
          <w:p w14:paraId="12DCB2BC" w14:textId="77777777" w:rsidR="0048706B" w:rsidRDefault="0048706B">
            <w:pPr>
              <w:spacing w:line="280" w:lineRule="exact"/>
              <w:jc w:val="both"/>
              <w:rPr>
                <w:rFonts w:ascii="Arial" w:hAnsi="Arial"/>
              </w:rPr>
            </w:pPr>
          </w:p>
        </w:tc>
        <w:tc>
          <w:tcPr>
            <w:tcW w:w="1620" w:type="dxa"/>
          </w:tcPr>
          <w:p w14:paraId="37C189C6" w14:textId="77777777" w:rsidR="0048706B" w:rsidRDefault="0048706B">
            <w:pPr>
              <w:spacing w:line="280" w:lineRule="exact"/>
              <w:jc w:val="both"/>
              <w:rPr>
                <w:rFonts w:ascii="Arial" w:hAnsi="Arial"/>
              </w:rPr>
            </w:pPr>
          </w:p>
        </w:tc>
        <w:tc>
          <w:tcPr>
            <w:tcW w:w="1422" w:type="dxa"/>
          </w:tcPr>
          <w:p w14:paraId="16CF429B" w14:textId="77777777" w:rsidR="0048706B" w:rsidRDefault="0048706B">
            <w:pPr>
              <w:spacing w:line="280" w:lineRule="exact"/>
              <w:jc w:val="both"/>
              <w:rPr>
                <w:rFonts w:ascii="Arial" w:hAnsi="Arial"/>
              </w:rPr>
            </w:pPr>
          </w:p>
        </w:tc>
        <w:tc>
          <w:tcPr>
            <w:tcW w:w="1350" w:type="dxa"/>
          </w:tcPr>
          <w:p w14:paraId="283AE756" w14:textId="77777777" w:rsidR="0048706B" w:rsidRDefault="0048706B">
            <w:pPr>
              <w:spacing w:line="280" w:lineRule="exact"/>
              <w:jc w:val="both"/>
              <w:rPr>
                <w:rFonts w:ascii="Arial" w:hAnsi="Arial"/>
              </w:rPr>
            </w:pPr>
          </w:p>
        </w:tc>
      </w:tr>
      <w:tr w:rsidR="0048706B" w14:paraId="7DD1CF1E" w14:textId="77777777">
        <w:tc>
          <w:tcPr>
            <w:tcW w:w="1098" w:type="dxa"/>
          </w:tcPr>
          <w:p w14:paraId="2F847359" w14:textId="77777777" w:rsidR="0048706B" w:rsidRDefault="0048706B">
            <w:pPr>
              <w:spacing w:line="280" w:lineRule="exact"/>
              <w:jc w:val="both"/>
              <w:rPr>
                <w:rFonts w:ascii="Arial" w:hAnsi="Arial"/>
              </w:rPr>
            </w:pPr>
          </w:p>
        </w:tc>
        <w:tc>
          <w:tcPr>
            <w:tcW w:w="1350" w:type="dxa"/>
          </w:tcPr>
          <w:p w14:paraId="0749E963" w14:textId="77777777" w:rsidR="0048706B" w:rsidRDefault="0048706B">
            <w:pPr>
              <w:spacing w:line="280" w:lineRule="exact"/>
              <w:jc w:val="both"/>
              <w:rPr>
                <w:rFonts w:ascii="Arial" w:hAnsi="Arial"/>
              </w:rPr>
            </w:pPr>
          </w:p>
        </w:tc>
        <w:tc>
          <w:tcPr>
            <w:tcW w:w="2160" w:type="dxa"/>
          </w:tcPr>
          <w:p w14:paraId="398B3C74" w14:textId="77777777" w:rsidR="0048706B" w:rsidRDefault="0048706B">
            <w:pPr>
              <w:spacing w:line="280" w:lineRule="exact"/>
              <w:jc w:val="both"/>
              <w:rPr>
                <w:rFonts w:ascii="Arial" w:hAnsi="Arial"/>
              </w:rPr>
            </w:pPr>
          </w:p>
        </w:tc>
        <w:tc>
          <w:tcPr>
            <w:tcW w:w="2250" w:type="dxa"/>
          </w:tcPr>
          <w:p w14:paraId="2D9AFE8A" w14:textId="77777777" w:rsidR="0048706B" w:rsidRDefault="0048706B">
            <w:pPr>
              <w:spacing w:line="280" w:lineRule="exact"/>
              <w:jc w:val="both"/>
              <w:rPr>
                <w:rFonts w:ascii="Arial" w:hAnsi="Arial"/>
              </w:rPr>
            </w:pPr>
          </w:p>
        </w:tc>
        <w:tc>
          <w:tcPr>
            <w:tcW w:w="1620" w:type="dxa"/>
          </w:tcPr>
          <w:p w14:paraId="2E23CA27" w14:textId="77777777" w:rsidR="0048706B" w:rsidRDefault="0048706B">
            <w:pPr>
              <w:spacing w:line="280" w:lineRule="exact"/>
              <w:jc w:val="both"/>
              <w:rPr>
                <w:rFonts w:ascii="Arial" w:hAnsi="Arial"/>
              </w:rPr>
            </w:pPr>
          </w:p>
        </w:tc>
        <w:tc>
          <w:tcPr>
            <w:tcW w:w="1422" w:type="dxa"/>
          </w:tcPr>
          <w:p w14:paraId="2E0F01BA" w14:textId="77777777" w:rsidR="0048706B" w:rsidRDefault="0048706B">
            <w:pPr>
              <w:spacing w:line="280" w:lineRule="exact"/>
              <w:jc w:val="both"/>
              <w:rPr>
                <w:rFonts w:ascii="Arial" w:hAnsi="Arial"/>
              </w:rPr>
            </w:pPr>
          </w:p>
        </w:tc>
        <w:tc>
          <w:tcPr>
            <w:tcW w:w="1350" w:type="dxa"/>
          </w:tcPr>
          <w:p w14:paraId="10C201F5" w14:textId="77777777" w:rsidR="0048706B" w:rsidRDefault="0048706B">
            <w:pPr>
              <w:spacing w:line="280" w:lineRule="exact"/>
              <w:jc w:val="both"/>
              <w:rPr>
                <w:rFonts w:ascii="Arial" w:hAnsi="Arial"/>
              </w:rPr>
            </w:pPr>
          </w:p>
        </w:tc>
      </w:tr>
    </w:tbl>
    <w:p w14:paraId="7503BE29" w14:textId="77777777" w:rsidR="0048706B" w:rsidRDefault="0048706B">
      <w:pPr>
        <w:spacing w:line="280" w:lineRule="exact"/>
        <w:ind w:left="720"/>
        <w:jc w:val="both"/>
        <w:rPr>
          <w:rFonts w:ascii="Arial" w:hAnsi="Arial"/>
          <w:sz w:val="24"/>
        </w:rPr>
      </w:pPr>
    </w:p>
    <w:p w14:paraId="2BA32C4C" w14:textId="77777777" w:rsidR="0048706B" w:rsidRDefault="0048706B" w:rsidP="00621D06">
      <w:pPr>
        <w:keepNext/>
        <w:numPr>
          <w:ilvl w:val="0"/>
          <w:numId w:val="3"/>
        </w:numPr>
        <w:spacing w:line="280" w:lineRule="exact"/>
        <w:jc w:val="both"/>
        <w:rPr>
          <w:rFonts w:ascii="Arial" w:hAnsi="Arial"/>
          <w:b/>
          <w:sz w:val="24"/>
        </w:rPr>
      </w:pPr>
      <w:r>
        <w:rPr>
          <w:rFonts w:ascii="Arial" w:hAnsi="Arial"/>
          <w:b/>
          <w:sz w:val="24"/>
        </w:rPr>
        <w:t xml:space="preserve">Summary of securities as at the end of the reporting period. </w:t>
      </w:r>
    </w:p>
    <w:p w14:paraId="2DE72DC3" w14:textId="77777777" w:rsidR="0048706B" w:rsidRDefault="0048706B">
      <w:pPr>
        <w:keepNext/>
        <w:spacing w:line="280" w:lineRule="exact"/>
        <w:jc w:val="both"/>
        <w:rPr>
          <w:rFonts w:ascii="Arial" w:hAnsi="Arial"/>
          <w:sz w:val="24"/>
        </w:rPr>
      </w:pPr>
    </w:p>
    <w:p w14:paraId="18D356A0" w14:textId="00992FDF" w:rsidR="00E34C9A" w:rsidRPr="00E34C9A" w:rsidRDefault="00E34C9A" w:rsidP="00E34C9A">
      <w:pPr>
        <w:ind w:left="720"/>
        <w:rPr>
          <w:rFonts w:ascii="Arial" w:hAnsi="Arial" w:cs="Arial"/>
          <w:b/>
          <w:i/>
          <w:sz w:val="24"/>
          <w:u w:val="single"/>
        </w:rPr>
      </w:pPr>
      <w:r w:rsidRPr="00E34C9A">
        <w:rPr>
          <w:rFonts w:ascii="Arial" w:hAnsi="Arial" w:cs="Arial"/>
          <w:b/>
          <w:i/>
          <w:sz w:val="24"/>
          <w:u w:val="single"/>
        </w:rPr>
        <w:t>A summary of securities</w:t>
      </w:r>
      <w:r w:rsidR="00863085">
        <w:rPr>
          <w:rFonts w:ascii="Arial" w:hAnsi="Arial" w:cs="Arial"/>
          <w:b/>
          <w:i/>
          <w:sz w:val="24"/>
          <w:u w:val="single"/>
        </w:rPr>
        <w:t xml:space="preserve"> has been provided in the</w:t>
      </w:r>
      <w:r w:rsidRPr="00E34C9A">
        <w:rPr>
          <w:rFonts w:ascii="Arial" w:hAnsi="Arial" w:cs="Arial"/>
          <w:b/>
          <w:i/>
          <w:sz w:val="24"/>
          <w:u w:val="single"/>
        </w:rPr>
        <w:t xml:space="preserve"> financial statements for </w:t>
      </w:r>
      <w:r w:rsidRPr="00586497">
        <w:rPr>
          <w:rFonts w:ascii="Arial" w:hAnsi="Arial" w:cs="Arial"/>
          <w:b/>
          <w:i/>
          <w:sz w:val="24"/>
          <w:u w:val="single"/>
        </w:rPr>
        <w:t xml:space="preserve">the </w:t>
      </w:r>
      <w:r w:rsidR="00586497" w:rsidRPr="00586497">
        <w:rPr>
          <w:rFonts w:ascii="Arial" w:hAnsi="Arial" w:cs="Arial"/>
          <w:b/>
          <w:i/>
          <w:sz w:val="24"/>
          <w:u w:val="single"/>
        </w:rPr>
        <w:t>three months ended October</w:t>
      </w:r>
      <w:r w:rsidR="00F154B7" w:rsidRPr="00586497">
        <w:rPr>
          <w:rFonts w:ascii="Arial" w:hAnsi="Arial" w:cs="Arial"/>
          <w:b/>
          <w:i/>
          <w:sz w:val="24"/>
          <w:u w:val="single"/>
        </w:rPr>
        <w:t xml:space="preserve"> 31</w:t>
      </w:r>
      <w:r w:rsidR="006565F3" w:rsidRPr="00F154B7">
        <w:rPr>
          <w:rFonts w:ascii="Arial" w:hAnsi="Arial" w:cs="Arial"/>
          <w:b/>
          <w:i/>
          <w:sz w:val="24"/>
          <w:u w:val="single"/>
        </w:rPr>
        <w:t>, 2019</w:t>
      </w:r>
      <w:r w:rsidRPr="006565F3">
        <w:rPr>
          <w:rFonts w:ascii="Arial" w:hAnsi="Arial" w:cs="Arial"/>
          <w:b/>
          <w:i/>
          <w:sz w:val="24"/>
          <w:u w:val="single"/>
        </w:rPr>
        <w:t>.</w:t>
      </w:r>
    </w:p>
    <w:p w14:paraId="7EAF0838" w14:textId="77777777" w:rsidR="00E34C9A" w:rsidRDefault="00E34C9A">
      <w:pPr>
        <w:keepNext/>
        <w:spacing w:line="280" w:lineRule="exact"/>
        <w:ind w:left="720"/>
        <w:jc w:val="both"/>
        <w:rPr>
          <w:rFonts w:ascii="Arial" w:hAnsi="Arial"/>
          <w:sz w:val="24"/>
        </w:rPr>
      </w:pPr>
    </w:p>
    <w:p w14:paraId="1BDB5338"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48143D05" w14:textId="77777777" w:rsidR="0048706B" w:rsidRDefault="0048706B">
      <w:pPr>
        <w:keepNext/>
        <w:spacing w:line="280" w:lineRule="exact"/>
        <w:ind w:left="720"/>
        <w:jc w:val="both"/>
        <w:rPr>
          <w:rFonts w:ascii="Arial" w:hAnsi="Arial"/>
          <w:sz w:val="24"/>
        </w:rPr>
      </w:pPr>
    </w:p>
    <w:p w14:paraId="4B75D310" w14:textId="77777777" w:rsidR="0048706B" w:rsidRDefault="0048706B" w:rsidP="00621D06">
      <w:pPr>
        <w:numPr>
          <w:ilvl w:val="0"/>
          <w:numId w:val="5"/>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14:paraId="022EFC63" w14:textId="77777777" w:rsidR="0048706B" w:rsidRDefault="0048706B">
      <w:pPr>
        <w:spacing w:line="280" w:lineRule="exact"/>
        <w:jc w:val="both"/>
        <w:rPr>
          <w:rFonts w:ascii="Arial" w:hAnsi="Arial"/>
          <w:sz w:val="24"/>
        </w:rPr>
      </w:pPr>
    </w:p>
    <w:p w14:paraId="5F9500D5" w14:textId="77777777" w:rsidR="0048706B" w:rsidRDefault="0048706B" w:rsidP="00621D06">
      <w:pPr>
        <w:numPr>
          <w:ilvl w:val="0"/>
          <w:numId w:val="5"/>
        </w:numPr>
        <w:spacing w:line="280" w:lineRule="exact"/>
        <w:jc w:val="both"/>
        <w:rPr>
          <w:rFonts w:ascii="Arial" w:hAnsi="Arial"/>
          <w:sz w:val="24"/>
        </w:rPr>
      </w:pPr>
      <w:r>
        <w:rPr>
          <w:rFonts w:ascii="Arial" w:hAnsi="Arial"/>
          <w:sz w:val="24"/>
        </w:rPr>
        <w:t>number and recorded value for shares issued and outstanding,</w:t>
      </w:r>
    </w:p>
    <w:p w14:paraId="724DE549" w14:textId="77777777" w:rsidR="0048706B" w:rsidRDefault="0048706B">
      <w:pPr>
        <w:spacing w:line="280" w:lineRule="exact"/>
        <w:jc w:val="both"/>
        <w:rPr>
          <w:rFonts w:ascii="Arial" w:hAnsi="Arial"/>
          <w:sz w:val="24"/>
        </w:rPr>
      </w:pPr>
    </w:p>
    <w:p w14:paraId="316226AB" w14:textId="77777777" w:rsidR="0048706B" w:rsidRDefault="0048706B" w:rsidP="00621D06">
      <w:pPr>
        <w:numPr>
          <w:ilvl w:val="0"/>
          <w:numId w:val="5"/>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14:paraId="1D723F6C" w14:textId="77777777" w:rsidR="0048706B" w:rsidRDefault="0048706B">
      <w:pPr>
        <w:spacing w:line="280" w:lineRule="exact"/>
        <w:jc w:val="both"/>
        <w:rPr>
          <w:rFonts w:ascii="Arial" w:hAnsi="Arial"/>
          <w:sz w:val="24"/>
        </w:rPr>
      </w:pPr>
    </w:p>
    <w:p w14:paraId="42F7C8C8" w14:textId="77777777" w:rsidR="0048706B" w:rsidRDefault="0048706B" w:rsidP="00621D06">
      <w:pPr>
        <w:numPr>
          <w:ilvl w:val="0"/>
          <w:numId w:val="5"/>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14:paraId="36DE837D" w14:textId="77777777" w:rsidR="0048706B" w:rsidRDefault="0048706B">
      <w:pPr>
        <w:spacing w:line="280" w:lineRule="exact"/>
        <w:jc w:val="both"/>
        <w:rPr>
          <w:rFonts w:ascii="Arial" w:hAnsi="Arial"/>
          <w:sz w:val="24"/>
        </w:rPr>
      </w:pPr>
    </w:p>
    <w:p w14:paraId="11671C4B" w14:textId="77777777" w:rsidR="0048706B" w:rsidRDefault="0048706B" w:rsidP="00621D06">
      <w:pPr>
        <w:pStyle w:val="BodyText2"/>
        <w:numPr>
          <w:ilvl w:val="0"/>
          <w:numId w:val="3"/>
        </w:numPr>
        <w:spacing w:line="280" w:lineRule="exact"/>
        <w:rPr>
          <w:rFonts w:ascii="Arial" w:hAnsi="Arial"/>
          <w:b/>
        </w:rPr>
      </w:pPr>
      <w:r>
        <w:rPr>
          <w:rFonts w:ascii="Arial" w:hAnsi="Arial"/>
          <w:b/>
        </w:rPr>
        <w:lastRenderedPageBreak/>
        <w:t>List the names of the directors and officers, with an indication of the position(s) held, as at the date this report is signed and filed.</w:t>
      </w:r>
    </w:p>
    <w:p w14:paraId="3BB52078" w14:textId="77777777" w:rsidR="0048706B" w:rsidRDefault="0048706B">
      <w:pPr>
        <w:pStyle w:val="BodyText2"/>
        <w:spacing w:line="280" w:lineRule="exact"/>
        <w:rPr>
          <w:rFonts w:ascii="Arial" w:hAnsi="Arial"/>
        </w:rPr>
      </w:pP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4547"/>
      </w:tblGrid>
      <w:tr w:rsidR="00F71D65" w:rsidRPr="006E7401" w14:paraId="7C89FD59" w14:textId="77777777" w:rsidTr="007701E9">
        <w:trPr>
          <w:trHeight w:val="485"/>
          <w:jc w:val="center"/>
        </w:trPr>
        <w:tc>
          <w:tcPr>
            <w:tcW w:w="3133" w:type="dxa"/>
            <w:shd w:val="clear" w:color="auto" w:fill="D9D9D9" w:themeFill="background1" w:themeFillShade="D9"/>
            <w:vAlign w:val="center"/>
          </w:tcPr>
          <w:p w14:paraId="2EAB706A" w14:textId="77777777" w:rsidR="00F71D65" w:rsidRPr="007701E9" w:rsidRDefault="00F71D65" w:rsidP="007701E9">
            <w:pPr>
              <w:rPr>
                <w:rFonts w:ascii="Arial" w:hAnsi="Arial" w:cs="Arial"/>
                <w:b/>
              </w:rPr>
            </w:pPr>
            <w:r w:rsidRPr="007701E9">
              <w:rPr>
                <w:rFonts w:ascii="Arial" w:hAnsi="Arial" w:cs="Arial"/>
                <w:b/>
              </w:rPr>
              <w:t>Name of Director/Officer</w:t>
            </w:r>
          </w:p>
        </w:tc>
        <w:tc>
          <w:tcPr>
            <w:tcW w:w="4547" w:type="dxa"/>
            <w:shd w:val="clear" w:color="auto" w:fill="D9D9D9" w:themeFill="background1" w:themeFillShade="D9"/>
            <w:vAlign w:val="center"/>
          </w:tcPr>
          <w:p w14:paraId="02045DAA" w14:textId="77777777" w:rsidR="00F71D65" w:rsidRPr="007701E9" w:rsidRDefault="00F71D65" w:rsidP="007701E9">
            <w:pPr>
              <w:rPr>
                <w:rFonts w:ascii="Arial" w:hAnsi="Arial" w:cs="Arial"/>
                <w:b/>
              </w:rPr>
            </w:pPr>
            <w:r w:rsidRPr="007701E9">
              <w:rPr>
                <w:rFonts w:ascii="Arial" w:hAnsi="Arial" w:cs="Arial"/>
                <w:b/>
              </w:rPr>
              <w:t>Position(s) Held</w:t>
            </w:r>
          </w:p>
        </w:tc>
      </w:tr>
      <w:tr w:rsidR="00F71D65" w:rsidRPr="006E7401" w14:paraId="0D762656" w14:textId="77777777" w:rsidTr="007701E9">
        <w:trPr>
          <w:trHeight w:val="360"/>
          <w:jc w:val="center"/>
        </w:trPr>
        <w:tc>
          <w:tcPr>
            <w:tcW w:w="3133" w:type="dxa"/>
            <w:vAlign w:val="center"/>
          </w:tcPr>
          <w:p w14:paraId="54C9412F" w14:textId="77777777" w:rsidR="00F71D65" w:rsidRPr="007701E9" w:rsidRDefault="00F71D65" w:rsidP="007701E9">
            <w:pPr>
              <w:rPr>
                <w:rFonts w:ascii="Arial" w:hAnsi="Arial" w:cs="Arial"/>
              </w:rPr>
            </w:pPr>
            <w:r w:rsidRPr="007701E9">
              <w:rPr>
                <w:rFonts w:ascii="Arial" w:hAnsi="Arial" w:cs="Arial"/>
              </w:rPr>
              <w:t>James Nelson</w:t>
            </w:r>
          </w:p>
        </w:tc>
        <w:tc>
          <w:tcPr>
            <w:tcW w:w="4547" w:type="dxa"/>
            <w:vAlign w:val="center"/>
          </w:tcPr>
          <w:p w14:paraId="47D69099" w14:textId="77777777" w:rsidR="00F71D65" w:rsidRPr="007701E9" w:rsidRDefault="001C27B3" w:rsidP="007701E9">
            <w:pPr>
              <w:rPr>
                <w:rFonts w:ascii="Arial" w:hAnsi="Arial" w:cs="Arial"/>
              </w:rPr>
            </w:pPr>
            <w:r w:rsidRPr="007701E9">
              <w:rPr>
                <w:rFonts w:ascii="Arial" w:hAnsi="Arial" w:cs="Arial"/>
              </w:rPr>
              <w:t xml:space="preserve">President, </w:t>
            </w:r>
            <w:r w:rsidR="00F71D65" w:rsidRPr="007701E9">
              <w:rPr>
                <w:rFonts w:ascii="Arial" w:hAnsi="Arial" w:cs="Arial"/>
              </w:rPr>
              <w:t>CEO, Secretary</w:t>
            </w:r>
            <w:r w:rsidRPr="007701E9">
              <w:rPr>
                <w:rFonts w:ascii="Arial" w:hAnsi="Arial" w:cs="Arial"/>
              </w:rPr>
              <w:t xml:space="preserve"> </w:t>
            </w:r>
            <w:r w:rsidR="007701E9" w:rsidRPr="007701E9">
              <w:rPr>
                <w:rFonts w:ascii="Arial" w:hAnsi="Arial" w:cs="Arial"/>
              </w:rPr>
              <w:t>&amp;</w:t>
            </w:r>
            <w:r w:rsidR="00F71D65" w:rsidRPr="007701E9">
              <w:rPr>
                <w:rFonts w:ascii="Arial" w:hAnsi="Arial" w:cs="Arial"/>
              </w:rPr>
              <w:t xml:space="preserve"> Director</w:t>
            </w:r>
          </w:p>
        </w:tc>
      </w:tr>
      <w:tr w:rsidR="00F71D65" w:rsidRPr="006E7401" w14:paraId="4A1E690F" w14:textId="77777777" w:rsidTr="007701E9">
        <w:trPr>
          <w:trHeight w:val="360"/>
          <w:jc w:val="center"/>
        </w:trPr>
        <w:tc>
          <w:tcPr>
            <w:tcW w:w="3133" w:type="dxa"/>
            <w:vAlign w:val="center"/>
          </w:tcPr>
          <w:p w14:paraId="08A9622D" w14:textId="77777777" w:rsidR="00F71D65" w:rsidRPr="007701E9" w:rsidRDefault="00F71D65" w:rsidP="007701E9">
            <w:pPr>
              <w:rPr>
                <w:rFonts w:ascii="Arial" w:hAnsi="Arial" w:cs="Arial"/>
              </w:rPr>
            </w:pPr>
            <w:r w:rsidRPr="007701E9">
              <w:rPr>
                <w:rFonts w:ascii="Arial" w:hAnsi="Arial" w:cs="Arial"/>
              </w:rPr>
              <w:t>Gregory Thomson</w:t>
            </w:r>
          </w:p>
        </w:tc>
        <w:tc>
          <w:tcPr>
            <w:tcW w:w="4547" w:type="dxa"/>
            <w:vAlign w:val="center"/>
          </w:tcPr>
          <w:p w14:paraId="6527FCE9" w14:textId="77777777" w:rsidR="00F71D65" w:rsidRPr="007701E9" w:rsidRDefault="00F71D65" w:rsidP="007701E9">
            <w:pPr>
              <w:rPr>
                <w:rFonts w:ascii="Arial" w:hAnsi="Arial" w:cs="Arial"/>
              </w:rPr>
            </w:pPr>
            <w:r w:rsidRPr="007701E9">
              <w:rPr>
                <w:rFonts w:ascii="Arial" w:hAnsi="Arial" w:cs="Arial"/>
              </w:rPr>
              <w:t>Director</w:t>
            </w:r>
          </w:p>
        </w:tc>
      </w:tr>
      <w:tr w:rsidR="00F71D65" w:rsidRPr="006E7401" w14:paraId="57A07087" w14:textId="77777777" w:rsidTr="007701E9">
        <w:trPr>
          <w:trHeight w:val="360"/>
          <w:jc w:val="center"/>
        </w:trPr>
        <w:tc>
          <w:tcPr>
            <w:tcW w:w="3133" w:type="dxa"/>
            <w:vAlign w:val="center"/>
          </w:tcPr>
          <w:p w14:paraId="0BB14C4E" w14:textId="1FB17943" w:rsidR="00F71D65" w:rsidRPr="007701E9" w:rsidRDefault="00586497" w:rsidP="007701E9">
            <w:pPr>
              <w:rPr>
                <w:rFonts w:ascii="Arial" w:hAnsi="Arial" w:cs="Arial"/>
              </w:rPr>
            </w:pPr>
            <w:r w:rsidRPr="007701E9">
              <w:rPr>
                <w:rFonts w:ascii="Arial" w:hAnsi="Arial" w:cs="Arial"/>
              </w:rPr>
              <w:t>Seth Kay</w:t>
            </w:r>
          </w:p>
        </w:tc>
        <w:tc>
          <w:tcPr>
            <w:tcW w:w="4547" w:type="dxa"/>
            <w:vAlign w:val="center"/>
          </w:tcPr>
          <w:p w14:paraId="2BC8F65F" w14:textId="77777777" w:rsidR="00F71D65" w:rsidRPr="007701E9" w:rsidRDefault="00F71D65" w:rsidP="007701E9">
            <w:pPr>
              <w:rPr>
                <w:rFonts w:ascii="Arial" w:hAnsi="Arial" w:cs="Arial"/>
              </w:rPr>
            </w:pPr>
            <w:r w:rsidRPr="007701E9">
              <w:rPr>
                <w:rFonts w:ascii="Arial" w:hAnsi="Arial" w:cs="Arial"/>
              </w:rPr>
              <w:t>Director</w:t>
            </w:r>
          </w:p>
        </w:tc>
      </w:tr>
      <w:tr w:rsidR="00F71D65" w:rsidRPr="006E7401" w14:paraId="5D2FD704" w14:textId="77777777" w:rsidTr="007701E9">
        <w:trPr>
          <w:trHeight w:val="360"/>
          <w:jc w:val="center"/>
        </w:trPr>
        <w:tc>
          <w:tcPr>
            <w:tcW w:w="3133" w:type="dxa"/>
            <w:vAlign w:val="center"/>
          </w:tcPr>
          <w:p w14:paraId="4109D8F7" w14:textId="77777777" w:rsidR="00F71D65" w:rsidRPr="007701E9" w:rsidRDefault="00F71D65" w:rsidP="007701E9">
            <w:pPr>
              <w:rPr>
                <w:rFonts w:ascii="Arial" w:hAnsi="Arial" w:cs="Arial"/>
              </w:rPr>
            </w:pPr>
            <w:r w:rsidRPr="007701E9">
              <w:rPr>
                <w:rFonts w:ascii="Arial" w:hAnsi="Arial" w:cs="Arial"/>
              </w:rPr>
              <w:t>Cindy Cai</w:t>
            </w:r>
          </w:p>
        </w:tc>
        <w:tc>
          <w:tcPr>
            <w:tcW w:w="4547" w:type="dxa"/>
            <w:vAlign w:val="center"/>
          </w:tcPr>
          <w:p w14:paraId="31D5411E" w14:textId="77777777" w:rsidR="00F71D65" w:rsidRPr="007701E9" w:rsidRDefault="00F71D65" w:rsidP="007701E9">
            <w:pPr>
              <w:rPr>
                <w:rFonts w:ascii="Arial" w:hAnsi="Arial" w:cs="Arial"/>
              </w:rPr>
            </w:pPr>
            <w:r w:rsidRPr="007701E9">
              <w:rPr>
                <w:rFonts w:ascii="Arial" w:hAnsi="Arial" w:cs="Arial"/>
              </w:rPr>
              <w:t>CFO</w:t>
            </w:r>
          </w:p>
        </w:tc>
      </w:tr>
    </w:tbl>
    <w:p w14:paraId="30E20BB6" w14:textId="77777777" w:rsidR="00F71D65" w:rsidRDefault="00F71D65">
      <w:pPr>
        <w:pStyle w:val="BodyText2"/>
        <w:spacing w:line="280" w:lineRule="exact"/>
        <w:rPr>
          <w:rFonts w:ascii="Arial" w:hAnsi="Arial"/>
        </w:rPr>
      </w:pPr>
    </w:p>
    <w:p w14:paraId="6AE81956"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6520D860" w14:textId="77777777" w:rsidR="0048706B" w:rsidRDefault="0048706B">
      <w:pPr>
        <w:pStyle w:val="BodyText2"/>
        <w:keepNext/>
        <w:spacing w:line="280" w:lineRule="exact"/>
        <w:ind w:left="720"/>
        <w:rPr>
          <w:rFonts w:ascii="Arial" w:hAnsi="Arial"/>
        </w:rPr>
      </w:pPr>
    </w:p>
    <w:p w14:paraId="3819B683"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4D7B9F0C" w14:textId="77777777" w:rsidR="00FC6B37" w:rsidRDefault="00FC6B37">
      <w:pPr>
        <w:pStyle w:val="BodyText2"/>
        <w:keepNext/>
        <w:spacing w:line="280" w:lineRule="exact"/>
        <w:ind w:left="720"/>
        <w:rPr>
          <w:rFonts w:ascii="Arial" w:hAnsi="Arial"/>
        </w:rPr>
      </w:pPr>
    </w:p>
    <w:p w14:paraId="1A9178F0" w14:textId="77777777" w:rsidR="00E1677B" w:rsidRPr="00FC6B37" w:rsidRDefault="00FC6B37" w:rsidP="00FC6B37">
      <w:pPr>
        <w:pStyle w:val="List"/>
        <w:keepLines/>
        <w:spacing w:before="120"/>
        <w:ind w:left="0" w:firstLine="720"/>
        <w:rPr>
          <w:rFonts w:ascii="Arial" w:hAnsi="Arial"/>
          <w:b/>
          <w:i/>
          <w:u w:val="single"/>
        </w:rPr>
      </w:pPr>
      <w:r w:rsidRPr="00FC6B37">
        <w:rPr>
          <w:rFonts w:ascii="Arial" w:hAnsi="Arial"/>
          <w:b/>
          <w:i/>
          <w:u w:val="single"/>
        </w:rPr>
        <w:t>See Management’s Discussion &amp; Analysis attached</w:t>
      </w:r>
      <w:r w:rsidR="00E1677B" w:rsidRPr="00FC6B37">
        <w:rPr>
          <w:rFonts w:ascii="Arial" w:hAnsi="Arial"/>
          <w:b/>
          <w:i/>
          <w:u w:val="single"/>
        </w:rPr>
        <w:br w:type="page"/>
      </w:r>
    </w:p>
    <w:p w14:paraId="59D9400A" w14:textId="77777777" w:rsidR="0048706B" w:rsidRDefault="0048706B">
      <w:pPr>
        <w:pStyle w:val="List"/>
        <w:keepLines/>
        <w:spacing w:before="120"/>
        <w:ind w:left="0" w:firstLine="0"/>
        <w:rPr>
          <w:rFonts w:ascii="Arial" w:hAnsi="Arial"/>
          <w:b/>
        </w:rPr>
      </w:pPr>
      <w:r>
        <w:rPr>
          <w:rFonts w:ascii="Arial" w:hAnsi="Arial"/>
          <w:b/>
        </w:rPr>
        <w:lastRenderedPageBreak/>
        <w:t>Certificate Of Compliance</w:t>
      </w:r>
    </w:p>
    <w:p w14:paraId="7E7AA9F4" w14:textId="77777777" w:rsidR="0048706B" w:rsidRDefault="0048706B">
      <w:pPr>
        <w:pStyle w:val="BodyText"/>
        <w:keepLines/>
        <w:rPr>
          <w:rFonts w:ascii="Arial" w:hAnsi="Arial"/>
        </w:rPr>
      </w:pPr>
      <w:r>
        <w:rPr>
          <w:rFonts w:ascii="Arial" w:hAnsi="Arial"/>
        </w:rPr>
        <w:t>The undersigned hereby certifies that:</w:t>
      </w:r>
    </w:p>
    <w:p w14:paraId="42D6EC2D" w14:textId="77777777" w:rsidR="0048706B" w:rsidRDefault="0048706B" w:rsidP="00621D06">
      <w:pPr>
        <w:pStyle w:val="List"/>
        <w:keepLines/>
        <w:numPr>
          <w:ilvl w:val="0"/>
          <w:numId w:val="1"/>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4A2F61F9" w14:textId="77777777" w:rsidR="0048706B" w:rsidRDefault="0048706B" w:rsidP="00621D06">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14:paraId="16CE6F51" w14:textId="77777777" w:rsidR="0048706B" w:rsidRDefault="0048706B" w:rsidP="00621D06">
      <w:pPr>
        <w:pStyle w:val="List"/>
        <w:numPr>
          <w:ilvl w:val="0"/>
          <w:numId w:val="1"/>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08913272" w14:textId="77777777" w:rsidR="0048706B" w:rsidRDefault="0048706B" w:rsidP="00621D06">
      <w:pPr>
        <w:pStyle w:val="List"/>
        <w:numPr>
          <w:ilvl w:val="0"/>
          <w:numId w:val="1"/>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454905D9" w14:textId="1DADCBD8"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sidR="00586497">
        <w:rPr>
          <w:rFonts w:ascii="Arial" w:hAnsi="Arial"/>
          <w:i/>
          <w:u w:val="single"/>
        </w:rPr>
        <w:t>Dec</w:t>
      </w:r>
      <w:r w:rsidR="00F154B7">
        <w:rPr>
          <w:rFonts w:ascii="Arial" w:hAnsi="Arial"/>
          <w:i/>
          <w:u w:val="single"/>
        </w:rPr>
        <w:t xml:space="preserve">ember </w:t>
      </w:r>
      <w:r w:rsidR="00586497">
        <w:rPr>
          <w:rFonts w:ascii="Arial" w:hAnsi="Arial"/>
          <w:i/>
          <w:u w:val="single"/>
        </w:rPr>
        <w:t>10</w:t>
      </w:r>
      <w:r w:rsidR="00761192" w:rsidRPr="00761192">
        <w:rPr>
          <w:rFonts w:ascii="Arial" w:hAnsi="Arial"/>
          <w:i/>
          <w:u w:val="single"/>
        </w:rPr>
        <w:t>, 201</w:t>
      </w:r>
      <w:r w:rsidR="006565F3">
        <w:rPr>
          <w:rFonts w:ascii="Arial" w:hAnsi="Arial"/>
          <w:i/>
          <w:u w:val="single"/>
        </w:rPr>
        <w:t>9</w:t>
      </w:r>
      <w:r w:rsidR="00941E06" w:rsidRPr="00170AB0">
        <w:rPr>
          <w:rFonts w:ascii="Arial" w:hAnsi="Arial"/>
        </w:rPr>
        <w:t>.</w:t>
      </w:r>
    </w:p>
    <w:p w14:paraId="1D7225C8" w14:textId="77777777" w:rsidR="00941E06" w:rsidRPr="006E7401" w:rsidRDefault="0048706B" w:rsidP="00941E06">
      <w:pPr>
        <w:pStyle w:val="List"/>
        <w:tabs>
          <w:tab w:val="left" w:pos="9180"/>
        </w:tabs>
        <w:ind w:left="5220" w:hanging="5760"/>
        <w:rPr>
          <w:rFonts w:ascii="Arial" w:hAnsi="Arial" w:cs="Arial"/>
        </w:rPr>
      </w:pPr>
      <w:r>
        <w:rPr>
          <w:rFonts w:ascii="Arial" w:hAnsi="Arial"/>
        </w:rPr>
        <w:tab/>
      </w:r>
      <w:bookmarkEnd w:id="4"/>
      <w:r w:rsidR="00941E06" w:rsidRPr="00EF2BEA">
        <w:rPr>
          <w:rFonts w:ascii="Arial" w:hAnsi="Arial" w:cs="Arial"/>
          <w:i/>
          <w:u w:val="single"/>
        </w:rPr>
        <w:t>James Nelson</w:t>
      </w:r>
      <w:r w:rsidR="00941E06" w:rsidRPr="006E7401">
        <w:rPr>
          <w:rFonts w:ascii="Arial" w:hAnsi="Arial" w:cs="Arial"/>
          <w:u w:val="single"/>
        </w:rPr>
        <w:tab/>
      </w:r>
      <w:r w:rsidR="00941E06" w:rsidRPr="006E7401">
        <w:rPr>
          <w:rFonts w:ascii="Arial" w:hAnsi="Arial" w:cs="Arial"/>
          <w:u w:val="single"/>
        </w:rPr>
        <w:br/>
      </w:r>
      <w:r w:rsidR="00941E06" w:rsidRPr="006E7401">
        <w:rPr>
          <w:rFonts w:ascii="Arial" w:hAnsi="Arial" w:cs="Arial"/>
        </w:rPr>
        <w:t>Name of Director or Senior Officer</w:t>
      </w:r>
    </w:p>
    <w:p w14:paraId="3F203C3A" w14:textId="77777777" w:rsidR="00941E06" w:rsidRPr="006E7401" w:rsidRDefault="00941E06" w:rsidP="00941E06">
      <w:pPr>
        <w:pStyle w:val="List"/>
        <w:tabs>
          <w:tab w:val="left" w:pos="9180"/>
          <w:tab w:val="left" w:pos="9360"/>
        </w:tabs>
        <w:ind w:left="5220" w:hanging="5220"/>
        <w:rPr>
          <w:rFonts w:ascii="Arial" w:hAnsi="Arial" w:cs="Arial"/>
        </w:rPr>
      </w:pPr>
      <w:r w:rsidRPr="006E7401">
        <w:rPr>
          <w:rFonts w:ascii="Arial" w:hAnsi="Arial" w:cs="Arial"/>
        </w:rPr>
        <w:tab/>
      </w:r>
      <w:r w:rsidR="00170AB0" w:rsidRPr="00170AB0">
        <w:rPr>
          <w:rFonts w:ascii="Arial" w:hAnsi="Arial" w:cs="Arial"/>
          <w:i/>
          <w:u w:val="single"/>
        </w:rPr>
        <w:t>"Signed"</w:t>
      </w:r>
      <w:r w:rsidRPr="006E7401">
        <w:rPr>
          <w:rFonts w:ascii="Arial" w:hAnsi="Arial" w:cs="Arial"/>
          <w:u w:val="single"/>
        </w:rPr>
        <w:tab/>
      </w:r>
      <w:r w:rsidRPr="006E7401">
        <w:rPr>
          <w:rFonts w:ascii="Arial" w:hAnsi="Arial" w:cs="Arial"/>
        </w:rPr>
        <w:br/>
        <w:t>Signature</w:t>
      </w:r>
    </w:p>
    <w:p w14:paraId="52B35D5A" w14:textId="70351990" w:rsidR="00941E06" w:rsidRDefault="00170AB0" w:rsidP="00941E06">
      <w:pPr>
        <w:pStyle w:val="BodyText"/>
        <w:tabs>
          <w:tab w:val="left" w:pos="9180"/>
        </w:tabs>
        <w:ind w:left="5220"/>
        <w:rPr>
          <w:rFonts w:ascii="Arial" w:hAnsi="Arial" w:cs="Arial"/>
        </w:rPr>
      </w:pPr>
      <w:r w:rsidRPr="00EF2BEA">
        <w:rPr>
          <w:rFonts w:ascii="Arial" w:hAnsi="Arial" w:cs="Arial"/>
          <w:i/>
          <w:u w:val="single"/>
        </w:rPr>
        <w:t>President, CEO, Secretary &amp;</w:t>
      </w:r>
      <w:r w:rsidR="00941E06" w:rsidRPr="00EF2BEA">
        <w:rPr>
          <w:rFonts w:ascii="Arial" w:hAnsi="Arial" w:cs="Arial"/>
          <w:i/>
          <w:u w:val="single"/>
        </w:rPr>
        <w:t xml:space="preserve"> Director</w:t>
      </w:r>
      <w:r w:rsidR="00941E06" w:rsidRPr="00EF2BEA">
        <w:rPr>
          <w:rFonts w:ascii="Arial" w:hAnsi="Arial" w:cs="Arial"/>
          <w:i/>
          <w:u w:val="single"/>
        </w:rPr>
        <w:tab/>
      </w:r>
      <w:r w:rsidR="00941E06" w:rsidRPr="006E7401">
        <w:rPr>
          <w:rFonts w:ascii="Arial" w:hAnsi="Arial" w:cs="Arial"/>
        </w:rPr>
        <w:br/>
      </w:r>
      <w:r w:rsidR="00E307DF" w:rsidRPr="006E7401">
        <w:rPr>
          <w:rFonts w:ascii="Arial" w:hAnsi="Arial" w:cs="Arial"/>
        </w:rPr>
        <w:t>Official Capacity</w:t>
      </w:r>
    </w:p>
    <w:p w14:paraId="40228FF7" w14:textId="77777777" w:rsidR="003B4B53" w:rsidRDefault="003B4B53" w:rsidP="00941E06">
      <w:pPr>
        <w:pStyle w:val="BodyText"/>
        <w:tabs>
          <w:tab w:val="left" w:pos="9180"/>
        </w:tabs>
        <w:ind w:left="5220"/>
        <w:rPr>
          <w:rFonts w:ascii="Arial" w:hAnsi="Arial" w:cs="Arial"/>
        </w:rPr>
      </w:pPr>
      <w:bookmarkStart w:id="5" w:name="_GoBack"/>
      <w:bookmarkEnd w:id="5"/>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941E06" w:rsidRPr="006E7401" w14:paraId="584BE1CD" w14:textId="77777777" w:rsidTr="0075259F">
        <w:tc>
          <w:tcPr>
            <w:tcW w:w="4518" w:type="dxa"/>
            <w:tcBorders>
              <w:top w:val="single" w:sz="18" w:space="0" w:color="auto"/>
              <w:bottom w:val="nil"/>
              <w:right w:val="single" w:sz="18" w:space="0" w:color="auto"/>
            </w:tcBorders>
          </w:tcPr>
          <w:p w14:paraId="46112F32" w14:textId="77777777" w:rsidR="00941E06" w:rsidRPr="00EF2BEA" w:rsidRDefault="00941E06" w:rsidP="0075259F">
            <w:pPr>
              <w:pStyle w:val="BodyText"/>
              <w:keepNext/>
              <w:keepLines/>
              <w:spacing w:before="0"/>
              <w:rPr>
                <w:rFonts w:ascii="Arial" w:hAnsi="Arial" w:cs="Arial"/>
                <w:b/>
                <w:i/>
                <w:sz w:val="18"/>
                <w:szCs w:val="18"/>
              </w:rPr>
            </w:pPr>
            <w:r w:rsidRPr="00EF2BEA">
              <w:rPr>
                <w:rFonts w:ascii="Arial" w:hAnsi="Arial" w:cs="Arial"/>
                <w:b/>
                <w:i/>
                <w:sz w:val="18"/>
                <w:szCs w:val="18"/>
              </w:rPr>
              <w:t>Issuer Details</w:t>
            </w:r>
          </w:p>
          <w:p w14:paraId="1C4C616A" w14:textId="77777777" w:rsidR="00EF2BEA" w:rsidRDefault="00941E06" w:rsidP="0075259F">
            <w:pPr>
              <w:pStyle w:val="BodyText"/>
              <w:keepNext/>
              <w:keepLines/>
              <w:spacing w:before="0"/>
              <w:rPr>
                <w:rFonts w:ascii="Arial" w:hAnsi="Arial" w:cs="Arial"/>
                <w:b/>
                <w:sz w:val="18"/>
                <w:szCs w:val="18"/>
              </w:rPr>
            </w:pPr>
            <w:r w:rsidRPr="00EF2BEA">
              <w:rPr>
                <w:rFonts w:ascii="Arial" w:hAnsi="Arial" w:cs="Arial"/>
                <w:sz w:val="18"/>
                <w:szCs w:val="18"/>
              </w:rPr>
              <w:t xml:space="preserve">Name of Issuer </w:t>
            </w:r>
            <w:r w:rsidRPr="00EF2BEA">
              <w:rPr>
                <w:rFonts w:ascii="Arial" w:hAnsi="Arial" w:cs="Arial"/>
                <w:sz w:val="18"/>
                <w:szCs w:val="18"/>
              </w:rPr>
              <w:br/>
            </w:r>
          </w:p>
          <w:p w14:paraId="3941E797" w14:textId="3AA4A975" w:rsidR="00941E06" w:rsidRPr="00EF2BEA" w:rsidRDefault="00586497" w:rsidP="0075259F">
            <w:pPr>
              <w:pStyle w:val="BodyText"/>
              <w:keepNext/>
              <w:keepLines/>
              <w:spacing w:before="0"/>
              <w:rPr>
                <w:rFonts w:ascii="Arial" w:hAnsi="Arial" w:cs="Arial"/>
                <w:i/>
                <w:sz w:val="18"/>
                <w:szCs w:val="18"/>
              </w:rPr>
            </w:pPr>
            <w:r>
              <w:rPr>
                <w:rFonts w:ascii="Arial" w:hAnsi="Arial" w:cs="Arial"/>
                <w:b/>
                <w:i/>
                <w:sz w:val="18"/>
                <w:szCs w:val="18"/>
              </w:rPr>
              <w:t>Cruz Cobalt Corp</w:t>
            </w:r>
            <w:r w:rsidR="00941E06" w:rsidRPr="00EF2BEA">
              <w:rPr>
                <w:rFonts w:ascii="Arial" w:hAnsi="Arial" w:cs="Arial"/>
                <w:b/>
                <w:i/>
                <w:sz w:val="18"/>
                <w:szCs w:val="18"/>
              </w:rPr>
              <w:t>.</w:t>
            </w:r>
          </w:p>
        </w:tc>
        <w:tc>
          <w:tcPr>
            <w:tcW w:w="2160" w:type="dxa"/>
            <w:tcBorders>
              <w:top w:val="single" w:sz="18" w:space="0" w:color="auto"/>
              <w:left w:val="single" w:sz="18" w:space="0" w:color="auto"/>
              <w:bottom w:val="nil"/>
              <w:right w:val="single" w:sz="18" w:space="0" w:color="auto"/>
            </w:tcBorders>
          </w:tcPr>
          <w:p w14:paraId="305E5BA8" w14:textId="2F71CCAD" w:rsidR="00EF2BEA" w:rsidRDefault="00941E06" w:rsidP="00C71707">
            <w:pPr>
              <w:pStyle w:val="BodyText"/>
              <w:keepNext/>
              <w:keepLines/>
              <w:spacing w:before="0"/>
              <w:rPr>
                <w:rFonts w:ascii="Arial" w:hAnsi="Arial" w:cs="Arial"/>
                <w:b/>
                <w:sz w:val="18"/>
                <w:szCs w:val="18"/>
              </w:rPr>
            </w:pPr>
            <w:r w:rsidRPr="00EF2BEA">
              <w:rPr>
                <w:rFonts w:ascii="Arial" w:hAnsi="Arial" w:cs="Arial"/>
                <w:sz w:val="18"/>
                <w:szCs w:val="18"/>
              </w:rPr>
              <w:t>For Quarter Ended</w:t>
            </w:r>
            <w:r w:rsidRPr="00EF2BEA">
              <w:rPr>
                <w:rFonts w:ascii="Arial" w:hAnsi="Arial" w:cs="Arial"/>
                <w:sz w:val="18"/>
                <w:szCs w:val="18"/>
              </w:rPr>
              <w:br/>
            </w:r>
          </w:p>
          <w:p w14:paraId="2EEF00AB" w14:textId="77777777" w:rsidR="00EF2BEA" w:rsidRDefault="00EF2BEA" w:rsidP="00C71707">
            <w:pPr>
              <w:pStyle w:val="BodyText"/>
              <w:keepNext/>
              <w:keepLines/>
              <w:spacing w:before="0"/>
              <w:rPr>
                <w:rFonts w:ascii="Arial" w:hAnsi="Arial" w:cs="Arial"/>
                <w:b/>
                <w:sz w:val="18"/>
                <w:szCs w:val="18"/>
              </w:rPr>
            </w:pPr>
          </w:p>
          <w:p w14:paraId="21F96249" w14:textId="2E54B11E" w:rsidR="00941E06" w:rsidRPr="00EF2BEA" w:rsidRDefault="00C71707" w:rsidP="00F154B7">
            <w:pPr>
              <w:pStyle w:val="BodyText"/>
              <w:keepNext/>
              <w:keepLines/>
              <w:spacing w:before="0"/>
              <w:rPr>
                <w:rFonts w:ascii="Arial" w:hAnsi="Arial" w:cs="Arial"/>
                <w:i/>
                <w:sz w:val="18"/>
                <w:szCs w:val="18"/>
              </w:rPr>
            </w:pPr>
            <w:r w:rsidRPr="00EF2BEA">
              <w:rPr>
                <w:rFonts w:ascii="Arial" w:hAnsi="Arial" w:cs="Arial"/>
                <w:b/>
                <w:i/>
                <w:sz w:val="18"/>
                <w:szCs w:val="18"/>
              </w:rPr>
              <w:t>201</w:t>
            </w:r>
            <w:r w:rsidR="006565F3">
              <w:rPr>
                <w:rFonts w:ascii="Arial" w:hAnsi="Arial" w:cs="Arial"/>
                <w:b/>
                <w:i/>
                <w:sz w:val="18"/>
                <w:szCs w:val="18"/>
              </w:rPr>
              <w:t>9</w:t>
            </w:r>
            <w:r w:rsidRPr="00EF2BEA">
              <w:rPr>
                <w:rFonts w:ascii="Arial" w:hAnsi="Arial" w:cs="Arial"/>
                <w:b/>
                <w:i/>
                <w:sz w:val="18"/>
                <w:szCs w:val="18"/>
              </w:rPr>
              <w:t>/</w:t>
            </w:r>
            <w:r w:rsidR="00586497">
              <w:rPr>
                <w:rFonts w:ascii="Arial" w:hAnsi="Arial" w:cs="Arial"/>
                <w:b/>
                <w:i/>
                <w:sz w:val="18"/>
                <w:szCs w:val="18"/>
              </w:rPr>
              <w:t>1</w:t>
            </w:r>
            <w:r w:rsidRPr="00EF2BEA">
              <w:rPr>
                <w:rFonts w:ascii="Arial" w:hAnsi="Arial" w:cs="Arial"/>
                <w:b/>
                <w:i/>
                <w:sz w:val="18"/>
                <w:szCs w:val="18"/>
              </w:rPr>
              <w:t>0/3</w:t>
            </w:r>
            <w:r w:rsidR="00F154B7">
              <w:rPr>
                <w:rFonts w:ascii="Arial" w:hAnsi="Arial" w:cs="Arial"/>
                <w:b/>
                <w:i/>
                <w:sz w:val="18"/>
                <w:szCs w:val="18"/>
              </w:rPr>
              <w:t>1</w:t>
            </w:r>
          </w:p>
        </w:tc>
        <w:tc>
          <w:tcPr>
            <w:tcW w:w="2898" w:type="dxa"/>
            <w:tcBorders>
              <w:top w:val="single" w:sz="18" w:space="0" w:color="auto"/>
              <w:left w:val="single" w:sz="18" w:space="0" w:color="auto"/>
              <w:bottom w:val="nil"/>
            </w:tcBorders>
          </w:tcPr>
          <w:p w14:paraId="773C4CE7"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Date of Report</w:t>
            </w:r>
          </w:p>
          <w:p w14:paraId="5F5F3792" w14:textId="77777777" w:rsidR="00EF2BEA" w:rsidRDefault="00941E06" w:rsidP="0075259F">
            <w:pPr>
              <w:pStyle w:val="BodyText"/>
              <w:keepNext/>
              <w:keepLines/>
              <w:spacing w:before="0"/>
              <w:rPr>
                <w:rFonts w:ascii="Arial" w:hAnsi="Arial" w:cs="Arial"/>
                <w:b/>
                <w:sz w:val="18"/>
                <w:szCs w:val="18"/>
                <w:highlight w:val="yellow"/>
              </w:rPr>
            </w:pPr>
            <w:r w:rsidRPr="00EF2BEA">
              <w:rPr>
                <w:rFonts w:ascii="Arial" w:hAnsi="Arial" w:cs="Arial"/>
                <w:sz w:val="18"/>
                <w:szCs w:val="18"/>
              </w:rPr>
              <w:t>YY/MM/D</w:t>
            </w:r>
            <w:r w:rsidR="00761192">
              <w:rPr>
                <w:rFonts w:ascii="Arial" w:hAnsi="Arial" w:cs="Arial"/>
                <w:sz w:val="18"/>
                <w:szCs w:val="18"/>
              </w:rPr>
              <w:t>D</w:t>
            </w:r>
            <w:r w:rsidRPr="00EF2BEA">
              <w:rPr>
                <w:rFonts w:ascii="Arial" w:hAnsi="Arial" w:cs="Arial"/>
                <w:sz w:val="18"/>
                <w:szCs w:val="18"/>
              </w:rPr>
              <w:br/>
            </w:r>
          </w:p>
          <w:p w14:paraId="62E3CD67" w14:textId="21CB2907" w:rsidR="00941E06" w:rsidRPr="00EF2BEA" w:rsidRDefault="00761192" w:rsidP="00F154B7">
            <w:pPr>
              <w:pStyle w:val="BodyText"/>
              <w:keepNext/>
              <w:keepLines/>
              <w:spacing w:before="0"/>
              <w:rPr>
                <w:rFonts w:ascii="Arial" w:hAnsi="Arial" w:cs="Arial"/>
                <w:i/>
                <w:sz w:val="18"/>
                <w:szCs w:val="18"/>
              </w:rPr>
            </w:pPr>
            <w:r w:rsidRPr="00761192">
              <w:rPr>
                <w:rFonts w:ascii="Arial" w:hAnsi="Arial" w:cs="Arial"/>
                <w:b/>
                <w:i/>
                <w:sz w:val="18"/>
                <w:szCs w:val="18"/>
              </w:rPr>
              <w:t>201</w:t>
            </w:r>
            <w:r w:rsidR="006565F3">
              <w:rPr>
                <w:rFonts w:ascii="Arial" w:hAnsi="Arial" w:cs="Arial"/>
                <w:b/>
                <w:i/>
                <w:sz w:val="18"/>
                <w:szCs w:val="18"/>
              </w:rPr>
              <w:t>9</w:t>
            </w:r>
            <w:r w:rsidRPr="00761192">
              <w:rPr>
                <w:rFonts w:ascii="Arial" w:hAnsi="Arial" w:cs="Arial"/>
                <w:b/>
                <w:i/>
                <w:sz w:val="18"/>
                <w:szCs w:val="18"/>
              </w:rPr>
              <w:t>/</w:t>
            </w:r>
            <w:r w:rsidR="00586497">
              <w:rPr>
                <w:rFonts w:ascii="Arial" w:hAnsi="Arial" w:cs="Arial"/>
                <w:b/>
                <w:i/>
                <w:sz w:val="18"/>
                <w:szCs w:val="18"/>
              </w:rPr>
              <w:t>12</w:t>
            </w:r>
            <w:r w:rsidR="00941E06" w:rsidRPr="00761192">
              <w:rPr>
                <w:rFonts w:ascii="Arial" w:hAnsi="Arial" w:cs="Arial"/>
                <w:b/>
                <w:i/>
                <w:sz w:val="18"/>
                <w:szCs w:val="18"/>
              </w:rPr>
              <w:t>/</w:t>
            </w:r>
            <w:r w:rsidR="00586497">
              <w:rPr>
                <w:rFonts w:ascii="Arial" w:hAnsi="Arial" w:cs="Arial"/>
                <w:b/>
                <w:i/>
                <w:sz w:val="18"/>
                <w:szCs w:val="18"/>
              </w:rPr>
              <w:t>10</w:t>
            </w:r>
          </w:p>
        </w:tc>
      </w:tr>
      <w:tr w:rsidR="00941E06" w:rsidRPr="006E7401" w14:paraId="311E62AC" w14:textId="77777777" w:rsidTr="0075259F">
        <w:trPr>
          <w:cantSplit/>
          <w:trHeight w:val="585"/>
        </w:trPr>
        <w:tc>
          <w:tcPr>
            <w:tcW w:w="9576" w:type="dxa"/>
            <w:gridSpan w:val="3"/>
            <w:tcBorders>
              <w:top w:val="single" w:sz="18" w:space="0" w:color="auto"/>
              <w:bottom w:val="single" w:sz="18" w:space="0" w:color="auto"/>
            </w:tcBorders>
          </w:tcPr>
          <w:p w14:paraId="72225933"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Issuer Address</w:t>
            </w:r>
          </w:p>
          <w:p w14:paraId="2AC4F0AA" w14:textId="77777777" w:rsidR="00EF2BEA" w:rsidRDefault="00EF2BEA" w:rsidP="0075259F">
            <w:pPr>
              <w:pStyle w:val="BodyText"/>
              <w:keepNext/>
              <w:keepLines/>
              <w:spacing w:before="0"/>
              <w:rPr>
                <w:rFonts w:ascii="Arial" w:hAnsi="Arial" w:cs="Arial"/>
                <w:b/>
                <w:sz w:val="18"/>
                <w:szCs w:val="18"/>
              </w:rPr>
            </w:pPr>
          </w:p>
          <w:p w14:paraId="60517C67" w14:textId="77777777" w:rsidR="00941E06" w:rsidRPr="00EF2BEA" w:rsidRDefault="00941E06" w:rsidP="0075259F">
            <w:pPr>
              <w:pStyle w:val="BodyText"/>
              <w:keepNext/>
              <w:keepLines/>
              <w:spacing w:before="0"/>
              <w:rPr>
                <w:rFonts w:ascii="Arial" w:hAnsi="Arial" w:cs="Arial"/>
                <w:b/>
                <w:i/>
                <w:sz w:val="18"/>
                <w:szCs w:val="18"/>
              </w:rPr>
            </w:pPr>
            <w:r w:rsidRPr="00EF2BEA">
              <w:rPr>
                <w:rFonts w:ascii="Arial" w:hAnsi="Arial" w:cs="Arial"/>
                <w:b/>
                <w:i/>
                <w:sz w:val="18"/>
                <w:szCs w:val="18"/>
              </w:rPr>
              <w:t>#1470 - 701 West Georgia Street</w:t>
            </w:r>
          </w:p>
        </w:tc>
      </w:tr>
      <w:tr w:rsidR="00941E06" w:rsidRPr="006E7401" w14:paraId="031EE4C0" w14:textId="77777777" w:rsidTr="0075259F">
        <w:tc>
          <w:tcPr>
            <w:tcW w:w="4518" w:type="dxa"/>
            <w:tcBorders>
              <w:top w:val="single" w:sz="18" w:space="0" w:color="auto"/>
              <w:bottom w:val="single" w:sz="18" w:space="0" w:color="auto"/>
              <w:right w:val="single" w:sz="18" w:space="0" w:color="auto"/>
            </w:tcBorders>
          </w:tcPr>
          <w:p w14:paraId="75BC1F7F"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City/Province/Postal Code</w:t>
            </w:r>
          </w:p>
          <w:p w14:paraId="4D11421F" w14:textId="77777777" w:rsidR="00EF2BEA" w:rsidRDefault="00EF2BEA" w:rsidP="00E307DF">
            <w:pPr>
              <w:pStyle w:val="BodyText"/>
              <w:keepNext/>
              <w:keepLines/>
              <w:spacing w:before="0"/>
              <w:rPr>
                <w:rFonts w:ascii="Arial" w:hAnsi="Arial" w:cs="Arial"/>
                <w:b/>
                <w:sz w:val="18"/>
                <w:szCs w:val="18"/>
              </w:rPr>
            </w:pPr>
          </w:p>
          <w:p w14:paraId="2A228A30" w14:textId="77777777" w:rsidR="00941E06" w:rsidRPr="00EF2BEA" w:rsidRDefault="00941E06" w:rsidP="00E307DF">
            <w:pPr>
              <w:pStyle w:val="BodyText"/>
              <w:keepNext/>
              <w:keepLines/>
              <w:spacing w:before="0"/>
              <w:rPr>
                <w:rFonts w:ascii="Arial" w:hAnsi="Arial" w:cs="Arial"/>
                <w:b/>
                <w:i/>
                <w:sz w:val="18"/>
                <w:szCs w:val="18"/>
              </w:rPr>
            </w:pPr>
            <w:r w:rsidRPr="00EF2BEA">
              <w:rPr>
                <w:rFonts w:ascii="Arial" w:hAnsi="Arial" w:cs="Arial"/>
                <w:b/>
                <w:i/>
                <w:sz w:val="18"/>
                <w:szCs w:val="18"/>
              </w:rPr>
              <w:t>Vancouver, BC V7Y 1C6</w:t>
            </w:r>
          </w:p>
        </w:tc>
        <w:tc>
          <w:tcPr>
            <w:tcW w:w="2160" w:type="dxa"/>
            <w:tcBorders>
              <w:top w:val="single" w:sz="18" w:space="0" w:color="auto"/>
              <w:left w:val="single" w:sz="18" w:space="0" w:color="auto"/>
              <w:bottom w:val="single" w:sz="18" w:space="0" w:color="auto"/>
              <w:right w:val="single" w:sz="18" w:space="0" w:color="auto"/>
            </w:tcBorders>
          </w:tcPr>
          <w:p w14:paraId="0A1C0EA2"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Issuer Fax No.</w:t>
            </w:r>
          </w:p>
          <w:p w14:paraId="716A235B" w14:textId="77777777" w:rsidR="00EF2BEA" w:rsidRDefault="00EF2BEA" w:rsidP="0075259F">
            <w:pPr>
              <w:pStyle w:val="BodyText"/>
              <w:keepNext/>
              <w:keepLines/>
              <w:spacing w:before="0"/>
              <w:rPr>
                <w:rFonts w:ascii="Arial" w:hAnsi="Arial" w:cs="Arial"/>
                <w:b/>
                <w:sz w:val="18"/>
                <w:szCs w:val="18"/>
              </w:rPr>
            </w:pPr>
          </w:p>
          <w:p w14:paraId="0FDB5758" w14:textId="77777777" w:rsidR="00941E06" w:rsidRPr="00EF2BEA" w:rsidRDefault="00941E06" w:rsidP="0075259F">
            <w:pPr>
              <w:pStyle w:val="BodyText"/>
              <w:keepNext/>
              <w:keepLines/>
              <w:spacing w:before="0"/>
              <w:rPr>
                <w:rFonts w:ascii="Arial" w:hAnsi="Arial" w:cs="Arial"/>
                <w:b/>
                <w:i/>
                <w:sz w:val="18"/>
                <w:szCs w:val="18"/>
              </w:rPr>
            </w:pPr>
            <w:r w:rsidRPr="00EF2BEA">
              <w:rPr>
                <w:rFonts w:ascii="Arial" w:hAnsi="Arial" w:cs="Arial"/>
                <w:b/>
                <w:i/>
                <w:sz w:val="18"/>
                <w:szCs w:val="18"/>
              </w:rPr>
              <w:t>604-689-1733</w:t>
            </w:r>
          </w:p>
        </w:tc>
        <w:tc>
          <w:tcPr>
            <w:tcW w:w="2898" w:type="dxa"/>
            <w:tcBorders>
              <w:top w:val="single" w:sz="18" w:space="0" w:color="auto"/>
              <w:left w:val="single" w:sz="18" w:space="0" w:color="auto"/>
              <w:bottom w:val="single" w:sz="18" w:space="0" w:color="auto"/>
            </w:tcBorders>
          </w:tcPr>
          <w:p w14:paraId="6CB2730E"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Issuer Telephone No.</w:t>
            </w:r>
          </w:p>
          <w:p w14:paraId="14F4C0BF" w14:textId="77777777" w:rsidR="00EF2BEA" w:rsidRDefault="00EF2BEA" w:rsidP="0075259F">
            <w:pPr>
              <w:pStyle w:val="BodyText"/>
              <w:keepNext/>
              <w:keepLines/>
              <w:spacing w:before="0"/>
              <w:rPr>
                <w:rFonts w:ascii="Arial" w:hAnsi="Arial" w:cs="Arial"/>
                <w:b/>
                <w:sz w:val="18"/>
                <w:szCs w:val="18"/>
              </w:rPr>
            </w:pPr>
          </w:p>
          <w:p w14:paraId="0C931F27" w14:textId="5BD3BB50" w:rsidR="00941E06" w:rsidRPr="00EF2BEA" w:rsidRDefault="00941E06" w:rsidP="0075259F">
            <w:pPr>
              <w:pStyle w:val="BodyText"/>
              <w:keepNext/>
              <w:keepLines/>
              <w:spacing w:before="0"/>
              <w:rPr>
                <w:rFonts w:ascii="Arial" w:hAnsi="Arial" w:cs="Arial"/>
                <w:b/>
                <w:i/>
                <w:sz w:val="18"/>
                <w:szCs w:val="18"/>
              </w:rPr>
            </w:pPr>
            <w:r w:rsidRPr="00EF2BEA">
              <w:rPr>
                <w:rFonts w:ascii="Arial" w:hAnsi="Arial" w:cs="Arial"/>
                <w:b/>
                <w:i/>
                <w:sz w:val="18"/>
                <w:szCs w:val="18"/>
              </w:rPr>
              <w:t>604-</w:t>
            </w:r>
            <w:r w:rsidR="00586497">
              <w:rPr>
                <w:rFonts w:ascii="Arial" w:hAnsi="Arial" w:cs="Arial"/>
                <w:b/>
                <w:i/>
                <w:sz w:val="18"/>
                <w:szCs w:val="18"/>
              </w:rPr>
              <w:t>899-9150</w:t>
            </w:r>
          </w:p>
        </w:tc>
      </w:tr>
      <w:tr w:rsidR="00941E06" w:rsidRPr="006E7401" w14:paraId="136DEBDB" w14:textId="77777777" w:rsidTr="0075259F">
        <w:tc>
          <w:tcPr>
            <w:tcW w:w="4518" w:type="dxa"/>
            <w:tcBorders>
              <w:top w:val="single" w:sz="18" w:space="0" w:color="auto"/>
              <w:bottom w:val="single" w:sz="18" w:space="0" w:color="auto"/>
              <w:right w:val="single" w:sz="18" w:space="0" w:color="auto"/>
            </w:tcBorders>
          </w:tcPr>
          <w:p w14:paraId="533A5B76"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Contact Name</w:t>
            </w:r>
          </w:p>
          <w:p w14:paraId="00D3A32D" w14:textId="77777777" w:rsidR="00EF2BEA" w:rsidRDefault="00EF2BEA" w:rsidP="0075259F">
            <w:pPr>
              <w:pStyle w:val="BodyText"/>
              <w:keepNext/>
              <w:keepLines/>
              <w:spacing w:before="0"/>
              <w:rPr>
                <w:rFonts w:ascii="Arial" w:hAnsi="Arial" w:cs="Arial"/>
                <w:b/>
                <w:sz w:val="18"/>
                <w:szCs w:val="18"/>
              </w:rPr>
            </w:pPr>
          </w:p>
          <w:p w14:paraId="5227AFA4" w14:textId="77777777" w:rsidR="00941E06" w:rsidRPr="00EF2BEA" w:rsidRDefault="00941E06" w:rsidP="00EF2BEA">
            <w:pPr>
              <w:pStyle w:val="BodyText"/>
              <w:keepNext/>
              <w:keepLines/>
              <w:spacing w:before="0"/>
              <w:rPr>
                <w:rFonts w:ascii="Arial" w:hAnsi="Arial" w:cs="Arial"/>
                <w:b/>
                <w:i/>
                <w:sz w:val="18"/>
                <w:szCs w:val="18"/>
              </w:rPr>
            </w:pPr>
            <w:r w:rsidRPr="00EF2BEA">
              <w:rPr>
                <w:rFonts w:ascii="Arial" w:hAnsi="Arial" w:cs="Arial"/>
                <w:b/>
                <w:i/>
                <w:sz w:val="18"/>
                <w:szCs w:val="18"/>
              </w:rPr>
              <w:t>James Nelson</w:t>
            </w:r>
          </w:p>
        </w:tc>
        <w:tc>
          <w:tcPr>
            <w:tcW w:w="2160" w:type="dxa"/>
            <w:tcBorders>
              <w:top w:val="single" w:sz="18" w:space="0" w:color="auto"/>
              <w:left w:val="single" w:sz="18" w:space="0" w:color="auto"/>
              <w:bottom w:val="single" w:sz="18" w:space="0" w:color="auto"/>
              <w:right w:val="single" w:sz="18" w:space="0" w:color="auto"/>
            </w:tcBorders>
          </w:tcPr>
          <w:p w14:paraId="578A0C8E"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Contact Position</w:t>
            </w:r>
            <w:r w:rsidRPr="00EF2BEA">
              <w:rPr>
                <w:rFonts w:ascii="Arial" w:hAnsi="Arial" w:cs="Arial"/>
                <w:sz w:val="18"/>
                <w:szCs w:val="18"/>
              </w:rPr>
              <w:br/>
            </w:r>
            <w:r w:rsidR="008D4981" w:rsidRPr="00EF2BEA">
              <w:rPr>
                <w:rFonts w:ascii="Arial" w:hAnsi="Arial" w:cs="Arial"/>
                <w:b/>
                <w:i/>
                <w:sz w:val="18"/>
                <w:szCs w:val="18"/>
              </w:rPr>
              <w:t xml:space="preserve">President, CEO </w:t>
            </w:r>
            <w:r w:rsidRPr="00EF2BEA">
              <w:rPr>
                <w:rFonts w:ascii="Arial" w:hAnsi="Arial" w:cs="Arial"/>
                <w:b/>
                <w:i/>
                <w:sz w:val="18"/>
                <w:szCs w:val="18"/>
              </w:rPr>
              <w:t>Secretary</w:t>
            </w:r>
            <w:r w:rsidR="008D4981" w:rsidRPr="00EF2BEA">
              <w:rPr>
                <w:rFonts w:ascii="Arial" w:hAnsi="Arial" w:cs="Arial"/>
                <w:b/>
                <w:i/>
                <w:sz w:val="18"/>
                <w:szCs w:val="18"/>
              </w:rPr>
              <w:t xml:space="preserve"> &amp; Director</w:t>
            </w:r>
          </w:p>
        </w:tc>
        <w:tc>
          <w:tcPr>
            <w:tcW w:w="2898" w:type="dxa"/>
            <w:tcBorders>
              <w:top w:val="single" w:sz="18" w:space="0" w:color="auto"/>
              <w:left w:val="single" w:sz="18" w:space="0" w:color="auto"/>
              <w:bottom w:val="single" w:sz="18" w:space="0" w:color="auto"/>
            </w:tcBorders>
          </w:tcPr>
          <w:p w14:paraId="6610910E"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Contact Telephone No.</w:t>
            </w:r>
          </w:p>
          <w:p w14:paraId="2499AE63" w14:textId="77777777" w:rsidR="00EF2BEA" w:rsidRDefault="00EF2BEA" w:rsidP="0075259F">
            <w:pPr>
              <w:pStyle w:val="BodyText"/>
              <w:keepNext/>
              <w:keepLines/>
              <w:spacing w:before="0"/>
              <w:rPr>
                <w:rFonts w:ascii="Arial" w:hAnsi="Arial" w:cs="Arial"/>
                <w:b/>
                <w:sz w:val="18"/>
                <w:szCs w:val="18"/>
              </w:rPr>
            </w:pPr>
          </w:p>
          <w:p w14:paraId="36C3DFCF" w14:textId="39D3D03E" w:rsidR="00941E06" w:rsidRPr="00EF2BEA" w:rsidRDefault="00941E06" w:rsidP="0075259F">
            <w:pPr>
              <w:pStyle w:val="BodyText"/>
              <w:keepNext/>
              <w:keepLines/>
              <w:spacing w:before="0"/>
              <w:rPr>
                <w:rFonts w:ascii="Arial" w:hAnsi="Arial" w:cs="Arial"/>
                <w:b/>
                <w:i/>
                <w:sz w:val="18"/>
                <w:szCs w:val="18"/>
              </w:rPr>
            </w:pPr>
            <w:r w:rsidRPr="00EF2BEA">
              <w:rPr>
                <w:rFonts w:ascii="Arial" w:hAnsi="Arial" w:cs="Arial"/>
                <w:b/>
                <w:i/>
                <w:sz w:val="18"/>
                <w:szCs w:val="18"/>
              </w:rPr>
              <w:t>604-</w:t>
            </w:r>
            <w:r w:rsidR="00586497">
              <w:rPr>
                <w:rFonts w:ascii="Arial" w:hAnsi="Arial" w:cs="Arial"/>
                <w:b/>
                <w:i/>
                <w:sz w:val="18"/>
                <w:szCs w:val="18"/>
              </w:rPr>
              <w:t>899-9150</w:t>
            </w:r>
          </w:p>
        </w:tc>
      </w:tr>
      <w:tr w:rsidR="00941E06" w:rsidRPr="006E7401" w14:paraId="66069B5A" w14:textId="77777777" w:rsidTr="0075259F">
        <w:trPr>
          <w:cantSplit/>
          <w:trHeight w:val="648"/>
        </w:trPr>
        <w:tc>
          <w:tcPr>
            <w:tcW w:w="4518" w:type="dxa"/>
            <w:tcBorders>
              <w:top w:val="single" w:sz="18" w:space="0" w:color="auto"/>
              <w:bottom w:val="single" w:sz="18" w:space="0" w:color="auto"/>
              <w:right w:val="single" w:sz="18" w:space="0" w:color="auto"/>
            </w:tcBorders>
          </w:tcPr>
          <w:p w14:paraId="7AFDFA5C"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Contact Email Address</w:t>
            </w:r>
          </w:p>
          <w:p w14:paraId="7C7A9866" w14:textId="77777777" w:rsidR="00EF2BEA" w:rsidRDefault="00EF2BEA" w:rsidP="0075259F">
            <w:pPr>
              <w:pStyle w:val="BodyText"/>
              <w:keepNext/>
              <w:keepLines/>
              <w:spacing w:before="0"/>
              <w:rPr>
                <w:rFonts w:ascii="Arial" w:hAnsi="Arial" w:cs="Arial"/>
                <w:b/>
                <w:sz w:val="18"/>
                <w:szCs w:val="18"/>
              </w:rPr>
            </w:pPr>
          </w:p>
          <w:p w14:paraId="0635805D" w14:textId="62790CDF" w:rsidR="00941E06" w:rsidRPr="00EF2BEA" w:rsidRDefault="00941E06" w:rsidP="0075259F">
            <w:pPr>
              <w:pStyle w:val="BodyText"/>
              <w:keepNext/>
              <w:keepLines/>
              <w:spacing w:before="0"/>
              <w:rPr>
                <w:rFonts w:ascii="Arial" w:hAnsi="Arial" w:cs="Arial"/>
                <w:b/>
                <w:i/>
                <w:sz w:val="18"/>
                <w:szCs w:val="18"/>
              </w:rPr>
            </w:pPr>
            <w:r w:rsidRPr="00EF2BEA">
              <w:rPr>
                <w:rFonts w:ascii="Arial" w:hAnsi="Arial" w:cs="Arial"/>
                <w:b/>
                <w:i/>
                <w:sz w:val="18"/>
                <w:szCs w:val="18"/>
              </w:rPr>
              <w:t>info@</w:t>
            </w:r>
            <w:r w:rsidR="00586497">
              <w:rPr>
                <w:rFonts w:ascii="Arial" w:hAnsi="Arial" w:cs="Arial"/>
                <w:b/>
                <w:i/>
                <w:sz w:val="18"/>
                <w:szCs w:val="18"/>
              </w:rPr>
              <w:t>cruzcobaltcorp.com</w:t>
            </w:r>
          </w:p>
        </w:tc>
        <w:tc>
          <w:tcPr>
            <w:tcW w:w="5058" w:type="dxa"/>
            <w:gridSpan w:val="2"/>
            <w:tcBorders>
              <w:top w:val="single" w:sz="18" w:space="0" w:color="auto"/>
              <w:left w:val="single" w:sz="18" w:space="0" w:color="auto"/>
              <w:bottom w:val="single" w:sz="18" w:space="0" w:color="auto"/>
            </w:tcBorders>
          </w:tcPr>
          <w:p w14:paraId="4D8A1446" w14:textId="77777777" w:rsidR="00941E06" w:rsidRPr="00EF2BEA" w:rsidRDefault="00941E06" w:rsidP="0075259F">
            <w:pPr>
              <w:pStyle w:val="BodyText"/>
              <w:keepNext/>
              <w:keepLines/>
              <w:spacing w:before="0"/>
              <w:rPr>
                <w:rFonts w:ascii="Arial" w:hAnsi="Arial" w:cs="Arial"/>
                <w:sz w:val="18"/>
                <w:szCs w:val="18"/>
              </w:rPr>
            </w:pPr>
            <w:r w:rsidRPr="00EF2BEA">
              <w:rPr>
                <w:rFonts w:ascii="Arial" w:hAnsi="Arial" w:cs="Arial"/>
                <w:sz w:val="18"/>
                <w:szCs w:val="18"/>
              </w:rPr>
              <w:t>Web Site Address</w:t>
            </w:r>
          </w:p>
          <w:p w14:paraId="4538ACE0" w14:textId="77777777" w:rsidR="00EF2BEA" w:rsidRDefault="00EF2BEA" w:rsidP="0075259F">
            <w:pPr>
              <w:pStyle w:val="BodyText"/>
              <w:keepNext/>
              <w:keepLines/>
              <w:spacing w:before="0"/>
              <w:rPr>
                <w:rFonts w:ascii="Arial" w:hAnsi="Arial" w:cs="Arial"/>
                <w:b/>
                <w:sz w:val="18"/>
                <w:szCs w:val="18"/>
              </w:rPr>
            </w:pPr>
          </w:p>
          <w:p w14:paraId="2A4CF959" w14:textId="6A299D7D" w:rsidR="00941E06" w:rsidRPr="00EF2BEA" w:rsidRDefault="00941E06" w:rsidP="0075259F">
            <w:pPr>
              <w:pStyle w:val="BodyText"/>
              <w:keepNext/>
              <w:keepLines/>
              <w:spacing w:before="0"/>
              <w:rPr>
                <w:rFonts w:ascii="Arial" w:hAnsi="Arial" w:cs="Arial"/>
                <w:b/>
                <w:i/>
                <w:sz w:val="18"/>
                <w:szCs w:val="18"/>
              </w:rPr>
            </w:pPr>
            <w:r w:rsidRPr="00EF2BEA">
              <w:rPr>
                <w:rFonts w:ascii="Arial" w:hAnsi="Arial" w:cs="Arial"/>
                <w:b/>
                <w:i/>
                <w:sz w:val="18"/>
                <w:szCs w:val="18"/>
              </w:rPr>
              <w:t>www.</w:t>
            </w:r>
            <w:r w:rsidR="00586497">
              <w:rPr>
                <w:rFonts w:ascii="Arial" w:hAnsi="Arial" w:cs="Arial"/>
                <w:b/>
                <w:i/>
                <w:sz w:val="18"/>
                <w:szCs w:val="18"/>
              </w:rPr>
              <w:t>cruzcobaltcorp.com</w:t>
            </w:r>
          </w:p>
        </w:tc>
      </w:tr>
    </w:tbl>
    <w:p w14:paraId="2682CB9A" w14:textId="77777777" w:rsidR="00662CD3" w:rsidRDefault="00662CD3">
      <w:pPr>
        <w:rPr>
          <w:sz w:val="24"/>
          <w:lang w:val="en-GB"/>
        </w:rPr>
      </w:pPr>
      <w:r>
        <w:br w:type="page"/>
      </w:r>
    </w:p>
    <w:p w14:paraId="02C988BF" w14:textId="77777777" w:rsidR="0082375A" w:rsidRDefault="00303C5F" w:rsidP="00662CD3">
      <w:pPr>
        <w:pStyle w:val="BodyText"/>
        <w:jc w:val="center"/>
        <w:rPr>
          <w:rFonts w:ascii="Arial" w:hAnsi="Arial" w:cs="Arial"/>
          <w:szCs w:val="24"/>
          <w:u w:val="single"/>
        </w:rPr>
      </w:pPr>
      <w:r>
        <w:rPr>
          <w:rFonts w:ascii="Arial" w:hAnsi="Arial" w:cs="Arial"/>
          <w:szCs w:val="24"/>
          <w:u w:val="single"/>
        </w:rPr>
        <w:lastRenderedPageBreak/>
        <w:br/>
      </w:r>
      <w:r w:rsidR="00662CD3">
        <w:rPr>
          <w:rFonts w:ascii="Arial" w:hAnsi="Arial" w:cs="Arial"/>
          <w:szCs w:val="24"/>
          <w:u w:val="single"/>
        </w:rPr>
        <w:t>Schedules A and C</w:t>
      </w:r>
    </w:p>
    <w:p w14:paraId="0B31ABBA" w14:textId="1CE90DD0" w:rsidR="00554459" w:rsidRPr="00D24C10" w:rsidRDefault="00BE00CD" w:rsidP="00554459">
      <w:pPr>
        <w:jc w:val="center"/>
        <w:rPr>
          <w:b/>
          <w:sz w:val="24"/>
          <w:vertAlign w:val="superscript"/>
        </w:rPr>
      </w:pPr>
      <w:r>
        <w:rPr>
          <w:rFonts w:ascii="Arial" w:hAnsi="Arial" w:cs="Arial"/>
          <w:szCs w:val="24"/>
          <w:u w:val="single"/>
        </w:rPr>
        <w:br w:type="page"/>
      </w:r>
    </w:p>
    <w:p w14:paraId="3F818D5C" w14:textId="77777777" w:rsidR="00554459" w:rsidRPr="00C9168A" w:rsidRDefault="00554459" w:rsidP="00554459">
      <w:pPr>
        <w:jc w:val="center"/>
        <w:rPr>
          <w:b/>
          <w:sz w:val="24"/>
        </w:rPr>
      </w:pPr>
    </w:p>
    <w:p w14:paraId="33C3B4A9" w14:textId="77777777" w:rsidR="00554459" w:rsidRDefault="00554459" w:rsidP="00554459">
      <w:pPr>
        <w:jc w:val="center"/>
        <w:rPr>
          <w:b/>
          <w:sz w:val="24"/>
          <w:szCs w:val="24"/>
        </w:rPr>
      </w:pPr>
    </w:p>
    <w:p w14:paraId="75F697E6" w14:textId="77777777" w:rsidR="00554459" w:rsidRDefault="00554459" w:rsidP="00554459">
      <w:pPr>
        <w:jc w:val="center"/>
        <w:rPr>
          <w:b/>
          <w:sz w:val="24"/>
          <w:szCs w:val="24"/>
        </w:rPr>
      </w:pPr>
    </w:p>
    <w:p w14:paraId="102E50F6" w14:textId="77777777" w:rsidR="00554459" w:rsidRDefault="00554459" w:rsidP="00554459">
      <w:pPr>
        <w:jc w:val="center"/>
        <w:rPr>
          <w:b/>
          <w:sz w:val="24"/>
          <w:szCs w:val="24"/>
        </w:rPr>
      </w:pPr>
    </w:p>
    <w:p w14:paraId="5BE4B153" w14:textId="77777777" w:rsidR="00554459" w:rsidRDefault="00554459" w:rsidP="00554459">
      <w:pPr>
        <w:jc w:val="center"/>
        <w:rPr>
          <w:b/>
          <w:sz w:val="24"/>
          <w:szCs w:val="24"/>
        </w:rPr>
      </w:pPr>
    </w:p>
    <w:p w14:paraId="6F73B3B0" w14:textId="77777777" w:rsidR="00554459" w:rsidRDefault="00554459" w:rsidP="00554459">
      <w:pPr>
        <w:jc w:val="center"/>
        <w:rPr>
          <w:b/>
          <w:sz w:val="24"/>
          <w:szCs w:val="24"/>
        </w:rPr>
      </w:pPr>
    </w:p>
    <w:p w14:paraId="44C14E6A" w14:textId="77777777" w:rsidR="00554459" w:rsidRDefault="00554459" w:rsidP="00554459">
      <w:pPr>
        <w:jc w:val="center"/>
        <w:rPr>
          <w:b/>
          <w:sz w:val="24"/>
          <w:szCs w:val="24"/>
        </w:rPr>
      </w:pPr>
    </w:p>
    <w:p w14:paraId="46EA0C81" w14:textId="77777777" w:rsidR="00554459" w:rsidRDefault="00554459" w:rsidP="00554459">
      <w:pPr>
        <w:jc w:val="center"/>
        <w:rPr>
          <w:b/>
          <w:sz w:val="24"/>
          <w:szCs w:val="24"/>
        </w:rPr>
      </w:pPr>
    </w:p>
    <w:p w14:paraId="1BEE7C18" w14:textId="77777777" w:rsidR="00554459" w:rsidRDefault="00554459" w:rsidP="00554459">
      <w:pPr>
        <w:jc w:val="center"/>
        <w:rPr>
          <w:b/>
          <w:sz w:val="24"/>
          <w:szCs w:val="24"/>
        </w:rPr>
      </w:pPr>
    </w:p>
    <w:p w14:paraId="271B6648" w14:textId="77777777" w:rsidR="00554459" w:rsidRDefault="00554459" w:rsidP="00554459">
      <w:pPr>
        <w:jc w:val="center"/>
        <w:rPr>
          <w:b/>
          <w:sz w:val="24"/>
          <w:szCs w:val="24"/>
        </w:rPr>
      </w:pPr>
    </w:p>
    <w:p w14:paraId="6818C9FA" w14:textId="612FAF85" w:rsidR="00554459" w:rsidRPr="004B64DB" w:rsidRDefault="00554459" w:rsidP="00554459">
      <w:pPr>
        <w:jc w:val="center"/>
        <w:rPr>
          <w:b/>
          <w:sz w:val="24"/>
          <w:szCs w:val="24"/>
        </w:rPr>
      </w:pPr>
      <w:r w:rsidRPr="004B64DB">
        <w:rPr>
          <w:b/>
          <w:sz w:val="24"/>
          <w:szCs w:val="24"/>
        </w:rPr>
        <w:t>CRUZ COBALT CORP.</w:t>
      </w:r>
    </w:p>
    <w:p w14:paraId="1A096792" w14:textId="77777777" w:rsidR="00554459" w:rsidRPr="00554459" w:rsidRDefault="00554459" w:rsidP="00554459">
      <w:pPr>
        <w:pStyle w:val="Heading1"/>
        <w:spacing w:before="240"/>
        <w:jc w:val="center"/>
        <w:rPr>
          <w:b w:val="0"/>
          <w:szCs w:val="24"/>
        </w:rPr>
      </w:pPr>
      <w:r w:rsidRPr="00554459">
        <w:rPr>
          <w:b w:val="0"/>
          <w:szCs w:val="24"/>
        </w:rPr>
        <w:t>CONDENSED CONSOLIDATED INTERIM FINANCIAL STATEMENTS</w:t>
      </w:r>
    </w:p>
    <w:p w14:paraId="75D70728" w14:textId="77777777" w:rsidR="00554459" w:rsidRPr="00554459" w:rsidRDefault="00554459" w:rsidP="00554459">
      <w:pPr>
        <w:jc w:val="center"/>
        <w:rPr>
          <w:sz w:val="24"/>
          <w:szCs w:val="24"/>
        </w:rPr>
      </w:pPr>
    </w:p>
    <w:p w14:paraId="553A6F6F" w14:textId="77777777" w:rsidR="00554459" w:rsidRPr="00554459" w:rsidRDefault="00554459" w:rsidP="00554459">
      <w:pPr>
        <w:jc w:val="center"/>
        <w:rPr>
          <w:sz w:val="24"/>
          <w:szCs w:val="24"/>
        </w:rPr>
      </w:pPr>
      <w:r w:rsidRPr="00554459">
        <w:rPr>
          <w:sz w:val="24"/>
          <w:szCs w:val="24"/>
        </w:rPr>
        <w:t>(Expressed in Canadian Dollars)</w:t>
      </w:r>
    </w:p>
    <w:p w14:paraId="3DD1D05D" w14:textId="77777777" w:rsidR="00554459" w:rsidRPr="00554459" w:rsidRDefault="00554459" w:rsidP="00554459">
      <w:pPr>
        <w:pStyle w:val="Heading1"/>
        <w:spacing w:before="240"/>
        <w:jc w:val="center"/>
        <w:rPr>
          <w:b w:val="0"/>
          <w:szCs w:val="24"/>
          <w:u w:val="single"/>
        </w:rPr>
      </w:pPr>
      <w:r w:rsidRPr="00554459">
        <w:rPr>
          <w:b w:val="0"/>
          <w:szCs w:val="24"/>
          <w:u w:val="single"/>
        </w:rPr>
        <w:t>October 31, 2019 and 2018</w:t>
      </w:r>
    </w:p>
    <w:p w14:paraId="35334DDD" w14:textId="77777777" w:rsidR="00554459" w:rsidRPr="00C5335A" w:rsidRDefault="00554459" w:rsidP="00554459">
      <w:pPr>
        <w:spacing w:before="240"/>
        <w:jc w:val="center"/>
        <w:rPr>
          <w:sz w:val="24"/>
          <w:szCs w:val="24"/>
        </w:rPr>
      </w:pPr>
    </w:p>
    <w:p w14:paraId="0C3ED51B" w14:textId="77777777" w:rsidR="00554459" w:rsidRDefault="00554459" w:rsidP="00554459">
      <w:pPr>
        <w:jc w:val="center"/>
        <w:rPr>
          <w:b/>
          <w:sz w:val="22"/>
        </w:rPr>
      </w:pPr>
      <w:r>
        <w:rPr>
          <w:b/>
          <w:noProof/>
          <w:sz w:val="22"/>
        </w:rPr>
        <mc:AlternateContent>
          <mc:Choice Requires="wps">
            <w:drawing>
              <wp:anchor distT="0" distB="0" distL="114300" distR="114300" simplePos="0" relativeHeight="251659264" behindDoc="0" locked="1" layoutInCell="1" allowOverlap="1" wp14:anchorId="7850B19D" wp14:editId="4ABABB49">
                <wp:simplePos x="0" y="0"/>
                <wp:positionH relativeFrom="page">
                  <wp:posOffset>1080135</wp:posOffset>
                </wp:positionH>
                <wp:positionV relativeFrom="page">
                  <wp:posOffset>563880</wp:posOffset>
                </wp:positionV>
                <wp:extent cx="3706495" cy="33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30200"/>
                        </a:xfrm>
                        <a:prstGeom prst="rect">
                          <a:avLst/>
                        </a:prstGeom>
                        <a:noFill/>
                        <a:ln>
                          <a:noFill/>
                        </a:ln>
                      </wps:spPr>
                      <wps:txbx>
                        <w:txbxContent>
                          <w:p w14:paraId="63A34F9A" w14:textId="77777777" w:rsidR="00FE6554" w:rsidRPr="00320E11" w:rsidRDefault="00FE6554" w:rsidP="00554459">
                            <w:pPr>
                              <w:pStyle w:val="BDO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B19D" id="_x0000_t202" coordsize="21600,21600" o:spt="202" path="m,l,21600r21600,l21600,xe">
                <v:stroke joinstyle="miter"/>
                <v:path gradientshapeok="t" o:connecttype="rect"/>
              </v:shapetype>
              <v:shape id="Text Box 1" o:spid="_x0000_s1026" type="#_x0000_t202" style="position:absolute;left:0;text-align:left;margin-left:85.05pt;margin-top:44.4pt;width:291.85pt;height: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" filled="f" stroked="f">
                <v:textbox inset="0,0,0,0">
                  <w:txbxContent>
                    <w:p w14:paraId="63A34F9A" w14:textId="77777777" w:rsidR="00FE6554" w:rsidRPr="00320E11" w:rsidRDefault="00FE6554" w:rsidP="00554459">
                      <w:pPr>
                        <w:pStyle w:val="BDONormal"/>
                      </w:pPr>
                    </w:p>
                  </w:txbxContent>
                </v:textbox>
                <w10:wrap anchorx="page" anchory="page"/>
                <w10:anchorlock/>
              </v:shape>
            </w:pict>
          </mc:Fallback>
        </mc:AlternateContent>
      </w:r>
    </w:p>
    <w:p w14:paraId="61821AAA" w14:textId="77777777" w:rsidR="00554459" w:rsidRDefault="00554459" w:rsidP="00554459">
      <w:pPr>
        <w:autoSpaceDE w:val="0"/>
        <w:autoSpaceDN w:val="0"/>
        <w:adjustRightInd w:val="0"/>
        <w:jc w:val="both"/>
        <w:rPr>
          <w:color w:val="786860"/>
          <w:sz w:val="22"/>
          <w:szCs w:val="22"/>
        </w:rPr>
      </w:pPr>
      <w:bookmarkStart w:id="6" w:name="para_7635"/>
      <w:bookmarkStart w:id="7" w:name="para_7636"/>
      <w:bookmarkStart w:id="8" w:name="para_7637"/>
      <w:bookmarkEnd w:id="6"/>
      <w:bookmarkEnd w:id="7"/>
      <w:bookmarkEnd w:id="8"/>
    </w:p>
    <w:p w14:paraId="5745CBE4" w14:textId="77777777" w:rsidR="00554459" w:rsidRDefault="00554459" w:rsidP="00554459">
      <w:pPr>
        <w:autoSpaceDE w:val="0"/>
        <w:autoSpaceDN w:val="0"/>
        <w:adjustRightInd w:val="0"/>
        <w:jc w:val="both"/>
        <w:rPr>
          <w:color w:val="786860"/>
          <w:sz w:val="22"/>
          <w:szCs w:val="22"/>
        </w:rPr>
        <w:sectPr w:rsidR="00554459" w:rsidSect="00495559">
          <w:footerReference w:type="default" r:id="rId8"/>
          <w:headerReference w:type="first" r:id="rId9"/>
          <w:pgSz w:w="12240" w:h="15840" w:code="1"/>
          <w:pgMar w:top="1440" w:right="1080" w:bottom="1440" w:left="1080" w:header="720" w:footer="720" w:gutter="0"/>
          <w:cols w:space="720"/>
          <w:docGrid w:linePitch="272"/>
        </w:sectPr>
      </w:pPr>
    </w:p>
    <w:p w14:paraId="2BABC564" w14:textId="77777777" w:rsidR="00554459" w:rsidRPr="00CC36FB" w:rsidRDefault="00554459" w:rsidP="00554459">
      <w:pPr>
        <w:jc w:val="both"/>
        <w:rPr>
          <w:sz w:val="24"/>
          <w:lang w:val="en-CA"/>
        </w:rPr>
      </w:pPr>
    </w:p>
    <w:p w14:paraId="77C065D1" w14:textId="77777777" w:rsidR="00554459" w:rsidRPr="00CC36FB" w:rsidRDefault="00554459" w:rsidP="00554459">
      <w:pPr>
        <w:jc w:val="both"/>
        <w:rPr>
          <w:sz w:val="24"/>
          <w:lang w:val="en-CA"/>
        </w:rPr>
      </w:pPr>
    </w:p>
    <w:p w14:paraId="2B0EF09F" w14:textId="77777777" w:rsidR="00554459" w:rsidRPr="00CC36FB" w:rsidRDefault="00554459" w:rsidP="00554459">
      <w:pPr>
        <w:jc w:val="both"/>
        <w:rPr>
          <w:sz w:val="24"/>
          <w:lang w:val="en-CA"/>
        </w:rPr>
      </w:pPr>
    </w:p>
    <w:p w14:paraId="7731DA9A" w14:textId="77777777" w:rsidR="00554459" w:rsidRPr="00CC36FB" w:rsidRDefault="00554459" w:rsidP="00554459">
      <w:pPr>
        <w:jc w:val="both"/>
        <w:rPr>
          <w:sz w:val="24"/>
          <w:lang w:val="en-CA"/>
        </w:rPr>
      </w:pPr>
    </w:p>
    <w:p w14:paraId="4E9C33CA" w14:textId="77777777" w:rsidR="00554459" w:rsidRDefault="00554459" w:rsidP="00554459">
      <w:pPr>
        <w:autoSpaceDE w:val="0"/>
        <w:autoSpaceDN w:val="0"/>
        <w:adjustRightInd w:val="0"/>
        <w:jc w:val="center"/>
        <w:rPr>
          <w:b/>
          <w:sz w:val="24"/>
          <w:szCs w:val="24"/>
        </w:rPr>
      </w:pPr>
    </w:p>
    <w:p w14:paraId="597BB14F" w14:textId="77777777" w:rsidR="00554459" w:rsidRDefault="00554459" w:rsidP="00554459">
      <w:pPr>
        <w:autoSpaceDE w:val="0"/>
        <w:autoSpaceDN w:val="0"/>
        <w:adjustRightInd w:val="0"/>
        <w:jc w:val="center"/>
        <w:rPr>
          <w:b/>
          <w:sz w:val="24"/>
          <w:szCs w:val="24"/>
        </w:rPr>
      </w:pPr>
    </w:p>
    <w:p w14:paraId="794E173C" w14:textId="77777777" w:rsidR="00554459" w:rsidRDefault="00554459" w:rsidP="00554459">
      <w:pPr>
        <w:autoSpaceDE w:val="0"/>
        <w:autoSpaceDN w:val="0"/>
        <w:adjustRightInd w:val="0"/>
        <w:jc w:val="center"/>
        <w:rPr>
          <w:b/>
          <w:sz w:val="24"/>
          <w:szCs w:val="24"/>
        </w:rPr>
      </w:pPr>
    </w:p>
    <w:p w14:paraId="43DE5C72" w14:textId="77777777" w:rsidR="00554459" w:rsidRDefault="00554459" w:rsidP="00554459">
      <w:pPr>
        <w:autoSpaceDE w:val="0"/>
        <w:autoSpaceDN w:val="0"/>
        <w:adjustRightInd w:val="0"/>
        <w:jc w:val="center"/>
        <w:rPr>
          <w:b/>
          <w:sz w:val="24"/>
          <w:szCs w:val="24"/>
        </w:rPr>
      </w:pPr>
    </w:p>
    <w:p w14:paraId="448D60CC" w14:textId="77777777" w:rsidR="00554459" w:rsidRDefault="00554459" w:rsidP="00554459">
      <w:pPr>
        <w:autoSpaceDE w:val="0"/>
        <w:autoSpaceDN w:val="0"/>
        <w:adjustRightInd w:val="0"/>
        <w:jc w:val="center"/>
        <w:rPr>
          <w:b/>
          <w:sz w:val="24"/>
          <w:szCs w:val="24"/>
        </w:rPr>
      </w:pPr>
    </w:p>
    <w:p w14:paraId="7EC754B6" w14:textId="77777777" w:rsidR="00554459" w:rsidRDefault="00554459" w:rsidP="00554459">
      <w:pPr>
        <w:autoSpaceDE w:val="0"/>
        <w:autoSpaceDN w:val="0"/>
        <w:adjustRightInd w:val="0"/>
        <w:jc w:val="center"/>
        <w:rPr>
          <w:b/>
          <w:sz w:val="24"/>
          <w:szCs w:val="24"/>
        </w:rPr>
      </w:pPr>
    </w:p>
    <w:p w14:paraId="4009CBD2" w14:textId="77777777" w:rsidR="00554459" w:rsidRPr="003C4825" w:rsidRDefault="00554459" w:rsidP="00554459">
      <w:pPr>
        <w:autoSpaceDE w:val="0"/>
        <w:autoSpaceDN w:val="0"/>
        <w:adjustRightInd w:val="0"/>
        <w:jc w:val="center"/>
        <w:rPr>
          <w:sz w:val="24"/>
          <w:szCs w:val="24"/>
        </w:rPr>
      </w:pPr>
      <w:r w:rsidRPr="003C4825">
        <w:rPr>
          <w:b/>
          <w:sz w:val="24"/>
          <w:szCs w:val="24"/>
        </w:rPr>
        <w:t>NOTICE OF NO AUDITOR REVIEW</w:t>
      </w:r>
    </w:p>
    <w:p w14:paraId="52DCFAF3" w14:textId="77777777" w:rsidR="00554459" w:rsidRPr="003C4825" w:rsidRDefault="00554459" w:rsidP="00554459">
      <w:pPr>
        <w:autoSpaceDE w:val="0"/>
        <w:autoSpaceDN w:val="0"/>
        <w:adjustRightInd w:val="0"/>
        <w:jc w:val="center"/>
        <w:rPr>
          <w:sz w:val="24"/>
          <w:szCs w:val="24"/>
        </w:rPr>
      </w:pPr>
    </w:p>
    <w:p w14:paraId="029416F2" w14:textId="77777777" w:rsidR="00554459" w:rsidRPr="00CC36FB" w:rsidRDefault="00554459" w:rsidP="00554459">
      <w:pPr>
        <w:tabs>
          <w:tab w:val="left" w:pos="630"/>
          <w:tab w:val="left" w:pos="900"/>
          <w:tab w:val="right" w:pos="9360"/>
        </w:tabs>
        <w:jc w:val="both"/>
      </w:pPr>
      <w:r w:rsidRPr="003C4825">
        <w:rPr>
          <w:sz w:val="24"/>
          <w:szCs w:val="24"/>
        </w:rPr>
        <w:t xml:space="preserve">The unaudited condensed consolidated interim financial statements, and accompanying notes thereto, for the periods </w:t>
      </w:r>
      <w:r w:rsidRPr="00860471">
        <w:rPr>
          <w:sz w:val="24"/>
          <w:szCs w:val="24"/>
        </w:rPr>
        <w:t xml:space="preserve">ended </w:t>
      </w:r>
      <w:r>
        <w:rPr>
          <w:sz w:val="24"/>
          <w:szCs w:val="24"/>
        </w:rPr>
        <w:t>Octo</w:t>
      </w:r>
      <w:r w:rsidRPr="00860471">
        <w:rPr>
          <w:sz w:val="24"/>
          <w:szCs w:val="24"/>
        </w:rPr>
        <w:t>ber 3</w:t>
      </w:r>
      <w:r>
        <w:rPr>
          <w:sz w:val="24"/>
          <w:szCs w:val="24"/>
        </w:rPr>
        <w:t>1</w:t>
      </w:r>
      <w:r w:rsidRPr="00860471">
        <w:rPr>
          <w:sz w:val="24"/>
          <w:szCs w:val="24"/>
        </w:rPr>
        <w:t>, 201</w:t>
      </w:r>
      <w:r>
        <w:rPr>
          <w:sz w:val="24"/>
          <w:szCs w:val="24"/>
        </w:rPr>
        <w:t>9</w:t>
      </w:r>
      <w:r w:rsidRPr="00860471">
        <w:rPr>
          <w:sz w:val="24"/>
          <w:szCs w:val="24"/>
        </w:rPr>
        <w:t xml:space="preserve"> and 201</w:t>
      </w:r>
      <w:r>
        <w:rPr>
          <w:sz w:val="24"/>
          <w:szCs w:val="24"/>
        </w:rPr>
        <w:t>8</w:t>
      </w:r>
      <w:r w:rsidRPr="00860471">
        <w:rPr>
          <w:sz w:val="24"/>
          <w:szCs w:val="24"/>
        </w:rPr>
        <w:t xml:space="preserve"> have not</w:t>
      </w:r>
      <w:r w:rsidRPr="003C4825">
        <w:rPr>
          <w:sz w:val="24"/>
          <w:szCs w:val="24"/>
        </w:rPr>
        <w:t xml:space="preserve"> been reviewed by the Company’s external auditor</w:t>
      </w:r>
      <w:r w:rsidRPr="00CC36FB">
        <w:t>.</w:t>
      </w:r>
    </w:p>
    <w:p w14:paraId="0640ED27" w14:textId="77777777" w:rsidR="00554459" w:rsidRPr="00CC36FB" w:rsidRDefault="00554459" w:rsidP="00554459">
      <w:pPr>
        <w:tabs>
          <w:tab w:val="left" w:pos="630"/>
          <w:tab w:val="left" w:pos="900"/>
          <w:tab w:val="right" w:pos="9360"/>
        </w:tabs>
        <w:jc w:val="both"/>
      </w:pPr>
    </w:p>
    <w:p w14:paraId="03D69D3B" w14:textId="77777777" w:rsidR="00554459" w:rsidRPr="003A5463" w:rsidRDefault="00554459" w:rsidP="00554459">
      <w:pPr>
        <w:tabs>
          <w:tab w:val="left" w:pos="630"/>
          <w:tab w:val="left" w:pos="900"/>
          <w:tab w:val="right" w:pos="9360"/>
        </w:tabs>
        <w:jc w:val="right"/>
        <w:rPr>
          <w:b/>
          <w:sz w:val="24"/>
        </w:rPr>
      </w:pPr>
    </w:p>
    <w:p w14:paraId="5B5AA369" w14:textId="77777777" w:rsidR="00554459" w:rsidRPr="003A5463" w:rsidRDefault="00554459" w:rsidP="00554459">
      <w:pPr>
        <w:rPr>
          <w:sz w:val="24"/>
        </w:rPr>
      </w:pPr>
    </w:p>
    <w:p w14:paraId="3F3BCC90" w14:textId="77777777" w:rsidR="00554459" w:rsidRDefault="00554459" w:rsidP="00554459"/>
    <w:p w14:paraId="742385F4" w14:textId="77777777" w:rsidR="00554459" w:rsidRDefault="00554459" w:rsidP="00554459"/>
    <w:p w14:paraId="11D6D316" w14:textId="77777777" w:rsidR="00554459" w:rsidRPr="00996E49" w:rsidRDefault="00554459" w:rsidP="00554459">
      <w:pPr>
        <w:autoSpaceDE w:val="0"/>
        <w:autoSpaceDN w:val="0"/>
        <w:adjustRightInd w:val="0"/>
        <w:jc w:val="both"/>
        <w:rPr>
          <w:color w:val="786860"/>
          <w:sz w:val="22"/>
          <w:szCs w:val="22"/>
        </w:rPr>
        <w:sectPr w:rsidR="00554459" w:rsidRPr="00996E49" w:rsidSect="00495559">
          <w:pgSz w:w="12240" w:h="15840" w:code="1"/>
          <w:pgMar w:top="1440" w:right="1080" w:bottom="1440" w:left="1080" w:header="720" w:footer="720" w:gutter="0"/>
          <w:cols w:space="720"/>
          <w:docGrid w:linePitch="272"/>
        </w:sectPr>
      </w:pPr>
    </w:p>
    <w:p w14:paraId="796CA6C4" w14:textId="77777777" w:rsidR="00554459" w:rsidRPr="004B64DB" w:rsidRDefault="00554459" w:rsidP="00554459">
      <w:pPr>
        <w:jc w:val="center"/>
        <w:rPr>
          <w:b/>
          <w:sz w:val="22"/>
        </w:rPr>
      </w:pPr>
      <w:r w:rsidRPr="004B64DB">
        <w:rPr>
          <w:b/>
          <w:sz w:val="22"/>
        </w:rPr>
        <w:lastRenderedPageBreak/>
        <w:t xml:space="preserve">CRUZ COBALT CORP. </w:t>
      </w:r>
    </w:p>
    <w:p w14:paraId="58469ABF" w14:textId="77777777" w:rsidR="00554459" w:rsidRPr="00003FBB" w:rsidRDefault="00554459" w:rsidP="00554459">
      <w:pPr>
        <w:pStyle w:val="Heading1"/>
        <w:rPr>
          <w:sz w:val="22"/>
        </w:rPr>
      </w:pPr>
      <w:r>
        <w:rPr>
          <w:sz w:val="22"/>
        </w:rPr>
        <w:t>CONDENSED CONSOLIDATED INTERIM</w:t>
      </w:r>
      <w:r w:rsidRPr="00003FBB">
        <w:rPr>
          <w:sz w:val="22"/>
        </w:rPr>
        <w:t xml:space="preserve"> STATEMENTS OF FINANCIAL POSITION</w:t>
      </w:r>
    </w:p>
    <w:p w14:paraId="27AB80CF" w14:textId="77777777" w:rsidR="00554459" w:rsidRPr="00003FBB" w:rsidRDefault="00554459" w:rsidP="00554459">
      <w:pPr>
        <w:jc w:val="center"/>
        <w:rPr>
          <w:sz w:val="22"/>
          <w:szCs w:val="22"/>
        </w:rPr>
      </w:pPr>
      <w:r w:rsidRPr="00003FBB">
        <w:rPr>
          <w:sz w:val="22"/>
          <w:szCs w:val="22"/>
        </w:rPr>
        <w:t>(Expressed in Canadian Dollars)</w:t>
      </w:r>
    </w:p>
    <w:p w14:paraId="79793C7E" w14:textId="77777777" w:rsidR="00554459" w:rsidRPr="00003FBB" w:rsidRDefault="00554459" w:rsidP="00554459">
      <w:pPr>
        <w:rPr>
          <w:sz w:val="22"/>
        </w:rPr>
      </w:pPr>
    </w:p>
    <w:tbl>
      <w:tblPr>
        <w:tblW w:w="9504" w:type="dxa"/>
        <w:tblLayout w:type="fixed"/>
        <w:tblLook w:val="0000" w:firstRow="0" w:lastRow="0" w:firstColumn="0" w:lastColumn="0" w:noHBand="0" w:noVBand="0"/>
      </w:tblPr>
      <w:tblGrid>
        <w:gridCol w:w="6435"/>
        <w:gridCol w:w="1537"/>
        <w:gridCol w:w="1532"/>
      </w:tblGrid>
      <w:tr w:rsidR="00554459" w:rsidRPr="00C9168A" w14:paraId="605A4089" w14:textId="77777777" w:rsidTr="00495559">
        <w:tc>
          <w:tcPr>
            <w:tcW w:w="6435" w:type="dxa"/>
          </w:tcPr>
          <w:p w14:paraId="3B12AFED" w14:textId="77777777" w:rsidR="00554459" w:rsidRPr="00003FBB" w:rsidRDefault="00554459" w:rsidP="00495559">
            <w:pPr>
              <w:tabs>
                <w:tab w:val="center" w:pos="4680"/>
              </w:tabs>
              <w:rPr>
                <w:b/>
                <w:sz w:val="22"/>
                <w:szCs w:val="22"/>
              </w:rPr>
            </w:pPr>
            <w:r w:rsidRPr="00003FBB">
              <w:rPr>
                <w:sz w:val="22"/>
                <w:szCs w:val="22"/>
              </w:rPr>
              <w:tab/>
            </w:r>
            <w:r w:rsidRPr="00003FBB">
              <w:rPr>
                <w:b/>
                <w:sz w:val="22"/>
                <w:szCs w:val="22"/>
              </w:rPr>
              <w:t>ASSETS</w:t>
            </w:r>
          </w:p>
        </w:tc>
        <w:tc>
          <w:tcPr>
            <w:tcW w:w="1537" w:type="dxa"/>
          </w:tcPr>
          <w:p w14:paraId="56F3DE34" w14:textId="77777777" w:rsidR="00554459" w:rsidRPr="00003FBB" w:rsidRDefault="00554459" w:rsidP="00495559">
            <w:pPr>
              <w:jc w:val="right"/>
              <w:rPr>
                <w:sz w:val="22"/>
              </w:rPr>
            </w:pPr>
            <w:r>
              <w:rPr>
                <w:sz w:val="22"/>
              </w:rPr>
              <w:t>October</w:t>
            </w:r>
            <w:r w:rsidRPr="00003FBB">
              <w:rPr>
                <w:sz w:val="22"/>
              </w:rPr>
              <w:t xml:space="preserve"> 31,</w:t>
            </w:r>
          </w:p>
          <w:p w14:paraId="64A05930" w14:textId="77777777" w:rsidR="00554459" w:rsidRPr="00003FBB" w:rsidRDefault="00554459" w:rsidP="00495559">
            <w:pPr>
              <w:jc w:val="right"/>
              <w:rPr>
                <w:sz w:val="22"/>
                <w:u w:val="single"/>
              </w:rPr>
            </w:pPr>
            <w:r w:rsidRPr="00003FBB">
              <w:rPr>
                <w:sz w:val="22"/>
                <w:u w:val="single"/>
              </w:rPr>
              <w:t xml:space="preserve"> 2019</w:t>
            </w:r>
          </w:p>
        </w:tc>
        <w:tc>
          <w:tcPr>
            <w:tcW w:w="1532" w:type="dxa"/>
          </w:tcPr>
          <w:p w14:paraId="768A80A4" w14:textId="77777777" w:rsidR="00554459" w:rsidRPr="00003FBB" w:rsidRDefault="00554459" w:rsidP="00495559">
            <w:pPr>
              <w:jc w:val="right"/>
              <w:rPr>
                <w:sz w:val="22"/>
              </w:rPr>
            </w:pPr>
            <w:r w:rsidRPr="00003FBB">
              <w:rPr>
                <w:sz w:val="22"/>
              </w:rPr>
              <w:t>July 31,</w:t>
            </w:r>
          </w:p>
          <w:p w14:paraId="3A761D99" w14:textId="77777777" w:rsidR="00554459" w:rsidRPr="006749C8" w:rsidRDefault="00554459" w:rsidP="00495559">
            <w:pPr>
              <w:jc w:val="right"/>
              <w:rPr>
                <w:sz w:val="22"/>
                <w:u w:val="single"/>
              </w:rPr>
            </w:pPr>
            <w:r w:rsidRPr="00003FBB">
              <w:rPr>
                <w:sz w:val="22"/>
                <w:u w:val="single"/>
              </w:rPr>
              <w:t xml:space="preserve"> 201</w:t>
            </w:r>
            <w:r>
              <w:rPr>
                <w:sz w:val="22"/>
                <w:u w:val="single"/>
              </w:rPr>
              <w:t>9</w:t>
            </w:r>
          </w:p>
        </w:tc>
      </w:tr>
      <w:tr w:rsidR="00554459" w:rsidRPr="00C9168A" w14:paraId="06B91C2F" w14:textId="77777777" w:rsidTr="00495559">
        <w:tc>
          <w:tcPr>
            <w:tcW w:w="6435" w:type="dxa"/>
          </w:tcPr>
          <w:p w14:paraId="016AAC54" w14:textId="77777777" w:rsidR="00554459" w:rsidRPr="00CD29FD" w:rsidRDefault="00554459" w:rsidP="00495559">
            <w:pPr>
              <w:rPr>
                <w:sz w:val="22"/>
                <w:szCs w:val="22"/>
              </w:rPr>
            </w:pPr>
          </w:p>
        </w:tc>
        <w:tc>
          <w:tcPr>
            <w:tcW w:w="1537" w:type="dxa"/>
          </w:tcPr>
          <w:p w14:paraId="7461BCD9" w14:textId="77777777" w:rsidR="00554459" w:rsidRPr="00C9168A" w:rsidRDefault="00554459" w:rsidP="00495559">
            <w:pPr>
              <w:jc w:val="right"/>
              <w:rPr>
                <w:sz w:val="22"/>
              </w:rPr>
            </w:pPr>
          </w:p>
        </w:tc>
        <w:tc>
          <w:tcPr>
            <w:tcW w:w="1532" w:type="dxa"/>
          </w:tcPr>
          <w:p w14:paraId="6496C2B9" w14:textId="77777777" w:rsidR="00554459" w:rsidRPr="00C9168A" w:rsidRDefault="00554459" w:rsidP="00495559">
            <w:pPr>
              <w:jc w:val="right"/>
              <w:rPr>
                <w:sz w:val="22"/>
              </w:rPr>
            </w:pPr>
          </w:p>
        </w:tc>
      </w:tr>
      <w:tr w:rsidR="00554459" w:rsidRPr="00C9168A" w14:paraId="1411BA09" w14:textId="77777777" w:rsidTr="00495559">
        <w:tc>
          <w:tcPr>
            <w:tcW w:w="6435" w:type="dxa"/>
          </w:tcPr>
          <w:p w14:paraId="067AFCE9" w14:textId="77777777" w:rsidR="00554459" w:rsidRPr="00A60A89" w:rsidRDefault="00554459" w:rsidP="00495559">
            <w:pPr>
              <w:rPr>
                <w:b/>
                <w:sz w:val="22"/>
                <w:szCs w:val="22"/>
              </w:rPr>
            </w:pPr>
            <w:r w:rsidRPr="00A60A89">
              <w:rPr>
                <w:b/>
                <w:sz w:val="22"/>
                <w:szCs w:val="22"/>
              </w:rPr>
              <w:t>Current assets</w:t>
            </w:r>
          </w:p>
        </w:tc>
        <w:tc>
          <w:tcPr>
            <w:tcW w:w="1537" w:type="dxa"/>
          </w:tcPr>
          <w:p w14:paraId="37453536" w14:textId="77777777" w:rsidR="00554459" w:rsidRPr="00C9168A" w:rsidRDefault="00554459" w:rsidP="00495559">
            <w:pPr>
              <w:jc w:val="right"/>
              <w:rPr>
                <w:sz w:val="22"/>
              </w:rPr>
            </w:pPr>
          </w:p>
        </w:tc>
        <w:tc>
          <w:tcPr>
            <w:tcW w:w="1532" w:type="dxa"/>
          </w:tcPr>
          <w:p w14:paraId="751725CA" w14:textId="77777777" w:rsidR="00554459" w:rsidRPr="00C9168A" w:rsidRDefault="00554459" w:rsidP="00495559">
            <w:pPr>
              <w:jc w:val="right"/>
              <w:rPr>
                <w:sz w:val="22"/>
              </w:rPr>
            </w:pPr>
          </w:p>
        </w:tc>
      </w:tr>
      <w:tr w:rsidR="00554459" w:rsidRPr="00C9168A" w14:paraId="0533BC57" w14:textId="77777777" w:rsidTr="00495559">
        <w:tc>
          <w:tcPr>
            <w:tcW w:w="6435" w:type="dxa"/>
          </w:tcPr>
          <w:p w14:paraId="071AA44B" w14:textId="77777777" w:rsidR="00554459" w:rsidRPr="00CD29FD" w:rsidRDefault="00554459" w:rsidP="00495559">
            <w:pPr>
              <w:pStyle w:val="Pages"/>
              <w:tabs>
                <w:tab w:val="left" w:pos="270"/>
              </w:tabs>
              <w:spacing w:after="0"/>
              <w:rPr>
                <w:rFonts w:ascii="Times New Roman" w:hAnsi="Times New Roman"/>
                <w:szCs w:val="22"/>
                <w:lang w:val="en-GB"/>
              </w:rPr>
            </w:pPr>
            <w:r w:rsidRPr="00CD29FD">
              <w:rPr>
                <w:rFonts w:ascii="Times New Roman" w:hAnsi="Times New Roman"/>
                <w:szCs w:val="22"/>
                <w:lang w:val="en-GB"/>
              </w:rPr>
              <w:tab/>
              <w:t>Cash</w:t>
            </w:r>
            <w:r>
              <w:rPr>
                <w:rFonts w:ascii="Times New Roman" w:hAnsi="Times New Roman"/>
                <w:szCs w:val="22"/>
                <w:lang w:val="en-GB"/>
              </w:rPr>
              <w:t xml:space="preserve"> and cash equivalents</w:t>
            </w:r>
            <w:r>
              <w:rPr>
                <w:rFonts w:ascii="Times New Roman" w:hAnsi="Times New Roman"/>
                <w:szCs w:val="22"/>
              </w:rPr>
              <w:t xml:space="preserve"> – Note 4</w:t>
            </w:r>
          </w:p>
        </w:tc>
        <w:tc>
          <w:tcPr>
            <w:tcW w:w="1537" w:type="dxa"/>
          </w:tcPr>
          <w:p w14:paraId="241D8D7E" w14:textId="77777777" w:rsidR="00554459" w:rsidRPr="00C9168A" w:rsidRDefault="00554459" w:rsidP="00495559">
            <w:pPr>
              <w:pStyle w:val="Pages"/>
              <w:tabs>
                <w:tab w:val="left" w:pos="0"/>
                <w:tab w:val="decimal" w:pos="1212"/>
              </w:tabs>
              <w:spacing w:after="0"/>
              <w:jc w:val="right"/>
              <w:rPr>
                <w:rFonts w:ascii="Times New Roman" w:hAnsi="Times New Roman"/>
                <w:lang w:val="en-GB"/>
              </w:rPr>
            </w:pPr>
            <w:r w:rsidRPr="00C9168A">
              <w:rPr>
                <w:rFonts w:ascii="Times New Roman" w:hAnsi="Times New Roman"/>
                <w:lang w:val="en-GB"/>
              </w:rPr>
              <w:t>$</w:t>
            </w:r>
            <w:r w:rsidRPr="00C9168A">
              <w:rPr>
                <w:rFonts w:ascii="Times New Roman" w:hAnsi="Times New Roman"/>
                <w:lang w:val="en-GB"/>
              </w:rPr>
              <w:tab/>
            </w:r>
            <w:r>
              <w:rPr>
                <w:rFonts w:ascii="Times New Roman" w:hAnsi="Times New Roman"/>
                <w:lang w:val="en-GB"/>
              </w:rPr>
              <w:t>1,948,213</w:t>
            </w:r>
          </w:p>
        </w:tc>
        <w:tc>
          <w:tcPr>
            <w:tcW w:w="1532" w:type="dxa"/>
          </w:tcPr>
          <w:p w14:paraId="1CC9CFC0" w14:textId="77777777" w:rsidR="00554459" w:rsidRPr="00C9168A" w:rsidRDefault="00554459" w:rsidP="00495559">
            <w:pPr>
              <w:pStyle w:val="Pages"/>
              <w:tabs>
                <w:tab w:val="left" w:pos="0"/>
                <w:tab w:val="decimal" w:pos="1212"/>
              </w:tabs>
              <w:spacing w:after="0"/>
              <w:jc w:val="right"/>
              <w:rPr>
                <w:rFonts w:ascii="Times New Roman" w:hAnsi="Times New Roman"/>
                <w:lang w:val="en-GB"/>
              </w:rPr>
            </w:pPr>
            <w:r w:rsidRPr="00C9168A">
              <w:rPr>
                <w:rFonts w:ascii="Times New Roman" w:hAnsi="Times New Roman"/>
                <w:lang w:val="en-GB"/>
              </w:rPr>
              <w:t>$</w:t>
            </w:r>
            <w:r w:rsidRPr="00C9168A">
              <w:rPr>
                <w:rFonts w:ascii="Times New Roman" w:hAnsi="Times New Roman"/>
                <w:lang w:val="en-GB"/>
              </w:rPr>
              <w:tab/>
            </w:r>
            <w:r>
              <w:rPr>
                <w:rFonts w:ascii="Times New Roman" w:hAnsi="Times New Roman"/>
                <w:lang w:val="en-GB"/>
              </w:rPr>
              <w:t>2,062,547</w:t>
            </w:r>
          </w:p>
        </w:tc>
      </w:tr>
      <w:tr w:rsidR="00554459" w:rsidRPr="00C9168A" w14:paraId="4F242062" w14:textId="77777777" w:rsidTr="00495559">
        <w:tc>
          <w:tcPr>
            <w:tcW w:w="6435" w:type="dxa"/>
          </w:tcPr>
          <w:p w14:paraId="2CCD02F0" w14:textId="77777777" w:rsidR="00554459" w:rsidRPr="00CD29FD" w:rsidRDefault="00554459" w:rsidP="00495559">
            <w:pPr>
              <w:tabs>
                <w:tab w:val="left" w:pos="270"/>
              </w:tabs>
              <w:rPr>
                <w:sz w:val="22"/>
                <w:szCs w:val="22"/>
              </w:rPr>
            </w:pPr>
            <w:r w:rsidRPr="00CD29FD">
              <w:rPr>
                <w:sz w:val="22"/>
                <w:szCs w:val="22"/>
              </w:rPr>
              <w:tab/>
            </w:r>
            <w:r>
              <w:rPr>
                <w:sz w:val="22"/>
                <w:szCs w:val="22"/>
              </w:rPr>
              <w:t>Receivables – Note 5</w:t>
            </w:r>
          </w:p>
        </w:tc>
        <w:tc>
          <w:tcPr>
            <w:tcW w:w="1537" w:type="dxa"/>
          </w:tcPr>
          <w:p w14:paraId="4FF686E8" w14:textId="77777777" w:rsidR="00554459" w:rsidRPr="00C9168A" w:rsidRDefault="00554459" w:rsidP="00495559">
            <w:pPr>
              <w:tabs>
                <w:tab w:val="left" w:pos="0"/>
                <w:tab w:val="decimal" w:pos="1212"/>
              </w:tabs>
              <w:jc w:val="right"/>
              <w:rPr>
                <w:sz w:val="22"/>
              </w:rPr>
            </w:pPr>
            <w:r w:rsidRPr="00C9168A">
              <w:rPr>
                <w:sz w:val="22"/>
              </w:rPr>
              <w:tab/>
            </w:r>
            <w:r>
              <w:rPr>
                <w:sz w:val="22"/>
              </w:rPr>
              <w:t>11,380</w:t>
            </w:r>
          </w:p>
        </w:tc>
        <w:tc>
          <w:tcPr>
            <w:tcW w:w="1532" w:type="dxa"/>
          </w:tcPr>
          <w:p w14:paraId="3FA24454" w14:textId="77777777" w:rsidR="00554459" w:rsidRPr="00C9168A" w:rsidRDefault="00554459" w:rsidP="00495559">
            <w:pPr>
              <w:tabs>
                <w:tab w:val="left" w:pos="0"/>
                <w:tab w:val="decimal" w:pos="1212"/>
              </w:tabs>
              <w:jc w:val="right"/>
              <w:rPr>
                <w:sz w:val="22"/>
              </w:rPr>
            </w:pPr>
            <w:r w:rsidRPr="00C9168A">
              <w:rPr>
                <w:sz w:val="22"/>
              </w:rPr>
              <w:tab/>
            </w:r>
            <w:r>
              <w:rPr>
                <w:sz w:val="22"/>
              </w:rPr>
              <w:t>25,340</w:t>
            </w:r>
          </w:p>
        </w:tc>
      </w:tr>
      <w:tr w:rsidR="00554459" w:rsidRPr="00C9168A" w14:paraId="290A0370" w14:textId="77777777" w:rsidTr="00495559">
        <w:tc>
          <w:tcPr>
            <w:tcW w:w="6435" w:type="dxa"/>
          </w:tcPr>
          <w:p w14:paraId="37FB2F96" w14:textId="77777777" w:rsidR="00554459" w:rsidRPr="00CD29FD" w:rsidRDefault="00554459" w:rsidP="00495559">
            <w:pPr>
              <w:pStyle w:val="Pages"/>
              <w:tabs>
                <w:tab w:val="left" w:pos="270"/>
              </w:tabs>
              <w:spacing w:after="0"/>
              <w:rPr>
                <w:rFonts w:ascii="Times New Roman" w:hAnsi="Times New Roman"/>
                <w:szCs w:val="22"/>
                <w:lang w:val="en-GB"/>
              </w:rPr>
            </w:pPr>
            <w:r w:rsidRPr="00CD29FD">
              <w:rPr>
                <w:rFonts w:ascii="Times New Roman" w:hAnsi="Times New Roman"/>
                <w:szCs w:val="22"/>
                <w:lang w:val="en-GB"/>
              </w:rPr>
              <w:tab/>
            </w:r>
            <w:r>
              <w:rPr>
                <w:rFonts w:ascii="Times New Roman" w:hAnsi="Times New Roman"/>
                <w:szCs w:val="22"/>
                <w:lang w:val="en-GB"/>
              </w:rPr>
              <w:t>Rent deposit</w:t>
            </w:r>
          </w:p>
        </w:tc>
        <w:tc>
          <w:tcPr>
            <w:tcW w:w="1537" w:type="dxa"/>
          </w:tcPr>
          <w:p w14:paraId="3A5D5B1E" w14:textId="77777777" w:rsidR="00554459" w:rsidRPr="00C9168A" w:rsidRDefault="00554459" w:rsidP="00495559">
            <w:pPr>
              <w:tabs>
                <w:tab w:val="left" w:pos="0"/>
                <w:tab w:val="decimal" w:pos="1212"/>
              </w:tabs>
              <w:jc w:val="right"/>
              <w:rPr>
                <w:sz w:val="22"/>
              </w:rPr>
            </w:pPr>
            <w:r w:rsidRPr="00C9168A">
              <w:rPr>
                <w:sz w:val="22"/>
              </w:rPr>
              <w:tab/>
            </w:r>
            <w:r>
              <w:rPr>
                <w:sz w:val="22"/>
              </w:rPr>
              <w:t>29,620</w:t>
            </w:r>
          </w:p>
        </w:tc>
        <w:tc>
          <w:tcPr>
            <w:tcW w:w="1532" w:type="dxa"/>
          </w:tcPr>
          <w:p w14:paraId="2A7D6EA2" w14:textId="77777777" w:rsidR="00554459" w:rsidRPr="00C9168A" w:rsidRDefault="00554459" w:rsidP="00495559">
            <w:pPr>
              <w:tabs>
                <w:tab w:val="left" w:pos="0"/>
                <w:tab w:val="decimal" w:pos="1212"/>
              </w:tabs>
              <w:jc w:val="right"/>
              <w:rPr>
                <w:sz w:val="22"/>
              </w:rPr>
            </w:pPr>
            <w:r w:rsidRPr="00C9168A">
              <w:rPr>
                <w:sz w:val="22"/>
              </w:rPr>
              <w:tab/>
            </w:r>
            <w:r>
              <w:rPr>
                <w:sz w:val="22"/>
              </w:rPr>
              <w:t>29,620</w:t>
            </w:r>
          </w:p>
        </w:tc>
      </w:tr>
      <w:tr w:rsidR="00554459" w:rsidRPr="00C9168A" w14:paraId="4FD9E4C1" w14:textId="77777777" w:rsidTr="00495559">
        <w:tc>
          <w:tcPr>
            <w:tcW w:w="6435" w:type="dxa"/>
          </w:tcPr>
          <w:p w14:paraId="00329737" w14:textId="77777777" w:rsidR="00554459" w:rsidRPr="00CD29FD" w:rsidRDefault="00554459" w:rsidP="00495559">
            <w:pPr>
              <w:tabs>
                <w:tab w:val="left" w:pos="270"/>
              </w:tabs>
              <w:rPr>
                <w:sz w:val="22"/>
                <w:szCs w:val="22"/>
              </w:rPr>
            </w:pPr>
            <w:r w:rsidRPr="00CD29FD">
              <w:rPr>
                <w:sz w:val="22"/>
                <w:szCs w:val="22"/>
              </w:rPr>
              <w:tab/>
              <w:t>Prepaid expenses</w:t>
            </w:r>
            <w:r>
              <w:rPr>
                <w:sz w:val="22"/>
                <w:szCs w:val="22"/>
              </w:rPr>
              <w:t xml:space="preserve"> – Note 6</w:t>
            </w:r>
          </w:p>
        </w:tc>
        <w:tc>
          <w:tcPr>
            <w:tcW w:w="1537" w:type="dxa"/>
            <w:tcBorders>
              <w:bottom w:val="single" w:sz="4" w:space="0" w:color="auto"/>
            </w:tcBorders>
          </w:tcPr>
          <w:p w14:paraId="2FDFBCF3" w14:textId="77777777" w:rsidR="00554459" w:rsidRPr="00C9168A" w:rsidRDefault="00554459" w:rsidP="00495559">
            <w:pPr>
              <w:tabs>
                <w:tab w:val="left" w:pos="0"/>
                <w:tab w:val="decimal" w:pos="1212"/>
              </w:tabs>
              <w:jc w:val="right"/>
              <w:rPr>
                <w:sz w:val="22"/>
              </w:rPr>
            </w:pPr>
            <w:r w:rsidRPr="00C9168A">
              <w:rPr>
                <w:sz w:val="22"/>
              </w:rPr>
              <w:tab/>
            </w:r>
            <w:r>
              <w:rPr>
                <w:sz w:val="22"/>
              </w:rPr>
              <w:t>16,726</w:t>
            </w:r>
          </w:p>
        </w:tc>
        <w:tc>
          <w:tcPr>
            <w:tcW w:w="1532" w:type="dxa"/>
            <w:tcBorders>
              <w:bottom w:val="single" w:sz="4" w:space="0" w:color="auto"/>
            </w:tcBorders>
          </w:tcPr>
          <w:p w14:paraId="356070F3" w14:textId="77777777" w:rsidR="00554459" w:rsidRPr="00C9168A" w:rsidRDefault="00554459" w:rsidP="00495559">
            <w:pPr>
              <w:tabs>
                <w:tab w:val="left" w:pos="0"/>
                <w:tab w:val="decimal" w:pos="1212"/>
              </w:tabs>
              <w:jc w:val="right"/>
              <w:rPr>
                <w:sz w:val="22"/>
              </w:rPr>
            </w:pPr>
            <w:r w:rsidRPr="00C9168A">
              <w:rPr>
                <w:sz w:val="22"/>
              </w:rPr>
              <w:tab/>
            </w:r>
            <w:r>
              <w:rPr>
                <w:sz w:val="22"/>
              </w:rPr>
              <w:t>17,772</w:t>
            </w:r>
          </w:p>
        </w:tc>
      </w:tr>
      <w:tr w:rsidR="00554459" w:rsidRPr="00C9168A" w14:paraId="1670368C" w14:textId="77777777" w:rsidTr="00495559">
        <w:tc>
          <w:tcPr>
            <w:tcW w:w="6435" w:type="dxa"/>
          </w:tcPr>
          <w:p w14:paraId="7529AF14" w14:textId="77777777" w:rsidR="00554459" w:rsidRPr="00A60A89" w:rsidRDefault="00554459" w:rsidP="00495559">
            <w:pPr>
              <w:rPr>
                <w:b/>
                <w:sz w:val="22"/>
                <w:szCs w:val="22"/>
              </w:rPr>
            </w:pPr>
            <w:r w:rsidRPr="00A60A89">
              <w:rPr>
                <w:b/>
                <w:sz w:val="22"/>
                <w:szCs w:val="22"/>
              </w:rPr>
              <w:t>Total current assets</w:t>
            </w:r>
          </w:p>
        </w:tc>
        <w:tc>
          <w:tcPr>
            <w:tcW w:w="1537" w:type="dxa"/>
          </w:tcPr>
          <w:p w14:paraId="5B2E92D7" w14:textId="77777777" w:rsidR="00554459" w:rsidRPr="00C9168A" w:rsidRDefault="00554459" w:rsidP="00495559">
            <w:pPr>
              <w:tabs>
                <w:tab w:val="left" w:pos="0"/>
                <w:tab w:val="decimal" w:pos="1212"/>
              </w:tabs>
              <w:jc w:val="right"/>
              <w:rPr>
                <w:sz w:val="22"/>
              </w:rPr>
            </w:pPr>
            <w:r w:rsidRPr="00C9168A">
              <w:rPr>
                <w:sz w:val="22"/>
              </w:rPr>
              <w:tab/>
            </w:r>
            <w:r>
              <w:rPr>
                <w:sz w:val="22"/>
              </w:rPr>
              <w:t>2,005,939</w:t>
            </w:r>
          </w:p>
        </w:tc>
        <w:tc>
          <w:tcPr>
            <w:tcW w:w="1532" w:type="dxa"/>
          </w:tcPr>
          <w:p w14:paraId="24C4369F" w14:textId="77777777" w:rsidR="00554459" w:rsidRPr="00C9168A" w:rsidRDefault="00554459" w:rsidP="00495559">
            <w:pPr>
              <w:tabs>
                <w:tab w:val="left" w:pos="0"/>
                <w:tab w:val="decimal" w:pos="1212"/>
              </w:tabs>
              <w:jc w:val="right"/>
              <w:rPr>
                <w:sz w:val="22"/>
              </w:rPr>
            </w:pPr>
            <w:r w:rsidRPr="00C9168A">
              <w:rPr>
                <w:sz w:val="22"/>
              </w:rPr>
              <w:tab/>
            </w:r>
            <w:r>
              <w:rPr>
                <w:sz w:val="22"/>
              </w:rPr>
              <w:t>2,135,279</w:t>
            </w:r>
          </w:p>
        </w:tc>
      </w:tr>
      <w:tr w:rsidR="00554459" w:rsidRPr="00C9168A" w14:paraId="0A2096BD" w14:textId="77777777" w:rsidTr="00495559">
        <w:tc>
          <w:tcPr>
            <w:tcW w:w="6435" w:type="dxa"/>
          </w:tcPr>
          <w:p w14:paraId="69E968F5" w14:textId="77777777" w:rsidR="00554459" w:rsidRPr="00CD29FD" w:rsidRDefault="00554459" w:rsidP="00495559">
            <w:pPr>
              <w:rPr>
                <w:sz w:val="22"/>
                <w:szCs w:val="22"/>
              </w:rPr>
            </w:pPr>
          </w:p>
        </w:tc>
        <w:tc>
          <w:tcPr>
            <w:tcW w:w="1537" w:type="dxa"/>
          </w:tcPr>
          <w:p w14:paraId="3A6C5F83" w14:textId="77777777" w:rsidR="00554459" w:rsidRPr="00C9168A" w:rsidRDefault="00554459" w:rsidP="00495559">
            <w:pPr>
              <w:tabs>
                <w:tab w:val="left" w:pos="0"/>
                <w:tab w:val="decimal" w:pos="1212"/>
              </w:tabs>
              <w:jc w:val="right"/>
              <w:rPr>
                <w:sz w:val="22"/>
              </w:rPr>
            </w:pPr>
          </w:p>
        </w:tc>
        <w:tc>
          <w:tcPr>
            <w:tcW w:w="1532" w:type="dxa"/>
          </w:tcPr>
          <w:p w14:paraId="6A98FCA1" w14:textId="77777777" w:rsidR="00554459" w:rsidRPr="00C9168A" w:rsidRDefault="00554459" w:rsidP="00495559">
            <w:pPr>
              <w:tabs>
                <w:tab w:val="left" w:pos="0"/>
                <w:tab w:val="decimal" w:pos="1212"/>
              </w:tabs>
              <w:jc w:val="right"/>
              <w:rPr>
                <w:sz w:val="22"/>
              </w:rPr>
            </w:pPr>
          </w:p>
        </w:tc>
      </w:tr>
      <w:tr w:rsidR="00554459" w:rsidRPr="00C9168A" w14:paraId="7B060328" w14:textId="77777777" w:rsidTr="00495559">
        <w:tc>
          <w:tcPr>
            <w:tcW w:w="6435" w:type="dxa"/>
          </w:tcPr>
          <w:p w14:paraId="1F4399DE" w14:textId="77777777" w:rsidR="00554459" w:rsidRPr="00A60A89" w:rsidRDefault="00554459" w:rsidP="00495559">
            <w:pPr>
              <w:tabs>
                <w:tab w:val="left" w:pos="270"/>
              </w:tabs>
              <w:rPr>
                <w:b/>
                <w:sz w:val="22"/>
                <w:szCs w:val="22"/>
              </w:rPr>
            </w:pPr>
            <w:r w:rsidRPr="00A60A89">
              <w:rPr>
                <w:b/>
                <w:sz w:val="22"/>
                <w:szCs w:val="22"/>
              </w:rPr>
              <w:t>Non-current assets</w:t>
            </w:r>
          </w:p>
        </w:tc>
        <w:tc>
          <w:tcPr>
            <w:tcW w:w="1537" w:type="dxa"/>
          </w:tcPr>
          <w:p w14:paraId="7F729EE1" w14:textId="77777777" w:rsidR="00554459" w:rsidRPr="00C9168A" w:rsidRDefault="00554459" w:rsidP="00495559">
            <w:pPr>
              <w:tabs>
                <w:tab w:val="left" w:pos="0"/>
                <w:tab w:val="decimal" w:pos="1212"/>
              </w:tabs>
              <w:jc w:val="right"/>
              <w:rPr>
                <w:sz w:val="22"/>
              </w:rPr>
            </w:pPr>
          </w:p>
        </w:tc>
        <w:tc>
          <w:tcPr>
            <w:tcW w:w="1532" w:type="dxa"/>
          </w:tcPr>
          <w:p w14:paraId="6B4617A5" w14:textId="77777777" w:rsidR="00554459" w:rsidRPr="00C9168A" w:rsidRDefault="00554459" w:rsidP="00495559">
            <w:pPr>
              <w:tabs>
                <w:tab w:val="left" w:pos="0"/>
                <w:tab w:val="decimal" w:pos="1212"/>
              </w:tabs>
              <w:jc w:val="right"/>
              <w:rPr>
                <w:sz w:val="22"/>
              </w:rPr>
            </w:pPr>
          </w:p>
        </w:tc>
      </w:tr>
      <w:tr w:rsidR="00554459" w:rsidRPr="00C9168A" w14:paraId="6CB64670" w14:textId="77777777" w:rsidTr="00495559">
        <w:trPr>
          <w:trHeight w:val="288"/>
        </w:trPr>
        <w:tc>
          <w:tcPr>
            <w:tcW w:w="6435" w:type="dxa"/>
          </w:tcPr>
          <w:p w14:paraId="30B41D3A" w14:textId="77777777" w:rsidR="00554459" w:rsidRPr="00CD29FD" w:rsidRDefault="00554459" w:rsidP="00495559">
            <w:pPr>
              <w:pStyle w:val="Pages"/>
              <w:tabs>
                <w:tab w:val="left" w:pos="270"/>
              </w:tabs>
              <w:spacing w:after="0"/>
              <w:rPr>
                <w:rFonts w:ascii="Times New Roman" w:hAnsi="Times New Roman"/>
                <w:szCs w:val="22"/>
                <w:lang w:val="en-GB"/>
              </w:rPr>
            </w:pPr>
            <w:r w:rsidRPr="00CD29FD">
              <w:rPr>
                <w:rFonts w:ascii="Times New Roman" w:hAnsi="Times New Roman"/>
                <w:szCs w:val="22"/>
                <w:lang w:val="en-GB"/>
              </w:rPr>
              <w:tab/>
            </w:r>
            <w:r>
              <w:rPr>
                <w:rFonts w:ascii="Times New Roman" w:hAnsi="Times New Roman"/>
                <w:szCs w:val="22"/>
                <w:lang w:val="en-GB"/>
              </w:rPr>
              <w:t>Exploration and evaluation assets – Note 7</w:t>
            </w:r>
          </w:p>
        </w:tc>
        <w:tc>
          <w:tcPr>
            <w:tcW w:w="1537" w:type="dxa"/>
          </w:tcPr>
          <w:p w14:paraId="08D2121D" w14:textId="77777777" w:rsidR="00554459" w:rsidRPr="00C9168A" w:rsidRDefault="00554459" w:rsidP="00495559">
            <w:pPr>
              <w:tabs>
                <w:tab w:val="left" w:pos="0"/>
                <w:tab w:val="decimal" w:pos="1212"/>
              </w:tabs>
              <w:jc w:val="right"/>
              <w:rPr>
                <w:sz w:val="22"/>
              </w:rPr>
            </w:pPr>
            <w:r w:rsidRPr="00C9168A">
              <w:rPr>
                <w:sz w:val="22"/>
              </w:rPr>
              <w:tab/>
            </w:r>
            <w:r>
              <w:rPr>
                <w:sz w:val="22"/>
              </w:rPr>
              <w:t>1,268,846</w:t>
            </w:r>
          </w:p>
        </w:tc>
        <w:tc>
          <w:tcPr>
            <w:tcW w:w="1532" w:type="dxa"/>
          </w:tcPr>
          <w:p w14:paraId="7E0DA66B" w14:textId="77777777" w:rsidR="00554459" w:rsidRPr="00C9168A" w:rsidRDefault="00554459" w:rsidP="00495559">
            <w:pPr>
              <w:tabs>
                <w:tab w:val="left" w:pos="0"/>
                <w:tab w:val="decimal" w:pos="1212"/>
              </w:tabs>
              <w:jc w:val="right"/>
              <w:rPr>
                <w:sz w:val="22"/>
              </w:rPr>
            </w:pPr>
            <w:r w:rsidRPr="00C9168A">
              <w:rPr>
                <w:sz w:val="22"/>
              </w:rPr>
              <w:tab/>
            </w:r>
            <w:r>
              <w:rPr>
                <w:sz w:val="22"/>
              </w:rPr>
              <w:t>1,262,324</w:t>
            </w:r>
          </w:p>
        </w:tc>
      </w:tr>
      <w:tr w:rsidR="00554459" w:rsidRPr="00C9168A" w14:paraId="24320063" w14:textId="77777777" w:rsidTr="00495559">
        <w:trPr>
          <w:trHeight w:val="99"/>
        </w:trPr>
        <w:tc>
          <w:tcPr>
            <w:tcW w:w="6435" w:type="dxa"/>
          </w:tcPr>
          <w:p w14:paraId="27B9225C" w14:textId="77777777" w:rsidR="00554459" w:rsidRPr="00CD29FD" w:rsidRDefault="00554459" w:rsidP="00495559">
            <w:pPr>
              <w:pStyle w:val="Style1"/>
              <w:rPr>
                <w:szCs w:val="22"/>
              </w:rPr>
            </w:pPr>
          </w:p>
        </w:tc>
        <w:tc>
          <w:tcPr>
            <w:tcW w:w="1537" w:type="dxa"/>
            <w:tcBorders>
              <w:top w:val="single" w:sz="4" w:space="0" w:color="auto"/>
            </w:tcBorders>
          </w:tcPr>
          <w:p w14:paraId="0467FE04" w14:textId="77777777" w:rsidR="00554459" w:rsidRPr="00C9168A" w:rsidRDefault="00554459" w:rsidP="00495559">
            <w:pPr>
              <w:tabs>
                <w:tab w:val="left" w:pos="0"/>
                <w:tab w:val="decimal" w:pos="1212"/>
              </w:tabs>
              <w:jc w:val="right"/>
              <w:rPr>
                <w:sz w:val="22"/>
              </w:rPr>
            </w:pPr>
          </w:p>
        </w:tc>
        <w:tc>
          <w:tcPr>
            <w:tcW w:w="1532" w:type="dxa"/>
            <w:tcBorders>
              <w:top w:val="single" w:sz="4" w:space="0" w:color="auto"/>
            </w:tcBorders>
          </w:tcPr>
          <w:p w14:paraId="248883B8" w14:textId="77777777" w:rsidR="00554459" w:rsidRPr="00C9168A" w:rsidRDefault="00554459" w:rsidP="00495559">
            <w:pPr>
              <w:tabs>
                <w:tab w:val="left" w:pos="0"/>
                <w:tab w:val="decimal" w:pos="1212"/>
              </w:tabs>
              <w:jc w:val="right"/>
              <w:rPr>
                <w:sz w:val="22"/>
              </w:rPr>
            </w:pPr>
          </w:p>
        </w:tc>
      </w:tr>
      <w:tr w:rsidR="00554459" w:rsidRPr="00C9168A" w14:paraId="5E5FB555" w14:textId="77777777" w:rsidTr="00495559">
        <w:tc>
          <w:tcPr>
            <w:tcW w:w="6435" w:type="dxa"/>
          </w:tcPr>
          <w:p w14:paraId="2D45A7F0" w14:textId="77777777" w:rsidR="00554459" w:rsidRPr="00A60A89" w:rsidRDefault="00554459" w:rsidP="00495559">
            <w:pPr>
              <w:rPr>
                <w:b/>
                <w:sz w:val="22"/>
                <w:szCs w:val="22"/>
              </w:rPr>
            </w:pPr>
            <w:r w:rsidRPr="00A60A89">
              <w:rPr>
                <w:b/>
                <w:sz w:val="22"/>
                <w:szCs w:val="22"/>
              </w:rPr>
              <w:t>Total assets</w:t>
            </w:r>
          </w:p>
        </w:tc>
        <w:tc>
          <w:tcPr>
            <w:tcW w:w="1537" w:type="dxa"/>
            <w:tcBorders>
              <w:bottom w:val="double" w:sz="4" w:space="0" w:color="auto"/>
            </w:tcBorders>
          </w:tcPr>
          <w:p w14:paraId="64487116" w14:textId="77777777" w:rsidR="00554459" w:rsidRPr="00C9168A" w:rsidRDefault="00554459" w:rsidP="00495559">
            <w:pPr>
              <w:tabs>
                <w:tab w:val="left" w:pos="0"/>
                <w:tab w:val="decimal" w:pos="1212"/>
              </w:tabs>
              <w:jc w:val="right"/>
              <w:rPr>
                <w:sz w:val="22"/>
              </w:rPr>
            </w:pPr>
            <w:r w:rsidRPr="00C9168A">
              <w:rPr>
                <w:sz w:val="22"/>
              </w:rPr>
              <w:t>$</w:t>
            </w:r>
            <w:r w:rsidRPr="00C9168A">
              <w:rPr>
                <w:sz w:val="22"/>
              </w:rPr>
              <w:tab/>
            </w:r>
            <w:r>
              <w:rPr>
                <w:sz w:val="22"/>
              </w:rPr>
              <w:t>3,274,785</w:t>
            </w:r>
          </w:p>
        </w:tc>
        <w:tc>
          <w:tcPr>
            <w:tcW w:w="1532" w:type="dxa"/>
            <w:tcBorders>
              <w:bottom w:val="double" w:sz="4" w:space="0" w:color="auto"/>
            </w:tcBorders>
          </w:tcPr>
          <w:p w14:paraId="4A273D19" w14:textId="77777777" w:rsidR="00554459" w:rsidRPr="00C9168A" w:rsidRDefault="00554459" w:rsidP="00495559">
            <w:pPr>
              <w:tabs>
                <w:tab w:val="left" w:pos="0"/>
                <w:tab w:val="decimal" w:pos="1212"/>
              </w:tabs>
              <w:jc w:val="right"/>
              <w:rPr>
                <w:sz w:val="22"/>
              </w:rPr>
            </w:pPr>
            <w:r w:rsidRPr="00C9168A">
              <w:rPr>
                <w:sz w:val="22"/>
              </w:rPr>
              <w:t>$</w:t>
            </w:r>
            <w:r w:rsidRPr="00C9168A">
              <w:rPr>
                <w:sz w:val="22"/>
              </w:rPr>
              <w:tab/>
            </w:r>
            <w:r>
              <w:rPr>
                <w:sz w:val="22"/>
              </w:rPr>
              <w:t>3,397,603</w:t>
            </w:r>
          </w:p>
        </w:tc>
      </w:tr>
      <w:tr w:rsidR="00554459" w:rsidRPr="00C9168A" w14:paraId="2D7A3E61" w14:textId="77777777" w:rsidTr="00495559">
        <w:tc>
          <w:tcPr>
            <w:tcW w:w="6435" w:type="dxa"/>
          </w:tcPr>
          <w:p w14:paraId="18BC6223" w14:textId="77777777" w:rsidR="00554459" w:rsidRPr="00CD29FD" w:rsidRDefault="00554459" w:rsidP="00495559">
            <w:pPr>
              <w:tabs>
                <w:tab w:val="right" w:pos="5580"/>
              </w:tabs>
              <w:ind w:right="912"/>
              <w:jc w:val="right"/>
              <w:rPr>
                <w:b/>
                <w:sz w:val="22"/>
                <w:szCs w:val="22"/>
              </w:rPr>
            </w:pPr>
          </w:p>
        </w:tc>
        <w:tc>
          <w:tcPr>
            <w:tcW w:w="1537" w:type="dxa"/>
            <w:tcBorders>
              <w:top w:val="double" w:sz="4" w:space="0" w:color="auto"/>
            </w:tcBorders>
          </w:tcPr>
          <w:p w14:paraId="0E0D8D8B" w14:textId="77777777" w:rsidR="00554459" w:rsidRPr="00C9168A" w:rsidRDefault="00554459" w:rsidP="00495559">
            <w:pPr>
              <w:tabs>
                <w:tab w:val="left" w:pos="0"/>
                <w:tab w:val="decimal" w:pos="1212"/>
                <w:tab w:val="decimal" w:pos="1422"/>
              </w:tabs>
              <w:jc w:val="right"/>
              <w:rPr>
                <w:sz w:val="22"/>
                <w:u w:val="double"/>
              </w:rPr>
            </w:pPr>
          </w:p>
        </w:tc>
        <w:tc>
          <w:tcPr>
            <w:tcW w:w="1532" w:type="dxa"/>
            <w:tcBorders>
              <w:top w:val="double" w:sz="4" w:space="0" w:color="auto"/>
            </w:tcBorders>
          </w:tcPr>
          <w:p w14:paraId="38FBC325" w14:textId="77777777" w:rsidR="00554459" w:rsidRPr="00C9168A" w:rsidRDefault="00554459" w:rsidP="00495559">
            <w:pPr>
              <w:tabs>
                <w:tab w:val="left" w:pos="0"/>
                <w:tab w:val="decimal" w:pos="1212"/>
                <w:tab w:val="decimal" w:pos="1422"/>
              </w:tabs>
              <w:jc w:val="right"/>
              <w:rPr>
                <w:sz w:val="22"/>
                <w:u w:val="double"/>
              </w:rPr>
            </w:pPr>
          </w:p>
        </w:tc>
      </w:tr>
      <w:tr w:rsidR="00554459" w:rsidRPr="00C9168A" w14:paraId="15F80BD0" w14:textId="77777777" w:rsidTr="00495559">
        <w:tc>
          <w:tcPr>
            <w:tcW w:w="6435" w:type="dxa"/>
          </w:tcPr>
          <w:p w14:paraId="45B7E435" w14:textId="77777777" w:rsidR="00554459" w:rsidRPr="00CD29FD" w:rsidRDefault="00554459" w:rsidP="00495559">
            <w:pPr>
              <w:tabs>
                <w:tab w:val="right" w:pos="5580"/>
              </w:tabs>
              <w:ind w:right="912"/>
              <w:jc w:val="right"/>
              <w:rPr>
                <w:b/>
                <w:sz w:val="22"/>
                <w:szCs w:val="22"/>
              </w:rPr>
            </w:pPr>
            <w:r w:rsidRPr="00CD29FD">
              <w:rPr>
                <w:b/>
                <w:sz w:val="22"/>
                <w:szCs w:val="22"/>
              </w:rPr>
              <w:t>LIABILITIES</w:t>
            </w:r>
          </w:p>
        </w:tc>
        <w:tc>
          <w:tcPr>
            <w:tcW w:w="1537" w:type="dxa"/>
          </w:tcPr>
          <w:p w14:paraId="3ABA9E58" w14:textId="77777777" w:rsidR="00554459" w:rsidRPr="00C9168A" w:rsidRDefault="00554459" w:rsidP="00495559">
            <w:pPr>
              <w:tabs>
                <w:tab w:val="left" w:pos="0"/>
                <w:tab w:val="decimal" w:pos="1212"/>
                <w:tab w:val="decimal" w:pos="1422"/>
              </w:tabs>
              <w:jc w:val="right"/>
              <w:rPr>
                <w:sz w:val="22"/>
                <w:u w:val="double"/>
              </w:rPr>
            </w:pPr>
          </w:p>
        </w:tc>
        <w:tc>
          <w:tcPr>
            <w:tcW w:w="1532" w:type="dxa"/>
          </w:tcPr>
          <w:p w14:paraId="24596EB0" w14:textId="77777777" w:rsidR="00554459" w:rsidRPr="00C9168A" w:rsidRDefault="00554459" w:rsidP="00495559">
            <w:pPr>
              <w:tabs>
                <w:tab w:val="left" w:pos="0"/>
                <w:tab w:val="decimal" w:pos="1212"/>
                <w:tab w:val="decimal" w:pos="1422"/>
              </w:tabs>
              <w:jc w:val="right"/>
              <w:rPr>
                <w:sz w:val="22"/>
                <w:u w:val="double"/>
              </w:rPr>
            </w:pPr>
          </w:p>
        </w:tc>
      </w:tr>
      <w:tr w:rsidR="00554459" w:rsidRPr="00C9168A" w14:paraId="01F8900D" w14:textId="77777777" w:rsidTr="00495559">
        <w:tc>
          <w:tcPr>
            <w:tcW w:w="6435" w:type="dxa"/>
          </w:tcPr>
          <w:p w14:paraId="67E9F50A" w14:textId="77777777" w:rsidR="00554459" w:rsidRPr="00CD29FD" w:rsidRDefault="00554459" w:rsidP="00495559">
            <w:pPr>
              <w:rPr>
                <w:sz w:val="22"/>
                <w:szCs w:val="22"/>
              </w:rPr>
            </w:pPr>
          </w:p>
        </w:tc>
        <w:tc>
          <w:tcPr>
            <w:tcW w:w="1537" w:type="dxa"/>
          </w:tcPr>
          <w:p w14:paraId="156A6F9B" w14:textId="77777777" w:rsidR="00554459" w:rsidRPr="00C9168A" w:rsidRDefault="00554459" w:rsidP="00495559">
            <w:pPr>
              <w:tabs>
                <w:tab w:val="left" w:pos="-108"/>
                <w:tab w:val="decimal" w:pos="1422"/>
              </w:tabs>
              <w:jc w:val="right"/>
              <w:rPr>
                <w:sz w:val="22"/>
              </w:rPr>
            </w:pPr>
          </w:p>
        </w:tc>
        <w:tc>
          <w:tcPr>
            <w:tcW w:w="1532" w:type="dxa"/>
          </w:tcPr>
          <w:p w14:paraId="2F484129" w14:textId="77777777" w:rsidR="00554459" w:rsidRPr="00C9168A" w:rsidRDefault="00554459" w:rsidP="00495559">
            <w:pPr>
              <w:tabs>
                <w:tab w:val="left" w:pos="-108"/>
                <w:tab w:val="decimal" w:pos="1422"/>
              </w:tabs>
              <w:jc w:val="right"/>
              <w:rPr>
                <w:sz w:val="22"/>
              </w:rPr>
            </w:pPr>
          </w:p>
        </w:tc>
      </w:tr>
      <w:tr w:rsidR="00554459" w:rsidRPr="00C9168A" w14:paraId="31E351EB" w14:textId="77777777" w:rsidTr="00495559">
        <w:tc>
          <w:tcPr>
            <w:tcW w:w="6435" w:type="dxa"/>
          </w:tcPr>
          <w:p w14:paraId="37BAE125" w14:textId="77777777" w:rsidR="00554459" w:rsidRPr="00A60A89" w:rsidRDefault="00554459" w:rsidP="00495559">
            <w:pPr>
              <w:rPr>
                <w:b/>
                <w:sz w:val="22"/>
                <w:szCs w:val="22"/>
              </w:rPr>
            </w:pPr>
            <w:r w:rsidRPr="00A60A89">
              <w:rPr>
                <w:b/>
                <w:sz w:val="22"/>
                <w:szCs w:val="22"/>
              </w:rPr>
              <w:t>Current</w:t>
            </w:r>
            <w:r>
              <w:rPr>
                <w:b/>
                <w:sz w:val="22"/>
                <w:szCs w:val="22"/>
              </w:rPr>
              <w:t xml:space="preserve"> liabilities</w:t>
            </w:r>
          </w:p>
        </w:tc>
        <w:tc>
          <w:tcPr>
            <w:tcW w:w="1537" w:type="dxa"/>
          </w:tcPr>
          <w:p w14:paraId="175C188B" w14:textId="77777777" w:rsidR="00554459" w:rsidRPr="00C9168A" w:rsidRDefault="00554459" w:rsidP="00495559">
            <w:pPr>
              <w:tabs>
                <w:tab w:val="left" w:pos="-108"/>
                <w:tab w:val="decimal" w:pos="1422"/>
              </w:tabs>
              <w:jc w:val="right"/>
              <w:rPr>
                <w:sz w:val="22"/>
              </w:rPr>
            </w:pPr>
          </w:p>
        </w:tc>
        <w:tc>
          <w:tcPr>
            <w:tcW w:w="1532" w:type="dxa"/>
          </w:tcPr>
          <w:p w14:paraId="43265DA5" w14:textId="77777777" w:rsidR="00554459" w:rsidRPr="00C9168A" w:rsidRDefault="00554459" w:rsidP="00495559">
            <w:pPr>
              <w:tabs>
                <w:tab w:val="left" w:pos="-108"/>
                <w:tab w:val="decimal" w:pos="1422"/>
              </w:tabs>
              <w:jc w:val="right"/>
              <w:rPr>
                <w:sz w:val="22"/>
              </w:rPr>
            </w:pPr>
          </w:p>
        </w:tc>
      </w:tr>
      <w:tr w:rsidR="00554459" w:rsidRPr="00C9168A" w14:paraId="512D8979" w14:textId="77777777" w:rsidTr="00495559">
        <w:tc>
          <w:tcPr>
            <w:tcW w:w="6435" w:type="dxa"/>
          </w:tcPr>
          <w:p w14:paraId="78CA6914" w14:textId="77777777" w:rsidR="00554459" w:rsidRPr="00CD29FD" w:rsidRDefault="00554459" w:rsidP="00495559">
            <w:pPr>
              <w:tabs>
                <w:tab w:val="left" w:pos="270"/>
              </w:tabs>
              <w:rPr>
                <w:sz w:val="22"/>
                <w:szCs w:val="22"/>
              </w:rPr>
            </w:pPr>
            <w:r w:rsidRPr="00CD29FD">
              <w:rPr>
                <w:sz w:val="22"/>
                <w:szCs w:val="22"/>
              </w:rPr>
              <w:tab/>
              <w:t xml:space="preserve">Accounts payable </w:t>
            </w:r>
            <w:r>
              <w:rPr>
                <w:sz w:val="22"/>
                <w:szCs w:val="22"/>
              </w:rPr>
              <w:t>and accrued liabilities – Notes 8 and 11</w:t>
            </w:r>
          </w:p>
        </w:tc>
        <w:tc>
          <w:tcPr>
            <w:tcW w:w="1537" w:type="dxa"/>
          </w:tcPr>
          <w:p w14:paraId="082E13C3" w14:textId="77777777" w:rsidR="00554459" w:rsidRDefault="00554459" w:rsidP="00495559">
            <w:pPr>
              <w:tabs>
                <w:tab w:val="left" w:pos="-108"/>
                <w:tab w:val="decimal" w:pos="1212"/>
              </w:tabs>
              <w:jc w:val="right"/>
              <w:rPr>
                <w:sz w:val="22"/>
              </w:rPr>
            </w:pPr>
            <w:r w:rsidRPr="00C9168A">
              <w:rPr>
                <w:sz w:val="22"/>
              </w:rPr>
              <w:t>$</w:t>
            </w:r>
            <w:r w:rsidRPr="00C9168A">
              <w:rPr>
                <w:sz w:val="22"/>
              </w:rPr>
              <w:tab/>
            </w:r>
            <w:r>
              <w:rPr>
                <w:sz w:val="22"/>
              </w:rPr>
              <w:t>37,990</w:t>
            </w:r>
          </w:p>
        </w:tc>
        <w:tc>
          <w:tcPr>
            <w:tcW w:w="1532" w:type="dxa"/>
          </w:tcPr>
          <w:p w14:paraId="6AB8DE1A" w14:textId="77777777" w:rsidR="00554459" w:rsidRDefault="00554459" w:rsidP="00495559">
            <w:pPr>
              <w:tabs>
                <w:tab w:val="left" w:pos="-108"/>
                <w:tab w:val="decimal" w:pos="1212"/>
              </w:tabs>
              <w:jc w:val="right"/>
              <w:rPr>
                <w:sz w:val="22"/>
              </w:rPr>
            </w:pPr>
            <w:r w:rsidRPr="00C9168A">
              <w:rPr>
                <w:sz w:val="22"/>
              </w:rPr>
              <w:t>$</w:t>
            </w:r>
            <w:r w:rsidRPr="00C9168A">
              <w:rPr>
                <w:sz w:val="22"/>
              </w:rPr>
              <w:tab/>
            </w:r>
            <w:r>
              <w:rPr>
                <w:sz w:val="22"/>
              </w:rPr>
              <w:t>60,754</w:t>
            </w:r>
          </w:p>
        </w:tc>
      </w:tr>
      <w:tr w:rsidR="00554459" w:rsidRPr="00C9168A" w14:paraId="513AB585" w14:textId="77777777" w:rsidTr="00495559">
        <w:trPr>
          <w:trHeight w:val="180"/>
        </w:trPr>
        <w:tc>
          <w:tcPr>
            <w:tcW w:w="6435" w:type="dxa"/>
          </w:tcPr>
          <w:p w14:paraId="5AFFD4BA" w14:textId="77777777" w:rsidR="00554459" w:rsidRPr="00133E60" w:rsidRDefault="00554459" w:rsidP="00495559">
            <w:pPr>
              <w:ind w:right="282"/>
              <w:jc w:val="right"/>
              <w:rPr>
                <w:b/>
                <w:sz w:val="22"/>
                <w:szCs w:val="22"/>
              </w:rPr>
            </w:pPr>
          </w:p>
        </w:tc>
        <w:tc>
          <w:tcPr>
            <w:tcW w:w="1537" w:type="dxa"/>
          </w:tcPr>
          <w:p w14:paraId="2390C162" w14:textId="77777777" w:rsidR="00554459" w:rsidRPr="00C9168A" w:rsidRDefault="00554459" w:rsidP="00495559">
            <w:pPr>
              <w:tabs>
                <w:tab w:val="left" w:pos="-108"/>
                <w:tab w:val="decimal" w:pos="1422"/>
              </w:tabs>
              <w:jc w:val="right"/>
              <w:rPr>
                <w:sz w:val="22"/>
                <w:u w:val="single"/>
              </w:rPr>
            </w:pPr>
          </w:p>
        </w:tc>
        <w:tc>
          <w:tcPr>
            <w:tcW w:w="1532" w:type="dxa"/>
          </w:tcPr>
          <w:p w14:paraId="03578FF7" w14:textId="77777777" w:rsidR="00554459" w:rsidRPr="00C9168A" w:rsidRDefault="00554459" w:rsidP="00495559">
            <w:pPr>
              <w:tabs>
                <w:tab w:val="left" w:pos="-108"/>
                <w:tab w:val="decimal" w:pos="1422"/>
              </w:tabs>
              <w:jc w:val="right"/>
              <w:rPr>
                <w:sz w:val="22"/>
                <w:u w:val="single"/>
              </w:rPr>
            </w:pPr>
          </w:p>
        </w:tc>
      </w:tr>
      <w:tr w:rsidR="00554459" w:rsidRPr="00C9168A" w14:paraId="4DB39FC3" w14:textId="77777777" w:rsidTr="00495559">
        <w:trPr>
          <w:trHeight w:val="180"/>
        </w:trPr>
        <w:tc>
          <w:tcPr>
            <w:tcW w:w="6435" w:type="dxa"/>
          </w:tcPr>
          <w:p w14:paraId="54529166" w14:textId="77777777" w:rsidR="00554459" w:rsidRPr="00133E60" w:rsidRDefault="00554459" w:rsidP="00495559">
            <w:pPr>
              <w:ind w:right="282"/>
              <w:jc w:val="right"/>
              <w:rPr>
                <w:b/>
                <w:sz w:val="22"/>
                <w:szCs w:val="22"/>
              </w:rPr>
            </w:pPr>
            <w:r w:rsidRPr="00133E60">
              <w:rPr>
                <w:b/>
                <w:sz w:val="22"/>
                <w:szCs w:val="22"/>
              </w:rPr>
              <w:t>SHAREHOLDERS’ EQUITY</w:t>
            </w:r>
          </w:p>
        </w:tc>
        <w:tc>
          <w:tcPr>
            <w:tcW w:w="1537" w:type="dxa"/>
          </w:tcPr>
          <w:p w14:paraId="7EA0C6F9" w14:textId="77777777" w:rsidR="00554459" w:rsidRPr="00C9168A" w:rsidRDefault="00554459" w:rsidP="00495559">
            <w:pPr>
              <w:tabs>
                <w:tab w:val="left" w:pos="-108"/>
                <w:tab w:val="decimal" w:pos="1422"/>
              </w:tabs>
              <w:jc w:val="right"/>
              <w:rPr>
                <w:sz w:val="22"/>
                <w:u w:val="single"/>
              </w:rPr>
            </w:pPr>
          </w:p>
        </w:tc>
        <w:tc>
          <w:tcPr>
            <w:tcW w:w="1532" w:type="dxa"/>
          </w:tcPr>
          <w:p w14:paraId="78FE4540" w14:textId="77777777" w:rsidR="00554459" w:rsidRPr="00C9168A" w:rsidRDefault="00554459" w:rsidP="00495559">
            <w:pPr>
              <w:tabs>
                <w:tab w:val="left" w:pos="-108"/>
                <w:tab w:val="decimal" w:pos="1422"/>
              </w:tabs>
              <w:jc w:val="right"/>
              <w:rPr>
                <w:sz w:val="22"/>
                <w:u w:val="single"/>
              </w:rPr>
            </w:pPr>
          </w:p>
        </w:tc>
      </w:tr>
      <w:tr w:rsidR="00554459" w:rsidRPr="00C9168A" w14:paraId="03B7FA9F" w14:textId="77777777" w:rsidTr="00495559">
        <w:tc>
          <w:tcPr>
            <w:tcW w:w="6435" w:type="dxa"/>
          </w:tcPr>
          <w:p w14:paraId="7F04CAE3" w14:textId="77777777" w:rsidR="00554459" w:rsidRPr="00CD29FD" w:rsidRDefault="00554459" w:rsidP="00495559">
            <w:pPr>
              <w:rPr>
                <w:sz w:val="22"/>
                <w:szCs w:val="22"/>
              </w:rPr>
            </w:pPr>
          </w:p>
        </w:tc>
        <w:tc>
          <w:tcPr>
            <w:tcW w:w="1537" w:type="dxa"/>
          </w:tcPr>
          <w:p w14:paraId="75E85881" w14:textId="77777777" w:rsidR="00554459" w:rsidRPr="00033AA9" w:rsidRDefault="00554459" w:rsidP="00495559">
            <w:pPr>
              <w:pStyle w:val="Pages"/>
              <w:tabs>
                <w:tab w:val="left" w:pos="-108"/>
                <w:tab w:val="decimal" w:pos="1212"/>
              </w:tabs>
              <w:spacing w:after="0"/>
              <w:jc w:val="right"/>
              <w:rPr>
                <w:rFonts w:ascii="Times New Roman" w:hAnsi="Times New Roman"/>
              </w:rPr>
            </w:pPr>
          </w:p>
        </w:tc>
        <w:tc>
          <w:tcPr>
            <w:tcW w:w="1532" w:type="dxa"/>
          </w:tcPr>
          <w:p w14:paraId="6D983862" w14:textId="77777777" w:rsidR="00554459" w:rsidRPr="00033AA9" w:rsidRDefault="00554459" w:rsidP="00495559">
            <w:pPr>
              <w:pStyle w:val="Pages"/>
              <w:tabs>
                <w:tab w:val="left" w:pos="-108"/>
                <w:tab w:val="decimal" w:pos="1212"/>
              </w:tabs>
              <w:spacing w:after="0"/>
              <w:jc w:val="right"/>
              <w:rPr>
                <w:rFonts w:ascii="Times New Roman" w:hAnsi="Times New Roman"/>
              </w:rPr>
            </w:pPr>
          </w:p>
        </w:tc>
      </w:tr>
      <w:tr w:rsidR="00554459" w:rsidRPr="00C9168A" w14:paraId="5A2ECF23" w14:textId="77777777" w:rsidTr="00495559">
        <w:tc>
          <w:tcPr>
            <w:tcW w:w="6435" w:type="dxa"/>
          </w:tcPr>
          <w:p w14:paraId="44165258" w14:textId="77777777" w:rsidR="00554459" w:rsidRPr="00CD29FD" w:rsidRDefault="00554459" w:rsidP="00495559">
            <w:pPr>
              <w:rPr>
                <w:sz w:val="22"/>
                <w:szCs w:val="22"/>
              </w:rPr>
            </w:pPr>
            <w:r>
              <w:rPr>
                <w:sz w:val="22"/>
                <w:szCs w:val="22"/>
              </w:rPr>
              <w:t>Share capital – Note 9</w:t>
            </w:r>
          </w:p>
        </w:tc>
        <w:tc>
          <w:tcPr>
            <w:tcW w:w="1537" w:type="dxa"/>
          </w:tcPr>
          <w:p w14:paraId="2761D6BB" w14:textId="77777777" w:rsidR="00554459" w:rsidRPr="00C9168A" w:rsidRDefault="00554459" w:rsidP="00495559">
            <w:pPr>
              <w:pStyle w:val="Pages"/>
              <w:tabs>
                <w:tab w:val="left" w:pos="-108"/>
                <w:tab w:val="decimal" w:pos="1212"/>
              </w:tabs>
              <w:spacing w:after="0"/>
              <w:jc w:val="right"/>
              <w:rPr>
                <w:rFonts w:ascii="Times New Roman" w:hAnsi="Times New Roman"/>
              </w:rPr>
            </w:pPr>
            <w:r w:rsidRPr="00033AA9">
              <w:rPr>
                <w:rFonts w:ascii="Times New Roman" w:hAnsi="Times New Roman"/>
              </w:rPr>
              <w:tab/>
            </w:r>
            <w:r>
              <w:rPr>
                <w:rFonts w:ascii="Times New Roman" w:hAnsi="Times New Roman"/>
              </w:rPr>
              <w:t>19,087,872</w:t>
            </w:r>
          </w:p>
        </w:tc>
        <w:tc>
          <w:tcPr>
            <w:tcW w:w="1532" w:type="dxa"/>
          </w:tcPr>
          <w:p w14:paraId="6F7798D3" w14:textId="77777777" w:rsidR="00554459" w:rsidRPr="00C9168A" w:rsidRDefault="00554459" w:rsidP="00495559">
            <w:pPr>
              <w:pStyle w:val="Pages"/>
              <w:tabs>
                <w:tab w:val="left" w:pos="-108"/>
                <w:tab w:val="decimal" w:pos="1212"/>
              </w:tabs>
              <w:spacing w:after="0"/>
              <w:jc w:val="right"/>
              <w:rPr>
                <w:rFonts w:ascii="Times New Roman" w:hAnsi="Times New Roman"/>
              </w:rPr>
            </w:pPr>
            <w:r w:rsidRPr="00033AA9">
              <w:rPr>
                <w:rFonts w:ascii="Times New Roman" w:hAnsi="Times New Roman"/>
              </w:rPr>
              <w:tab/>
            </w:r>
            <w:r>
              <w:rPr>
                <w:rFonts w:ascii="Times New Roman" w:hAnsi="Times New Roman"/>
              </w:rPr>
              <w:t>19,087,872</w:t>
            </w:r>
          </w:p>
        </w:tc>
      </w:tr>
      <w:tr w:rsidR="00554459" w:rsidRPr="00C9168A" w14:paraId="3F2D2D8F" w14:textId="77777777" w:rsidTr="00495559">
        <w:tc>
          <w:tcPr>
            <w:tcW w:w="6435" w:type="dxa"/>
          </w:tcPr>
          <w:p w14:paraId="50CD4E8D" w14:textId="77777777" w:rsidR="00554459" w:rsidRPr="00CD29FD" w:rsidRDefault="00554459" w:rsidP="00495559">
            <w:pPr>
              <w:pStyle w:val="copy"/>
              <w:rPr>
                <w:szCs w:val="22"/>
              </w:rPr>
            </w:pPr>
            <w:r>
              <w:rPr>
                <w:szCs w:val="22"/>
              </w:rPr>
              <w:t>Reserves – Note 9</w:t>
            </w:r>
          </w:p>
        </w:tc>
        <w:tc>
          <w:tcPr>
            <w:tcW w:w="1537" w:type="dxa"/>
          </w:tcPr>
          <w:p w14:paraId="6F4B5315" w14:textId="77777777" w:rsidR="00554459" w:rsidRPr="00C9168A" w:rsidRDefault="00554459" w:rsidP="00495559">
            <w:pPr>
              <w:pStyle w:val="Pages"/>
              <w:tabs>
                <w:tab w:val="left" w:pos="-108"/>
                <w:tab w:val="decimal" w:pos="1212"/>
              </w:tabs>
              <w:spacing w:after="0"/>
              <w:jc w:val="right"/>
              <w:rPr>
                <w:rFonts w:ascii="Times New Roman" w:hAnsi="Times New Roman"/>
                <w:lang w:val="en-GB"/>
              </w:rPr>
            </w:pPr>
            <w:r w:rsidRPr="00C9168A">
              <w:rPr>
                <w:rFonts w:ascii="Times New Roman" w:hAnsi="Times New Roman"/>
              </w:rPr>
              <w:tab/>
            </w:r>
            <w:r>
              <w:rPr>
                <w:rFonts w:ascii="Times New Roman" w:hAnsi="Times New Roman"/>
              </w:rPr>
              <w:t>1,581,249</w:t>
            </w:r>
          </w:p>
        </w:tc>
        <w:tc>
          <w:tcPr>
            <w:tcW w:w="1532" w:type="dxa"/>
          </w:tcPr>
          <w:p w14:paraId="37BF40FE" w14:textId="77777777" w:rsidR="00554459" w:rsidRPr="00C9168A" w:rsidRDefault="00554459" w:rsidP="00495559">
            <w:pPr>
              <w:pStyle w:val="Pages"/>
              <w:tabs>
                <w:tab w:val="left" w:pos="-108"/>
                <w:tab w:val="decimal" w:pos="1212"/>
              </w:tabs>
              <w:spacing w:after="0"/>
              <w:jc w:val="right"/>
              <w:rPr>
                <w:rFonts w:ascii="Times New Roman" w:hAnsi="Times New Roman"/>
                <w:lang w:val="en-GB"/>
              </w:rPr>
            </w:pPr>
            <w:r w:rsidRPr="00C9168A">
              <w:rPr>
                <w:rFonts w:ascii="Times New Roman" w:hAnsi="Times New Roman"/>
              </w:rPr>
              <w:tab/>
            </w:r>
            <w:r>
              <w:rPr>
                <w:rFonts w:ascii="Times New Roman" w:hAnsi="Times New Roman"/>
              </w:rPr>
              <w:t>1,581,249</w:t>
            </w:r>
          </w:p>
        </w:tc>
      </w:tr>
      <w:tr w:rsidR="00554459" w:rsidRPr="00C9168A" w14:paraId="1B2C0E5A" w14:textId="77777777" w:rsidTr="00495559">
        <w:tc>
          <w:tcPr>
            <w:tcW w:w="6435" w:type="dxa"/>
          </w:tcPr>
          <w:p w14:paraId="4339A642" w14:textId="77777777" w:rsidR="00554459" w:rsidRPr="00CD29FD" w:rsidRDefault="00554459" w:rsidP="00495559">
            <w:pPr>
              <w:rPr>
                <w:sz w:val="22"/>
                <w:szCs w:val="22"/>
              </w:rPr>
            </w:pPr>
            <w:r>
              <w:rPr>
                <w:sz w:val="22"/>
                <w:szCs w:val="22"/>
              </w:rPr>
              <w:t>Accumulated d</w:t>
            </w:r>
            <w:r w:rsidRPr="00CD29FD">
              <w:rPr>
                <w:sz w:val="22"/>
                <w:szCs w:val="22"/>
              </w:rPr>
              <w:t>eficit</w:t>
            </w:r>
          </w:p>
        </w:tc>
        <w:tc>
          <w:tcPr>
            <w:tcW w:w="1537" w:type="dxa"/>
          </w:tcPr>
          <w:p w14:paraId="15AC0D9E" w14:textId="77777777" w:rsidR="00554459" w:rsidRPr="002C4D85" w:rsidRDefault="00554459" w:rsidP="00495559">
            <w:pPr>
              <w:tabs>
                <w:tab w:val="left" w:pos="-108"/>
                <w:tab w:val="decimal" w:pos="1212"/>
              </w:tabs>
              <w:jc w:val="right"/>
              <w:rPr>
                <w:sz w:val="22"/>
                <w:szCs w:val="22"/>
              </w:rPr>
            </w:pPr>
            <w:r w:rsidRPr="002C4D85">
              <w:rPr>
                <w:sz w:val="22"/>
                <w:szCs w:val="22"/>
              </w:rPr>
              <w:tab/>
              <w:t>(</w:t>
            </w:r>
            <w:r>
              <w:rPr>
                <w:sz w:val="22"/>
                <w:szCs w:val="22"/>
              </w:rPr>
              <w:t>17,432,326</w:t>
            </w:r>
            <w:r w:rsidRPr="002C4D85">
              <w:rPr>
                <w:sz w:val="22"/>
                <w:szCs w:val="22"/>
              </w:rPr>
              <w:t>)</w:t>
            </w:r>
          </w:p>
        </w:tc>
        <w:tc>
          <w:tcPr>
            <w:tcW w:w="1532" w:type="dxa"/>
          </w:tcPr>
          <w:p w14:paraId="04931F7F" w14:textId="77777777" w:rsidR="00554459" w:rsidRPr="002C4D85" w:rsidRDefault="00554459" w:rsidP="00495559">
            <w:pPr>
              <w:tabs>
                <w:tab w:val="left" w:pos="-108"/>
                <w:tab w:val="decimal" w:pos="1212"/>
              </w:tabs>
              <w:jc w:val="right"/>
              <w:rPr>
                <w:sz w:val="22"/>
                <w:szCs w:val="22"/>
              </w:rPr>
            </w:pPr>
            <w:r w:rsidRPr="002C4D85">
              <w:rPr>
                <w:sz w:val="22"/>
                <w:szCs w:val="22"/>
              </w:rPr>
              <w:tab/>
              <w:t>(</w:t>
            </w:r>
            <w:r>
              <w:rPr>
                <w:sz w:val="22"/>
                <w:szCs w:val="22"/>
              </w:rPr>
              <w:t>17,332,272</w:t>
            </w:r>
            <w:r w:rsidRPr="002C4D85">
              <w:rPr>
                <w:sz w:val="22"/>
                <w:szCs w:val="22"/>
              </w:rPr>
              <w:t>)</w:t>
            </w:r>
          </w:p>
        </w:tc>
      </w:tr>
      <w:tr w:rsidR="00554459" w:rsidRPr="00C9168A" w14:paraId="4CC1035D" w14:textId="77777777" w:rsidTr="00495559">
        <w:tc>
          <w:tcPr>
            <w:tcW w:w="6435" w:type="dxa"/>
          </w:tcPr>
          <w:p w14:paraId="042F438D" w14:textId="77777777" w:rsidR="00554459" w:rsidRPr="00CD29FD" w:rsidRDefault="00554459" w:rsidP="00495559">
            <w:pPr>
              <w:jc w:val="both"/>
              <w:rPr>
                <w:sz w:val="22"/>
                <w:szCs w:val="22"/>
              </w:rPr>
            </w:pPr>
          </w:p>
        </w:tc>
        <w:tc>
          <w:tcPr>
            <w:tcW w:w="1537" w:type="dxa"/>
            <w:tcBorders>
              <w:top w:val="single" w:sz="4" w:space="0" w:color="auto"/>
            </w:tcBorders>
          </w:tcPr>
          <w:p w14:paraId="243F3C2F" w14:textId="77777777" w:rsidR="00554459" w:rsidRPr="00C9168A" w:rsidRDefault="00554459" w:rsidP="00495559">
            <w:pPr>
              <w:tabs>
                <w:tab w:val="left" w:pos="-108"/>
                <w:tab w:val="decimal" w:pos="1212"/>
              </w:tabs>
              <w:jc w:val="right"/>
              <w:rPr>
                <w:sz w:val="22"/>
                <w:u w:val="single"/>
              </w:rPr>
            </w:pPr>
          </w:p>
        </w:tc>
        <w:tc>
          <w:tcPr>
            <w:tcW w:w="1532" w:type="dxa"/>
            <w:tcBorders>
              <w:top w:val="single" w:sz="4" w:space="0" w:color="auto"/>
            </w:tcBorders>
          </w:tcPr>
          <w:p w14:paraId="28F4A740" w14:textId="77777777" w:rsidR="00554459" w:rsidRPr="00C9168A" w:rsidRDefault="00554459" w:rsidP="00495559">
            <w:pPr>
              <w:tabs>
                <w:tab w:val="left" w:pos="-108"/>
                <w:tab w:val="decimal" w:pos="1212"/>
              </w:tabs>
              <w:jc w:val="right"/>
              <w:rPr>
                <w:sz w:val="22"/>
                <w:u w:val="single"/>
              </w:rPr>
            </w:pPr>
          </w:p>
        </w:tc>
      </w:tr>
      <w:tr w:rsidR="00554459" w:rsidRPr="00C9168A" w14:paraId="2753DEDC" w14:textId="77777777" w:rsidTr="00495559">
        <w:tc>
          <w:tcPr>
            <w:tcW w:w="6435" w:type="dxa"/>
          </w:tcPr>
          <w:p w14:paraId="23AADAB5" w14:textId="77777777" w:rsidR="00554459" w:rsidRPr="00692CD5" w:rsidRDefault="00554459" w:rsidP="00495559">
            <w:pPr>
              <w:rPr>
                <w:b/>
                <w:sz w:val="22"/>
              </w:rPr>
            </w:pPr>
            <w:r>
              <w:rPr>
                <w:b/>
                <w:sz w:val="22"/>
              </w:rPr>
              <w:t xml:space="preserve">Total shareholders’ equity </w:t>
            </w:r>
          </w:p>
        </w:tc>
        <w:tc>
          <w:tcPr>
            <w:tcW w:w="1537" w:type="dxa"/>
            <w:tcBorders>
              <w:bottom w:val="single" w:sz="4" w:space="0" w:color="auto"/>
            </w:tcBorders>
          </w:tcPr>
          <w:p w14:paraId="6C951603" w14:textId="77777777" w:rsidR="00554459" w:rsidRPr="00C9168A" w:rsidRDefault="00554459" w:rsidP="00495559">
            <w:pPr>
              <w:pStyle w:val="Pages"/>
              <w:tabs>
                <w:tab w:val="left" w:pos="-108"/>
                <w:tab w:val="decimal" w:pos="1212"/>
              </w:tabs>
              <w:spacing w:after="0"/>
              <w:jc w:val="right"/>
              <w:rPr>
                <w:rFonts w:ascii="Times New Roman" w:hAnsi="Times New Roman"/>
                <w:lang w:val="en-GB"/>
              </w:rPr>
            </w:pPr>
            <w:r w:rsidRPr="00C9168A">
              <w:rPr>
                <w:rFonts w:ascii="Times New Roman" w:hAnsi="Times New Roman"/>
                <w:lang w:val="en-GB"/>
              </w:rPr>
              <w:tab/>
            </w:r>
            <w:r>
              <w:rPr>
                <w:rFonts w:ascii="Times New Roman" w:hAnsi="Times New Roman"/>
                <w:lang w:val="en-GB"/>
              </w:rPr>
              <w:t>3,236,795</w:t>
            </w:r>
          </w:p>
        </w:tc>
        <w:tc>
          <w:tcPr>
            <w:tcW w:w="1532" w:type="dxa"/>
            <w:tcBorders>
              <w:bottom w:val="single" w:sz="4" w:space="0" w:color="auto"/>
            </w:tcBorders>
          </w:tcPr>
          <w:p w14:paraId="2E7A5D23" w14:textId="77777777" w:rsidR="00554459" w:rsidRPr="00C9168A" w:rsidRDefault="00554459" w:rsidP="00495559">
            <w:pPr>
              <w:pStyle w:val="Pages"/>
              <w:tabs>
                <w:tab w:val="left" w:pos="-108"/>
                <w:tab w:val="decimal" w:pos="1212"/>
              </w:tabs>
              <w:spacing w:after="0"/>
              <w:jc w:val="right"/>
              <w:rPr>
                <w:rFonts w:ascii="Times New Roman" w:hAnsi="Times New Roman"/>
                <w:lang w:val="en-GB"/>
              </w:rPr>
            </w:pPr>
            <w:r w:rsidRPr="00C9168A">
              <w:rPr>
                <w:rFonts w:ascii="Times New Roman" w:hAnsi="Times New Roman"/>
                <w:lang w:val="en-GB"/>
              </w:rPr>
              <w:tab/>
            </w:r>
            <w:r>
              <w:rPr>
                <w:rFonts w:ascii="Times New Roman" w:hAnsi="Times New Roman"/>
                <w:lang w:val="en-GB"/>
              </w:rPr>
              <w:t>3,336,849</w:t>
            </w:r>
          </w:p>
        </w:tc>
      </w:tr>
      <w:tr w:rsidR="00554459" w:rsidRPr="00C9168A" w14:paraId="55B14C58" w14:textId="77777777" w:rsidTr="00495559">
        <w:tc>
          <w:tcPr>
            <w:tcW w:w="6435" w:type="dxa"/>
          </w:tcPr>
          <w:p w14:paraId="57995AEA" w14:textId="77777777" w:rsidR="00554459" w:rsidRPr="00C9168A" w:rsidRDefault="00554459" w:rsidP="00495559">
            <w:pPr>
              <w:jc w:val="both"/>
              <w:rPr>
                <w:sz w:val="22"/>
              </w:rPr>
            </w:pPr>
          </w:p>
        </w:tc>
        <w:tc>
          <w:tcPr>
            <w:tcW w:w="1537" w:type="dxa"/>
            <w:tcBorders>
              <w:top w:val="single" w:sz="4" w:space="0" w:color="auto"/>
            </w:tcBorders>
          </w:tcPr>
          <w:p w14:paraId="3141974E" w14:textId="77777777" w:rsidR="00554459" w:rsidRPr="00C9168A" w:rsidRDefault="00554459" w:rsidP="00495559">
            <w:pPr>
              <w:tabs>
                <w:tab w:val="left" w:pos="-108"/>
                <w:tab w:val="decimal" w:pos="1212"/>
              </w:tabs>
              <w:jc w:val="right"/>
              <w:rPr>
                <w:sz w:val="22"/>
              </w:rPr>
            </w:pPr>
          </w:p>
        </w:tc>
        <w:tc>
          <w:tcPr>
            <w:tcW w:w="1532" w:type="dxa"/>
            <w:tcBorders>
              <w:top w:val="single" w:sz="4" w:space="0" w:color="auto"/>
            </w:tcBorders>
          </w:tcPr>
          <w:p w14:paraId="3C564C13" w14:textId="77777777" w:rsidR="00554459" w:rsidRPr="00C9168A" w:rsidRDefault="00554459" w:rsidP="00495559">
            <w:pPr>
              <w:tabs>
                <w:tab w:val="left" w:pos="-108"/>
                <w:tab w:val="decimal" w:pos="1212"/>
              </w:tabs>
              <w:jc w:val="right"/>
              <w:rPr>
                <w:sz w:val="22"/>
              </w:rPr>
            </w:pPr>
          </w:p>
        </w:tc>
      </w:tr>
      <w:tr w:rsidR="00554459" w:rsidRPr="00C9168A" w14:paraId="1F691E02" w14:textId="77777777" w:rsidTr="00495559">
        <w:tc>
          <w:tcPr>
            <w:tcW w:w="6435" w:type="dxa"/>
          </w:tcPr>
          <w:p w14:paraId="0DCAA4D6" w14:textId="77777777" w:rsidR="00554459" w:rsidRPr="00692CD5" w:rsidRDefault="00554459" w:rsidP="00495559">
            <w:pPr>
              <w:rPr>
                <w:b/>
                <w:sz w:val="22"/>
              </w:rPr>
            </w:pPr>
            <w:r>
              <w:rPr>
                <w:b/>
                <w:sz w:val="22"/>
              </w:rPr>
              <w:t xml:space="preserve">Total liabilities and shareholders’ equity </w:t>
            </w:r>
          </w:p>
        </w:tc>
        <w:tc>
          <w:tcPr>
            <w:tcW w:w="1537" w:type="dxa"/>
            <w:tcBorders>
              <w:bottom w:val="double" w:sz="4" w:space="0" w:color="auto"/>
            </w:tcBorders>
          </w:tcPr>
          <w:p w14:paraId="3222698E" w14:textId="77777777" w:rsidR="00554459" w:rsidRPr="00C9168A" w:rsidRDefault="00554459" w:rsidP="00495559">
            <w:pPr>
              <w:tabs>
                <w:tab w:val="left" w:pos="0"/>
                <w:tab w:val="decimal" w:pos="1212"/>
              </w:tabs>
              <w:jc w:val="right"/>
              <w:rPr>
                <w:sz w:val="22"/>
              </w:rPr>
            </w:pPr>
            <w:r w:rsidRPr="00C9168A">
              <w:rPr>
                <w:sz w:val="22"/>
              </w:rPr>
              <w:t>$</w:t>
            </w:r>
            <w:r w:rsidRPr="00C9168A">
              <w:rPr>
                <w:sz w:val="22"/>
              </w:rPr>
              <w:tab/>
            </w:r>
            <w:r>
              <w:rPr>
                <w:sz w:val="22"/>
              </w:rPr>
              <w:t>3,274,785</w:t>
            </w:r>
          </w:p>
        </w:tc>
        <w:tc>
          <w:tcPr>
            <w:tcW w:w="1532" w:type="dxa"/>
            <w:tcBorders>
              <w:bottom w:val="double" w:sz="4" w:space="0" w:color="auto"/>
            </w:tcBorders>
          </w:tcPr>
          <w:p w14:paraId="6D382ED2" w14:textId="77777777" w:rsidR="00554459" w:rsidRPr="00C9168A" w:rsidRDefault="00554459" w:rsidP="00495559">
            <w:pPr>
              <w:tabs>
                <w:tab w:val="left" w:pos="0"/>
                <w:tab w:val="decimal" w:pos="1212"/>
              </w:tabs>
              <w:jc w:val="right"/>
              <w:rPr>
                <w:sz w:val="22"/>
              </w:rPr>
            </w:pPr>
            <w:r w:rsidRPr="00C9168A">
              <w:rPr>
                <w:sz w:val="22"/>
              </w:rPr>
              <w:t>$</w:t>
            </w:r>
            <w:r w:rsidRPr="00C9168A">
              <w:rPr>
                <w:sz w:val="22"/>
              </w:rPr>
              <w:tab/>
            </w:r>
            <w:r>
              <w:rPr>
                <w:sz w:val="22"/>
              </w:rPr>
              <w:t>3,397,603</w:t>
            </w:r>
          </w:p>
        </w:tc>
      </w:tr>
      <w:tr w:rsidR="00554459" w:rsidRPr="00C9168A" w14:paraId="46BB3097" w14:textId="77777777" w:rsidTr="00495559">
        <w:tc>
          <w:tcPr>
            <w:tcW w:w="6435" w:type="dxa"/>
          </w:tcPr>
          <w:p w14:paraId="1EB105F9" w14:textId="77777777" w:rsidR="00554459" w:rsidRPr="00C9168A" w:rsidRDefault="00554459" w:rsidP="00495559">
            <w:pPr>
              <w:jc w:val="both"/>
              <w:rPr>
                <w:sz w:val="22"/>
              </w:rPr>
            </w:pPr>
          </w:p>
        </w:tc>
        <w:tc>
          <w:tcPr>
            <w:tcW w:w="1537" w:type="dxa"/>
            <w:tcBorders>
              <w:top w:val="double" w:sz="4" w:space="0" w:color="auto"/>
            </w:tcBorders>
          </w:tcPr>
          <w:p w14:paraId="083EF3BB" w14:textId="77777777" w:rsidR="00554459" w:rsidRPr="00C9168A" w:rsidRDefault="00554459" w:rsidP="00495559">
            <w:pPr>
              <w:tabs>
                <w:tab w:val="left" w:pos="-108"/>
                <w:tab w:val="decimal" w:pos="1422"/>
              </w:tabs>
              <w:jc w:val="both"/>
              <w:rPr>
                <w:sz w:val="22"/>
                <w:u w:val="double"/>
              </w:rPr>
            </w:pPr>
          </w:p>
        </w:tc>
        <w:tc>
          <w:tcPr>
            <w:tcW w:w="1532" w:type="dxa"/>
            <w:tcBorders>
              <w:top w:val="double" w:sz="4" w:space="0" w:color="auto"/>
            </w:tcBorders>
          </w:tcPr>
          <w:p w14:paraId="72191157" w14:textId="77777777" w:rsidR="00554459" w:rsidRDefault="00554459" w:rsidP="00495559">
            <w:pPr>
              <w:tabs>
                <w:tab w:val="left" w:pos="-36"/>
                <w:tab w:val="decimal" w:pos="1212"/>
                <w:tab w:val="decimal" w:pos="1404"/>
              </w:tabs>
              <w:jc w:val="both"/>
              <w:rPr>
                <w:sz w:val="22"/>
              </w:rPr>
            </w:pPr>
          </w:p>
        </w:tc>
      </w:tr>
    </w:tbl>
    <w:p w14:paraId="1643DF9C" w14:textId="77777777" w:rsidR="00554459" w:rsidRDefault="00554459" w:rsidP="00554459">
      <w:pPr>
        <w:jc w:val="both"/>
        <w:rPr>
          <w:sz w:val="22"/>
        </w:rPr>
      </w:pPr>
    </w:p>
    <w:p w14:paraId="44E6137A" w14:textId="77777777" w:rsidR="00554459" w:rsidRDefault="00554459" w:rsidP="00554459">
      <w:pPr>
        <w:jc w:val="both"/>
        <w:rPr>
          <w:sz w:val="22"/>
        </w:rPr>
      </w:pPr>
      <w:r>
        <w:rPr>
          <w:sz w:val="22"/>
        </w:rPr>
        <w:t>Nature and Continuance of Operations (Note 1)</w:t>
      </w:r>
    </w:p>
    <w:p w14:paraId="498604D0" w14:textId="77777777" w:rsidR="00554459" w:rsidRDefault="00554459" w:rsidP="00554459">
      <w:pPr>
        <w:jc w:val="both"/>
        <w:rPr>
          <w:sz w:val="22"/>
        </w:rPr>
      </w:pPr>
    </w:p>
    <w:p w14:paraId="35738311" w14:textId="77777777" w:rsidR="00554459" w:rsidRDefault="00554459" w:rsidP="00554459">
      <w:pPr>
        <w:jc w:val="both"/>
        <w:rPr>
          <w:sz w:val="22"/>
        </w:rPr>
      </w:pPr>
    </w:p>
    <w:p w14:paraId="2B780569" w14:textId="77777777" w:rsidR="00554459" w:rsidRDefault="00554459" w:rsidP="00554459">
      <w:pPr>
        <w:jc w:val="both"/>
        <w:rPr>
          <w:sz w:val="22"/>
        </w:rPr>
      </w:pPr>
    </w:p>
    <w:p w14:paraId="367445A4" w14:textId="77777777" w:rsidR="00554459" w:rsidRDefault="00554459" w:rsidP="00554459">
      <w:pPr>
        <w:jc w:val="both"/>
        <w:rPr>
          <w:sz w:val="22"/>
        </w:rPr>
      </w:pPr>
    </w:p>
    <w:p w14:paraId="25A07CC5" w14:textId="77777777" w:rsidR="00554459" w:rsidRDefault="00554459" w:rsidP="00554459">
      <w:pPr>
        <w:jc w:val="both"/>
        <w:rPr>
          <w:sz w:val="22"/>
        </w:rPr>
      </w:pPr>
    </w:p>
    <w:tbl>
      <w:tblPr>
        <w:tblW w:w="9504" w:type="dxa"/>
        <w:tblLayout w:type="fixed"/>
        <w:tblLook w:val="0000" w:firstRow="0" w:lastRow="0" w:firstColumn="0" w:lastColumn="0" w:noHBand="0" w:noVBand="0"/>
      </w:tblPr>
      <w:tblGrid>
        <w:gridCol w:w="3528"/>
        <w:gridCol w:w="1080"/>
        <w:gridCol w:w="288"/>
        <w:gridCol w:w="3402"/>
        <w:gridCol w:w="1206"/>
      </w:tblGrid>
      <w:tr w:rsidR="00554459" w:rsidRPr="00C9168A" w14:paraId="64460EEF" w14:textId="77777777" w:rsidTr="00495559">
        <w:tc>
          <w:tcPr>
            <w:tcW w:w="4608" w:type="dxa"/>
            <w:gridSpan w:val="2"/>
          </w:tcPr>
          <w:p w14:paraId="18DF6364" w14:textId="77777777" w:rsidR="00554459" w:rsidRPr="00C9168A" w:rsidRDefault="00554459" w:rsidP="00495559">
            <w:pPr>
              <w:jc w:val="both"/>
              <w:rPr>
                <w:sz w:val="22"/>
              </w:rPr>
            </w:pPr>
            <w:r w:rsidRPr="00C9168A">
              <w:rPr>
                <w:sz w:val="22"/>
              </w:rPr>
              <w:t>APPROVED BY THE DIRECTORS:</w:t>
            </w:r>
          </w:p>
        </w:tc>
        <w:tc>
          <w:tcPr>
            <w:tcW w:w="288" w:type="dxa"/>
          </w:tcPr>
          <w:p w14:paraId="4CF4B44A" w14:textId="77777777" w:rsidR="00554459" w:rsidRPr="00C9168A" w:rsidRDefault="00554459" w:rsidP="00495559">
            <w:pPr>
              <w:jc w:val="both"/>
              <w:rPr>
                <w:sz w:val="22"/>
              </w:rPr>
            </w:pPr>
          </w:p>
        </w:tc>
        <w:tc>
          <w:tcPr>
            <w:tcW w:w="4608" w:type="dxa"/>
            <w:gridSpan w:val="2"/>
          </w:tcPr>
          <w:p w14:paraId="62B5673A" w14:textId="77777777" w:rsidR="00554459" w:rsidRPr="00C9168A" w:rsidRDefault="00554459" w:rsidP="00495559">
            <w:pPr>
              <w:jc w:val="both"/>
              <w:rPr>
                <w:sz w:val="22"/>
              </w:rPr>
            </w:pPr>
          </w:p>
        </w:tc>
      </w:tr>
      <w:tr w:rsidR="00554459" w:rsidRPr="00C9168A" w14:paraId="52DEAE09" w14:textId="77777777" w:rsidTr="00495559">
        <w:tc>
          <w:tcPr>
            <w:tcW w:w="4608" w:type="dxa"/>
            <w:gridSpan w:val="2"/>
          </w:tcPr>
          <w:p w14:paraId="6EB7D21E" w14:textId="77777777" w:rsidR="00554459" w:rsidRPr="00C9168A" w:rsidRDefault="00554459" w:rsidP="00495559">
            <w:pPr>
              <w:jc w:val="both"/>
              <w:rPr>
                <w:sz w:val="22"/>
              </w:rPr>
            </w:pPr>
          </w:p>
        </w:tc>
        <w:tc>
          <w:tcPr>
            <w:tcW w:w="288" w:type="dxa"/>
          </w:tcPr>
          <w:p w14:paraId="1D04CD4D" w14:textId="77777777" w:rsidR="00554459" w:rsidRPr="00C9168A" w:rsidRDefault="00554459" w:rsidP="00495559">
            <w:pPr>
              <w:jc w:val="both"/>
              <w:rPr>
                <w:sz w:val="22"/>
              </w:rPr>
            </w:pPr>
          </w:p>
        </w:tc>
        <w:tc>
          <w:tcPr>
            <w:tcW w:w="4608" w:type="dxa"/>
            <w:gridSpan w:val="2"/>
          </w:tcPr>
          <w:p w14:paraId="5C44B4F3" w14:textId="77777777" w:rsidR="00554459" w:rsidRPr="00C9168A" w:rsidRDefault="00554459" w:rsidP="00495559">
            <w:pPr>
              <w:jc w:val="both"/>
              <w:rPr>
                <w:sz w:val="22"/>
              </w:rPr>
            </w:pPr>
          </w:p>
        </w:tc>
      </w:tr>
      <w:tr w:rsidR="00554459" w:rsidRPr="00C9168A" w14:paraId="67271F60" w14:textId="77777777" w:rsidTr="00495559">
        <w:trPr>
          <w:cantSplit/>
        </w:trPr>
        <w:tc>
          <w:tcPr>
            <w:tcW w:w="3528" w:type="dxa"/>
            <w:tcBorders>
              <w:bottom w:val="single" w:sz="4" w:space="0" w:color="auto"/>
            </w:tcBorders>
          </w:tcPr>
          <w:p w14:paraId="43C76E5B" w14:textId="77777777" w:rsidR="00554459" w:rsidRPr="00C9168A" w:rsidRDefault="00554459" w:rsidP="00495559">
            <w:pPr>
              <w:jc w:val="center"/>
              <w:rPr>
                <w:i/>
                <w:sz w:val="22"/>
              </w:rPr>
            </w:pPr>
            <w:r w:rsidRPr="00C9168A">
              <w:rPr>
                <w:i/>
                <w:sz w:val="22"/>
              </w:rPr>
              <w:t>“</w:t>
            </w:r>
            <w:r>
              <w:rPr>
                <w:i/>
                <w:sz w:val="22"/>
              </w:rPr>
              <w:t>Seth Kay</w:t>
            </w:r>
            <w:r w:rsidRPr="00C9168A">
              <w:rPr>
                <w:i/>
                <w:sz w:val="22"/>
              </w:rPr>
              <w:t>”</w:t>
            </w:r>
          </w:p>
        </w:tc>
        <w:tc>
          <w:tcPr>
            <w:tcW w:w="1080" w:type="dxa"/>
          </w:tcPr>
          <w:p w14:paraId="54E15FCA" w14:textId="77777777" w:rsidR="00554459" w:rsidRPr="00C9168A" w:rsidRDefault="00554459" w:rsidP="00495559">
            <w:pPr>
              <w:jc w:val="both"/>
              <w:rPr>
                <w:sz w:val="22"/>
              </w:rPr>
            </w:pPr>
            <w:r w:rsidRPr="00C9168A">
              <w:rPr>
                <w:sz w:val="22"/>
              </w:rPr>
              <w:t>Director</w:t>
            </w:r>
          </w:p>
        </w:tc>
        <w:tc>
          <w:tcPr>
            <w:tcW w:w="288" w:type="dxa"/>
          </w:tcPr>
          <w:p w14:paraId="6524B434" w14:textId="77777777" w:rsidR="00554459" w:rsidRPr="00C9168A" w:rsidRDefault="00554459" w:rsidP="00495559">
            <w:pPr>
              <w:jc w:val="both"/>
              <w:rPr>
                <w:sz w:val="22"/>
              </w:rPr>
            </w:pPr>
          </w:p>
        </w:tc>
        <w:tc>
          <w:tcPr>
            <w:tcW w:w="3402" w:type="dxa"/>
            <w:tcBorders>
              <w:bottom w:val="single" w:sz="4" w:space="0" w:color="auto"/>
            </w:tcBorders>
          </w:tcPr>
          <w:p w14:paraId="4C221757" w14:textId="77777777" w:rsidR="00554459" w:rsidRPr="00C9168A" w:rsidRDefault="00554459" w:rsidP="00495559">
            <w:pPr>
              <w:jc w:val="center"/>
              <w:rPr>
                <w:i/>
                <w:sz w:val="22"/>
              </w:rPr>
            </w:pPr>
            <w:r w:rsidRPr="00C9168A">
              <w:rPr>
                <w:i/>
                <w:sz w:val="22"/>
              </w:rPr>
              <w:t>“</w:t>
            </w:r>
            <w:r>
              <w:rPr>
                <w:i/>
                <w:sz w:val="22"/>
              </w:rPr>
              <w:t>James Nelson</w:t>
            </w:r>
            <w:r w:rsidRPr="00C9168A">
              <w:rPr>
                <w:i/>
                <w:sz w:val="22"/>
              </w:rPr>
              <w:t>”</w:t>
            </w:r>
          </w:p>
        </w:tc>
        <w:tc>
          <w:tcPr>
            <w:tcW w:w="1206" w:type="dxa"/>
          </w:tcPr>
          <w:p w14:paraId="52E64663" w14:textId="77777777" w:rsidR="00554459" w:rsidRPr="00C9168A" w:rsidRDefault="00554459" w:rsidP="00495559">
            <w:pPr>
              <w:jc w:val="both"/>
              <w:rPr>
                <w:sz w:val="22"/>
              </w:rPr>
            </w:pPr>
            <w:r w:rsidRPr="00C9168A">
              <w:rPr>
                <w:sz w:val="22"/>
              </w:rPr>
              <w:t>Director</w:t>
            </w:r>
          </w:p>
        </w:tc>
      </w:tr>
      <w:tr w:rsidR="00554459" w:rsidRPr="00C9168A" w14:paraId="47088CE7" w14:textId="77777777" w:rsidTr="00495559">
        <w:trPr>
          <w:cantSplit/>
        </w:trPr>
        <w:tc>
          <w:tcPr>
            <w:tcW w:w="3528" w:type="dxa"/>
            <w:tcBorders>
              <w:top w:val="single" w:sz="4" w:space="0" w:color="auto"/>
            </w:tcBorders>
          </w:tcPr>
          <w:p w14:paraId="62EB96CA" w14:textId="77777777" w:rsidR="00554459" w:rsidRPr="00C9168A" w:rsidRDefault="00554459" w:rsidP="00495559">
            <w:pPr>
              <w:jc w:val="center"/>
              <w:rPr>
                <w:sz w:val="22"/>
              </w:rPr>
            </w:pPr>
            <w:r>
              <w:rPr>
                <w:sz w:val="22"/>
              </w:rPr>
              <w:t>Seth Kay</w:t>
            </w:r>
          </w:p>
        </w:tc>
        <w:tc>
          <w:tcPr>
            <w:tcW w:w="1080" w:type="dxa"/>
          </w:tcPr>
          <w:p w14:paraId="0304B953" w14:textId="77777777" w:rsidR="00554459" w:rsidRPr="00C9168A" w:rsidRDefault="00554459" w:rsidP="00495559">
            <w:pPr>
              <w:jc w:val="both"/>
              <w:rPr>
                <w:sz w:val="22"/>
              </w:rPr>
            </w:pPr>
          </w:p>
        </w:tc>
        <w:tc>
          <w:tcPr>
            <w:tcW w:w="288" w:type="dxa"/>
            <w:tcBorders>
              <w:top w:val="single" w:sz="4" w:space="0" w:color="auto"/>
            </w:tcBorders>
          </w:tcPr>
          <w:p w14:paraId="674654E1" w14:textId="77777777" w:rsidR="00554459" w:rsidRPr="00C9168A" w:rsidRDefault="00554459" w:rsidP="00495559">
            <w:pPr>
              <w:jc w:val="both"/>
              <w:rPr>
                <w:sz w:val="22"/>
              </w:rPr>
            </w:pPr>
          </w:p>
        </w:tc>
        <w:tc>
          <w:tcPr>
            <w:tcW w:w="3402" w:type="dxa"/>
            <w:tcBorders>
              <w:top w:val="single" w:sz="4" w:space="0" w:color="auto"/>
            </w:tcBorders>
          </w:tcPr>
          <w:p w14:paraId="103330A2" w14:textId="77777777" w:rsidR="00554459" w:rsidRPr="00C9168A" w:rsidRDefault="00554459" w:rsidP="00495559">
            <w:pPr>
              <w:jc w:val="center"/>
              <w:rPr>
                <w:sz w:val="22"/>
              </w:rPr>
            </w:pPr>
            <w:r>
              <w:rPr>
                <w:sz w:val="22"/>
              </w:rPr>
              <w:t>James Nelson</w:t>
            </w:r>
          </w:p>
        </w:tc>
        <w:tc>
          <w:tcPr>
            <w:tcW w:w="1206" w:type="dxa"/>
          </w:tcPr>
          <w:p w14:paraId="16DD68C2" w14:textId="77777777" w:rsidR="00554459" w:rsidRPr="00C9168A" w:rsidRDefault="00554459" w:rsidP="00495559">
            <w:pPr>
              <w:jc w:val="both"/>
              <w:rPr>
                <w:sz w:val="22"/>
              </w:rPr>
            </w:pPr>
          </w:p>
        </w:tc>
      </w:tr>
      <w:tr w:rsidR="00554459" w:rsidRPr="00C9168A" w14:paraId="4B2197BC" w14:textId="77777777" w:rsidTr="00495559">
        <w:tc>
          <w:tcPr>
            <w:tcW w:w="4608" w:type="dxa"/>
            <w:gridSpan w:val="2"/>
          </w:tcPr>
          <w:p w14:paraId="2E125D20" w14:textId="77777777" w:rsidR="00554459" w:rsidRPr="00C9168A" w:rsidRDefault="00554459" w:rsidP="00495559">
            <w:pPr>
              <w:tabs>
                <w:tab w:val="right" w:pos="4320"/>
              </w:tabs>
              <w:jc w:val="both"/>
              <w:rPr>
                <w:sz w:val="22"/>
              </w:rPr>
            </w:pPr>
          </w:p>
        </w:tc>
        <w:tc>
          <w:tcPr>
            <w:tcW w:w="288" w:type="dxa"/>
          </w:tcPr>
          <w:p w14:paraId="118B5AFC" w14:textId="77777777" w:rsidR="00554459" w:rsidRPr="00C9168A" w:rsidRDefault="00554459" w:rsidP="00495559">
            <w:pPr>
              <w:tabs>
                <w:tab w:val="right" w:pos="4320"/>
              </w:tabs>
              <w:jc w:val="both"/>
              <w:rPr>
                <w:sz w:val="22"/>
              </w:rPr>
            </w:pPr>
          </w:p>
        </w:tc>
        <w:tc>
          <w:tcPr>
            <w:tcW w:w="4608" w:type="dxa"/>
            <w:gridSpan w:val="2"/>
          </w:tcPr>
          <w:p w14:paraId="2A2E3E87" w14:textId="77777777" w:rsidR="00554459" w:rsidRPr="00C9168A" w:rsidRDefault="00554459" w:rsidP="00495559">
            <w:pPr>
              <w:tabs>
                <w:tab w:val="right" w:pos="4320"/>
              </w:tabs>
              <w:jc w:val="both"/>
              <w:rPr>
                <w:sz w:val="22"/>
              </w:rPr>
            </w:pPr>
          </w:p>
        </w:tc>
      </w:tr>
    </w:tbl>
    <w:p w14:paraId="62C6E734" w14:textId="77777777" w:rsidR="00554459" w:rsidRDefault="00554459" w:rsidP="00554459">
      <w:pPr>
        <w:jc w:val="center"/>
        <w:rPr>
          <w:b/>
          <w:sz w:val="22"/>
        </w:rPr>
      </w:pPr>
    </w:p>
    <w:p w14:paraId="03A0A2EA" w14:textId="77777777" w:rsidR="00554459" w:rsidRDefault="00554459" w:rsidP="00554459">
      <w:pPr>
        <w:spacing w:after="200" w:line="276" w:lineRule="auto"/>
        <w:rPr>
          <w:b/>
          <w:sz w:val="22"/>
        </w:rPr>
      </w:pPr>
      <w:r>
        <w:rPr>
          <w:b/>
          <w:sz w:val="22"/>
        </w:rPr>
        <w:br w:type="page"/>
      </w:r>
    </w:p>
    <w:p w14:paraId="4496A980" w14:textId="77777777" w:rsidR="00554459" w:rsidRDefault="00554459" w:rsidP="00554459">
      <w:pPr>
        <w:jc w:val="center"/>
        <w:rPr>
          <w:b/>
          <w:sz w:val="22"/>
        </w:rPr>
      </w:pPr>
      <w:r>
        <w:rPr>
          <w:b/>
          <w:sz w:val="22"/>
        </w:rPr>
        <w:lastRenderedPageBreak/>
        <w:t xml:space="preserve">CRUZ COBALT CORP. </w:t>
      </w:r>
    </w:p>
    <w:p w14:paraId="62F159B5" w14:textId="77777777" w:rsidR="00554459" w:rsidRPr="004B64DB" w:rsidRDefault="00554459" w:rsidP="00554459">
      <w:pPr>
        <w:jc w:val="center"/>
      </w:pPr>
      <w:r>
        <w:t>CONDENSED CONSOLIDATED INTERIM</w:t>
      </w:r>
      <w:r w:rsidRPr="006D3CF2">
        <w:t xml:space="preserve"> STATEMENTS</w:t>
      </w:r>
      <w:r w:rsidRPr="004B64DB">
        <w:t xml:space="preserve"> OF LOSS AND COMPREHENSIVE LOSS</w:t>
      </w:r>
    </w:p>
    <w:p w14:paraId="600B5629" w14:textId="77777777" w:rsidR="00554459" w:rsidRPr="009E3EC2" w:rsidRDefault="00554459" w:rsidP="00554459">
      <w:pPr>
        <w:jc w:val="center"/>
      </w:pPr>
      <w:r w:rsidRPr="004B64DB">
        <w:t>(Expressed in Canadian Dollars)</w:t>
      </w:r>
    </w:p>
    <w:p w14:paraId="2DF541D5" w14:textId="77777777" w:rsidR="00554459" w:rsidRDefault="00554459" w:rsidP="00554459">
      <w:pPr>
        <w:rPr>
          <w:sz w:val="22"/>
          <w:u w:val="single"/>
        </w:rPr>
      </w:pPr>
    </w:p>
    <w:tbl>
      <w:tblPr>
        <w:tblpPr w:leftFromText="180" w:rightFromText="180" w:vertAnchor="text" w:horzAnchor="margin" w:tblpX="-342" w:tblpY="130"/>
        <w:tblW w:w="9282" w:type="dxa"/>
        <w:tblLayout w:type="fixed"/>
        <w:tblLook w:val="0000" w:firstRow="0" w:lastRow="0" w:firstColumn="0" w:lastColumn="0" w:noHBand="0" w:noVBand="0"/>
      </w:tblPr>
      <w:tblGrid>
        <w:gridCol w:w="6164"/>
        <w:gridCol w:w="1559"/>
        <w:gridCol w:w="1559"/>
      </w:tblGrid>
      <w:tr w:rsidR="00554459" w:rsidRPr="00C9168A" w14:paraId="12A39910" w14:textId="77777777" w:rsidTr="00495559">
        <w:tc>
          <w:tcPr>
            <w:tcW w:w="6164" w:type="dxa"/>
          </w:tcPr>
          <w:p w14:paraId="34EB412D" w14:textId="77777777" w:rsidR="00554459" w:rsidRPr="00C9168A" w:rsidRDefault="00554459" w:rsidP="00495559">
            <w:pPr>
              <w:pStyle w:val="Style1"/>
              <w:rPr>
                <w:szCs w:val="22"/>
              </w:rPr>
            </w:pPr>
          </w:p>
        </w:tc>
        <w:tc>
          <w:tcPr>
            <w:tcW w:w="3118" w:type="dxa"/>
            <w:gridSpan w:val="2"/>
          </w:tcPr>
          <w:p w14:paraId="4030290C" w14:textId="77777777" w:rsidR="00554459" w:rsidRDefault="00554459" w:rsidP="00495559">
            <w:pPr>
              <w:jc w:val="right"/>
              <w:rPr>
                <w:sz w:val="22"/>
                <w:szCs w:val="22"/>
              </w:rPr>
            </w:pPr>
            <w:r>
              <w:rPr>
                <w:sz w:val="22"/>
                <w:szCs w:val="22"/>
              </w:rPr>
              <w:t>Three months ended October 31,</w:t>
            </w:r>
          </w:p>
        </w:tc>
      </w:tr>
      <w:tr w:rsidR="00554459" w:rsidRPr="00C9168A" w14:paraId="36F61B9A" w14:textId="77777777" w:rsidTr="00495559">
        <w:tc>
          <w:tcPr>
            <w:tcW w:w="6164" w:type="dxa"/>
          </w:tcPr>
          <w:p w14:paraId="2933BD47" w14:textId="77777777" w:rsidR="00554459" w:rsidRPr="00C9168A" w:rsidRDefault="00554459" w:rsidP="00495559">
            <w:pPr>
              <w:pStyle w:val="Style1"/>
              <w:rPr>
                <w:szCs w:val="22"/>
              </w:rPr>
            </w:pPr>
          </w:p>
        </w:tc>
        <w:tc>
          <w:tcPr>
            <w:tcW w:w="1559" w:type="dxa"/>
          </w:tcPr>
          <w:p w14:paraId="40F104B1" w14:textId="77777777" w:rsidR="00554459" w:rsidRPr="00C9168A" w:rsidRDefault="00554459" w:rsidP="00495559">
            <w:pPr>
              <w:jc w:val="right"/>
              <w:rPr>
                <w:sz w:val="22"/>
                <w:szCs w:val="22"/>
                <w:u w:val="single"/>
              </w:rPr>
            </w:pPr>
            <w:r w:rsidRPr="00C9168A">
              <w:rPr>
                <w:sz w:val="22"/>
                <w:szCs w:val="22"/>
                <w:u w:val="single"/>
              </w:rPr>
              <w:t>20</w:t>
            </w:r>
            <w:r>
              <w:rPr>
                <w:sz w:val="22"/>
                <w:szCs w:val="22"/>
                <w:u w:val="single"/>
              </w:rPr>
              <w:t>19</w:t>
            </w:r>
          </w:p>
        </w:tc>
        <w:tc>
          <w:tcPr>
            <w:tcW w:w="1559" w:type="dxa"/>
          </w:tcPr>
          <w:p w14:paraId="794DC11B" w14:textId="77777777" w:rsidR="00554459" w:rsidRPr="00C9168A" w:rsidRDefault="00554459" w:rsidP="00495559">
            <w:pPr>
              <w:jc w:val="right"/>
              <w:rPr>
                <w:sz w:val="22"/>
                <w:szCs w:val="22"/>
                <w:u w:val="single"/>
              </w:rPr>
            </w:pPr>
            <w:r w:rsidRPr="00C9168A">
              <w:rPr>
                <w:sz w:val="22"/>
                <w:szCs w:val="22"/>
                <w:u w:val="single"/>
              </w:rPr>
              <w:t>20</w:t>
            </w:r>
            <w:r>
              <w:rPr>
                <w:sz w:val="22"/>
                <w:szCs w:val="22"/>
                <w:u w:val="single"/>
              </w:rPr>
              <w:t>18</w:t>
            </w:r>
          </w:p>
        </w:tc>
      </w:tr>
      <w:tr w:rsidR="00554459" w:rsidRPr="00C9168A" w14:paraId="51356819" w14:textId="77777777" w:rsidTr="00495559">
        <w:tc>
          <w:tcPr>
            <w:tcW w:w="6164" w:type="dxa"/>
          </w:tcPr>
          <w:p w14:paraId="1A8DA0EA" w14:textId="77777777" w:rsidR="00554459" w:rsidRPr="00C9168A" w:rsidRDefault="00554459" w:rsidP="00495559">
            <w:pPr>
              <w:jc w:val="both"/>
              <w:rPr>
                <w:sz w:val="22"/>
                <w:szCs w:val="22"/>
              </w:rPr>
            </w:pPr>
          </w:p>
        </w:tc>
        <w:tc>
          <w:tcPr>
            <w:tcW w:w="1559" w:type="dxa"/>
          </w:tcPr>
          <w:p w14:paraId="4662ECCD" w14:textId="77777777" w:rsidR="00554459" w:rsidRPr="00C9168A" w:rsidRDefault="00554459" w:rsidP="00495559">
            <w:pPr>
              <w:jc w:val="both"/>
              <w:rPr>
                <w:sz w:val="22"/>
                <w:szCs w:val="22"/>
              </w:rPr>
            </w:pPr>
          </w:p>
        </w:tc>
        <w:tc>
          <w:tcPr>
            <w:tcW w:w="1559" w:type="dxa"/>
          </w:tcPr>
          <w:p w14:paraId="5C234C5D" w14:textId="77777777" w:rsidR="00554459" w:rsidRPr="00C9168A" w:rsidRDefault="00554459" w:rsidP="00495559">
            <w:pPr>
              <w:jc w:val="both"/>
              <w:rPr>
                <w:sz w:val="22"/>
                <w:szCs w:val="22"/>
              </w:rPr>
            </w:pPr>
          </w:p>
        </w:tc>
      </w:tr>
      <w:tr w:rsidR="00554459" w:rsidRPr="00C9168A" w14:paraId="478B6980" w14:textId="77777777" w:rsidTr="00495559">
        <w:tc>
          <w:tcPr>
            <w:tcW w:w="6164" w:type="dxa"/>
          </w:tcPr>
          <w:p w14:paraId="08E75888" w14:textId="77777777" w:rsidR="00554459" w:rsidRPr="00F33608" w:rsidRDefault="00554459" w:rsidP="00495559">
            <w:pPr>
              <w:jc w:val="both"/>
              <w:rPr>
                <w:b/>
                <w:sz w:val="22"/>
                <w:szCs w:val="22"/>
              </w:rPr>
            </w:pPr>
            <w:r>
              <w:rPr>
                <w:b/>
                <w:sz w:val="22"/>
                <w:szCs w:val="22"/>
              </w:rPr>
              <w:t>Operating e</w:t>
            </w:r>
            <w:r w:rsidRPr="00F33608">
              <w:rPr>
                <w:b/>
                <w:sz w:val="22"/>
                <w:szCs w:val="22"/>
              </w:rPr>
              <w:t>xpenses</w:t>
            </w:r>
          </w:p>
        </w:tc>
        <w:tc>
          <w:tcPr>
            <w:tcW w:w="1559" w:type="dxa"/>
          </w:tcPr>
          <w:p w14:paraId="2E3C1DE4" w14:textId="77777777" w:rsidR="00554459" w:rsidRPr="00C9168A" w:rsidRDefault="00554459" w:rsidP="00495559">
            <w:pPr>
              <w:jc w:val="both"/>
              <w:rPr>
                <w:sz w:val="22"/>
                <w:szCs w:val="22"/>
              </w:rPr>
            </w:pPr>
          </w:p>
        </w:tc>
        <w:tc>
          <w:tcPr>
            <w:tcW w:w="1559" w:type="dxa"/>
          </w:tcPr>
          <w:p w14:paraId="53538E6A" w14:textId="77777777" w:rsidR="00554459" w:rsidRPr="00C9168A" w:rsidRDefault="00554459" w:rsidP="00495559">
            <w:pPr>
              <w:jc w:val="both"/>
              <w:rPr>
                <w:sz w:val="22"/>
                <w:szCs w:val="22"/>
              </w:rPr>
            </w:pPr>
          </w:p>
        </w:tc>
      </w:tr>
      <w:tr w:rsidR="00554459" w:rsidRPr="00C9168A" w14:paraId="66F84D60" w14:textId="77777777" w:rsidTr="00495559">
        <w:tc>
          <w:tcPr>
            <w:tcW w:w="6164" w:type="dxa"/>
          </w:tcPr>
          <w:p w14:paraId="4A5B2A0B" w14:textId="77777777" w:rsidR="00554459" w:rsidRPr="00C9168A" w:rsidRDefault="00554459" w:rsidP="00495559">
            <w:pPr>
              <w:tabs>
                <w:tab w:val="left" w:pos="270"/>
              </w:tabs>
              <w:jc w:val="both"/>
              <w:rPr>
                <w:sz w:val="22"/>
                <w:szCs w:val="22"/>
              </w:rPr>
            </w:pPr>
            <w:r w:rsidRPr="00C9168A">
              <w:rPr>
                <w:sz w:val="22"/>
                <w:szCs w:val="22"/>
              </w:rPr>
              <w:tab/>
            </w:r>
            <w:r>
              <w:rPr>
                <w:sz w:val="22"/>
                <w:szCs w:val="22"/>
              </w:rPr>
              <w:t>Consulting</w:t>
            </w:r>
          </w:p>
        </w:tc>
        <w:tc>
          <w:tcPr>
            <w:tcW w:w="1559" w:type="dxa"/>
            <w:vAlign w:val="bottom"/>
          </w:tcPr>
          <w:p w14:paraId="2668B9F8" w14:textId="77777777" w:rsidR="00554459" w:rsidRPr="00C9168A" w:rsidRDefault="00554459" w:rsidP="00495559">
            <w:pPr>
              <w:pStyle w:val="Style1"/>
              <w:tabs>
                <w:tab w:val="left" w:pos="-108"/>
                <w:tab w:val="decimal" w:pos="1212"/>
              </w:tabs>
              <w:jc w:val="right"/>
              <w:rPr>
                <w:szCs w:val="22"/>
              </w:rPr>
            </w:pPr>
            <w:r w:rsidRPr="00C9168A">
              <w:rPr>
                <w:szCs w:val="22"/>
              </w:rPr>
              <w:t>$</w:t>
            </w:r>
            <w:r w:rsidRPr="00C9168A">
              <w:rPr>
                <w:szCs w:val="22"/>
              </w:rPr>
              <w:tab/>
            </w:r>
            <w:r>
              <w:rPr>
                <w:szCs w:val="22"/>
              </w:rPr>
              <w:t>21,000</w:t>
            </w:r>
          </w:p>
        </w:tc>
        <w:tc>
          <w:tcPr>
            <w:tcW w:w="1559" w:type="dxa"/>
            <w:vAlign w:val="bottom"/>
          </w:tcPr>
          <w:p w14:paraId="1AB32DFF" w14:textId="77777777" w:rsidR="00554459" w:rsidRPr="00C9168A" w:rsidRDefault="00554459" w:rsidP="00495559">
            <w:pPr>
              <w:pStyle w:val="Style1"/>
              <w:tabs>
                <w:tab w:val="left" w:pos="-108"/>
                <w:tab w:val="decimal" w:pos="1212"/>
              </w:tabs>
              <w:jc w:val="right"/>
              <w:rPr>
                <w:szCs w:val="22"/>
              </w:rPr>
            </w:pPr>
            <w:r w:rsidRPr="00C9168A">
              <w:rPr>
                <w:szCs w:val="22"/>
              </w:rPr>
              <w:t>$</w:t>
            </w:r>
            <w:r w:rsidRPr="00C9168A">
              <w:rPr>
                <w:szCs w:val="22"/>
              </w:rPr>
              <w:tab/>
            </w:r>
            <w:r>
              <w:rPr>
                <w:szCs w:val="22"/>
              </w:rPr>
              <w:t>21,000</w:t>
            </w:r>
          </w:p>
        </w:tc>
      </w:tr>
      <w:tr w:rsidR="00554459" w:rsidRPr="00C9168A" w14:paraId="4A3705ED" w14:textId="77777777" w:rsidTr="00495559">
        <w:tc>
          <w:tcPr>
            <w:tcW w:w="6164" w:type="dxa"/>
          </w:tcPr>
          <w:p w14:paraId="5EBD4F7D" w14:textId="77777777" w:rsidR="00554459" w:rsidRPr="00C9168A" w:rsidRDefault="00554459" w:rsidP="00495559">
            <w:pPr>
              <w:tabs>
                <w:tab w:val="left" w:pos="270"/>
              </w:tabs>
              <w:jc w:val="both"/>
              <w:rPr>
                <w:sz w:val="22"/>
                <w:szCs w:val="22"/>
              </w:rPr>
            </w:pPr>
            <w:r w:rsidRPr="00C9168A">
              <w:rPr>
                <w:sz w:val="22"/>
                <w:szCs w:val="22"/>
              </w:rPr>
              <w:tab/>
            </w:r>
            <w:r>
              <w:rPr>
                <w:sz w:val="22"/>
                <w:szCs w:val="22"/>
              </w:rPr>
              <w:t>Corporate branding</w:t>
            </w:r>
          </w:p>
        </w:tc>
        <w:tc>
          <w:tcPr>
            <w:tcW w:w="1559" w:type="dxa"/>
            <w:vAlign w:val="bottom"/>
          </w:tcPr>
          <w:p w14:paraId="1F9F52AB" w14:textId="77777777" w:rsidR="00554459" w:rsidRPr="00C9168A" w:rsidRDefault="00554459" w:rsidP="00495559">
            <w:pPr>
              <w:tabs>
                <w:tab w:val="left" w:pos="-108"/>
                <w:tab w:val="decimal" w:pos="1212"/>
              </w:tabs>
              <w:jc w:val="right"/>
              <w:rPr>
                <w:sz w:val="22"/>
                <w:szCs w:val="22"/>
              </w:rPr>
            </w:pPr>
            <w:r w:rsidRPr="00C9168A">
              <w:rPr>
                <w:sz w:val="22"/>
                <w:szCs w:val="22"/>
              </w:rPr>
              <w:tab/>
            </w:r>
            <w:r>
              <w:rPr>
                <w:sz w:val="22"/>
                <w:szCs w:val="22"/>
              </w:rPr>
              <w:t>6,019</w:t>
            </w:r>
          </w:p>
        </w:tc>
        <w:tc>
          <w:tcPr>
            <w:tcW w:w="1559" w:type="dxa"/>
            <w:vAlign w:val="bottom"/>
          </w:tcPr>
          <w:p w14:paraId="3E331EF2" w14:textId="77777777" w:rsidR="00554459" w:rsidRPr="00C9168A" w:rsidRDefault="00554459" w:rsidP="00495559">
            <w:pPr>
              <w:tabs>
                <w:tab w:val="left" w:pos="-108"/>
                <w:tab w:val="decimal" w:pos="1212"/>
              </w:tabs>
              <w:jc w:val="right"/>
              <w:rPr>
                <w:sz w:val="22"/>
                <w:szCs w:val="22"/>
              </w:rPr>
            </w:pPr>
            <w:r w:rsidRPr="00C9168A">
              <w:rPr>
                <w:sz w:val="22"/>
                <w:szCs w:val="22"/>
              </w:rPr>
              <w:tab/>
            </w:r>
            <w:r>
              <w:rPr>
                <w:sz w:val="22"/>
                <w:szCs w:val="22"/>
              </w:rPr>
              <w:t>3,000</w:t>
            </w:r>
          </w:p>
        </w:tc>
      </w:tr>
      <w:tr w:rsidR="00554459" w:rsidRPr="00C9168A" w14:paraId="0A996BF8" w14:textId="77777777" w:rsidTr="00495559">
        <w:tc>
          <w:tcPr>
            <w:tcW w:w="6164" w:type="dxa"/>
          </w:tcPr>
          <w:p w14:paraId="3BEB3109" w14:textId="77777777" w:rsidR="00554459" w:rsidRPr="00C9168A" w:rsidRDefault="00554459" w:rsidP="00495559">
            <w:pPr>
              <w:tabs>
                <w:tab w:val="left" w:pos="270"/>
              </w:tabs>
              <w:jc w:val="both"/>
              <w:rPr>
                <w:sz w:val="22"/>
                <w:szCs w:val="22"/>
              </w:rPr>
            </w:pPr>
            <w:r>
              <w:rPr>
                <w:sz w:val="22"/>
                <w:szCs w:val="22"/>
              </w:rPr>
              <w:tab/>
              <w:t>Investor relations</w:t>
            </w:r>
          </w:p>
        </w:tc>
        <w:tc>
          <w:tcPr>
            <w:tcW w:w="1559" w:type="dxa"/>
            <w:vAlign w:val="bottom"/>
          </w:tcPr>
          <w:p w14:paraId="48C4FB3D" w14:textId="77777777" w:rsidR="00554459" w:rsidRPr="00C9168A" w:rsidRDefault="00554459" w:rsidP="00495559">
            <w:pPr>
              <w:tabs>
                <w:tab w:val="left" w:pos="-108"/>
                <w:tab w:val="decimal" w:pos="1212"/>
              </w:tabs>
              <w:jc w:val="right"/>
              <w:rPr>
                <w:sz w:val="22"/>
                <w:szCs w:val="22"/>
              </w:rPr>
            </w:pPr>
            <w:r>
              <w:rPr>
                <w:sz w:val="22"/>
                <w:szCs w:val="22"/>
              </w:rPr>
              <w:tab/>
              <w:t>-</w:t>
            </w:r>
          </w:p>
        </w:tc>
        <w:tc>
          <w:tcPr>
            <w:tcW w:w="1559" w:type="dxa"/>
            <w:vAlign w:val="bottom"/>
          </w:tcPr>
          <w:p w14:paraId="47E72C40" w14:textId="77777777" w:rsidR="00554459" w:rsidRPr="00C9168A" w:rsidRDefault="00554459" w:rsidP="00495559">
            <w:pPr>
              <w:tabs>
                <w:tab w:val="left" w:pos="-108"/>
                <w:tab w:val="decimal" w:pos="1212"/>
              </w:tabs>
              <w:jc w:val="right"/>
              <w:rPr>
                <w:sz w:val="22"/>
                <w:szCs w:val="22"/>
              </w:rPr>
            </w:pPr>
            <w:r>
              <w:rPr>
                <w:sz w:val="22"/>
                <w:szCs w:val="22"/>
              </w:rPr>
              <w:tab/>
              <w:t>75,000</w:t>
            </w:r>
          </w:p>
        </w:tc>
      </w:tr>
      <w:tr w:rsidR="00554459" w:rsidRPr="00C9168A" w14:paraId="756E00F0" w14:textId="77777777" w:rsidTr="00495559">
        <w:tc>
          <w:tcPr>
            <w:tcW w:w="6164" w:type="dxa"/>
          </w:tcPr>
          <w:p w14:paraId="3ACFBEF8" w14:textId="77777777" w:rsidR="00554459" w:rsidRPr="00C9168A" w:rsidRDefault="00554459" w:rsidP="00495559">
            <w:pPr>
              <w:tabs>
                <w:tab w:val="left" w:pos="270"/>
              </w:tabs>
              <w:jc w:val="both"/>
              <w:rPr>
                <w:sz w:val="22"/>
                <w:szCs w:val="22"/>
              </w:rPr>
            </w:pPr>
            <w:r>
              <w:rPr>
                <w:sz w:val="22"/>
                <w:szCs w:val="22"/>
              </w:rPr>
              <w:tab/>
              <w:t>Management fees – Note 11</w:t>
            </w:r>
          </w:p>
        </w:tc>
        <w:tc>
          <w:tcPr>
            <w:tcW w:w="1559" w:type="dxa"/>
            <w:vAlign w:val="bottom"/>
          </w:tcPr>
          <w:p w14:paraId="4EDDFA92" w14:textId="77777777" w:rsidR="00554459" w:rsidRPr="00C9168A" w:rsidRDefault="00554459" w:rsidP="00495559">
            <w:pPr>
              <w:tabs>
                <w:tab w:val="left" w:pos="-108"/>
                <w:tab w:val="decimal" w:pos="1212"/>
              </w:tabs>
              <w:jc w:val="right"/>
              <w:rPr>
                <w:sz w:val="22"/>
                <w:szCs w:val="22"/>
              </w:rPr>
            </w:pPr>
            <w:r w:rsidRPr="00C9168A">
              <w:rPr>
                <w:sz w:val="22"/>
                <w:szCs w:val="22"/>
              </w:rPr>
              <w:tab/>
            </w:r>
            <w:r>
              <w:rPr>
                <w:sz w:val="22"/>
                <w:szCs w:val="22"/>
              </w:rPr>
              <w:t>26,400</w:t>
            </w:r>
          </w:p>
        </w:tc>
        <w:tc>
          <w:tcPr>
            <w:tcW w:w="1559" w:type="dxa"/>
            <w:vAlign w:val="bottom"/>
          </w:tcPr>
          <w:p w14:paraId="34E2A202" w14:textId="77777777" w:rsidR="00554459" w:rsidRPr="00C9168A" w:rsidRDefault="00554459" w:rsidP="00495559">
            <w:pPr>
              <w:tabs>
                <w:tab w:val="left" w:pos="-108"/>
                <w:tab w:val="decimal" w:pos="1212"/>
              </w:tabs>
              <w:jc w:val="right"/>
              <w:rPr>
                <w:sz w:val="22"/>
                <w:szCs w:val="22"/>
              </w:rPr>
            </w:pPr>
            <w:r w:rsidRPr="00C9168A">
              <w:rPr>
                <w:sz w:val="22"/>
                <w:szCs w:val="22"/>
              </w:rPr>
              <w:tab/>
            </w:r>
            <w:r>
              <w:rPr>
                <w:sz w:val="22"/>
                <w:szCs w:val="22"/>
              </w:rPr>
              <w:t>24,000</w:t>
            </w:r>
          </w:p>
        </w:tc>
      </w:tr>
      <w:tr w:rsidR="00554459" w:rsidRPr="00C9168A" w14:paraId="4367BAD0" w14:textId="77777777" w:rsidTr="00495559">
        <w:tc>
          <w:tcPr>
            <w:tcW w:w="6164" w:type="dxa"/>
          </w:tcPr>
          <w:p w14:paraId="1826EBB4" w14:textId="77777777" w:rsidR="00554459" w:rsidRPr="00C9168A" w:rsidRDefault="00554459" w:rsidP="00495559">
            <w:pPr>
              <w:tabs>
                <w:tab w:val="left" w:pos="270"/>
              </w:tabs>
              <w:jc w:val="both"/>
              <w:rPr>
                <w:sz w:val="22"/>
                <w:szCs w:val="22"/>
              </w:rPr>
            </w:pPr>
            <w:r w:rsidRPr="00C9168A">
              <w:rPr>
                <w:sz w:val="22"/>
                <w:szCs w:val="22"/>
              </w:rPr>
              <w:tab/>
              <w:t>Office and miscellaneous</w:t>
            </w:r>
            <w:r>
              <w:rPr>
                <w:sz w:val="22"/>
                <w:szCs w:val="22"/>
              </w:rPr>
              <w:t xml:space="preserve"> </w:t>
            </w:r>
          </w:p>
        </w:tc>
        <w:tc>
          <w:tcPr>
            <w:tcW w:w="1559" w:type="dxa"/>
            <w:vAlign w:val="bottom"/>
          </w:tcPr>
          <w:p w14:paraId="282D1D40" w14:textId="77777777" w:rsidR="00554459" w:rsidRPr="00C9168A" w:rsidRDefault="00554459" w:rsidP="00495559">
            <w:pPr>
              <w:tabs>
                <w:tab w:val="left" w:pos="-108"/>
                <w:tab w:val="decimal" w:pos="1212"/>
              </w:tabs>
              <w:jc w:val="right"/>
              <w:rPr>
                <w:sz w:val="22"/>
                <w:szCs w:val="22"/>
              </w:rPr>
            </w:pPr>
            <w:r w:rsidRPr="00C9168A">
              <w:rPr>
                <w:sz w:val="22"/>
                <w:szCs w:val="22"/>
              </w:rPr>
              <w:tab/>
            </w:r>
            <w:r>
              <w:rPr>
                <w:sz w:val="22"/>
                <w:szCs w:val="22"/>
              </w:rPr>
              <w:t>21,557</w:t>
            </w:r>
          </w:p>
        </w:tc>
        <w:tc>
          <w:tcPr>
            <w:tcW w:w="1559" w:type="dxa"/>
            <w:vAlign w:val="bottom"/>
          </w:tcPr>
          <w:p w14:paraId="65C7F751" w14:textId="77777777" w:rsidR="00554459" w:rsidRPr="00C9168A" w:rsidRDefault="00554459" w:rsidP="00495559">
            <w:pPr>
              <w:tabs>
                <w:tab w:val="left" w:pos="-108"/>
                <w:tab w:val="decimal" w:pos="1212"/>
              </w:tabs>
              <w:jc w:val="right"/>
              <w:rPr>
                <w:sz w:val="22"/>
                <w:szCs w:val="22"/>
              </w:rPr>
            </w:pPr>
            <w:r w:rsidRPr="00C9168A">
              <w:rPr>
                <w:sz w:val="22"/>
                <w:szCs w:val="22"/>
              </w:rPr>
              <w:tab/>
            </w:r>
            <w:r>
              <w:rPr>
                <w:sz w:val="22"/>
                <w:szCs w:val="22"/>
              </w:rPr>
              <w:t>14,449</w:t>
            </w:r>
          </w:p>
        </w:tc>
      </w:tr>
      <w:tr w:rsidR="00554459" w:rsidRPr="00C9168A" w14:paraId="4F0494A1" w14:textId="77777777" w:rsidTr="00495559">
        <w:tc>
          <w:tcPr>
            <w:tcW w:w="6164" w:type="dxa"/>
          </w:tcPr>
          <w:p w14:paraId="7D7695F9" w14:textId="77777777" w:rsidR="00554459" w:rsidRPr="00C9168A" w:rsidRDefault="00554459" w:rsidP="00495559">
            <w:pPr>
              <w:tabs>
                <w:tab w:val="left" w:pos="270"/>
              </w:tabs>
              <w:jc w:val="both"/>
              <w:rPr>
                <w:sz w:val="22"/>
                <w:szCs w:val="22"/>
              </w:rPr>
            </w:pPr>
            <w:r>
              <w:rPr>
                <w:sz w:val="22"/>
                <w:szCs w:val="22"/>
              </w:rPr>
              <w:tab/>
              <w:t>Professional</w:t>
            </w:r>
            <w:r w:rsidRPr="00C9168A">
              <w:rPr>
                <w:sz w:val="22"/>
                <w:szCs w:val="22"/>
              </w:rPr>
              <w:t xml:space="preserve"> fees</w:t>
            </w:r>
            <w:r>
              <w:rPr>
                <w:sz w:val="22"/>
                <w:szCs w:val="22"/>
              </w:rPr>
              <w:t xml:space="preserve"> – Note 11</w:t>
            </w:r>
          </w:p>
        </w:tc>
        <w:tc>
          <w:tcPr>
            <w:tcW w:w="1559" w:type="dxa"/>
            <w:vAlign w:val="bottom"/>
          </w:tcPr>
          <w:p w14:paraId="49647E8C" w14:textId="77777777" w:rsidR="00554459" w:rsidRPr="00C9168A" w:rsidRDefault="00554459" w:rsidP="00495559">
            <w:pPr>
              <w:tabs>
                <w:tab w:val="left" w:pos="-108"/>
                <w:tab w:val="decimal" w:pos="1212"/>
              </w:tabs>
              <w:jc w:val="right"/>
              <w:rPr>
                <w:sz w:val="22"/>
                <w:szCs w:val="22"/>
              </w:rPr>
            </w:pPr>
            <w:r w:rsidRPr="00C9168A">
              <w:rPr>
                <w:sz w:val="22"/>
                <w:szCs w:val="22"/>
              </w:rPr>
              <w:tab/>
            </w:r>
            <w:r>
              <w:rPr>
                <w:sz w:val="22"/>
                <w:szCs w:val="22"/>
              </w:rPr>
              <w:t>16,648</w:t>
            </w:r>
          </w:p>
        </w:tc>
        <w:tc>
          <w:tcPr>
            <w:tcW w:w="1559" w:type="dxa"/>
            <w:vAlign w:val="bottom"/>
          </w:tcPr>
          <w:p w14:paraId="2F579BE6" w14:textId="77777777" w:rsidR="00554459" w:rsidRPr="00C9168A" w:rsidRDefault="00554459" w:rsidP="00495559">
            <w:pPr>
              <w:tabs>
                <w:tab w:val="left" w:pos="-108"/>
                <w:tab w:val="decimal" w:pos="1212"/>
              </w:tabs>
              <w:jc w:val="right"/>
              <w:rPr>
                <w:sz w:val="22"/>
                <w:szCs w:val="22"/>
              </w:rPr>
            </w:pPr>
            <w:r w:rsidRPr="00C9168A">
              <w:rPr>
                <w:sz w:val="22"/>
                <w:szCs w:val="22"/>
              </w:rPr>
              <w:tab/>
            </w:r>
            <w:r>
              <w:rPr>
                <w:sz w:val="22"/>
                <w:szCs w:val="22"/>
              </w:rPr>
              <w:t>19,645</w:t>
            </w:r>
          </w:p>
        </w:tc>
      </w:tr>
      <w:tr w:rsidR="00554459" w:rsidRPr="00C9168A" w14:paraId="261FCF39" w14:textId="77777777" w:rsidTr="00495559">
        <w:tc>
          <w:tcPr>
            <w:tcW w:w="6164" w:type="dxa"/>
          </w:tcPr>
          <w:p w14:paraId="7DC6C8AA" w14:textId="77777777" w:rsidR="00554459" w:rsidRPr="00C9168A" w:rsidRDefault="00554459" w:rsidP="00495559">
            <w:pPr>
              <w:tabs>
                <w:tab w:val="left" w:pos="270"/>
              </w:tabs>
              <w:jc w:val="both"/>
              <w:rPr>
                <w:sz w:val="22"/>
                <w:szCs w:val="22"/>
              </w:rPr>
            </w:pPr>
            <w:r>
              <w:rPr>
                <w:sz w:val="22"/>
                <w:szCs w:val="22"/>
              </w:rPr>
              <w:tab/>
              <w:t>Shareholder information</w:t>
            </w:r>
          </w:p>
        </w:tc>
        <w:tc>
          <w:tcPr>
            <w:tcW w:w="1559" w:type="dxa"/>
            <w:vAlign w:val="bottom"/>
          </w:tcPr>
          <w:p w14:paraId="4E0D1C57" w14:textId="77777777" w:rsidR="00554459" w:rsidRPr="00C9168A" w:rsidRDefault="00554459" w:rsidP="00495559">
            <w:pPr>
              <w:pStyle w:val="Style1"/>
              <w:tabs>
                <w:tab w:val="left" w:pos="-108"/>
                <w:tab w:val="decimal" w:pos="1212"/>
              </w:tabs>
              <w:jc w:val="right"/>
              <w:rPr>
                <w:szCs w:val="22"/>
              </w:rPr>
            </w:pPr>
            <w:r w:rsidRPr="00C9168A">
              <w:rPr>
                <w:szCs w:val="22"/>
              </w:rPr>
              <w:tab/>
            </w:r>
            <w:r>
              <w:rPr>
                <w:szCs w:val="22"/>
              </w:rPr>
              <w:t>2,072</w:t>
            </w:r>
          </w:p>
        </w:tc>
        <w:tc>
          <w:tcPr>
            <w:tcW w:w="1559" w:type="dxa"/>
            <w:vAlign w:val="bottom"/>
          </w:tcPr>
          <w:p w14:paraId="680515BD" w14:textId="77777777" w:rsidR="00554459" w:rsidRPr="00C9168A" w:rsidRDefault="00554459" w:rsidP="00495559">
            <w:pPr>
              <w:pStyle w:val="Style1"/>
              <w:tabs>
                <w:tab w:val="left" w:pos="-108"/>
                <w:tab w:val="decimal" w:pos="1212"/>
              </w:tabs>
              <w:jc w:val="right"/>
              <w:rPr>
                <w:szCs w:val="22"/>
              </w:rPr>
            </w:pPr>
            <w:r w:rsidRPr="00C9168A">
              <w:rPr>
                <w:szCs w:val="22"/>
              </w:rPr>
              <w:tab/>
            </w:r>
            <w:r>
              <w:rPr>
                <w:szCs w:val="22"/>
              </w:rPr>
              <w:t>2,096</w:t>
            </w:r>
          </w:p>
        </w:tc>
      </w:tr>
      <w:tr w:rsidR="00554459" w:rsidRPr="00C9168A" w14:paraId="146CEDC3" w14:textId="77777777" w:rsidTr="00495559">
        <w:tc>
          <w:tcPr>
            <w:tcW w:w="6164" w:type="dxa"/>
          </w:tcPr>
          <w:p w14:paraId="2D5D9633" w14:textId="77777777" w:rsidR="00554459" w:rsidRPr="00C9168A" w:rsidRDefault="00554459" w:rsidP="00495559">
            <w:pPr>
              <w:tabs>
                <w:tab w:val="left" w:pos="270"/>
              </w:tabs>
              <w:jc w:val="both"/>
              <w:rPr>
                <w:sz w:val="22"/>
                <w:szCs w:val="22"/>
              </w:rPr>
            </w:pPr>
            <w:r w:rsidRPr="00C9168A">
              <w:rPr>
                <w:sz w:val="22"/>
                <w:szCs w:val="22"/>
              </w:rPr>
              <w:tab/>
              <w:t>Transfer agent and filing fees</w:t>
            </w:r>
          </w:p>
        </w:tc>
        <w:tc>
          <w:tcPr>
            <w:tcW w:w="1559" w:type="dxa"/>
            <w:vAlign w:val="bottom"/>
          </w:tcPr>
          <w:p w14:paraId="7A57E9DB" w14:textId="77777777" w:rsidR="00554459" w:rsidRPr="00C9168A" w:rsidRDefault="00554459" w:rsidP="00495559">
            <w:pPr>
              <w:tabs>
                <w:tab w:val="left" w:pos="-108"/>
                <w:tab w:val="decimal" w:pos="1212"/>
              </w:tabs>
              <w:jc w:val="right"/>
              <w:rPr>
                <w:sz w:val="22"/>
                <w:szCs w:val="22"/>
              </w:rPr>
            </w:pPr>
            <w:r w:rsidRPr="00C9168A">
              <w:rPr>
                <w:sz w:val="22"/>
                <w:szCs w:val="22"/>
              </w:rPr>
              <w:tab/>
            </w:r>
            <w:r>
              <w:rPr>
                <w:sz w:val="22"/>
                <w:szCs w:val="22"/>
              </w:rPr>
              <w:t>6,437</w:t>
            </w:r>
          </w:p>
        </w:tc>
        <w:tc>
          <w:tcPr>
            <w:tcW w:w="1559" w:type="dxa"/>
            <w:vAlign w:val="bottom"/>
          </w:tcPr>
          <w:p w14:paraId="19B373C4" w14:textId="77777777" w:rsidR="00554459" w:rsidRPr="00C9168A" w:rsidRDefault="00554459" w:rsidP="00495559">
            <w:pPr>
              <w:tabs>
                <w:tab w:val="left" w:pos="-108"/>
                <w:tab w:val="decimal" w:pos="1212"/>
              </w:tabs>
              <w:jc w:val="right"/>
              <w:rPr>
                <w:sz w:val="22"/>
                <w:szCs w:val="22"/>
              </w:rPr>
            </w:pPr>
            <w:r w:rsidRPr="00C9168A">
              <w:rPr>
                <w:sz w:val="22"/>
                <w:szCs w:val="22"/>
              </w:rPr>
              <w:tab/>
            </w:r>
            <w:r>
              <w:rPr>
                <w:sz w:val="22"/>
                <w:szCs w:val="22"/>
              </w:rPr>
              <w:t>4,982</w:t>
            </w:r>
          </w:p>
        </w:tc>
      </w:tr>
      <w:tr w:rsidR="00554459" w:rsidRPr="00C9168A" w14:paraId="65E87EA4" w14:textId="77777777" w:rsidTr="00495559">
        <w:tc>
          <w:tcPr>
            <w:tcW w:w="6164" w:type="dxa"/>
          </w:tcPr>
          <w:p w14:paraId="31EA173A" w14:textId="77777777" w:rsidR="00554459" w:rsidRPr="00C9168A" w:rsidRDefault="00554459" w:rsidP="00495559">
            <w:pPr>
              <w:tabs>
                <w:tab w:val="left" w:pos="270"/>
              </w:tabs>
              <w:jc w:val="both"/>
              <w:rPr>
                <w:sz w:val="22"/>
                <w:szCs w:val="22"/>
              </w:rPr>
            </w:pPr>
            <w:r w:rsidRPr="00C9168A">
              <w:rPr>
                <w:sz w:val="22"/>
                <w:szCs w:val="22"/>
              </w:rPr>
              <w:tab/>
              <w:t>Tra</w:t>
            </w:r>
            <w:r>
              <w:rPr>
                <w:sz w:val="22"/>
                <w:szCs w:val="22"/>
              </w:rPr>
              <w:t xml:space="preserve">vel and </w:t>
            </w:r>
            <w:proofErr w:type="spellStart"/>
            <w:r>
              <w:rPr>
                <w:sz w:val="22"/>
                <w:szCs w:val="22"/>
              </w:rPr>
              <w:t>misc</w:t>
            </w:r>
            <w:proofErr w:type="spellEnd"/>
          </w:p>
        </w:tc>
        <w:tc>
          <w:tcPr>
            <w:tcW w:w="1559" w:type="dxa"/>
            <w:tcBorders>
              <w:bottom w:val="single" w:sz="4" w:space="0" w:color="auto"/>
            </w:tcBorders>
            <w:vAlign w:val="bottom"/>
          </w:tcPr>
          <w:p w14:paraId="7C89C72F" w14:textId="77777777" w:rsidR="00554459" w:rsidRPr="00C9168A" w:rsidRDefault="00554459" w:rsidP="00495559">
            <w:pPr>
              <w:tabs>
                <w:tab w:val="left" w:pos="-108"/>
                <w:tab w:val="decimal" w:pos="1212"/>
              </w:tabs>
              <w:jc w:val="right"/>
              <w:rPr>
                <w:sz w:val="22"/>
                <w:szCs w:val="22"/>
              </w:rPr>
            </w:pPr>
            <w:r w:rsidRPr="00C9168A">
              <w:rPr>
                <w:sz w:val="22"/>
                <w:szCs w:val="22"/>
              </w:rPr>
              <w:tab/>
            </w:r>
            <w:r>
              <w:rPr>
                <w:sz w:val="22"/>
                <w:szCs w:val="22"/>
              </w:rPr>
              <w:t>77</w:t>
            </w:r>
          </w:p>
        </w:tc>
        <w:tc>
          <w:tcPr>
            <w:tcW w:w="1559" w:type="dxa"/>
            <w:tcBorders>
              <w:bottom w:val="single" w:sz="4" w:space="0" w:color="auto"/>
            </w:tcBorders>
            <w:vAlign w:val="bottom"/>
          </w:tcPr>
          <w:p w14:paraId="4CAB6257" w14:textId="77777777" w:rsidR="00554459" w:rsidRPr="00C9168A" w:rsidRDefault="00554459" w:rsidP="00495559">
            <w:pPr>
              <w:tabs>
                <w:tab w:val="left" w:pos="-108"/>
                <w:tab w:val="decimal" w:pos="1212"/>
              </w:tabs>
              <w:jc w:val="right"/>
              <w:rPr>
                <w:sz w:val="22"/>
                <w:szCs w:val="22"/>
              </w:rPr>
            </w:pPr>
            <w:r w:rsidRPr="00C9168A">
              <w:rPr>
                <w:sz w:val="22"/>
                <w:szCs w:val="22"/>
              </w:rPr>
              <w:tab/>
            </w:r>
            <w:r>
              <w:rPr>
                <w:sz w:val="22"/>
                <w:szCs w:val="22"/>
              </w:rPr>
              <w:t>229</w:t>
            </w:r>
          </w:p>
        </w:tc>
      </w:tr>
      <w:tr w:rsidR="00554459" w:rsidRPr="00C9168A" w14:paraId="5EE90CAC" w14:textId="77777777" w:rsidTr="00495559">
        <w:tc>
          <w:tcPr>
            <w:tcW w:w="6164" w:type="dxa"/>
          </w:tcPr>
          <w:p w14:paraId="234F4E05" w14:textId="77777777" w:rsidR="00554459" w:rsidRPr="00C9168A" w:rsidRDefault="00554459" w:rsidP="00495559">
            <w:pPr>
              <w:jc w:val="both"/>
              <w:rPr>
                <w:sz w:val="22"/>
                <w:szCs w:val="22"/>
              </w:rPr>
            </w:pPr>
          </w:p>
        </w:tc>
        <w:tc>
          <w:tcPr>
            <w:tcW w:w="1559" w:type="dxa"/>
            <w:tcBorders>
              <w:top w:val="single" w:sz="4" w:space="0" w:color="auto"/>
            </w:tcBorders>
            <w:vAlign w:val="bottom"/>
          </w:tcPr>
          <w:p w14:paraId="3470D3A2" w14:textId="77777777" w:rsidR="00554459" w:rsidRPr="00C9168A" w:rsidRDefault="00554459" w:rsidP="00495559">
            <w:pPr>
              <w:tabs>
                <w:tab w:val="left" w:pos="-108"/>
                <w:tab w:val="decimal" w:pos="1212"/>
              </w:tabs>
              <w:jc w:val="right"/>
              <w:rPr>
                <w:sz w:val="22"/>
                <w:szCs w:val="22"/>
                <w:u w:val="single"/>
              </w:rPr>
            </w:pPr>
          </w:p>
        </w:tc>
        <w:tc>
          <w:tcPr>
            <w:tcW w:w="1559" w:type="dxa"/>
            <w:tcBorders>
              <w:top w:val="single" w:sz="4" w:space="0" w:color="auto"/>
            </w:tcBorders>
            <w:vAlign w:val="bottom"/>
          </w:tcPr>
          <w:p w14:paraId="6773C212" w14:textId="77777777" w:rsidR="00554459" w:rsidRPr="00C9168A" w:rsidRDefault="00554459" w:rsidP="00495559">
            <w:pPr>
              <w:tabs>
                <w:tab w:val="left" w:pos="-108"/>
                <w:tab w:val="decimal" w:pos="1212"/>
              </w:tabs>
              <w:jc w:val="right"/>
              <w:rPr>
                <w:sz w:val="22"/>
                <w:szCs w:val="22"/>
                <w:u w:val="single"/>
              </w:rPr>
            </w:pPr>
          </w:p>
        </w:tc>
      </w:tr>
      <w:tr w:rsidR="00554459" w:rsidRPr="00C9168A" w14:paraId="1F8A35E3" w14:textId="77777777" w:rsidTr="00495559">
        <w:tc>
          <w:tcPr>
            <w:tcW w:w="6164" w:type="dxa"/>
          </w:tcPr>
          <w:p w14:paraId="2D97FE0C" w14:textId="77777777" w:rsidR="00554459" w:rsidRPr="00F33608" w:rsidRDefault="00554459" w:rsidP="00495559">
            <w:pPr>
              <w:jc w:val="both"/>
              <w:rPr>
                <w:b/>
                <w:sz w:val="22"/>
                <w:szCs w:val="22"/>
              </w:rPr>
            </w:pPr>
          </w:p>
        </w:tc>
        <w:tc>
          <w:tcPr>
            <w:tcW w:w="1559" w:type="dxa"/>
            <w:vAlign w:val="bottom"/>
          </w:tcPr>
          <w:p w14:paraId="3AF9EADA" w14:textId="77777777" w:rsidR="00554459" w:rsidRPr="00C9168A" w:rsidRDefault="00554459" w:rsidP="00495559">
            <w:pPr>
              <w:pStyle w:val="Style1"/>
              <w:tabs>
                <w:tab w:val="left" w:pos="-108"/>
                <w:tab w:val="decimal" w:pos="1212"/>
              </w:tabs>
              <w:jc w:val="right"/>
              <w:rPr>
                <w:szCs w:val="22"/>
              </w:rPr>
            </w:pPr>
            <w:r w:rsidRPr="00C9168A">
              <w:rPr>
                <w:szCs w:val="22"/>
              </w:rPr>
              <w:tab/>
              <w:t>(</w:t>
            </w:r>
            <w:r>
              <w:rPr>
                <w:szCs w:val="22"/>
              </w:rPr>
              <w:t>100,210</w:t>
            </w:r>
            <w:r w:rsidRPr="00C9168A">
              <w:rPr>
                <w:szCs w:val="22"/>
              </w:rPr>
              <w:t>)</w:t>
            </w:r>
          </w:p>
        </w:tc>
        <w:tc>
          <w:tcPr>
            <w:tcW w:w="1559" w:type="dxa"/>
            <w:vAlign w:val="bottom"/>
          </w:tcPr>
          <w:p w14:paraId="20B37487" w14:textId="77777777" w:rsidR="00554459" w:rsidRPr="00C9168A" w:rsidRDefault="00554459" w:rsidP="00495559">
            <w:pPr>
              <w:pStyle w:val="Style1"/>
              <w:tabs>
                <w:tab w:val="left" w:pos="-108"/>
                <w:tab w:val="decimal" w:pos="1212"/>
              </w:tabs>
              <w:jc w:val="right"/>
              <w:rPr>
                <w:szCs w:val="22"/>
              </w:rPr>
            </w:pPr>
            <w:r w:rsidRPr="00C9168A">
              <w:rPr>
                <w:szCs w:val="22"/>
              </w:rPr>
              <w:tab/>
              <w:t>(</w:t>
            </w:r>
            <w:r>
              <w:rPr>
                <w:szCs w:val="22"/>
              </w:rPr>
              <w:t>164,401</w:t>
            </w:r>
            <w:r w:rsidRPr="00C9168A">
              <w:rPr>
                <w:szCs w:val="22"/>
              </w:rPr>
              <w:t>)</w:t>
            </w:r>
          </w:p>
        </w:tc>
      </w:tr>
      <w:tr w:rsidR="00554459" w:rsidRPr="00C9168A" w14:paraId="312E0672" w14:textId="77777777" w:rsidTr="00495559">
        <w:tc>
          <w:tcPr>
            <w:tcW w:w="6164" w:type="dxa"/>
          </w:tcPr>
          <w:p w14:paraId="14420CF3" w14:textId="77777777" w:rsidR="00554459" w:rsidRPr="00C9168A" w:rsidRDefault="00554459" w:rsidP="00495559">
            <w:pPr>
              <w:jc w:val="both"/>
              <w:rPr>
                <w:sz w:val="22"/>
                <w:szCs w:val="22"/>
              </w:rPr>
            </w:pPr>
          </w:p>
        </w:tc>
        <w:tc>
          <w:tcPr>
            <w:tcW w:w="1559" w:type="dxa"/>
            <w:vAlign w:val="bottom"/>
          </w:tcPr>
          <w:p w14:paraId="44F784B1" w14:textId="77777777" w:rsidR="00554459" w:rsidRPr="00C9168A" w:rsidRDefault="00554459" w:rsidP="00495559">
            <w:pPr>
              <w:tabs>
                <w:tab w:val="left" w:pos="-108"/>
                <w:tab w:val="decimal" w:pos="1212"/>
              </w:tabs>
              <w:jc w:val="right"/>
              <w:rPr>
                <w:sz w:val="22"/>
                <w:szCs w:val="22"/>
                <w:u w:val="single"/>
              </w:rPr>
            </w:pPr>
          </w:p>
        </w:tc>
        <w:tc>
          <w:tcPr>
            <w:tcW w:w="1559" w:type="dxa"/>
            <w:vAlign w:val="bottom"/>
          </w:tcPr>
          <w:p w14:paraId="66AA5FE7" w14:textId="77777777" w:rsidR="00554459" w:rsidRPr="00C9168A" w:rsidRDefault="00554459" w:rsidP="00495559">
            <w:pPr>
              <w:tabs>
                <w:tab w:val="left" w:pos="-108"/>
                <w:tab w:val="decimal" w:pos="1212"/>
              </w:tabs>
              <w:jc w:val="right"/>
              <w:rPr>
                <w:sz w:val="22"/>
                <w:szCs w:val="22"/>
                <w:u w:val="single"/>
              </w:rPr>
            </w:pPr>
          </w:p>
        </w:tc>
      </w:tr>
      <w:tr w:rsidR="00554459" w:rsidRPr="00C9168A" w14:paraId="3A0552A5" w14:textId="77777777" w:rsidTr="00495559">
        <w:tc>
          <w:tcPr>
            <w:tcW w:w="6164" w:type="dxa"/>
          </w:tcPr>
          <w:p w14:paraId="4DBA21F9" w14:textId="77777777" w:rsidR="00554459" w:rsidRPr="00C9168A" w:rsidRDefault="00554459" w:rsidP="00495559">
            <w:pPr>
              <w:tabs>
                <w:tab w:val="left" w:pos="270"/>
              </w:tabs>
              <w:jc w:val="both"/>
              <w:rPr>
                <w:sz w:val="22"/>
                <w:szCs w:val="22"/>
              </w:rPr>
            </w:pPr>
            <w:r w:rsidRPr="00C9168A">
              <w:rPr>
                <w:sz w:val="22"/>
                <w:szCs w:val="22"/>
              </w:rPr>
              <w:tab/>
            </w:r>
            <w:r>
              <w:rPr>
                <w:sz w:val="22"/>
                <w:szCs w:val="22"/>
              </w:rPr>
              <w:t>Interest income</w:t>
            </w:r>
          </w:p>
        </w:tc>
        <w:tc>
          <w:tcPr>
            <w:tcW w:w="1559" w:type="dxa"/>
            <w:tcBorders>
              <w:bottom w:val="single" w:sz="4" w:space="0" w:color="auto"/>
            </w:tcBorders>
            <w:vAlign w:val="bottom"/>
          </w:tcPr>
          <w:p w14:paraId="78B63022" w14:textId="77777777" w:rsidR="00554459" w:rsidRPr="00C9168A" w:rsidRDefault="00554459" w:rsidP="00495559">
            <w:pPr>
              <w:tabs>
                <w:tab w:val="left" w:pos="-108"/>
                <w:tab w:val="decimal" w:pos="1212"/>
              </w:tabs>
              <w:jc w:val="right"/>
              <w:rPr>
                <w:sz w:val="22"/>
                <w:szCs w:val="22"/>
              </w:rPr>
            </w:pPr>
            <w:r w:rsidRPr="00C9168A">
              <w:rPr>
                <w:sz w:val="22"/>
                <w:szCs w:val="22"/>
              </w:rPr>
              <w:tab/>
            </w:r>
            <w:r>
              <w:rPr>
                <w:sz w:val="22"/>
                <w:szCs w:val="22"/>
              </w:rPr>
              <w:t>156</w:t>
            </w:r>
          </w:p>
        </w:tc>
        <w:tc>
          <w:tcPr>
            <w:tcW w:w="1559" w:type="dxa"/>
            <w:tcBorders>
              <w:bottom w:val="single" w:sz="4" w:space="0" w:color="auto"/>
            </w:tcBorders>
            <w:vAlign w:val="bottom"/>
          </w:tcPr>
          <w:p w14:paraId="00619106" w14:textId="77777777" w:rsidR="00554459" w:rsidRPr="00C9168A" w:rsidRDefault="00554459" w:rsidP="00495559">
            <w:pPr>
              <w:tabs>
                <w:tab w:val="left" w:pos="-108"/>
                <w:tab w:val="decimal" w:pos="1212"/>
              </w:tabs>
              <w:jc w:val="right"/>
              <w:rPr>
                <w:sz w:val="22"/>
                <w:szCs w:val="22"/>
              </w:rPr>
            </w:pPr>
            <w:r w:rsidRPr="00C9168A">
              <w:rPr>
                <w:sz w:val="22"/>
                <w:szCs w:val="22"/>
              </w:rPr>
              <w:tab/>
            </w:r>
            <w:r>
              <w:rPr>
                <w:sz w:val="22"/>
                <w:szCs w:val="22"/>
              </w:rPr>
              <w:t>9,039</w:t>
            </w:r>
          </w:p>
        </w:tc>
      </w:tr>
      <w:tr w:rsidR="00554459" w:rsidRPr="00C9168A" w14:paraId="60697BC5" w14:textId="77777777" w:rsidTr="00495559">
        <w:tc>
          <w:tcPr>
            <w:tcW w:w="6164" w:type="dxa"/>
          </w:tcPr>
          <w:p w14:paraId="79405802" w14:textId="77777777" w:rsidR="00554459" w:rsidRPr="00F33608" w:rsidRDefault="00554459" w:rsidP="00495559">
            <w:pPr>
              <w:jc w:val="both"/>
              <w:rPr>
                <w:b/>
                <w:sz w:val="22"/>
                <w:szCs w:val="22"/>
              </w:rPr>
            </w:pPr>
          </w:p>
        </w:tc>
        <w:tc>
          <w:tcPr>
            <w:tcW w:w="1559" w:type="dxa"/>
            <w:tcBorders>
              <w:top w:val="single" w:sz="4" w:space="0" w:color="auto"/>
            </w:tcBorders>
            <w:vAlign w:val="bottom"/>
          </w:tcPr>
          <w:p w14:paraId="347D4BAC" w14:textId="77777777" w:rsidR="00554459" w:rsidRPr="00C9168A" w:rsidRDefault="00554459" w:rsidP="00495559">
            <w:pPr>
              <w:pStyle w:val="dr"/>
              <w:tabs>
                <w:tab w:val="left" w:pos="-108"/>
                <w:tab w:val="decimal" w:pos="1212"/>
              </w:tabs>
              <w:jc w:val="right"/>
              <w:rPr>
                <w:szCs w:val="22"/>
              </w:rPr>
            </w:pPr>
          </w:p>
        </w:tc>
        <w:tc>
          <w:tcPr>
            <w:tcW w:w="1559" w:type="dxa"/>
            <w:tcBorders>
              <w:top w:val="single" w:sz="4" w:space="0" w:color="auto"/>
            </w:tcBorders>
            <w:vAlign w:val="bottom"/>
          </w:tcPr>
          <w:p w14:paraId="45CCE491" w14:textId="77777777" w:rsidR="00554459" w:rsidRPr="00C9168A" w:rsidRDefault="00554459" w:rsidP="00495559">
            <w:pPr>
              <w:pStyle w:val="dr"/>
              <w:tabs>
                <w:tab w:val="left" w:pos="-108"/>
                <w:tab w:val="decimal" w:pos="1212"/>
              </w:tabs>
              <w:jc w:val="right"/>
              <w:rPr>
                <w:szCs w:val="22"/>
              </w:rPr>
            </w:pPr>
          </w:p>
        </w:tc>
      </w:tr>
      <w:tr w:rsidR="00554459" w:rsidRPr="00C9168A" w14:paraId="1967F44C" w14:textId="77777777" w:rsidTr="00495559">
        <w:tc>
          <w:tcPr>
            <w:tcW w:w="6164" w:type="dxa"/>
          </w:tcPr>
          <w:p w14:paraId="49BE2063" w14:textId="77777777" w:rsidR="00554459" w:rsidRPr="00F33608" w:rsidRDefault="00554459" w:rsidP="00495559">
            <w:pPr>
              <w:jc w:val="both"/>
              <w:rPr>
                <w:b/>
                <w:sz w:val="22"/>
                <w:szCs w:val="22"/>
              </w:rPr>
            </w:pPr>
            <w:r>
              <w:rPr>
                <w:b/>
                <w:sz w:val="22"/>
                <w:szCs w:val="22"/>
              </w:rPr>
              <w:t>Net loss and comprehensive loss for the period</w:t>
            </w:r>
          </w:p>
        </w:tc>
        <w:tc>
          <w:tcPr>
            <w:tcW w:w="1559" w:type="dxa"/>
            <w:tcBorders>
              <w:bottom w:val="double" w:sz="4" w:space="0" w:color="auto"/>
            </w:tcBorders>
            <w:vAlign w:val="bottom"/>
          </w:tcPr>
          <w:p w14:paraId="1DED5E6B" w14:textId="77777777" w:rsidR="00554459" w:rsidRPr="00C9168A" w:rsidRDefault="00554459" w:rsidP="00495559">
            <w:pPr>
              <w:pStyle w:val="dr"/>
              <w:tabs>
                <w:tab w:val="left" w:pos="-108"/>
                <w:tab w:val="decimal" w:pos="1212"/>
              </w:tabs>
              <w:jc w:val="right"/>
              <w:rPr>
                <w:szCs w:val="22"/>
              </w:rPr>
            </w:pPr>
            <w:r w:rsidRPr="00C9168A">
              <w:rPr>
                <w:szCs w:val="22"/>
              </w:rPr>
              <w:t>$</w:t>
            </w:r>
            <w:r w:rsidRPr="00C9168A">
              <w:rPr>
                <w:szCs w:val="22"/>
              </w:rPr>
              <w:tab/>
              <w:t>(</w:t>
            </w:r>
            <w:r>
              <w:rPr>
                <w:szCs w:val="22"/>
              </w:rPr>
              <w:t>100,054</w:t>
            </w:r>
            <w:r w:rsidRPr="00C9168A">
              <w:rPr>
                <w:szCs w:val="22"/>
              </w:rPr>
              <w:t>)</w:t>
            </w:r>
          </w:p>
        </w:tc>
        <w:tc>
          <w:tcPr>
            <w:tcW w:w="1559" w:type="dxa"/>
            <w:tcBorders>
              <w:bottom w:val="double" w:sz="4" w:space="0" w:color="auto"/>
            </w:tcBorders>
            <w:vAlign w:val="bottom"/>
          </w:tcPr>
          <w:p w14:paraId="364BEA4A" w14:textId="77777777" w:rsidR="00554459" w:rsidRPr="00C9168A" w:rsidRDefault="00554459" w:rsidP="00495559">
            <w:pPr>
              <w:pStyle w:val="dr"/>
              <w:tabs>
                <w:tab w:val="left" w:pos="-108"/>
                <w:tab w:val="decimal" w:pos="1212"/>
              </w:tabs>
              <w:jc w:val="right"/>
              <w:rPr>
                <w:szCs w:val="22"/>
              </w:rPr>
            </w:pPr>
            <w:r w:rsidRPr="00C9168A">
              <w:rPr>
                <w:szCs w:val="22"/>
              </w:rPr>
              <w:t>$</w:t>
            </w:r>
            <w:r w:rsidRPr="00C9168A">
              <w:rPr>
                <w:szCs w:val="22"/>
              </w:rPr>
              <w:tab/>
              <w:t>(</w:t>
            </w:r>
            <w:r>
              <w:rPr>
                <w:szCs w:val="22"/>
              </w:rPr>
              <w:t>155,362</w:t>
            </w:r>
            <w:r w:rsidRPr="00C9168A">
              <w:rPr>
                <w:szCs w:val="22"/>
              </w:rPr>
              <w:t>)</w:t>
            </w:r>
          </w:p>
        </w:tc>
      </w:tr>
      <w:tr w:rsidR="00554459" w:rsidRPr="00C9168A" w14:paraId="47AB917B" w14:textId="77777777" w:rsidTr="00495559">
        <w:tc>
          <w:tcPr>
            <w:tcW w:w="6164" w:type="dxa"/>
          </w:tcPr>
          <w:p w14:paraId="4413D22A" w14:textId="77777777" w:rsidR="00554459" w:rsidRPr="00C9168A" w:rsidRDefault="00554459" w:rsidP="00495559">
            <w:pPr>
              <w:jc w:val="both"/>
              <w:rPr>
                <w:sz w:val="22"/>
                <w:szCs w:val="22"/>
              </w:rPr>
            </w:pPr>
          </w:p>
        </w:tc>
        <w:tc>
          <w:tcPr>
            <w:tcW w:w="1559" w:type="dxa"/>
            <w:tcBorders>
              <w:top w:val="double" w:sz="4" w:space="0" w:color="auto"/>
            </w:tcBorders>
            <w:vAlign w:val="bottom"/>
          </w:tcPr>
          <w:p w14:paraId="477264D5" w14:textId="77777777" w:rsidR="00554459" w:rsidRPr="00C9168A" w:rsidRDefault="00554459" w:rsidP="00495559">
            <w:pPr>
              <w:pStyle w:val="Style1"/>
              <w:tabs>
                <w:tab w:val="left" w:pos="-108"/>
                <w:tab w:val="decimal" w:pos="1422"/>
              </w:tabs>
              <w:jc w:val="right"/>
              <w:rPr>
                <w:szCs w:val="22"/>
              </w:rPr>
            </w:pPr>
          </w:p>
        </w:tc>
        <w:tc>
          <w:tcPr>
            <w:tcW w:w="1559" w:type="dxa"/>
            <w:tcBorders>
              <w:top w:val="double" w:sz="4" w:space="0" w:color="auto"/>
            </w:tcBorders>
            <w:vAlign w:val="bottom"/>
          </w:tcPr>
          <w:p w14:paraId="0A93157A" w14:textId="77777777" w:rsidR="00554459" w:rsidRPr="00C9168A" w:rsidRDefault="00554459" w:rsidP="00495559">
            <w:pPr>
              <w:pStyle w:val="Style1"/>
              <w:tabs>
                <w:tab w:val="left" w:pos="-108"/>
                <w:tab w:val="decimal" w:pos="1422"/>
              </w:tabs>
              <w:jc w:val="right"/>
              <w:rPr>
                <w:szCs w:val="22"/>
              </w:rPr>
            </w:pPr>
          </w:p>
        </w:tc>
      </w:tr>
      <w:tr w:rsidR="00554459" w:rsidRPr="00C9168A" w14:paraId="66265C86" w14:textId="77777777" w:rsidTr="00495559">
        <w:tc>
          <w:tcPr>
            <w:tcW w:w="6164" w:type="dxa"/>
          </w:tcPr>
          <w:p w14:paraId="1BF90350" w14:textId="77777777" w:rsidR="00554459" w:rsidRPr="00C9168A" w:rsidRDefault="00554459" w:rsidP="00495559">
            <w:pPr>
              <w:pStyle w:val="Style1"/>
              <w:rPr>
                <w:szCs w:val="22"/>
              </w:rPr>
            </w:pPr>
            <w:r>
              <w:rPr>
                <w:szCs w:val="22"/>
              </w:rPr>
              <w:t>L</w:t>
            </w:r>
            <w:r w:rsidRPr="00C9168A">
              <w:rPr>
                <w:szCs w:val="22"/>
              </w:rPr>
              <w:t>oss per share</w:t>
            </w:r>
            <w:r>
              <w:rPr>
                <w:szCs w:val="22"/>
              </w:rPr>
              <w:t xml:space="preserve"> – basic and diluted – Note 10</w:t>
            </w:r>
          </w:p>
        </w:tc>
        <w:tc>
          <w:tcPr>
            <w:tcW w:w="1559" w:type="dxa"/>
            <w:tcBorders>
              <w:bottom w:val="double" w:sz="4" w:space="0" w:color="auto"/>
            </w:tcBorders>
            <w:vAlign w:val="bottom"/>
          </w:tcPr>
          <w:p w14:paraId="3B00CF8E" w14:textId="77777777" w:rsidR="00554459" w:rsidRPr="00C9168A" w:rsidRDefault="00554459" w:rsidP="00495559">
            <w:pPr>
              <w:pStyle w:val="Style1"/>
              <w:tabs>
                <w:tab w:val="left" w:pos="-108"/>
                <w:tab w:val="decimal" w:pos="942"/>
              </w:tabs>
              <w:jc w:val="right"/>
              <w:rPr>
                <w:szCs w:val="22"/>
              </w:rPr>
            </w:pPr>
            <w:r w:rsidRPr="00C9168A">
              <w:rPr>
                <w:szCs w:val="22"/>
              </w:rPr>
              <w:t>$</w:t>
            </w:r>
            <w:r w:rsidRPr="00C9168A">
              <w:rPr>
                <w:szCs w:val="22"/>
              </w:rPr>
              <w:tab/>
              <w:t>(</w:t>
            </w:r>
            <w:r>
              <w:rPr>
                <w:szCs w:val="22"/>
              </w:rPr>
              <w:t>0.00</w:t>
            </w:r>
            <w:r w:rsidRPr="00C9168A">
              <w:rPr>
                <w:szCs w:val="22"/>
              </w:rPr>
              <w:t>)</w:t>
            </w:r>
          </w:p>
        </w:tc>
        <w:tc>
          <w:tcPr>
            <w:tcW w:w="1559" w:type="dxa"/>
            <w:tcBorders>
              <w:bottom w:val="double" w:sz="4" w:space="0" w:color="auto"/>
            </w:tcBorders>
            <w:vAlign w:val="bottom"/>
          </w:tcPr>
          <w:p w14:paraId="29275CF8" w14:textId="77777777" w:rsidR="00554459" w:rsidRPr="00C9168A" w:rsidRDefault="00554459" w:rsidP="00495559">
            <w:pPr>
              <w:pStyle w:val="Style1"/>
              <w:tabs>
                <w:tab w:val="left" w:pos="-108"/>
                <w:tab w:val="decimal" w:pos="942"/>
              </w:tabs>
              <w:jc w:val="right"/>
              <w:rPr>
                <w:szCs w:val="22"/>
              </w:rPr>
            </w:pPr>
            <w:r w:rsidRPr="00C9168A">
              <w:rPr>
                <w:szCs w:val="22"/>
              </w:rPr>
              <w:t>$</w:t>
            </w:r>
            <w:r w:rsidRPr="00C9168A">
              <w:rPr>
                <w:szCs w:val="22"/>
              </w:rPr>
              <w:tab/>
              <w:t>(</w:t>
            </w:r>
            <w:r>
              <w:rPr>
                <w:szCs w:val="22"/>
              </w:rPr>
              <w:t>0.00</w:t>
            </w:r>
            <w:r w:rsidRPr="00C9168A">
              <w:rPr>
                <w:szCs w:val="22"/>
              </w:rPr>
              <w:t>)</w:t>
            </w:r>
          </w:p>
        </w:tc>
      </w:tr>
      <w:tr w:rsidR="00554459" w:rsidRPr="00C9168A" w14:paraId="2564F540" w14:textId="77777777" w:rsidTr="00495559">
        <w:tc>
          <w:tcPr>
            <w:tcW w:w="6164" w:type="dxa"/>
          </w:tcPr>
          <w:p w14:paraId="68B876FD" w14:textId="77777777" w:rsidR="00554459" w:rsidRPr="00C9168A" w:rsidRDefault="00554459" w:rsidP="00495559">
            <w:pPr>
              <w:jc w:val="both"/>
              <w:rPr>
                <w:sz w:val="22"/>
                <w:szCs w:val="22"/>
              </w:rPr>
            </w:pPr>
          </w:p>
        </w:tc>
        <w:tc>
          <w:tcPr>
            <w:tcW w:w="1559" w:type="dxa"/>
            <w:tcBorders>
              <w:top w:val="double" w:sz="4" w:space="0" w:color="auto"/>
            </w:tcBorders>
            <w:vAlign w:val="bottom"/>
          </w:tcPr>
          <w:p w14:paraId="07B9C0D9" w14:textId="77777777" w:rsidR="00554459" w:rsidRPr="00C9168A" w:rsidRDefault="00554459" w:rsidP="00495559">
            <w:pPr>
              <w:tabs>
                <w:tab w:val="left" w:pos="-108"/>
                <w:tab w:val="decimal" w:pos="1422"/>
              </w:tabs>
              <w:jc w:val="right"/>
              <w:rPr>
                <w:sz w:val="22"/>
                <w:szCs w:val="22"/>
                <w:u w:val="double"/>
              </w:rPr>
            </w:pPr>
          </w:p>
        </w:tc>
        <w:tc>
          <w:tcPr>
            <w:tcW w:w="1559" w:type="dxa"/>
            <w:tcBorders>
              <w:top w:val="double" w:sz="4" w:space="0" w:color="auto"/>
            </w:tcBorders>
            <w:vAlign w:val="bottom"/>
          </w:tcPr>
          <w:p w14:paraId="7C27FEC0" w14:textId="77777777" w:rsidR="00554459" w:rsidRPr="00C9168A" w:rsidRDefault="00554459" w:rsidP="00495559">
            <w:pPr>
              <w:tabs>
                <w:tab w:val="left" w:pos="-108"/>
                <w:tab w:val="decimal" w:pos="1422"/>
              </w:tabs>
              <w:jc w:val="right"/>
              <w:rPr>
                <w:sz w:val="22"/>
                <w:szCs w:val="22"/>
                <w:u w:val="double"/>
              </w:rPr>
            </w:pPr>
          </w:p>
        </w:tc>
      </w:tr>
      <w:tr w:rsidR="00554459" w:rsidRPr="00C9168A" w14:paraId="4FC3542B" w14:textId="77777777" w:rsidTr="00495559">
        <w:tc>
          <w:tcPr>
            <w:tcW w:w="6164" w:type="dxa"/>
          </w:tcPr>
          <w:p w14:paraId="2D216880" w14:textId="77777777" w:rsidR="00554459" w:rsidRPr="00C9168A" w:rsidRDefault="00554459" w:rsidP="00495559">
            <w:pPr>
              <w:pStyle w:val="dr"/>
              <w:rPr>
                <w:szCs w:val="22"/>
              </w:rPr>
            </w:pPr>
            <w:r w:rsidRPr="00C9168A">
              <w:rPr>
                <w:szCs w:val="22"/>
              </w:rPr>
              <w:t>Weighted average number of shares outstanding</w:t>
            </w:r>
            <w:r>
              <w:rPr>
                <w:szCs w:val="22"/>
              </w:rPr>
              <w:t xml:space="preserve"> – basic and diluted – Note 10</w:t>
            </w:r>
          </w:p>
        </w:tc>
        <w:tc>
          <w:tcPr>
            <w:tcW w:w="1559" w:type="dxa"/>
            <w:tcBorders>
              <w:bottom w:val="double" w:sz="4" w:space="0" w:color="auto"/>
            </w:tcBorders>
            <w:vAlign w:val="bottom"/>
          </w:tcPr>
          <w:p w14:paraId="75B2BE94" w14:textId="77777777" w:rsidR="00554459" w:rsidRPr="00C9168A" w:rsidRDefault="00554459" w:rsidP="00495559">
            <w:pPr>
              <w:tabs>
                <w:tab w:val="left" w:pos="-108"/>
                <w:tab w:val="left" w:pos="0"/>
                <w:tab w:val="decimal" w:pos="1212"/>
              </w:tabs>
              <w:jc w:val="right"/>
              <w:rPr>
                <w:sz w:val="22"/>
                <w:szCs w:val="22"/>
              </w:rPr>
            </w:pPr>
            <w:r w:rsidRPr="00C9168A">
              <w:rPr>
                <w:sz w:val="22"/>
                <w:szCs w:val="22"/>
              </w:rPr>
              <w:tab/>
            </w:r>
            <w:r>
              <w:rPr>
                <w:sz w:val="22"/>
                <w:szCs w:val="22"/>
              </w:rPr>
              <w:t>78,646,890</w:t>
            </w:r>
          </w:p>
        </w:tc>
        <w:tc>
          <w:tcPr>
            <w:tcW w:w="1559" w:type="dxa"/>
            <w:tcBorders>
              <w:bottom w:val="double" w:sz="4" w:space="0" w:color="auto"/>
            </w:tcBorders>
            <w:vAlign w:val="bottom"/>
          </w:tcPr>
          <w:p w14:paraId="654629ED" w14:textId="77777777" w:rsidR="00554459" w:rsidRPr="00C9168A" w:rsidRDefault="00554459" w:rsidP="00495559">
            <w:pPr>
              <w:tabs>
                <w:tab w:val="left" w:pos="-108"/>
                <w:tab w:val="left" w:pos="0"/>
                <w:tab w:val="decimal" w:pos="1212"/>
              </w:tabs>
              <w:jc w:val="right"/>
              <w:rPr>
                <w:sz w:val="22"/>
                <w:szCs w:val="22"/>
              </w:rPr>
            </w:pPr>
            <w:r w:rsidRPr="00C9168A">
              <w:rPr>
                <w:sz w:val="22"/>
                <w:szCs w:val="22"/>
              </w:rPr>
              <w:tab/>
            </w:r>
            <w:r>
              <w:rPr>
                <w:sz w:val="22"/>
                <w:szCs w:val="22"/>
              </w:rPr>
              <w:t>78,646,890</w:t>
            </w:r>
          </w:p>
        </w:tc>
      </w:tr>
      <w:tr w:rsidR="00554459" w:rsidRPr="00C9168A" w14:paraId="192E0382" w14:textId="77777777" w:rsidTr="00495559">
        <w:tc>
          <w:tcPr>
            <w:tcW w:w="6164" w:type="dxa"/>
          </w:tcPr>
          <w:p w14:paraId="1380E51E" w14:textId="77777777" w:rsidR="00554459" w:rsidRPr="00C9168A" w:rsidRDefault="00554459" w:rsidP="00495559">
            <w:pPr>
              <w:pStyle w:val="dr"/>
              <w:rPr>
                <w:szCs w:val="22"/>
              </w:rPr>
            </w:pPr>
          </w:p>
        </w:tc>
        <w:tc>
          <w:tcPr>
            <w:tcW w:w="1559" w:type="dxa"/>
            <w:tcBorders>
              <w:top w:val="double" w:sz="4" w:space="0" w:color="auto"/>
            </w:tcBorders>
          </w:tcPr>
          <w:p w14:paraId="52E26E2A" w14:textId="77777777" w:rsidR="00554459" w:rsidRPr="00C9168A" w:rsidRDefault="00554459" w:rsidP="00495559">
            <w:pPr>
              <w:tabs>
                <w:tab w:val="left" w:pos="-108"/>
                <w:tab w:val="left" w:pos="0"/>
                <w:tab w:val="decimal" w:pos="1422"/>
              </w:tabs>
              <w:rPr>
                <w:sz w:val="22"/>
                <w:szCs w:val="22"/>
                <w:u w:val="double"/>
              </w:rPr>
            </w:pPr>
          </w:p>
        </w:tc>
        <w:tc>
          <w:tcPr>
            <w:tcW w:w="1559" w:type="dxa"/>
            <w:tcBorders>
              <w:top w:val="double" w:sz="4" w:space="0" w:color="auto"/>
            </w:tcBorders>
          </w:tcPr>
          <w:p w14:paraId="53A918EC" w14:textId="77777777" w:rsidR="00554459" w:rsidRPr="00C9168A" w:rsidRDefault="00554459" w:rsidP="00495559">
            <w:pPr>
              <w:tabs>
                <w:tab w:val="left" w:pos="-108"/>
                <w:tab w:val="left" w:pos="0"/>
                <w:tab w:val="decimal" w:pos="1422"/>
              </w:tabs>
              <w:rPr>
                <w:sz w:val="22"/>
                <w:szCs w:val="22"/>
                <w:u w:val="double"/>
              </w:rPr>
            </w:pPr>
          </w:p>
        </w:tc>
      </w:tr>
    </w:tbl>
    <w:p w14:paraId="154949AD" w14:textId="77777777" w:rsidR="00554459" w:rsidRPr="00C9168A" w:rsidRDefault="00554459" w:rsidP="00554459">
      <w:pPr>
        <w:rPr>
          <w:sz w:val="22"/>
          <w:u w:val="single"/>
        </w:rPr>
      </w:pPr>
    </w:p>
    <w:p w14:paraId="379C3536" w14:textId="77777777" w:rsidR="00554459" w:rsidRDefault="00554459" w:rsidP="00554459">
      <w:pPr>
        <w:jc w:val="both"/>
        <w:rPr>
          <w:b/>
          <w:sz w:val="22"/>
        </w:rPr>
      </w:pPr>
    </w:p>
    <w:p w14:paraId="7EB21767" w14:textId="77777777" w:rsidR="00554459" w:rsidRDefault="00554459" w:rsidP="00554459">
      <w:pPr>
        <w:jc w:val="center"/>
        <w:rPr>
          <w:b/>
          <w:sz w:val="22"/>
        </w:rPr>
      </w:pPr>
      <w:r>
        <w:rPr>
          <w:b/>
          <w:sz w:val="22"/>
        </w:rPr>
        <w:br w:type="page"/>
      </w:r>
      <w:r>
        <w:rPr>
          <w:b/>
          <w:sz w:val="22"/>
        </w:rPr>
        <w:lastRenderedPageBreak/>
        <w:t xml:space="preserve">CRUZ COBALT CORP. </w:t>
      </w:r>
    </w:p>
    <w:p w14:paraId="1138D2DE" w14:textId="77777777" w:rsidR="00554459" w:rsidRPr="006D3CF2" w:rsidRDefault="00554459" w:rsidP="00554459">
      <w:pPr>
        <w:jc w:val="center"/>
        <w:rPr>
          <w:sz w:val="22"/>
        </w:rPr>
      </w:pPr>
      <w:r>
        <w:rPr>
          <w:sz w:val="22"/>
        </w:rPr>
        <w:t>CONDENSED CONSOLIDATED INTERIM</w:t>
      </w:r>
      <w:r w:rsidRPr="006D3CF2">
        <w:rPr>
          <w:sz w:val="22"/>
        </w:rPr>
        <w:t xml:space="preserve"> STATEMENTS OF CASH FLOWS</w:t>
      </w:r>
    </w:p>
    <w:p w14:paraId="4BFE3948" w14:textId="77777777" w:rsidR="00554459" w:rsidRPr="00C9168A" w:rsidRDefault="00554459" w:rsidP="00554459">
      <w:pPr>
        <w:jc w:val="center"/>
        <w:rPr>
          <w:sz w:val="22"/>
        </w:rPr>
      </w:pPr>
      <w:r w:rsidRPr="006D3CF2">
        <w:rPr>
          <w:sz w:val="22"/>
        </w:rPr>
        <w:t>(Expressed in Canadian Dollars)</w:t>
      </w:r>
    </w:p>
    <w:p w14:paraId="72E8668E" w14:textId="77777777" w:rsidR="00554459" w:rsidRPr="00C9168A" w:rsidRDefault="00554459" w:rsidP="00554459">
      <w:pPr>
        <w:jc w:val="center"/>
        <w:rPr>
          <w:sz w:val="22"/>
          <w:u w:val="single"/>
        </w:rPr>
      </w:pPr>
    </w:p>
    <w:tbl>
      <w:tblPr>
        <w:tblW w:w="8904" w:type="dxa"/>
        <w:tblInd w:w="-432" w:type="dxa"/>
        <w:tblLayout w:type="fixed"/>
        <w:tblLook w:val="0000" w:firstRow="0" w:lastRow="0" w:firstColumn="0" w:lastColumn="0" w:noHBand="0" w:noVBand="0"/>
      </w:tblPr>
      <w:tblGrid>
        <w:gridCol w:w="5785"/>
        <w:gridCol w:w="1559"/>
        <w:gridCol w:w="1548"/>
        <w:gridCol w:w="12"/>
      </w:tblGrid>
      <w:tr w:rsidR="00554459" w:rsidRPr="00B7799B" w14:paraId="3D62C527" w14:textId="77777777" w:rsidTr="00495559">
        <w:trPr>
          <w:gridAfter w:val="1"/>
          <w:wAfter w:w="12" w:type="dxa"/>
        </w:trPr>
        <w:tc>
          <w:tcPr>
            <w:tcW w:w="5785" w:type="dxa"/>
          </w:tcPr>
          <w:p w14:paraId="58B348E6" w14:textId="77777777" w:rsidR="00554459" w:rsidRPr="00C9168A" w:rsidRDefault="00554459" w:rsidP="00495559">
            <w:pPr>
              <w:jc w:val="both"/>
              <w:rPr>
                <w:u w:val="single"/>
              </w:rPr>
            </w:pPr>
          </w:p>
        </w:tc>
        <w:tc>
          <w:tcPr>
            <w:tcW w:w="3107" w:type="dxa"/>
            <w:gridSpan w:val="2"/>
          </w:tcPr>
          <w:p w14:paraId="71008E5F" w14:textId="77777777" w:rsidR="00554459" w:rsidRPr="00B7799B" w:rsidRDefault="00554459" w:rsidP="00495559">
            <w:pPr>
              <w:jc w:val="right"/>
              <w:rPr>
                <w:sz w:val="22"/>
                <w:szCs w:val="22"/>
              </w:rPr>
            </w:pPr>
            <w:r>
              <w:rPr>
                <w:sz w:val="22"/>
                <w:szCs w:val="22"/>
              </w:rPr>
              <w:t>Thr</w:t>
            </w:r>
            <w:r w:rsidRPr="00B7799B">
              <w:rPr>
                <w:sz w:val="22"/>
                <w:szCs w:val="22"/>
              </w:rPr>
              <w:t>e</w:t>
            </w:r>
            <w:r>
              <w:rPr>
                <w:sz w:val="22"/>
                <w:szCs w:val="22"/>
              </w:rPr>
              <w:t>e month</w:t>
            </w:r>
            <w:r w:rsidRPr="00B7799B">
              <w:rPr>
                <w:sz w:val="22"/>
                <w:szCs w:val="22"/>
              </w:rPr>
              <w:t>s ended</w:t>
            </w:r>
            <w:r>
              <w:rPr>
                <w:sz w:val="22"/>
                <w:szCs w:val="22"/>
              </w:rPr>
              <w:t xml:space="preserve"> October</w:t>
            </w:r>
            <w:r w:rsidRPr="00B7799B">
              <w:rPr>
                <w:sz w:val="22"/>
                <w:szCs w:val="22"/>
              </w:rPr>
              <w:t xml:space="preserve"> 31,</w:t>
            </w:r>
          </w:p>
        </w:tc>
      </w:tr>
      <w:tr w:rsidR="00554459" w:rsidRPr="00680469" w14:paraId="320A51B8" w14:textId="77777777" w:rsidTr="00495559">
        <w:tc>
          <w:tcPr>
            <w:tcW w:w="5785" w:type="dxa"/>
          </w:tcPr>
          <w:p w14:paraId="11323FB7" w14:textId="77777777" w:rsidR="00554459" w:rsidRPr="00C9168A" w:rsidRDefault="00554459" w:rsidP="00495559">
            <w:pPr>
              <w:jc w:val="both"/>
              <w:rPr>
                <w:u w:val="single"/>
              </w:rPr>
            </w:pPr>
          </w:p>
        </w:tc>
        <w:tc>
          <w:tcPr>
            <w:tcW w:w="1559" w:type="dxa"/>
          </w:tcPr>
          <w:p w14:paraId="4FC2FB17" w14:textId="77777777" w:rsidR="00554459" w:rsidRPr="00B7799B" w:rsidRDefault="00554459" w:rsidP="00495559">
            <w:pPr>
              <w:jc w:val="right"/>
              <w:rPr>
                <w:sz w:val="22"/>
                <w:szCs w:val="22"/>
                <w:u w:val="single"/>
              </w:rPr>
            </w:pPr>
            <w:r w:rsidRPr="00B7799B">
              <w:rPr>
                <w:sz w:val="22"/>
                <w:szCs w:val="22"/>
                <w:u w:val="single"/>
              </w:rPr>
              <w:t>201</w:t>
            </w:r>
            <w:r>
              <w:rPr>
                <w:sz w:val="22"/>
                <w:szCs w:val="22"/>
                <w:u w:val="single"/>
              </w:rPr>
              <w:t>9</w:t>
            </w:r>
          </w:p>
        </w:tc>
        <w:tc>
          <w:tcPr>
            <w:tcW w:w="1560" w:type="dxa"/>
            <w:gridSpan w:val="2"/>
          </w:tcPr>
          <w:p w14:paraId="06277042" w14:textId="77777777" w:rsidR="00554459" w:rsidRPr="00B7799B" w:rsidRDefault="00554459" w:rsidP="00495559">
            <w:pPr>
              <w:jc w:val="right"/>
              <w:rPr>
                <w:sz w:val="22"/>
                <w:szCs w:val="22"/>
                <w:u w:val="single"/>
              </w:rPr>
            </w:pPr>
            <w:r w:rsidRPr="00B7799B">
              <w:rPr>
                <w:sz w:val="22"/>
                <w:szCs w:val="22"/>
                <w:u w:val="single"/>
              </w:rPr>
              <w:t>201</w:t>
            </w:r>
            <w:r>
              <w:rPr>
                <w:sz w:val="22"/>
                <w:szCs w:val="22"/>
                <w:u w:val="single"/>
              </w:rPr>
              <w:t>8</w:t>
            </w:r>
          </w:p>
        </w:tc>
      </w:tr>
      <w:tr w:rsidR="00554459" w:rsidRPr="00680469" w14:paraId="320B91F4" w14:textId="77777777" w:rsidTr="00495559">
        <w:tc>
          <w:tcPr>
            <w:tcW w:w="5785" w:type="dxa"/>
          </w:tcPr>
          <w:p w14:paraId="50EDCD18" w14:textId="77777777" w:rsidR="00554459" w:rsidRPr="00B61C7E" w:rsidRDefault="00554459" w:rsidP="00495559">
            <w:pPr>
              <w:jc w:val="both"/>
              <w:rPr>
                <w:sz w:val="16"/>
                <w:szCs w:val="16"/>
              </w:rPr>
            </w:pPr>
          </w:p>
        </w:tc>
        <w:tc>
          <w:tcPr>
            <w:tcW w:w="1559" w:type="dxa"/>
          </w:tcPr>
          <w:p w14:paraId="4DE1F5F9" w14:textId="77777777" w:rsidR="00554459" w:rsidRPr="00680469" w:rsidRDefault="00554459" w:rsidP="00495559">
            <w:pPr>
              <w:jc w:val="both"/>
              <w:rPr>
                <w:sz w:val="22"/>
                <w:szCs w:val="22"/>
                <w:u w:val="single"/>
              </w:rPr>
            </w:pPr>
          </w:p>
        </w:tc>
        <w:tc>
          <w:tcPr>
            <w:tcW w:w="1560" w:type="dxa"/>
            <w:gridSpan w:val="2"/>
          </w:tcPr>
          <w:p w14:paraId="70A62CA4" w14:textId="77777777" w:rsidR="00554459" w:rsidRPr="00680469" w:rsidRDefault="00554459" w:rsidP="00495559">
            <w:pPr>
              <w:jc w:val="both"/>
              <w:rPr>
                <w:sz w:val="22"/>
                <w:szCs w:val="22"/>
                <w:u w:val="single"/>
              </w:rPr>
            </w:pPr>
          </w:p>
        </w:tc>
      </w:tr>
      <w:tr w:rsidR="00554459" w:rsidRPr="00C9168A" w14:paraId="7FD69A24" w14:textId="77777777" w:rsidTr="00495559">
        <w:tc>
          <w:tcPr>
            <w:tcW w:w="5785" w:type="dxa"/>
          </w:tcPr>
          <w:p w14:paraId="00EB1995" w14:textId="77777777" w:rsidR="00554459" w:rsidRPr="002B5A2D" w:rsidRDefault="00554459" w:rsidP="00495559">
            <w:pPr>
              <w:jc w:val="both"/>
              <w:rPr>
                <w:b/>
                <w:sz w:val="22"/>
                <w:szCs w:val="22"/>
                <w:u w:val="single"/>
              </w:rPr>
            </w:pPr>
            <w:r w:rsidRPr="002B5A2D">
              <w:rPr>
                <w:b/>
                <w:sz w:val="22"/>
                <w:szCs w:val="22"/>
              </w:rPr>
              <w:t>Operating Activities</w:t>
            </w:r>
          </w:p>
        </w:tc>
        <w:tc>
          <w:tcPr>
            <w:tcW w:w="1559" w:type="dxa"/>
          </w:tcPr>
          <w:p w14:paraId="564117BC" w14:textId="77777777" w:rsidR="00554459" w:rsidRPr="002B5A2D" w:rsidRDefault="00554459" w:rsidP="00495559">
            <w:pPr>
              <w:jc w:val="both"/>
              <w:rPr>
                <w:sz w:val="22"/>
                <w:szCs w:val="22"/>
                <w:u w:val="single"/>
              </w:rPr>
            </w:pPr>
          </w:p>
        </w:tc>
        <w:tc>
          <w:tcPr>
            <w:tcW w:w="1560" w:type="dxa"/>
            <w:gridSpan w:val="2"/>
          </w:tcPr>
          <w:p w14:paraId="1A386064" w14:textId="77777777" w:rsidR="00554459" w:rsidRPr="002B5A2D" w:rsidRDefault="00554459" w:rsidP="00495559">
            <w:pPr>
              <w:jc w:val="both"/>
              <w:rPr>
                <w:sz w:val="22"/>
                <w:szCs w:val="22"/>
                <w:u w:val="single"/>
              </w:rPr>
            </w:pPr>
          </w:p>
        </w:tc>
      </w:tr>
      <w:tr w:rsidR="00554459" w:rsidRPr="00C9168A" w14:paraId="15CFB0CD" w14:textId="77777777" w:rsidTr="00495559">
        <w:tc>
          <w:tcPr>
            <w:tcW w:w="5785" w:type="dxa"/>
          </w:tcPr>
          <w:p w14:paraId="66E451A9" w14:textId="77777777" w:rsidR="00554459" w:rsidRPr="002B5A2D" w:rsidRDefault="00554459" w:rsidP="00495559">
            <w:pPr>
              <w:pStyle w:val="Style1"/>
              <w:tabs>
                <w:tab w:val="left" w:pos="270"/>
                <w:tab w:val="left" w:pos="450"/>
              </w:tabs>
              <w:rPr>
                <w:szCs w:val="22"/>
                <w:u w:val="single"/>
              </w:rPr>
            </w:pPr>
            <w:r w:rsidRPr="002B5A2D">
              <w:rPr>
                <w:szCs w:val="22"/>
              </w:rPr>
              <w:tab/>
            </w:r>
            <w:r>
              <w:rPr>
                <w:szCs w:val="22"/>
              </w:rPr>
              <w:t>Loss for the period</w:t>
            </w:r>
          </w:p>
        </w:tc>
        <w:tc>
          <w:tcPr>
            <w:tcW w:w="1559" w:type="dxa"/>
          </w:tcPr>
          <w:p w14:paraId="601DA087" w14:textId="77777777" w:rsidR="00554459" w:rsidRPr="002B5A2D" w:rsidRDefault="00554459" w:rsidP="00495559">
            <w:pPr>
              <w:pStyle w:val="Style1"/>
              <w:tabs>
                <w:tab w:val="left" w:pos="-108"/>
                <w:tab w:val="decimal" w:pos="1212"/>
              </w:tabs>
              <w:jc w:val="right"/>
              <w:rPr>
                <w:szCs w:val="22"/>
              </w:rPr>
            </w:pPr>
            <w:r w:rsidRPr="002B5A2D">
              <w:rPr>
                <w:szCs w:val="22"/>
              </w:rPr>
              <w:t>$</w:t>
            </w:r>
            <w:r w:rsidRPr="002B5A2D">
              <w:rPr>
                <w:szCs w:val="22"/>
              </w:rPr>
              <w:tab/>
              <w:t>(</w:t>
            </w:r>
            <w:r>
              <w:rPr>
                <w:szCs w:val="22"/>
              </w:rPr>
              <w:t>100,054</w:t>
            </w:r>
            <w:r w:rsidRPr="002B5A2D">
              <w:rPr>
                <w:szCs w:val="22"/>
              </w:rPr>
              <w:t>)</w:t>
            </w:r>
          </w:p>
        </w:tc>
        <w:tc>
          <w:tcPr>
            <w:tcW w:w="1560" w:type="dxa"/>
            <w:gridSpan w:val="2"/>
          </w:tcPr>
          <w:p w14:paraId="6BA4369A" w14:textId="77777777" w:rsidR="00554459" w:rsidRPr="002B5A2D" w:rsidRDefault="00554459" w:rsidP="00495559">
            <w:pPr>
              <w:pStyle w:val="Style1"/>
              <w:tabs>
                <w:tab w:val="left" w:pos="-108"/>
                <w:tab w:val="decimal" w:pos="1212"/>
              </w:tabs>
              <w:jc w:val="right"/>
              <w:rPr>
                <w:szCs w:val="22"/>
              </w:rPr>
            </w:pPr>
            <w:r w:rsidRPr="002B5A2D">
              <w:rPr>
                <w:szCs w:val="22"/>
              </w:rPr>
              <w:t>$</w:t>
            </w:r>
            <w:r w:rsidRPr="002B5A2D">
              <w:rPr>
                <w:szCs w:val="22"/>
              </w:rPr>
              <w:tab/>
              <w:t>(</w:t>
            </w:r>
            <w:r>
              <w:rPr>
                <w:szCs w:val="22"/>
              </w:rPr>
              <w:t>155,362</w:t>
            </w:r>
            <w:r w:rsidRPr="002B5A2D">
              <w:rPr>
                <w:szCs w:val="22"/>
              </w:rPr>
              <w:t>)</w:t>
            </w:r>
          </w:p>
        </w:tc>
      </w:tr>
      <w:tr w:rsidR="00554459" w:rsidRPr="00C9168A" w14:paraId="734F3547" w14:textId="77777777" w:rsidTr="00495559">
        <w:tc>
          <w:tcPr>
            <w:tcW w:w="5785" w:type="dxa"/>
          </w:tcPr>
          <w:p w14:paraId="5BBE6FE1" w14:textId="77777777" w:rsidR="00554459" w:rsidRPr="002B5A2D" w:rsidRDefault="00554459" w:rsidP="00495559">
            <w:pPr>
              <w:pStyle w:val="Style1"/>
              <w:tabs>
                <w:tab w:val="left" w:pos="270"/>
                <w:tab w:val="left" w:pos="450"/>
              </w:tabs>
              <w:rPr>
                <w:szCs w:val="22"/>
              </w:rPr>
            </w:pPr>
          </w:p>
        </w:tc>
        <w:tc>
          <w:tcPr>
            <w:tcW w:w="1559" w:type="dxa"/>
          </w:tcPr>
          <w:p w14:paraId="33D6E88D" w14:textId="77777777" w:rsidR="00554459" w:rsidRPr="002B5A2D" w:rsidRDefault="00554459" w:rsidP="00495559">
            <w:pPr>
              <w:tabs>
                <w:tab w:val="left" w:pos="-108"/>
                <w:tab w:val="decimal" w:pos="1212"/>
              </w:tabs>
              <w:jc w:val="right"/>
              <w:rPr>
                <w:sz w:val="22"/>
                <w:szCs w:val="22"/>
              </w:rPr>
            </w:pPr>
          </w:p>
        </w:tc>
        <w:tc>
          <w:tcPr>
            <w:tcW w:w="1560" w:type="dxa"/>
            <w:gridSpan w:val="2"/>
          </w:tcPr>
          <w:p w14:paraId="56A42C95" w14:textId="77777777" w:rsidR="00554459" w:rsidRPr="002B5A2D" w:rsidRDefault="00554459" w:rsidP="00495559">
            <w:pPr>
              <w:tabs>
                <w:tab w:val="left" w:pos="-108"/>
                <w:tab w:val="decimal" w:pos="1212"/>
              </w:tabs>
              <w:jc w:val="right"/>
              <w:rPr>
                <w:sz w:val="22"/>
                <w:szCs w:val="22"/>
              </w:rPr>
            </w:pPr>
          </w:p>
        </w:tc>
      </w:tr>
      <w:tr w:rsidR="00554459" w:rsidRPr="00C9168A" w14:paraId="6FFDCCC6" w14:textId="77777777" w:rsidTr="00495559">
        <w:tc>
          <w:tcPr>
            <w:tcW w:w="5785" w:type="dxa"/>
          </w:tcPr>
          <w:p w14:paraId="40BBED3D" w14:textId="77777777" w:rsidR="00554459" w:rsidRPr="002B5A2D" w:rsidRDefault="00554459" w:rsidP="00495559">
            <w:pPr>
              <w:pStyle w:val="Style1"/>
              <w:tabs>
                <w:tab w:val="left" w:pos="270"/>
                <w:tab w:val="left" w:pos="450"/>
              </w:tabs>
              <w:rPr>
                <w:szCs w:val="22"/>
                <w:u w:val="single"/>
              </w:rPr>
            </w:pPr>
            <w:r w:rsidRPr="002B5A2D">
              <w:rPr>
                <w:szCs w:val="22"/>
              </w:rPr>
              <w:tab/>
              <w:t>Changes in non-cash working capital items:</w:t>
            </w:r>
          </w:p>
        </w:tc>
        <w:tc>
          <w:tcPr>
            <w:tcW w:w="1559" w:type="dxa"/>
          </w:tcPr>
          <w:p w14:paraId="04890E29" w14:textId="77777777" w:rsidR="00554459" w:rsidRPr="002B5A2D" w:rsidRDefault="00554459" w:rsidP="00495559">
            <w:pPr>
              <w:tabs>
                <w:tab w:val="left" w:pos="-108"/>
                <w:tab w:val="decimal" w:pos="1212"/>
              </w:tabs>
              <w:jc w:val="right"/>
              <w:rPr>
                <w:sz w:val="22"/>
                <w:szCs w:val="22"/>
              </w:rPr>
            </w:pPr>
          </w:p>
        </w:tc>
        <w:tc>
          <w:tcPr>
            <w:tcW w:w="1560" w:type="dxa"/>
            <w:gridSpan w:val="2"/>
          </w:tcPr>
          <w:p w14:paraId="18F0FBEF" w14:textId="77777777" w:rsidR="00554459" w:rsidRPr="002B5A2D" w:rsidRDefault="00554459" w:rsidP="00495559">
            <w:pPr>
              <w:tabs>
                <w:tab w:val="left" w:pos="-108"/>
                <w:tab w:val="decimal" w:pos="1212"/>
              </w:tabs>
              <w:jc w:val="right"/>
              <w:rPr>
                <w:sz w:val="22"/>
                <w:szCs w:val="22"/>
              </w:rPr>
            </w:pPr>
          </w:p>
        </w:tc>
      </w:tr>
      <w:tr w:rsidR="00554459" w:rsidRPr="00C9168A" w14:paraId="13E568AD" w14:textId="77777777" w:rsidTr="00495559">
        <w:tc>
          <w:tcPr>
            <w:tcW w:w="5785" w:type="dxa"/>
          </w:tcPr>
          <w:p w14:paraId="76A5B6AC" w14:textId="77777777" w:rsidR="00554459" w:rsidRPr="002B5A2D" w:rsidRDefault="00554459" w:rsidP="00495559">
            <w:pPr>
              <w:tabs>
                <w:tab w:val="left" w:pos="270"/>
                <w:tab w:val="left" w:pos="450"/>
              </w:tabs>
              <w:jc w:val="both"/>
              <w:rPr>
                <w:sz w:val="22"/>
                <w:szCs w:val="22"/>
              </w:rPr>
            </w:pPr>
            <w:r w:rsidRPr="002B5A2D">
              <w:rPr>
                <w:sz w:val="22"/>
                <w:szCs w:val="22"/>
              </w:rPr>
              <w:tab/>
            </w:r>
            <w:r w:rsidRPr="002B5A2D">
              <w:rPr>
                <w:sz w:val="22"/>
                <w:szCs w:val="22"/>
              </w:rPr>
              <w:tab/>
              <w:t>Receivables</w:t>
            </w:r>
          </w:p>
        </w:tc>
        <w:tc>
          <w:tcPr>
            <w:tcW w:w="1559" w:type="dxa"/>
          </w:tcPr>
          <w:p w14:paraId="4E5DD04E" w14:textId="77777777" w:rsidR="00554459" w:rsidRPr="002B5A2D" w:rsidRDefault="00554459" w:rsidP="00495559">
            <w:pPr>
              <w:tabs>
                <w:tab w:val="left" w:pos="-108"/>
                <w:tab w:val="decimal" w:pos="1212"/>
              </w:tabs>
              <w:jc w:val="right"/>
              <w:rPr>
                <w:sz w:val="22"/>
                <w:szCs w:val="22"/>
              </w:rPr>
            </w:pPr>
            <w:r w:rsidRPr="002B5A2D">
              <w:rPr>
                <w:sz w:val="22"/>
                <w:szCs w:val="22"/>
              </w:rPr>
              <w:tab/>
            </w:r>
            <w:r>
              <w:rPr>
                <w:sz w:val="22"/>
                <w:szCs w:val="22"/>
              </w:rPr>
              <w:t>13,960</w:t>
            </w:r>
          </w:p>
        </w:tc>
        <w:tc>
          <w:tcPr>
            <w:tcW w:w="1560" w:type="dxa"/>
            <w:gridSpan w:val="2"/>
          </w:tcPr>
          <w:p w14:paraId="000D28DD" w14:textId="77777777" w:rsidR="00554459" w:rsidRPr="002B5A2D" w:rsidRDefault="00554459" w:rsidP="00495559">
            <w:pPr>
              <w:tabs>
                <w:tab w:val="left" w:pos="-108"/>
                <w:tab w:val="decimal" w:pos="1212"/>
              </w:tabs>
              <w:jc w:val="right"/>
              <w:rPr>
                <w:sz w:val="22"/>
                <w:szCs w:val="22"/>
              </w:rPr>
            </w:pPr>
            <w:r w:rsidRPr="002B5A2D">
              <w:rPr>
                <w:sz w:val="22"/>
                <w:szCs w:val="22"/>
              </w:rPr>
              <w:tab/>
            </w:r>
            <w:r>
              <w:rPr>
                <w:sz w:val="22"/>
                <w:szCs w:val="22"/>
              </w:rPr>
              <w:t>14,513</w:t>
            </w:r>
          </w:p>
        </w:tc>
      </w:tr>
      <w:tr w:rsidR="00554459" w:rsidRPr="00C9168A" w14:paraId="3037A0EF" w14:textId="77777777" w:rsidTr="00495559">
        <w:tc>
          <w:tcPr>
            <w:tcW w:w="5785" w:type="dxa"/>
          </w:tcPr>
          <w:p w14:paraId="62ED65C7" w14:textId="77777777" w:rsidR="00554459" w:rsidRPr="002B5A2D" w:rsidRDefault="00554459" w:rsidP="00495559">
            <w:pPr>
              <w:tabs>
                <w:tab w:val="left" w:pos="270"/>
                <w:tab w:val="left" w:pos="450"/>
              </w:tabs>
              <w:jc w:val="both"/>
              <w:rPr>
                <w:sz w:val="22"/>
                <w:szCs w:val="22"/>
              </w:rPr>
            </w:pPr>
            <w:r w:rsidRPr="002B5A2D">
              <w:rPr>
                <w:sz w:val="22"/>
                <w:szCs w:val="22"/>
              </w:rPr>
              <w:tab/>
            </w:r>
            <w:r w:rsidRPr="002B5A2D">
              <w:rPr>
                <w:sz w:val="22"/>
                <w:szCs w:val="22"/>
              </w:rPr>
              <w:tab/>
              <w:t>Prepaid expenses</w:t>
            </w:r>
          </w:p>
        </w:tc>
        <w:tc>
          <w:tcPr>
            <w:tcW w:w="1559" w:type="dxa"/>
          </w:tcPr>
          <w:p w14:paraId="48665BE0" w14:textId="77777777" w:rsidR="00554459" w:rsidRPr="002B5A2D" w:rsidRDefault="00554459" w:rsidP="00495559">
            <w:pPr>
              <w:pStyle w:val="Style1"/>
              <w:tabs>
                <w:tab w:val="left" w:pos="-108"/>
                <w:tab w:val="decimal" w:pos="1212"/>
              </w:tabs>
              <w:jc w:val="right"/>
              <w:rPr>
                <w:szCs w:val="22"/>
              </w:rPr>
            </w:pPr>
            <w:r w:rsidRPr="002B5A2D">
              <w:rPr>
                <w:szCs w:val="22"/>
              </w:rPr>
              <w:tab/>
            </w:r>
            <w:r>
              <w:rPr>
                <w:szCs w:val="22"/>
              </w:rPr>
              <w:t>1,046</w:t>
            </w:r>
          </w:p>
        </w:tc>
        <w:tc>
          <w:tcPr>
            <w:tcW w:w="1560" w:type="dxa"/>
            <w:gridSpan w:val="2"/>
          </w:tcPr>
          <w:p w14:paraId="19DF8D2C" w14:textId="77777777" w:rsidR="00554459" w:rsidRPr="002B5A2D" w:rsidRDefault="00554459" w:rsidP="00495559">
            <w:pPr>
              <w:pStyle w:val="Style1"/>
              <w:tabs>
                <w:tab w:val="left" w:pos="-108"/>
                <w:tab w:val="decimal" w:pos="1212"/>
              </w:tabs>
              <w:jc w:val="right"/>
              <w:rPr>
                <w:szCs w:val="22"/>
              </w:rPr>
            </w:pPr>
            <w:r w:rsidRPr="002B5A2D">
              <w:rPr>
                <w:szCs w:val="22"/>
              </w:rPr>
              <w:tab/>
            </w:r>
            <w:r>
              <w:rPr>
                <w:szCs w:val="22"/>
              </w:rPr>
              <w:t>80,838</w:t>
            </w:r>
          </w:p>
        </w:tc>
      </w:tr>
      <w:tr w:rsidR="00554459" w:rsidRPr="00C9168A" w14:paraId="04729D42" w14:textId="77777777" w:rsidTr="00495559">
        <w:tc>
          <w:tcPr>
            <w:tcW w:w="5785" w:type="dxa"/>
          </w:tcPr>
          <w:p w14:paraId="6125C365" w14:textId="77777777" w:rsidR="00554459" w:rsidRPr="002B5A2D" w:rsidRDefault="00554459" w:rsidP="00495559">
            <w:pPr>
              <w:tabs>
                <w:tab w:val="left" w:pos="270"/>
                <w:tab w:val="left" w:pos="450"/>
              </w:tabs>
              <w:jc w:val="both"/>
              <w:rPr>
                <w:sz w:val="22"/>
                <w:szCs w:val="22"/>
              </w:rPr>
            </w:pPr>
            <w:r w:rsidRPr="002B5A2D">
              <w:rPr>
                <w:sz w:val="22"/>
                <w:szCs w:val="22"/>
              </w:rPr>
              <w:tab/>
            </w:r>
            <w:r w:rsidRPr="002B5A2D">
              <w:rPr>
                <w:sz w:val="22"/>
                <w:szCs w:val="22"/>
              </w:rPr>
              <w:tab/>
              <w:t>Accounts payable and accrued liabilities</w:t>
            </w:r>
          </w:p>
        </w:tc>
        <w:tc>
          <w:tcPr>
            <w:tcW w:w="1559" w:type="dxa"/>
            <w:tcBorders>
              <w:bottom w:val="single" w:sz="4" w:space="0" w:color="auto"/>
            </w:tcBorders>
          </w:tcPr>
          <w:p w14:paraId="00C5D9FA" w14:textId="77777777" w:rsidR="00554459" w:rsidRPr="002B5A2D" w:rsidRDefault="00554459" w:rsidP="00495559">
            <w:pPr>
              <w:pStyle w:val="Style1"/>
              <w:tabs>
                <w:tab w:val="left" w:pos="-108"/>
                <w:tab w:val="decimal" w:pos="1212"/>
              </w:tabs>
              <w:jc w:val="right"/>
              <w:rPr>
                <w:szCs w:val="22"/>
              </w:rPr>
            </w:pPr>
            <w:r w:rsidRPr="002B5A2D">
              <w:rPr>
                <w:szCs w:val="22"/>
              </w:rPr>
              <w:tab/>
            </w:r>
            <w:r>
              <w:rPr>
                <w:szCs w:val="22"/>
              </w:rPr>
              <w:t>(11,310)</w:t>
            </w:r>
          </w:p>
        </w:tc>
        <w:tc>
          <w:tcPr>
            <w:tcW w:w="1560" w:type="dxa"/>
            <w:gridSpan w:val="2"/>
            <w:tcBorders>
              <w:bottom w:val="single" w:sz="4" w:space="0" w:color="auto"/>
            </w:tcBorders>
          </w:tcPr>
          <w:p w14:paraId="41480EF5" w14:textId="77777777" w:rsidR="00554459" w:rsidRPr="002B5A2D" w:rsidRDefault="00554459" w:rsidP="00495559">
            <w:pPr>
              <w:pStyle w:val="Style1"/>
              <w:tabs>
                <w:tab w:val="left" w:pos="-108"/>
                <w:tab w:val="decimal" w:pos="1212"/>
              </w:tabs>
              <w:jc w:val="right"/>
              <w:rPr>
                <w:szCs w:val="22"/>
              </w:rPr>
            </w:pPr>
            <w:r w:rsidRPr="002B5A2D">
              <w:rPr>
                <w:szCs w:val="22"/>
              </w:rPr>
              <w:tab/>
            </w:r>
            <w:r>
              <w:rPr>
                <w:szCs w:val="22"/>
              </w:rPr>
              <w:t>(7,752)</w:t>
            </w:r>
          </w:p>
        </w:tc>
      </w:tr>
      <w:tr w:rsidR="00554459" w:rsidRPr="00B61C7E" w14:paraId="123FACD6" w14:textId="77777777" w:rsidTr="00495559">
        <w:tc>
          <w:tcPr>
            <w:tcW w:w="5785" w:type="dxa"/>
          </w:tcPr>
          <w:p w14:paraId="3C079A29" w14:textId="77777777" w:rsidR="00554459" w:rsidRPr="002B5A2D" w:rsidRDefault="00554459" w:rsidP="00495559">
            <w:pPr>
              <w:jc w:val="both"/>
              <w:rPr>
                <w:sz w:val="22"/>
                <w:szCs w:val="22"/>
              </w:rPr>
            </w:pPr>
          </w:p>
        </w:tc>
        <w:tc>
          <w:tcPr>
            <w:tcW w:w="1559" w:type="dxa"/>
            <w:tcBorders>
              <w:top w:val="single" w:sz="4" w:space="0" w:color="auto"/>
            </w:tcBorders>
          </w:tcPr>
          <w:p w14:paraId="0AB1DEAE" w14:textId="77777777" w:rsidR="00554459" w:rsidRPr="002B5A2D" w:rsidRDefault="00554459" w:rsidP="00495559">
            <w:pPr>
              <w:tabs>
                <w:tab w:val="left" w:pos="-108"/>
                <w:tab w:val="decimal" w:pos="1212"/>
              </w:tabs>
              <w:jc w:val="right"/>
              <w:rPr>
                <w:sz w:val="22"/>
                <w:szCs w:val="22"/>
                <w:u w:val="single"/>
              </w:rPr>
            </w:pPr>
          </w:p>
        </w:tc>
        <w:tc>
          <w:tcPr>
            <w:tcW w:w="1560" w:type="dxa"/>
            <w:gridSpan w:val="2"/>
            <w:tcBorders>
              <w:top w:val="single" w:sz="4" w:space="0" w:color="auto"/>
            </w:tcBorders>
          </w:tcPr>
          <w:p w14:paraId="64B86D22" w14:textId="77777777" w:rsidR="00554459" w:rsidRPr="002B5A2D" w:rsidRDefault="00554459" w:rsidP="00495559">
            <w:pPr>
              <w:tabs>
                <w:tab w:val="left" w:pos="-108"/>
                <w:tab w:val="decimal" w:pos="1212"/>
              </w:tabs>
              <w:jc w:val="right"/>
              <w:rPr>
                <w:sz w:val="22"/>
                <w:szCs w:val="22"/>
                <w:u w:val="single"/>
              </w:rPr>
            </w:pPr>
          </w:p>
        </w:tc>
      </w:tr>
      <w:tr w:rsidR="00554459" w:rsidRPr="00C9168A" w14:paraId="4DEF6561" w14:textId="77777777" w:rsidTr="00495559">
        <w:tc>
          <w:tcPr>
            <w:tcW w:w="5785" w:type="dxa"/>
          </w:tcPr>
          <w:p w14:paraId="2FD64E68" w14:textId="77777777" w:rsidR="00554459" w:rsidRPr="002B5A2D" w:rsidRDefault="00554459" w:rsidP="00495559">
            <w:pPr>
              <w:jc w:val="both"/>
              <w:rPr>
                <w:b/>
                <w:sz w:val="22"/>
                <w:szCs w:val="22"/>
              </w:rPr>
            </w:pPr>
            <w:r w:rsidRPr="002B5A2D">
              <w:rPr>
                <w:b/>
                <w:sz w:val="22"/>
                <w:szCs w:val="22"/>
              </w:rPr>
              <w:t>Cash used in operating activities</w:t>
            </w:r>
          </w:p>
        </w:tc>
        <w:tc>
          <w:tcPr>
            <w:tcW w:w="1559" w:type="dxa"/>
            <w:tcBorders>
              <w:bottom w:val="single" w:sz="4" w:space="0" w:color="auto"/>
            </w:tcBorders>
          </w:tcPr>
          <w:p w14:paraId="4B8ABC41" w14:textId="77777777" w:rsidR="00554459" w:rsidRPr="002B5A2D" w:rsidRDefault="00554459" w:rsidP="00495559">
            <w:pPr>
              <w:tabs>
                <w:tab w:val="left" w:pos="-108"/>
                <w:tab w:val="decimal" w:pos="1212"/>
              </w:tabs>
              <w:jc w:val="right"/>
              <w:rPr>
                <w:sz w:val="22"/>
                <w:szCs w:val="22"/>
              </w:rPr>
            </w:pPr>
            <w:r w:rsidRPr="002B5A2D">
              <w:rPr>
                <w:sz w:val="22"/>
                <w:szCs w:val="22"/>
              </w:rPr>
              <w:tab/>
              <w:t>(</w:t>
            </w:r>
            <w:r>
              <w:rPr>
                <w:sz w:val="22"/>
                <w:szCs w:val="22"/>
              </w:rPr>
              <w:t>96,358</w:t>
            </w:r>
            <w:r w:rsidRPr="002B5A2D">
              <w:rPr>
                <w:sz w:val="22"/>
                <w:szCs w:val="22"/>
              </w:rPr>
              <w:t>)</w:t>
            </w:r>
          </w:p>
        </w:tc>
        <w:tc>
          <w:tcPr>
            <w:tcW w:w="1560" w:type="dxa"/>
            <w:gridSpan w:val="2"/>
            <w:tcBorders>
              <w:bottom w:val="single" w:sz="4" w:space="0" w:color="auto"/>
            </w:tcBorders>
          </w:tcPr>
          <w:p w14:paraId="2464E69A" w14:textId="77777777" w:rsidR="00554459" w:rsidRPr="002B5A2D" w:rsidRDefault="00554459" w:rsidP="00495559">
            <w:pPr>
              <w:tabs>
                <w:tab w:val="left" w:pos="-108"/>
                <w:tab w:val="decimal" w:pos="1212"/>
              </w:tabs>
              <w:jc w:val="right"/>
              <w:rPr>
                <w:sz w:val="22"/>
                <w:szCs w:val="22"/>
              </w:rPr>
            </w:pPr>
            <w:r w:rsidRPr="002B5A2D">
              <w:rPr>
                <w:sz w:val="22"/>
                <w:szCs w:val="22"/>
              </w:rPr>
              <w:tab/>
              <w:t>(</w:t>
            </w:r>
            <w:r>
              <w:rPr>
                <w:sz w:val="22"/>
                <w:szCs w:val="22"/>
              </w:rPr>
              <w:t>67,763</w:t>
            </w:r>
            <w:r w:rsidRPr="002B5A2D">
              <w:rPr>
                <w:sz w:val="22"/>
                <w:szCs w:val="22"/>
              </w:rPr>
              <w:t>)</w:t>
            </w:r>
          </w:p>
        </w:tc>
      </w:tr>
      <w:tr w:rsidR="00554459" w:rsidRPr="00C9168A" w14:paraId="13707136" w14:textId="77777777" w:rsidTr="00495559">
        <w:tc>
          <w:tcPr>
            <w:tcW w:w="5785" w:type="dxa"/>
          </w:tcPr>
          <w:p w14:paraId="7411265B" w14:textId="77777777" w:rsidR="00554459" w:rsidRPr="002B5A2D" w:rsidRDefault="00554459" w:rsidP="00495559">
            <w:pPr>
              <w:jc w:val="both"/>
              <w:rPr>
                <w:sz w:val="22"/>
                <w:szCs w:val="22"/>
              </w:rPr>
            </w:pPr>
          </w:p>
        </w:tc>
        <w:tc>
          <w:tcPr>
            <w:tcW w:w="1559" w:type="dxa"/>
            <w:tcBorders>
              <w:top w:val="single" w:sz="4" w:space="0" w:color="auto"/>
            </w:tcBorders>
          </w:tcPr>
          <w:p w14:paraId="50F97562" w14:textId="77777777" w:rsidR="00554459" w:rsidRPr="002B5A2D" w:rsidRDefault="00554459" w:rsidP="00495559">
            <w:pPr>
              <w:tabs>
                <w:tab w:val="left" w:pos="-108"/>
                <w:tab w:val="decimal" w:pos="1212"/>
              </w:tabs>
              <w:jc w:val="right"/>
              <w:rPr>
                <w:sz w:val="22"/>
                <w:szCs w:val="22"/>
              </w:rPr>
            </w:pPr>
          </w:p>
        </w:tc>
        <w:tc>
          <w:tcPr>
            <w:tcW w:w="1560" w:type="dxa"/>
            <w:gridSpan w:val="2"/>
            <w:tcBorders>
              <w:top w:val="single" w:sz="4" w:space="0" w:color="auto"/>
            </w:tcBorders>
          </w:tcPr>
          <w:p w14:paraId="0D19020D" w14:textId="77777777" w:rsidR="00554459" w:rsidRPr="002B5A2D" w:rsidRDefault="00554459" w:rsidP="00495559">
            <w:pPr>
              <w:tabs>
                <w:tab w:val="left" w:pos="-108"/>
                <w:tab w:val="decimal" w:pos="1212"/>
              </w:tabs>
              <w:jc w:val="right"/>
              <w:rPr>
                <w:sz w:val="22"/>
                <w:szCs w:val="22"/>
              </w:rPr>
            </w:pPr>
          </w:p>
        </w:tc>
      </w:tr>
      <w:tr w:rsidR="00554459" w:rsidRPr="00C9168A" w14:paraId="7E465618" w14:textId="77777777" w:rsidTr="00495559">
        <w:tc>
          <w:tcPr>
            <w:tcW w:w="5785" w:type="dxa"/>
          </w:tcPr>
          <w:p w14:paraId="5BB3D8D7" w14:textId="77777777" w:rsidR="00554459" w:rsidRPr="002B5A2D" w:rsidRDefault="00554459" w:rsidP="00495559">
            <w:pPr>
              <w:jc w:val="both"/>
              <w:rPr>
                <w:sz w:val="22"/>
                <w:szCs w:val="22"/>
              </w:rPr>
            </w:pPr>
            <w:r w:rsidRPr="002B5A2D">
              <w:rPr>
                <w:b/>
                <w:sz w:val="22"/>
                <w:szCs w:val="22"/>
              </w:rPr>
              <w:t>Investing Activities</w:t>
            </w:r>
          </w:p>
        </w:tc>
        <w:tc>
          <w:tcPr>
            <w:tcW w:w="1559" w:type="dxa"/>
          </w:tcPr>
          <w:p w14:paraId="1D92A11A" w14:textId="77777777" w:rsidR="00554459" w:rsidRPr="002B5A2D" w:rsidRDefault="00554459" w:rsidP="00495559">
            <w:pPr>
              <w:tabs>
                <w:tab w:val="left" w:pos="-108"/>
                <w:tab w:val="decimal" w:pos="1212"/>
              </w:tabs>
              <w:jc w:val="right"/>
              <w:rPr>
                <w:sz w:val="22"/>
                <w:szCs w:val="22"/>
              </w:rPr>
            </w:pPr>
          </w:p>
        </w:tc>
        <w:tc>
          <w:tcPr>
            <w:tcW w:w="1560" w:type="dxa"/>
            <w:gridSpan w:val="2"/>
          </w:tcPr>
          <w:p w14:paraId="1D3B12A0" w14:textId="77777777" w:rsidR="00554459" w:rsidRPr="002B5A2D" w:rsidRDefault="00554459" w:rsidP="00495559">
            <w:pPr>
              <w:tabs>
                <w:tab w:val="left" w:pos="-108"/>
                <w:tab w:val="decimal" w:pos="1212"/>
              </w:tabs>
              <w:jc w:val="right"/>
              <w:rPr>
                <w:sz w:val="22"/>
                <w:szCs w:val="22"/>
              </w:rPr>
            </w:pPr>
          </w:p>
        </w:tc>
      </w:tr>
      <w:tr w:rsidR="00554459" w:rsidRPr="00C9168A" w14:paraId="20465A5F" w14:textId="77777777" w:rsidTr="00495559">
        <w:tc>
          <w:tcPr>
            <w:tcW w:w="5785" w:type="dxa"/>
          </w:tcPr>
          <w:p w14:paraId="6B61CBFB" w14:textId="77777777" w:rsidR="00554459" w:rsidRPr="00081F8F" w:rsidRDefault="00554459" w:rsidP="00495559">
            <w:pPr>
              <w:tabs>
                <w:tab w:val="left" w:pos="284"/>
              </w:tabs>
              <w:jc w:val="both"/>
              <w:rPr>
                <w:sz w:val="22"/>
                <w:szCs w:val="22"/>
              </w:rPr>
            </w:pPr>
            <w:r w:rsidRPr="00081F8F">
              <w:rPr>
                <w:sz w:val="22"/>
                <w:szCs w:val="22"/>
              </w:rPr>
              <w:tab/>
              <w:t>Exploration and evaluation assets</w:t>
            </w:r>
          </w:p>
        </w:tc>
        <w:tc>
          <w:tcPr>
            <w:tcW w:w="1559" w:type="dxa"/>
          </w:tcPr>
          <w:p w14:paraId="21DB405D" w14:textId="77777777" w:rsidR="00554459" w:rsidRPr="007312ED" w:rsidRDefault="00554459" w:rsidP="00495559">
            <w:pPr>
              <w:tabs>
                <w:tab w:val="left" w:pos="-108"/>
                <w:tab w:val="decimal" w:pos="1212"/>
              </w:tabs>
              <w:jc w:val="right"/>
              <w:rPr>
                <w:sz w:val="22"/>
                <w:szCs w:val="22"/>
              </w:rPr>
            </w:pPr>
            <w:r w:rsidRPr="007312ED">
              <w:rPr>
                <w:sz w:val="22"/>
                <w:szCs w:val="22"/>
              </w:rPr>
              <w:tab/>
            </w:r>
            <w:r>
              <w:rPr>
                <w:sz w:val="22"/>
                <w:szCs w:val="22"/>
              </w:rPr>
              <w:t>(17,976)</w:t>
            </w:r>
          </w:p>
        </w:tc>
        <w:tc>
          <w:tcPr>
            <w:tcW w:w="1560" w:type="dxa"/>
            <w:gridSpan w:val="2"/>
          </w:tcPr>
          <w:p w14:paraId="73410414" w14:textId="77777777" w:rsidR="00554459" w:rsidRPr="007312ED" w:rsidRDefault="00554459" w:rsidP="00495559">
            <w:pPr>
              <w:tabs>
                <w:tab w:val="left" w:pos="-108"/>
                <w:tab w:val="decimal" w:pos="1212"/>
              </w:tabs>
              <w:jc w:val="right"/>
              <w:rPr>
                <w:sz w:val="22"/>
                <w:szCs w:val="22"/>
              </w:rPr>
            </w:pPr>
            <w:r w:rsidRPr="007312ED">
              <w:rPr>
                <w:sz w:val="22"/>
                <w:szCs w:val="22"/>
              </w:rPr>
              <w:tab/>
            </w:r>
            <w:r>
              <w:rPr>
                <w:sz w:val="22"/>
                <w:szCs w:val="22"/>
              </w:rPr>
              <w:t>(145,758)</w:t>
            </w:r>
          </w:p>
        </w:tc>
      </w:tr>
      <w:tr w:rsidR="00554459" w:rsidRPr="00C9168A" w14:paraId="10D4070E" w14:textId="77777777" w:rsidTr="00495559">
        <w:tc>
          <w:tcPr>
            <w:tcW w:w="5785" w:type="dxa"/>
          </w:tcPr>
          <w:p w14:paraId="46059F97" w14:textId="77777777" w:rsidR="00554459" w:rsidRPr="007312ED" w:rsidRDefault="00554459" w:rsidP="00495559">
            <w:pPr>
              <w:jc w:val="both"/>
              <w:rPr>
                <w:sz w:val="22"/>
                <w:szCs w:val="22"/>
              </w:rPr>
            </w:pPr>
          </w:p>
        </w:tc>
        <w:tc>
          <w:tcPr>
            <w:tcW w:w="1559" w:type="dxa"/>
            <w:tcBorders>
              <w:top w:val="single" w:sz="4" w:space="0" w:color="auto"/>
            </w:tcBorders>
          </w:tcPr>
          <w:p w14:paraId="60C83CB8" w14:textId="77777777" w:rsidR="00554459" w:rsidRPr="007312ED" w:rsidRDefault="00554459" w:rsidP="00495559">
            <w:pPr>
              <w:tabs>
                <w:tab w:val="left" w:pos="-108"/>
                <w:tab w:val="decimal" w:pos="1212"/>
              </w:tabs>
              <w:jc w:val="right"/>
              <w:rPr>
                <w:sz w:val="22"/>
                <w:szCs w:val="22"/>
              </w:rPr>
            </w:pPr>
          </w:p>
        </w:tc>
        <w:tc>
          <w:tcPr>
            <w:tcW w:w="1560" w:type="dxa"/>
            <w:gridSpan w:val="2"/>
            <w:tcBorders>
              <w:top w:val="single" w:sz="4" w:space="0" w:color="auto"/>
            </w:tcBorders>
          </w:tcPr>
          <w:p w14:paraId="7CCE4904" w14:textId="77777777" w:rsidR="00554459" w:rsidRPr="007312ED" w:rsidRDefault="00554459" w:rsidP="00495559">
            <w:pPr>
              <w:tabs>
                <w:tab w:val="left" w:pos="-108"/>
                <w:tab w:val="decimal" w:pos="1212"/>
              </w:tabs>
              <w:jc w:val="right"/>
              <w:rPr>
                <w:sz w:val="22"/>
                <w:szCs w:val="22"/>
              </w:rPr>
            </w:pPr>
          </w:p>
        </w:tc>
      </w:tr>
      <w:tr w:rsidR="00554459" w:rsidRPr="00C9168A" w14:paraId="76EDEC9E" w14:textId="77777777" w:rsidTr="00495559">
        <w:tc>
          <w:tcPr>
            <w:tcW w:w="5785" w:type="dxa"/>
          </w:tcPr>
          <w:p w14:paraId="311F6D71" w14:textId="77777777" w:rsidR="00554459" w:rsidRPr="002B5A2D" w:rsidRDefault="00554459" w:rsidP="00495559">
            <w:pPr>
              <w:jc w:val="both"/>
              <w:rPr>
                <w:sz w:val="22"/>
                <w:szCs w:val="22"/>
              </w:rPr>
            </w:pPr>
            <w:r w:rsidRPr="002B5A2D">
              <w:rPr>
                <w:b/>
                <w:sz w:val="22"/>
                <w:szCs w:val="22"/>
              </w:rPr>
              <w:t>Cash used in investing activities</w:t>
            </w:r>
          </w:p>
        </w:tc>
        <w:tc>
          <w:tcPr>
            <w:tcW w:w="1559" w:type="dxa"/>
          </w:tcPr>
          <w:p w14:paraId="1DB65B39" w14:textId="77777777" w:rsidR="00554459" w:rsidRPr="002B5A2D" w:rsidRDefault="00554459" w:rsidP="00495559">
            <w:pPr>
              <w:tabs>
                <w:tab w:val="left" w:pos="-108"/>
                <w:tab w:val="decimal" w:pos="1212"/>
              </w:tabs>
              <w:jc w:val="right"/>
              <w:rPr>
                <w:sz w:val="22"/>
                <w:szCs w:val="22"/>
              </w:rPr>
            </w:pPr>
            <w:r w:rsidRPr="002B5A2D">
              <w:rPr>
                <w:sz w:val="22"/>
                <w:szCs w:val="22"/>
              </w:rPr>
              <w:tab/>
            </w:r>
            <w:r>
              <w:rPr>
                <w:sz w:val="22"/>
                <w:szCs w:val="22"/>
              </w:rPr>
              <w:t>(17,976)</w:t>
            </w:r>
          </w:p>
        </w:tc>
        <w:tc>
          <w:tcPr>
            <w:tcW w:w="1560" w:type="dxa"/>
            <w:gridSpan w:val="2"/>
          </w:tcPr>
          <w:p w14:paraId="77D66502" w14:textId="77777777" w:rsidR="00554459" w:rsidRPr="002B5A2D" w:rsidRDefault="00554459" w:rsidP="00495559">
            <w:pPr>
              <w:tabs>
                <w:tab w:val="left" w:pos="-108"/>
                <w:tab w:val="decimal" w:pos="1212"/>
              </w:tabs>
              <w:jc w:val="right"/>
              <w:rPr>
                <w:sz w:val="22"/>
                <w:szCs w:val="22"/>
              </w:rPr>
            </w:pPr>
            <w:r w:rsidRPr="002B5A2D">
              <w:rPr>
                <w:sz w:val="22"/>
                <w:szCs w:val="22"/>
              </w:rPr>
              <w:tab/>
            </w:r>
            <w:r>
              <w:rPr>
                <w:sz w:val="22"/>
                <w:szCs w:val="22"/>
              </w:rPr>
              <w:t>(145,758)</w:t>
            </w:r>
          </w:p>
        </w:tc>
      </w:tr>
      <w:tr w:rsidR="00554459" w:rsidRPr="00C9168A" w14:paraId="71AF73A7" w14:textId="77777777" w:rsidTr="00495559">
        <w:tc>
          <w:tcPr>
            <w:tcW w:w="5785" w:type="dxa"/>
          </w:tcPr>
          <w:p w14:paraId="209B6302" w14:textId="77777777" w:rsidR="00554459" w:rsidRPr="002B5A2D" w:rsidRDefault="00554459" w:rsidP="00495559">
            <w:pPr>
              <w:jc w:val="both"/>
              <w:rPr>
                <w:sz w:val="22"/>
                <w:szCs w:val="22"/>
              </w:rPr>
            </w:pPr>
          </w:p>
        </w:tc>
        <w:tc>
          <w:tcPr>
            <w:tcW w:w="1559" w:type="dxa"/>
            <w:tcBorders>
              <w:top w:val="single" w:sz="4" w:space="0" w:color="auto"/>
            </w:tcBorders>
          </w:tcPr>
          <w:p w14:paraId="04321614" w14:textId="77777777" w:rsidR="00554459" w:rsidRPr="002B5A2D" w:rsidRDefault="00554459" w:rsidP="00495559">
            <w:pPr>
              <w:tabs>
                <w:tab w:val="left" w:pos="-108"/>
                <w:tab w:val="decimal" w:pos="1212"/>
              </w:tabs>
              <w:jc w:val="right"/>
              <w:rPr>
                <w:sz w:val="22"/>
                <w:szCs w:val="22"/>
              </w:rPr>
            </w:pPr>
          </w:p>
        </w:tc>
        <w:tc>
          <w:tcPr>
            <w:tcW w:w="1560" w:type="dxa"/>
            <w:gridSpan w:val="2"/>
            <w:tcBorders>
              <w:top w:val="single" w:sz="4" w:space="0" w:color="auto"/>
            </w:tcBorders>
          </w:tcPr>
          <w:p w14:paraId="1085A249" w14:textId="77777777" w:rsidR="00554459" w:rsidRPr="002B5A2D" w:rsidRDefault="00554459" w:rsidP="00495559">
            <w:pPr>
              <w:tabs>
                <w:tab w:val="left" w:pos="-108"/>
                <w:tab w:val="decimal" w:pos="1212"/>
              </w:tabs>
              <w:jc w:val="right"/>
              <w:rPr>
                <w:sz w:val="22"/>
                <w:szCs w:val="22"/>
              </w:rPr>
            </w:pPr>
          </w:p>
        </w:tc>
      </w:tr>
      <w:tr w:rsidR="00554459" w:rsidRPr="00C9168A" w14:paraId="20FA8BD5" w14:textId="77777777" w:rsidTr="00495559">
        <w:tc>
          <w:tcPr>
            <w:tcW w:w="5785" w:type="dxa"/>
          </w:tcPr>
          <w:p w14:paraId="72F4C327" w14:textId="77777777" w:rsidR="00554459" w:rsidRPr="002B5A2D" w:rsidRDefault="00554459" w:rsidP="00495559">
            <w:pPr>
              <w:jc w:val="both"/>
              <w:rPr>
                <w:sz w:val="22"/>
                <w:szCs w:val="22"/>
              </w:rPr>
            </w:pPr>
            <w:r>
              <w:rPr>
                <w:sz w:val="22"/>
                <w:szCs w:val="22"/>
              </w:rPr>
              <w:t>Decrease in cash</w:t>
            </w:r>
            <w:r w:rsidRPr="002B5A2D">
              <w:rPr>
                <w:sz w:val="22"/>
                <w:szCs w:val="22"/>
              </w:rPr>
              <w:t xml:space="preserve"> during the</w:t>
            </w:r>
            <w:r>
              <w:rPr>
                <w:sz w:val="22"/>
                <w:szCs w:val="22"/>
              </w:rPr>
              <w:t xml:space="preserve"> period</w:t>
            </w:r>
          </w:p>
        </w:tc>
        <w:tc>
          <w:tcPr>
            <w:tcW w:w="1559" w:type="dxa"/>
          </w:tcPr>
          <w:p w14:paraId="32EFA82E" w14:textId="77777777" w:rsidR="00554459" w:rsidRPr="002B5A2D" w:rsidRDefault="00554459" w:rsidP="00495559">
            <w:pPr>
              <w:pStyle w:val="Style1"/>
              <w:tabs>
                <w:tab w:val="left" w:pos="-108"/>
                <w:tab w:val="decimal" w:pos="1212"/>
              </w:tabs>
              <w:jc w:val="right"/>
              <w:rPr>
                <w:szCs w:val="22"/>
              </w:rPr>
            </w:pPr>
            <w:r w:rsidRPr="002B5A2D">
              <w:rPr>
                <w:szCs w:val="22"/>
              </w:rPr>
              <w:tab/>
            </w:r>
            <w:r>
              <w:rPr>
                <w:szCs w:val="22"/>
              </w:rPr>
              <w:t>(114,334)</w:t>
            </w:r>
          </w:p>
        </w:tc>
        <w:tc>
          <w:tcPr>
            <w:tcW w:w="1560" w:type="dxa"/>
            <w:gridSpan w:val="2"/>
          </w:tcPr>
          <w:p w14:paraId="2F13ADAD" w14:textId="77777777" w:rsidR="00554459" w:rsidRPr="002B5A2D" w:rsidRDefault="00554459" w:rsidP="00495559">
            <w:pPr>
              <w:pStyle w:val="Style1"/>
              <w:tabs>
                <w:tab w:val="left" w:pos="-108"/>
                <w:tab w:val="decimal" w:pos="1212"/>
              </w:tabs>
              <w:jc w:val="right"/>
              <w:rPr>
                <w:szCs w:val="22"/>
              </w:rPr>
            </w:pPr>
            <w:r w:rsidRPr="002B5A2D">
              <w:rPr>
                <w:szCs w:val="22"/>
              </w:rPr>
              <w:tab/>
            </w:r>
            <w:r>
              <w:rPr>
                <w:szCs w:val="22"/>
              </w:rPr>
              <w:t>(213,521)</w:t>
            </w:r>
          </w:p>
        </w:tc>
      </w:tr>
      <w:tr w:rsidR="00554459" w:rsidRPr="00C9168A" w14:paraId="54B18C9A" w14:textId="77777777" w:rsidTr="00495559">
        <w:tc>
          <w:tcPr>
            <w:tcW w:w="5785" w:type="dxa"/>
          </w:tcPr>
          <w:p w14:paraId="46D336E1" w14:textId="77777777" w:rsidR="00554459" w:rsidRPr="002B5A2D" w:rsidRDefault="00554459" w:rsidP="00495559">
            <w:pPr>
              <w:jc w:val="both"/>
              <w:rPr>
                <w:sz w:val="22"/>
                <w:szCs w:val="22"/>
              </w:rPr>
            </w:pPr>
          </w:p>
        </w:tc>
        <w:tc>
          <w:tcPr>
            <w:tcW w:w="1559" w:type="dxa"/>
          </w:tcPr>
          <w:p w14:paraId="2FED4109" w14:textId="77777777" w:rsidR="00554459" w:rsidRPr="002B5A2D" w:rsidRDefault="00554459" w:rsidP="00495559">
            <w:pPr>
              <w:tabs>
                <w:tab w:val="left" w:pos="-108"/>
                <w:tab w:val="decimal" w:pos="1212"/>
              </w:tabs>
              <w:jc w:val="right"/>
              <w:rPr>
                <w:sz w:val="22"/>
                <w:szCs w:val="22"/>
              </w:rPr>
            </w:pPr>
          </w:p>
        </w:tc>
        <w:tc>
          <w:tcPr>
            <w:tcW w:w="1560" w:type="dxa"/>
            <w:gridSpan w:val="2"/>
          </w:tcPr>
          <w:p w14:paraId="3BE4D44E" w14:textId="77777777" w:rsidR="00554459" w:rsidRPr="002B5A2D" w:rsidRDefault="00554459" w:rsidP="00495559">
            <w:pPr>
              <w:tabs>
                <w:tab w:val="left" w:pos="-108"/>
                <w:tab w:val="decimal" w:pos="1212"/>
              </w:tabs>
              <w:jc w:val="right"/>
              <w:rPr>
                <w:sz w:val="22"/>
                <w:szCs w:val="22"/>
              </w:rPr>
            </w:pPr>
          </w:p>
        </w:tc>
      </w:tr>
      <w:tr w:rsidR="00554459" w:rsidRPr="00C9168A" w14:paraId="3E6BD1B0" w14:textId="77777777" w:rsidTr="00495559">
        <w:tc>
          <w:tcPr>
            <w:tcW w:w="5785" w:type="dxa"/>
          </w:tcPr>
          <w:p w14:paraId="3A6BC8BC" w14:textId="77777777" w:rsidR="00554459" w:rsidRPr="002B5A2D" w:rsidRDefault="00554459" w:rsidP="00495559">
            <w:pPr>
              <w:jc w:val="both"/>
              <w:rPr>
                <w:sz w:val="22"/>
                <w:szCs w:val="22"/>
              </w:rPr>
            </w:pPr>
            <w:r w:rsidRPr="002B5A2D">
              <w:rPr>
                <w:sz w:val="22"/>
                <w:szCs w:val="22"/>
              </w:rPr>
              <w:t>Cash, beginning of the</w:t>
            </w:r>
            <w:r>
              <w:rPr>
                <w:sz w:val="22"/>
                <w:szCs w:val="22"/>
              </w:rPr>
              <w:t xml:space="preserve"> period</w:t>
            </w:r>
          </w:p>
        </w:tc>
        <w:tc>
          <w:tcPr>
            <w:tcW w:w="1559" w:type="dxa"/>
            <w:tcBorders>
              <w:bottom w:val="single" w:sz="4" w:space="0" w:color="auto"/>
            </w:tcBorders>
          </w:tcPr>
          <w:p w14:paraId="5400B780" w14:textId="77777777" w:rsidR="00554459" w:rsidRPr="002B5A2D" w:rsidRDefault="00554459" w:rsidP="00495559">
            <w:pPr>
              <w:tabs>
                <w:tab w:val="left" w:pos="-108"/>
                <w:tab w:val="decimal" w:pos="1212"/>
              </w:tabs>
              <w:jc w:val="right"/>
              <w:rPr>
                <w:sz w:val="22"/>
                <w:szCs w:val="22"/>
              </w:rPr>
            </w:pPr>
            <w:r w:rsidRPr="002B5A2D">
              <w:rPr>
                <w:sz w:val="22"/>
                <w:szCs w:val="22"/>
              </w:rPr>
              <w:tab/>
            </w:r>
            <w:r>
              <w:rPr>
                <w:sz w:val="22"/>
                <w:szCs w:val="22"/>
              </w:rPr>
              <w:t>2,062,547</w:t>
            </w:r>
          </w:p>
        </w:tc>
        <w:tc>
          <w:tcPr>
            <w:tcW w:w="1560" w:type="dxa"/>
            <w:gridSpan w:val="2"/>
            <w:tcBorders>
              <w:bottom w:val="single" w:sz="4" w:space="0" w:color="auto"/>
            </w:tcBorders>
          </w:tcPr>
          <w:p w14:paraId="3A8C9639" w14:textId="77777777" w:rsidR="00554459" w:rsidRPr="002B5A2D" w:rsidRDefault="00554459" w:rsidP="00495559">
            <w:pPr>
              <w:tabs>
                <w:tab w:val="left" w:pos="-108"/>
                <w:tab w:val="decimal" w:pos="1212"/>
              </w:tabs>
              <w:jc w:val="right"/>
              <w:rPr>
                <w:sz w:val="22"/>
                <w:szCs w:val="22"/>
              </w:rPr>
            </w:pPr>
            <w:r w:rsidRPr="002B5A2D">
              <w:rPr>
                <w:sz w:val="22"/>
                <w:szCs w:val="22"/>
              </w:rPr>
              <w:tab/>
            </w:r>
            <w:r>
              <w:rPr>
                <w:sz w:val="22"/>
                <w:szCs w:val="22"/>
              </w:rPr>
              <w:t>2,807,027</w:t>
            </w:r>
          </w:p>
        </w:tc>
      </w:tr>
      <w:tr w:rsidR="00554459" w:rsidRPr="00B61C7E" w14:paraId="62B14CF8" w14:textId="77777777" w:rsidTr="00495559">
        <w:tc>
          <w:tcPr>
            <w:tcW w:w="5785" w:type="dxa"/>
          </w:tcPr>
          <w:p w14:paraId="495823A1" w14:textId="77777777" w:rsidR="00554459" w:rsidRPr="002B5A2D" w:rsidRDefault="00554459" w:rsidP="00495559">
            <w:pPr>
              <w:jc w:val="both"/>
              <w:rPr>
                <w:sz w:val="22"/>
                <w:szCs w:val="22"/>
              </w:rPr>
            </w:pPr>
          </w:p>
        </w:tc>
        <w:tc>
          <w:tcPr>
            <w:tcW w:w="1559" w:type="dxa"/>
            <w:tcBorders>
              <w:top w:val="single" w:sz="4" w:space="0" w:color="auto"/>
            </w:tcBorders>
          </w:tcPr>
          <w:p w14:paraId="555BB765" w14:textId="77777777" w:rsidR="00554459" w:rsidRPr="002B5A2D" w:rsidRDefault="00554459" w:rsidP="00495559">
            <w:pPr>
              <w:tabs>
                <w:tab w:val="left" w:pos="-108"/>
                <w:tab w:val="decimal" w:pos="1212"/>
              </w:tabs>
              <w:jc w:val="right"/>
              <w:rPr>
                <w:sz w:val="22"/>
                <w:szCs w:val="22"/>
                <w:u w:val="single"/>
              </w:rPr>
            </w:pPr>
          </w:p>
        </w:tc>
        <w:tc>
          <w:tcPr>
            <w:tcW w:w="1560" w:type="dxa"/>
            <w:gridSpan w:val="2"/>
            <w:tcBorders>
              <w:top w:val="single" w:sz="4" w:space="0" w:color="auto"/>
            </w:tcBorders>
          </w:tcPr>
          <w:p w14:paraId="3A978AB6" w14:textId="77777777" w:rsidR="00554459" w:rsidRPr="002B5A2D" w:rsidRDefault="00554459" w:rsidP="00495559">
            <w:pPr>
              <w:tabs>
                <w:tab w:val="left" w:pos="-108"/>
                <w:tab w:val="decimal" w:pos="1212"/>
              </w:tabs>
              <w:jc w:val="right"/>
              <w:rPr>
                <w:sz w:val="22"/>
                <w:szCs w:val="22"/>
                <w:u w:val="single"/>
              </w:rPr>
            </w:pPr>
          </w:p>
        </w:tc>
      </w:tr>
      <w:tr w:rsidR="00554459" w:rsidRPr="00C9168A" w14:paraId="041065F7" w14:textId="77777777" w:rsidTr="00495559">
        <w:trPr>
          <w:trHeight w:val="216"/>
        </w:trPr>
        <w:tc>
          <w:tcPr>
            <w:tcW w:w="5785" w:type="dxa"/>
          </w:tcPr>
          <w:p w14:paraId="46E2B2AA" w14:textId="77777777" w:rsidR="00554459" w:rsidRPr="002B5A2D" w:rsidRDefault="00554459" w:rsidP="00495559">
            <w:pPr>
              <w:jc w:val="both"/>
              <w:rPr>
                <w:b/>
                <w:sz w:val="22"/>
                <w:szCs w:val="22"/>
              </w:rPr>
            </w:pPr>
            <w:r w:rsidRPr="002B5A2D">
              <w:rPr>
                <w:b/>
                <w:sz w:val="22"/>
                <w:szCs w:val="22"/>
              </w:rPr>
              <w:t>Cash, end of the</w:t>
            </w:r>
            <w:r>
              <w:rPr>
                <w:b/>
                <w:sz w:val="22"/>
                <w:szCs w:val="22"/>
              </w:rPr>
              <w:t xml:space="preserve"> period</w:t>
            </w:r>
          </w:p>
        </w:tc>
        <w:tc>
          <w:tcPr>
            <w:tcW w:w="1559" w:type="dxa"/>
            <w:tcBorders>
              <w:bottom w:val="double" w:sz="4" w:space="0" w:color="auto"/>
            </w:tcBorders>
          </w:tcPr>
          <w:p w14:paraId="01ED052B" w14:textId="77777777" w:rsidR="00554459" w:rsidRPr="002B5A2D" w:rsidRDefault="00554459" w:rsidP="00495559">
            <w:pPr>
              <w:pStyle w:val="Style1"/>
              <w:tabs>
                <w:tab w:val="left" w:pos="-108"/>
                <w:tab w:val="decimal" w:pos="1212"/>
              </w:tabs>
              <w:jc w:val="right"/>
              <w:rPr>
                <w:szCs w:val="22"/>
              </w:rPr>
            </w:pPr>
            <w:r w:rsidRPr="002B5A2D">
              <w:rPr>
                <w:szCs w:val="22"/>
              </w:rPr>
              <w:t>$</w:t>
            </w:r>
            <w:r>
              <w:rPr>
                <w:szCs w:val="22"/>
              </w:rPr>
              <w:t xml:space="preserve">      1,948,213</w:t>
            </w:r>
          </w:p>
        </w:tc>
        <w:tc>
          <w:tcPr>
            <w:tcW w:w="1560" w:type="dxa"/>
            <w:gridSpan w:val="2"/>
            <w:tcBorders>
              <w:bottom w:val="double" w:sz="4" w:space="0" w:color="auto"/>
            </w:tcBorders>
          </w:tcPr>
          <w:p w14:paraId="7CEBFB30" w14:textId="77777777" w:rsidR="00554459" w:rsidRPr="002B5A2D" w:rsidRDefault="00554459" w:rsidP="00495559">
            <w:pPr>
              <w:pStyle w:val="Style1"/>
              <w:tabs>
                <w:tab w:val="left" w:pos="-108"/>
                <w:tab w:val="decimal" w:pos="1212"/>
              </w:tabs>
              <w:jc w:val="right"/>
              <w:rPr>
                <w:szCs w:val="22"/>
              </w:rPr>
            </w:pPr>
            <w:r w:rsidRPr="002B5A2D">
              <w:rPr>
                <w:szCs w:val="22"/>
              </w:rPr>
              <w:t>$</w:t>
            </w:r>
            <w:r>
              <w:rPr>
                <w:szCs w:val="22"/>
              </w:rPr>
              <w:t xml:space="preserve">      2,593,506</w:t>
            </w:r>
          </w:p>
        </w:tc>
      </w:tr>
      <w:tr w:rsidR="00554459" w:rsidRPr="00C9168A" w14:paraId="1D816A3E" w14:textId="77777777" w:rsidTr="00495559">
        <w:tc>
          <w:tcPr>
            <w:tcW w:w="5785" w:type="dxa"/>
          </w:tcPr>
          <w:p w14:paraId="04247326" w14:textId="77777777" w:rsidR="00554459" w:rsidRPr="002B5A2D" w:rsidRDefault="00554459" w:rsidP="00495559">
            <w:pPr>
              <w:jc w:val="both"/>
              <w:rPr>
                <w:sz w:val="22"/>
                <w:szCs w:val="22"/>
              </w:rPr>
            </w:pPr>
          </w:p>
        </w:tc>
        <w:tc>
          <w:tcPr>
            <w:tcW w:w="1559" w:type="dxa"/>
            <w:tcBorders>
              <w:top w:val="double" w:sz="4" w:space="0" w:color="auto"/>
            </w:tcBorders>
          </w:tcPr>
          <w:p w14:paraId="0562380C" w14:textId="77777777" w:rsidR="00554459" w:rsidRPr="00C9168A" w:rsidRDefault="00554459" w:rsidP="00495559">
            <w:pPr>
              <w:tabs>
                <w:tab w:val="left" w:pos="-108"/>
                <w:tab w:val="decimal" w:pos="1212"/>
              </w:tabs>
              <w:jc w:val="right"/>
              <w:rPr>
                <w:u w:val="double"/>
              </w:rPr>
            </w:pPr>
          </w:p>
        </w:tc>
        <w:tc>
          <w:tcPr>
            <w:tcW w:w="1560" w:type="dxa"/>
            <w:gridSpan w:val="2"/>
            <w:tcBorders>
              <w:top w:val="double" w:sz="4" w:space="0" w:color="auto"/>
            </w:tcBorders>
          </w:tcPr>
          <w:p w14:paraId="240CE387" w14:textId="77777777" w:rsidR="00554459" w:rsidRPr="00C9168A" w:rsidRDefault="00554459" w:rsidP="00495559">
            <w:pPr>
              <w:tabs>
                <w:tab w:val="left" w:pos="-108"/>
                <w:tab w:val="decimal" w:pos="1212"/>
              </w:tabs>
              <w:jc w:val="right"/>
              <w:rPr>
                <w:u w:val="double"/>
              </w:rPr>
            </w:pPr>
          </w:p>
        </w:tc>
      </w:tr>
    </w:tbl>
    <w:p w14:paraId="08D588D8" w14:textId="77777777" w:rsidR="00554459" w:rsidRDefault="00554459" w:rsidP="00554459">
      <w:pPr>
        <w:rPr>
          <w:sz w:val="22"/>
        </w:rPr>
      </w:pPr>
    </w:p>
    <w:p w14:paraId="02EF826A" w14:textId="77777777" w:rsidR="00554459" w:rsidRDefault="00554459" w:rsidP="00554459">
      <w:pPr>
        <w:rPr>
          <w:sz w:val="22"/>
        </w:rPr>
      </w:pPr>
    </w:p>
    <w:p w14:paraId="396ADBF9" w14:textId="77777777" w:rsidR="00554459" w:rsidRDefault="00554459" w:rsidP="00554459">
      <w:pPr>
        <w:rPr>
          <w:sz w:val="22"/>
        </w:rPr>
      </w:pPr>
    </w:p>
    <w:p w14:paraId="5385B387" w14:textId="77777777" w:rsidR="00554459" w:rsidRDefault="00554459" w:rsidP="00554459">
      <w:pPr>
        <w:rPr>
          <w:sz w:val="22"/>
        </w:rPr>
      </w:pPr>
    </w:p>
    <w:p w14:paraId="4B452B3E" w14:textId="77777777" w:rsidR="00554459" w:rsidRDefault="00554459" w:rsidP="00554459">
      <w:pPr>
        <w:jc w:val="center"/>
        <w:rPr>
          <w:sz w:val="22"/>
        </w:rPr>
        <w:sectPr w:rsidR="00554459" w:rsidSect="00495559">
          <w:footerReference w:type="default" r:id="rId10"/>
          <w:pgSz w:w="12240" w:h="15840" w:code="1"/>
          <w:pgMar w:top="1440" w:right="1440" w:bottom="432" w:left="1685" w:header="1195" w:footer="432" w:gutter="0"/>
          <w:cols w:space="720"/>
        </w:sectPr>
      </w:pPr>
      <w:r>
        <w:rPr>
          <w:sz w:val="22"/>
        </w:rPr>
        <w:t>Supplemental Disclosure with Respect to Cash Flows (Note 13)</w:t>
      </w:r>
    </w:p>
    <w:p w14:paraId="3798C443" w14:textId="77777777" w:rsidR="00554459" w:rsidRDefault="00554459" w:rsidP="00554459">
      <w:pPr>
        <w:jc w:val="center"/>
        <w:rPr>
          <w:b/>
          <w:sz w:val="22"/>
        </w:rPr>
      </w:pPr>
      <w:r>
        <w:rPr>
          <w:b/>
          <w:sz w:val="22"/>
        </w:rPr>
        <w:lastRenderedPageBreak/>
        <w:t xml:space="preserve">CRUZ COBALT CORP. </w:t>
      </w:r>
    </w:p>
    <w:p w14:paraId="7AAE16E7" w14:textId="77777777" w:rsidR="00554459" w:rsidRPr="00A454C6" w:rsidRDefault="00554459" w:rsidP="00554459">
      <w:pPr>
        <w:jc w:val="center"/>
        <w:rPr>
          <w:sz w:val="22"/>
        </w:rPr>
      </w:pPr>
      <w:r>
        <w:rPr>
          <w:sz w:val="22"/>
        </w:rPr>
        <w:t>CONDENSED CONSOLIDATED INTERIM</w:t>
      </w:r>
      <w:r w:rsidRPr="00A454C6">
        <w:rPr>
          <w:sz w:val="22"/>
        </w:rPr>
        <w:t xml:space="preserve"> STATEMENTS OF CHANGES IN SHAREHOLDERS’ EQUITY </w:t>
      </w:r>
    </w:p>
    <w:p w14:paraId="03B19096" w14:textId="77777777" w:rsidR="00554459" w:rsidRPr="00A454C6" w:rsidRDefault="00554459" w:rsidP="00554459">
      <w:pPr>
        <w:jc w:val="center"/>
        <w:rPr>
          <w:sz w:val="22"/>
        </w:rPr>
      </w:pPr>
      <w:r w:rsidRPr="00A454C6">
        <w:rPr>
          <w:sz w:val="22"/>
        </w:rPr>
        <w:t>(Expressed in Canadian Dollars)</w:t>
      </w:r>
    </w:p>
    <w:p w14:paraId="4E0476ED" w14:textId="77777777" w:rsidR="00554459" w:rsidRPr="00A454C6" w:rsidRDefault="00554459" w:rsidP="00554459">
      <w:pPr>
        <w:jc w:val="center"/>
        <w:rPr>
          <w:sz w:val="22"/>
          <w:u w:val="single"/>
        </w:rPr>
      </w:pPr>
    </w:p>
    <w:tbl>
      <w:tblPr>
        <w:tblW w:w="12577" w:type="dxa"/>
        <w:tblInd w:w="469" w:type="dxa"/>
        <w:tblLayout w:type="fixed"/>
        <w:tblLook w:val="0000" w:firstRow="0" w:lastRow="0" w:firstColumn="0" w:lastColumn="0" w:noHBand="0" w:noVBand="0"/>
      </w:tblPr>
      <w:tblGrid>
        <w:gridCol w:w="4536"/>
        <w:gridCol w:w="1909"/>
        <w:gridCol w:w="1533"/>
        <w:gridCol w:w="1533"/>
        <w:gridCol w:w="1533"/>
        <w:gridCol w:w="1533"/>
      </w:tblGrid>
      <w:tr w:rsidR="00554459" w:rsidRPr="00A454C6" w14:paraId="50D646F2" w14:textId="77777777" w:rsidTr="00495559">
        <w:tc>
          <w:tcPr>
            <w:tcW w:w="4536" w:type="dxa"/>
          </w:tcPr>
          <w:p w14:paraId="1C5330ED" w14:textId="77777777" w:rsidR="00554459" w:rsidRPr="00A454C6" w:rsidRDefault="00554459" w:rsidP="00495559">
            <w:pPr>
              <w:jc w:val="both"/>
              <w:rPr>
                <w:u w:val="single"/>
              </w:rPr>
            </w:pPr>
          </w:p>
        </w:tc>
        <w:tc>
          <w:tcPr>
            <w:tcW w:w="3442" w:type="dxa"/>
            <w:gridSpan w:val="2"/>
          </w:tcPr>
          <w:p w14:paraId="3E88AADF" w14:textId="77777777" w:rsidR="00554459" w:rsidRPr="00A454C6" w:rsidRDefault="00554459" w:rsidP="00495559">
            <w:pPr>
              <w:jc w:val="center"/>
            </w:pPr>
            <w:r w:rsidRPr="00A454C6">
              <w:rPr>
                <w:b/>
              </w:rPr>
              <w:t>Share Capital</w:t>
            </w:r>
          </w:p>
        </w:tc>
        <w:tc>
          <w:tcPr>
            <w:tcW w:w="1533" w:type="dxa"/>
          </w:tcPr>
          <w:p w14:paraId="1C0FFE63" w14:textId="77777777" w:rsidR="00554459" w:rsidRPr="00A454C6" w:rsidRDefault="00554459" w:rsidP="00495559">
            <w:pPr>
              <w:jc w:val="center"/>
              <w:rPr>
                <w:b/>
              </w:rPr>
            </w:pPr>
          </w:p>
        </w:tc>
        <w:tc>
          <w:tcPr>
            <w:tcW w:w="1533" w:type="dxa"/>
          </w:tcPr>
          <w:p w14:paraId="2C9ED97C" w14:textId="77777777" w:rsidR="00554459" w:rsidRPr="00A454C6" w:rsidRDefault="00554459" w:rsidP="00495559">
            <w:pPr>
              <w:jc w:val="center"/>
              <w:rPr>
                <w:b/>
              </w:rPr>
            </w:pPr>
            <w:r w:rsidRPr="00A454C6">
              <w:rPr>
                <w:b/>
              </w:rPr>
              <w:t>Accumulated</w:t>
            </w:r>
          </w:p>
        </w:tc>
        <w:tc>
          <w:tcPr>
            <w:tcW w:w="1533" w:type="dxa"/>
          </w:tcPr>
          <w:p w14:paraId="650A2264" w14:textId="77777777" w:rsidR="00554459" w:rsidRPr="00A454C6" w:rsidRDefault="00554459" w:rsidP="00495559">
            <w:pPr>
              <w:jc w:val="center"/>
              <w:rPr>
                <w:b/>
              </w:rPr>
            </w:pPr>
          </w:p>
        </w:tc>
      </w:tr>
      <w:tr w:rsidR="00554459" w:rsidRPr="00A454C6" w14:paraId="2F7CBE8F" w14:textId="77777777" w:rsidTr="00495559">
        <w:tc>
          <w:tcPr>
            <w:tcW w:w="4536" w:type="dxa"/>
          </w:tcPr>
          <w:p w14:paraId="476C8BFA" w14:textId="77777777" w:rsidR="00554459" w:rsidRPr="00A454C6" w:rsidRDefault="00554459" w:rsidP="00495559">
            <w:pPr>
              <w:jc w:val="both"/>
              <w:rPr>
                <w:b/>
              </w:rPr>
            </w:pPr>
          </w:p>
        </w:tc>
        <w:tc>
          <w:tcPr>
            <w:tcW w:w="1909" w:type="dxa"/>
          </w:tcPr>
          <w:p w14:paraId="2A42DC66" w14:textId="77777777" w:rsidR="00554459" w:rsidRPr="00A454C6" w:rsidRDefault="00554459" w:rsidP="00495559">
            <w:pPr>
              <w:jc w:val="center"/>
              <w:rPr>
                <w:b/>
              </w:rPr>
            </w:pPr>
            <w:r w:rsidRPr="00A454C6">
              <w:rPr>
                <w:b/>
              </w:rPr>
              <w:t>Number of shares</w:t>
            </w:r>
          </w:p>
        </w:tc>
        <w:tc>
          <w:tcPr>
            <w:tcW w:w="1533" w:type="dxa"/>
          </w:tcPr>
          <w:p w14:paraId="620E0214" w14:textId="77777777" w:rsidR="00554459" w:rsidRPr="00A454C6" w:rsidRDefault="00554459" w:rsidP="00495559">
            <w:pPr>
              <w:jc w:val="center"/>
              <w:rPr>
                <w:b/>
              </w:rPr>
            </w:pPr>
            <w:r w:rsidRPr="00A454C6">
              <w:rPr>
                <w:b/>
              </w:rPr>
              <w:t>Amount</w:t>
            </w:r>
          </w:p>
        </w:tc>
        <w:tc>
          <w:tcPr>
            <w:tcW w:w="1533" w:type="dxa"/>
          </w:tcPr>
          <w:p w14:paraId="4E72AEFA" w14:textId="77777777" w:rsidR="00554459" w:rsidRPr="00A454C6" w:rsidRDefault="00554459" w:rsidP="00495559">
            <w:pPr>
              <w:jc w:val="center"/>
              <w:rPr>
                <w:b/>
              </w:rPr>
            </w:pPr>
            <w:r w:rsidRPr="00A454C6">
              <w:rPr>
                <w:b/>
              </w:rPr>
              <w:t>Reserves</w:t>
            </w:r>
          </w:p>
        </w:tc>
        <w:tc>
          <w:tcPr>
            <w:tcW w:w="1533" w:type="dxa"/>
          </w:tcPr>
          <w:p w14:paraId="20AF9460" w14:textId="77777777" w:rsidR="00554459" w:rsidRPr="00A454C6" w:rsidRDefault="00554459" w:rsidP="00495559">
            <w:pPr>
              <w:jc w:val="center"/>
              <w:rPr>
                <w:b/>
              </w:rPr>
            </w:pPr>
            <w:r w:rsidRPr="00A454C6">
              <w:rPr>
                <w:b/>
              </w:rPr>
              <w:t>Deficit</w:t>
            </w:r>
          </w:p>
        </w:tc>
        <w:tc>
          <w:tcPr>
            <w:tcW w:w="1533" w:type="dxa"/>
          </w:tcPr>
          <w:p w14:paraId="0ADBDB67" w14:textId="77777777" w:rsidR="00554459" w:rsidRPr="00A454C6" w:rsidRDefault="00554459" w:rsidP="00495559">
            <w:pPr>
              <w:jc w:val="center"/>
              <w:rPr>
                <w:b/>
              </w:rPr>
            </w:pPr>
            <w:r w:rsidRPr="00A454C6">
              <w:rPr>
                <w:b/>
              </w:rPr>
              <w:t>Total</w:t>
            </w:r>
          </w:p>
        </w:tc>
      </w:tr>
      <w:tr w:rsidR="00554459" w:rsidRPr="00A454C6" w14:paraId="66E99832" w14:textId="77777777" w:rsidTr="00495559">
        <w:tc>
          <w:tcPr>
            <w:tcW w:w="4536" w:type="dxa"/>
          </w:tcPr>
          <w:p w14:paraId="5FA73A01" w14:textId="77777777" w:rsidR="00554459" w:rsidRPr="00A454C6" w:rsidRDefault="00554459" w:rsidP="00495559">
            <w:pPr>
              <w:jc w:val="both"/>
              <w:rPr>
                <w:b/>
              </w:rPr>
            </w:pPr>
          </w:p>
        </w:tc>
        <w:tc>
          <w:tcPr>
            <w:tcW w:w="1909" w:type="dxa"/>
          </w:tcPr>
          <w:p w14:paraId="2D693233" w14:textId="77777777" w:rsidR="00554459" w:rsidRPr="00A454C6" w:rsidRDefault="00554459" w:rsidP="00495559">
            <w:pPr>
              <w:pStyle w:val="Style1"/>
              <w:tabs>
                <w:tab w:val="left" w:pos="-108"/>
                <w:tab w:val="decimal" w:pos="1212"/>
              </w:tabs>
              <w:rPr>
                <w:sz w:val="20"/>
              </w:rPr>
            </w:pPr>
          </w:p>
        </w:tc>
        <w:tc>
          <w:tcPr>
            <w:tcW w:w="1533" w:type="dxa"/>
          </w:tcPr>
          <w:p w14:paraId="37B78F57" w14:textId="77777777" w:rsidR="00554459" w:rsidRPr="00A454C6" w:rsidRDefault="00554459" w:rsidP="00495559">
            <w:pPr>
              <w:pStyle w:val="Style1"/>
              <w:tabs>
                <w:tab w:val="left" w:pos="-108"/>
                <w:tab w:val="decimal" w:pos="1212"/>
              </w:tabs>
              <w:rPr>
                <w:sz w:val="20"/>
              </w:rPr>
            </w:pPr>
          </w:p>
        </w:tc>
        <w:tc>
          <w:tcPr>
            <w:tcW w:w="1533" w:type="dxa"/>
          </w:tcPr>
          <w:p w14:paraId="1802DB05" w14:textId="77777777" w:rsidR="00554459" w:rsidRPr="00A454C6" w:rsidRDefault="00554459" w:rsidP="00495559">
            <w:pPr>
              <w:pStyle w:val="Style1"/>
              <w:tabs>
                <w:tab w:val="left" w:pos="-108"/>
                <w:tab w:val="decimal" w:pos="1212"/>
              </w:tabs>
              <w:rPr>
                <w:sz w:val="20"/>
              </w:rPr>
            </w:pPr>
          </w:p>
        </w:tc>
        <w:tc>
          <w:tcPr>
            <w:tcW w:w="1533" w:type="dxa"/>
          </w:tcPr>
          <w:p w14:paraId="4098FD33" w14:textId="77777777" w:rsidR="00554459" w:rsidRPr="00A454C6" w:rsidRDefault="00554459" w:rsidP="00495559">
            <w:pPr>
              <w:pStyle w:val="Style1"/>
              <w:tabs>
                <w:tab w:val="left" w:pos="-108"/>
                <w:tab w:val="decimal" w:pos="1212"/>
              </w:tabs>
              <w:rPr>
                <w:sz w:val="20"/>
              </w:rPr>
            </w:pPr>
          </w:p>
        </w:tc>
        <w:tc>
          <w:tcPr>
            <w:tcW w:w="1533" w:type="dxa"/>
          </w:tcPr>
          <w:p w14:paraId="483651B6" w14:textId="77777777" w:rsidR="00554459" w:rsidRPr="00A454C6" w:rsidRDefault="00554459" w:rsidP="00495559">
            <w:pPr>
              <w:pStyle w:val="Style1"/>
              <w:tabs>
                <w:tab w:val="left" w:pos="-108"/>
                <w:tab w:val="decimal" w:pos="1212"/>
              </w:tabs>
              <w:rPr>
                <w:sz w:val="20"/>
              </w:rPr>
            </w:pPr>
          </w:p>
        </w:tc>
      </w:tr>
      <w:tr w:rsidR="00554459" w:rsidRPr="00A454C6" w14:paraId="1047AAF9" w14:textId="77777777" w:rsidTr="00495559">
        <w:tc>
          <w:tcPr>
            <w:tcW w:w="4536" w:type="dxa"/>
          </w:tcPr>
          <w:p w14:paraId="2A809147" w14:textId="77777777" w:rsidR="00554459" w:rsidRPr="00A454C6" w:rsidRDefault="00554459" w:rsidP="00495559">
            <w:pPr>
              <w:jc w:val="both"/>
              <w:rPr>
                <w:b/>
                <w:u w:val="single"/>
              </w:rPr>
            </w:pPr>
            <w:r w:rsidRPr="00A454C6">
              <w:rPr>
                <w:b/>
              </w:rPr>
              <w:t>Balance, July 31, 2018</w:t>
            </w:r>
          </w:p>
        </w:tc>
        <w:tc>
          <w:tcPr>
            <w:tcW w:w="1909" w:type="dxa"/>
          </w:tcPr>
          <w:p w14:paraId="215225D7" w14:textId="77777777" w:rsidR="00554459" w:rsidRPr="00A454C6" w:rsidRDefault="00554459" w:rsidP="00495559">
            <w:pPr>
              <w:pStyle w:val="Style1"/>
              <w:tabs>
                <w:tab w:val="left" w:pos="-108"/>
                <w:tab w:val="decimal" w:pos="1212"/>
              </w:tabs>
              <w:rPr>
                <w:sz w:val="20"/>
              </w:rPr>
            </w:pPr>
            <w:r w:rsidRPr="00A454C6">
              <w:rPr>
                <w:sz w:val="20"/>
              </w:rPr>
              <w:tab/>
              <w:t>78,646,890</w:t>
            </w:r>
          </w:p>
        </w:tc>
        <w:tc>
          <w:tcPr>
            <w:tcW w:w="1533" w:type="dxa"/>
          </w:tcPr>
          <w:p w14:paraId="678262CC" w14:textId="77777777" w:rsidR="00554459" w:rsidRPr="00A454C6" w:rsidRDefault="00554459" w:rsidP="00495559">
            <w:pPr>
              <w:pStyle w:val="Style1"/>
              <w:tabs>
                <w:tab w:val="left" w:pos="-108"/>
                <w:tab w:val="decimal" w:pos="1212"/>
              </w:tabs>
              <w:rPr>
                <w:sz w:val="20"/>
              </w:rPr>
            </w:pPr>
            <w:r w:rsidRPr="00A454C6">
              <w:rPr>
                <w:sz w:val="20"/>
              </w:rPr>
              <w:t>$</w:t>
            </w:r>
            <w:r w:rsidRPr="00A454C6">
              <w:rPr>
                <w:sz w:val="20"/>
              </w:rPr>
              <w:tab/>
              <w:t>1</w:t>
            </w:r>
            <w:r>
              <w:rPr>
                <w:sz w:val="20"/>
              </w:rPr>
              <w:t>9</w:t>
            </w:r>
            <w:r w:rsidRPr="00A454C6">
              <w:rPr>
                <w:sz w:val="20"/>
              </w:rPr>
              <w:t>,</w:t>
            </w:r>
            <w:r>
              <w:rPr>
                <w:sz w:val="20"/>
              </w:rPr>
              <w:t>087</w:t>
            </w:r>
            <w:r w:rsidRPr="00A454C6">
              <w:rPr>
                <w:sz w:val="20"/>
              </w:rPr>
              <w:t>,</w:t>
            </w:r>
            <w:r>
              <w:rPr>
                <w:sz w:val="20"/>
              </w:rPr>
              <w:t>872</w:t>
            </w:r>
          </w:p>
        </w:tc>
        <w:tc>
          <w:tcPr>
            <w:tcW w:w="1533" w:type="dxa"/>
          </w:tcPr>
          <w:p w14:paraId="10152712" w14:textId="77777777" w:rsidR="00554459" w:rsidRPr="00A454C6" w:rsidRDefault="00554459" w:rsidP="00495559">
            <w:pPr>
              <w:pStyle w:val="Style1"/>
              <w:tabs>
                <w:tab w:val="left" w:pos="-108"/>
                <w:tab w:val="decimal" w:pos="1212"/>
              </w:tabs>
              <w:rPr>
                <w:sz w:val="20"/>
              </w:rPr>
            </w:pPr>
            <w:r w:rsidRPr="00A454C6">
              <w:rPr>
                <w:sz w:val="20"/>
              </w:rPr>
              <w:t>$</w:t>
            </w:r>
            <w:r w:rsidRPr="00A454C6">
              <w:rPr>
                <w:sz w:val="20"/>
              </w:rPr>
              <w:tab/>
              <w:t>1,5</w:t>
            </w:r>
            <w:r>
              <w:rPr>
                <w:sz w:val="20"/>
              </w:rPr>
              <w:t>81</w:t>
            </w:r>
            <w:r w:rsidRPr="00A454C6">
              <w:rPr>
                <w:sz w:val="20"/>
              </w:rPr>
              <w:t>,</w:t>
            </w:r>
            <w:r>
              <w:rPr>
                <w:sz w:val="20"/>
              </w:rPr>
              <w:t>24</w:t>
            </w:r>
            <w:r w:rsidRPr="00A454C6">
              <w:rPr>
                <w:sz w:val="20"/>
              </w:rPr>
              <w:t>9</w:t>
            </w:r>
          </w:p>
        </w:tc>
        <w:tc>
          <w:tcPr>
            <w:tcW w:w="1533" w:type="dxa"/>
          </w:tcPr>
          <w:p w14:paraId="168893CA" w14:textId="77777777" w:rsidR="00554459" w:rsidRPr="00A454C6" w:rsidRDefault="00554459" w:rsidP="00495559">
            <w:pPr>
              <w:pStyle w:val="Style1"/>
              <w:tabs>
                <w:tab w:val="left" w:pos="-108"/>
                <w:tab w:val="decimal" w:pos="1212"/>
              </w:tabs>
              <w:rPr>
                <w:sz w:val="20"/>
              </w:rPr>
            </w:pPr>
            <w:r w:rsidRPr="00A454C6">
              <w:rPr>
                <w:sz w:val="20"/>
              </w:rPr>
              <w:t>$</w:t>
            </w:r>
            <w:r w:rsidRPr="00A454C6">
              <w:rPr>
                <w:sz w:val="20"/>
              </w:rPr>
              <w:tab/>
              <w:t>(</w:t>
            </w:r>
            <w:r>
              <w:rPr>
                <w:sz w:val="20"/>
              </w:rPr>
              <w:t>15,875,374</w:t>
            </w:r>
            <w:r w:rsidRPr="00A454C6">
              <w:rPr>
                <w:sz w:val="20"/>
              </w:rPr>
              <w:t>)</w:t>
            </w:r>
          </w:p>
        </w:tc>
        <w:tc>
          <w:tcPr>
            <w:tcW w:w="1533" w:type="dxa"/>
          </w:tcPr>
          <w:p w14:paraId="109A7358" w14:textId="77777777" w:rsidR="00554459" w:rsidRPr="00A454C6" w:rsidRDefault="00554459" w:rsidP="00495559">
            <w:pPr>
              <w:pStyle w:val="Style1"/>
              <w:tabs>
                <w:tab w:val="left" w:pos="-108"/>
                <w:tab w:val="decimal" w:pos="1212"/>
              </w:tabs>
              <w:jc w:val="right"/>
              <w:rPr>
                <w:sz w:val="20"/>
              </w:rPr>
            </w:pPr>
            <w:r w:rsidRPr="00A454C6">
              <w:rPr>
                <w:sz w:val="20"/>
              </w:rPr>
              <w:t>$</w:t>
            </w:r>
            <w:r w:rsidRPr="00A454C6">
              <w:rPr>
                <w:sz w:val="20"/>
              </w:rPr>
              <w:tab/>
            </w:r>
            <w:r>
              <w:rPr>
                <w:sz w:val="20"/>
              </w:rPr>
              <w:t>4,793,747</w:t>
            </w:r>
          </w:p>
        </w:tc>
      </w:tr>
      <w:tr w:rsidR="00554459" w:rsidRPr="00A454C6" w14:paraId="5924616C" w14:textId="77777777" w:rsidTr="00495559">
        <w:tc>
          <w:tcPr>
            <w:tcW w:w="4536" w:type="dxa"/>
          </w:tcPr>
          <w:p w14:paraId="2876C82F" w14:textId="77777777" w:rsidR="00554459" w:rsidRPr="00A454C6" w:rsidRDefault="00554459" w:rsidP="00495559">
            <w:pPr>
              <w:pStyle w:val="Style1"/>
              <w:tabs>
                <w:tab w:val="left" w:pos="270"/>
                <w:tab w:val="left" w:pos="450"/>
              </w:tabs>
              <w:rPr>
                <w:sz w:val="20"/>
                <w:u w:val="single"/>
              </w:rPr>
            </w:pPr>
            <w:r w:rsidRPr="00AB2EA8">
              <w:rPr>
                <w:sz w:val="20"/>
              </w:rPr>
              <w:tab/>
              <w:t xml:space="preserve">Loss for the </w:t>
            </w:r>
            <w:r>
              <w:rPr>
                <w:sz w:val="20"/>
              </w:rPr>
              <w:t>period</w:t>
            </w:r>
          </w:p>
        </w:tc>
        <w:tc>
          <w:tcPr>
            <w:tcW w:w="1909" w:type="dxa"/>
            <w:tcBorders>
              <w:bottom w:val="single" w:sz="4" w:space="0" w:color="auto"/>
            </w:tcBorders>
          </w:tcPr>
          <w:p w14:paraId="6FEA6F9D" w14:textId="77777777" w:rsidR="00554459" w:rsidRPr="00A454C6" w:rsidRDefault="00554459" w:rsidP="00495559">
            <w:pPr>
              <w:pStyle w:val="Style1"/>
              <w:tabs>
                <w:tab w:val="left" w:pos="-108"/>
                <w:tab w:val="decimal" w:pos="1212"/>
              </w:tabs>
              <w:rPr>
                <w:sz w:val="20"/>
              </w:rPr>
            </w:pPr>
            <w:r w:rsidRPr="00DE3990">
              <w:rPr>
                <w:sz w:val="20"/>
              </w:rPr>
              <w:tab/>
              <w:t>-</w:t>
            </w:r>
          </w:p>
        </w:tc>
        <w:tc>
          <w:tcPr>
            <w:tcW w:w="1533" w:type="dxa"/>
            <w:tcBorders>
              <w:bottom w:val="single" w:sz="4" w:space="0" w:color="auto"/>
            </w:tcBorders>
          </w:tcPr>
          <w:p w14:paraId="0FC8D140" w14:textId="77777777" w:rsidR="00554459" w:rsidRPr="00A454C6" w:rsidRDefault="00554459" w:rsidP="00495559">
            <w:pPr>
              <w:pStyle w:val="Style1"/>
              <w:tabs>
                <w:tab w:val="left" w:pos="-108"/>
                <w:tab w:val="decimal" w:pos="1212"/>
              </w:tabs>
              <w:rPr>
                <w:sz w:val="20"/>
              </w:rPr>
            </w:pPr>
            <w:r w:rsidRPr="00DE3990">
              <w:rPr>
                <w:sz w:val="20"/>
              </w:rPr>
              <w:tab/>
              <w:t>-</w:t>
            </w:r>
          </w:p>
        </w:tc>
        <w:tc>
          <w:tcPr>
            <w:tcW w:w="1533" w:type="dxa"/>
            <w:tcBorders>
              <w:bottom w:val="single" w:sz="4" w:space="0" w:color="auto"/>
            </w:tcBorders>
          </w:tcPr>
          <w:p w14:paraId="2610376E" w14:textId="77777777" w:rsidR="00554459" w:rsidRPr="00A454C6" w:rsidRDefault="00554459" w:rsidP="00495559">
            <w:pPr>
              <w:pStyle w:val="Style1"/>
              <w:tabs>
                <w:tab w:val="left" w:pos="-108"/>
                <w:tab w:val="decimal" w:pos="1212"/>
              </w:tabs>
              <w:rPr>
                <w:sz w:val="20"/>
              </w:rPr>
            </w:pPr>
            <w:r w:rsidRPr="00DE3990">
              <w:rPr>
                <w:sz w:val="20"/>
              </w:rPr>
              <w:tab/>
              <w:t>-</w:t>
            </w:r>
          </w:p>
        </w:tc>
        <w:tc>
          <w:tcPr>
            <w:tcW w:w="1533" w:type="dxa"/>
            <w:tcBorders>
              <w:bottom w:val="single" w:sz="4" w:space="0" w:color="auto"/>
            </w:tcBorders>
          </w:tcPr>
          <w:p w14:paraId="572B2CC2" w14:textId="77777777" w:rsidR="00554459" w:rsidRPr="00A454C6" w:rsidRDefault="00554459" w:rsidP="00495559">
            <w:pPr>
              <w:pStyle w:val="Style1"/>
              <w:tabs>
                <w:tab w:val="left" w:pos="-108"/>
                <w:tab w:val="decimal" w:pos="1212"/>
              </w:tabs>
              <w:rPr>
                <w:sz w:val="20"/>
              </w:rPr>
            </w:pPr>
            <w:r w:rsidRPr="00DE3990">
              <w:rPr>
                <w:sz w:val="20"/>
              </w:rPr>
              <w:tab/>
              <w:t>(</w:t>
            </w:r>
            <w:r>
              <w:rPr>
                <w:sz w:val="20"/>
              </w:rPr>
              <w:t>155,362</w:t>
            </w:r>
            <w:r w:rsidRPr="00DE3990">
              <w:rPr>
                <w:sz w:val="20"/>
              </w:rPr>
              <w:t>)</w:t>
            </w:r>
          </w:p>
        </w:tc>
        <w:tc>
          <w:tcPr>
            <w:tcW w:w="1533" w:type="dxa"/>
            <w:tcBorders>
              <w:bottom w:val="single" w:sz="4" w:space="0" w:color="auto"/>
            </w:tcBorders>
          </w:tcPr>
          <w:p w14:paraId="2E60F85A" w14:textId="77777777" w:rsidR="00554459" w:rsidRPr="00A454C6" w:rsidRDefault="00554459" w:rsidP="00495559">
            <w:pPr>
              <w:pStyle w:val="Style1"/>
              <w:tabs>
                <w:tab w:val="left" w:pos="-108"/>
                <w:tab w:val="decimal" w:pos="1212"/>
              </w:tabs>
              <w:jc w:val="right"/>
              <w:rPr>
                <w:sz w:val="20"/>
              </w:rPr>
            </w:pPr>
            <w:r w:rsidRPr="00DE3990">
              <w:rPr>
                <w:sz w:val="20"/>
              </w:rPr>
              <w:tab/>
              <w:t>(</w:t>
            </w:r>
            <w:r>
              <w:rPr>
                <w:sz w:val="20"/>
              </w:rPr>
              <w:t>155,362</w:t>
            </w:r>
            <w:r w:rsidRPr="00DE3990">
              <w:rPr>
                <w:sz w:val="20"/>
              </w:rPr>
              <w:t>)</w:t>
            </w:r>
          </w:p>
        </w:tc>
      </w:tr>
      <w:tr w:rsidR="00554459" w:rsidRPr="00A454C6" w14:paraId="511EA04E" w14:textId="77777777" w:rsidTr="00495559">
        <w:tc>
          <w:tcPr>
            <w:tcW w:w="4536" w:type="dxa"/>
          </w:tcPr>
          <w:p w14:paraId="63BA4612" w14:textId="77777777" w:rsidR="00554459" w:rsidRPr="00A454C6" w:rsidRDefault="00554459" w:rsidP="00495559">
            <w:pPr>
              <w:pStyle w:val="Style1"/>
              <w:tabs>
                <w:tab w:val="left" w:pos="270"/>
                <w:tab w:val="left" w:pos="450"/>
              </w:tabs>
              <w:rPr>
                <w:sz w:val="20"/>
                <w:u w:val="single"/>
              </w:rPr>
            </w:pPr>
            <w:r w:rsidRPr="00CF35EF">
              <w:rPr>
                <w:b/>
              </w:rPr>
              <w:t xml:space="preserve">Balance, </w:t>
            </w:r>
            <w:r>
              <w:rPr>
                <w:b/>
              </w:rPr>
              <w:t>October</w:t>
            </w:r>
            <w:r w:rsidRPr="00CF35EF">
              <w:rPr>
                <w:b/>
              </w:rPr>
              <w:t xml:space="preserve"> 31, 2018</w:t>
            </w:r>
          </w:p>
        </w:tc>
        <w:tc>
          <w:tcPr>
            <w:tcW w:w="1909" w:type="dxa"/>
            <w:tcBorders>
              <w:top w:val="single" w:sz="4" w:space="0" w:color="auto"/>
            </w:tcBorders>
          </w:tcPr>
          <w:p w14:paraId="7C1F1892" w14:textId="77777777" w:rsidR="00554459" w:rsidRPr="00A454C6" w:rsidRDefault="00554459" w:rsidP="00495559">
            <w:pPr>
              <w:pStyle w:val="Style1"/>
              <w:tabs>
                <w:tab w:val="left" w:pos="-108"/>
                <w:tab w:val="decimal" w:pos="1212"/>
              </w:tabs>
              <w:rPr>
                <w:sz w:val="20"/>
              </w:rPr>
            </w:pPr>
            <w:r w:rsidRPr="00DE3990">
              <w:rPr>
                <w:sz w:val="20"/>
              </w:rPr>
              <w:tab/>
            </w:r>
            <w:r>
              <w:rPr>
                <w:sz w:val="20"/>
              </w:rPr>
              <w:t>78,646,890</w:t>
            </w:r>
          </w:p>
        </w:tc>
        <w:tc>
          <w:tcPr>
            <w:tcW w:w="1533" w:type="dxa"/>
            <w:tcBorders>
              <w:top w:val="single" w:sz="4" w:space="0" w:color="auto"/>
            </w:tcBorders>
          </w:tcPr>
          <w:p w14:paraId="4FFE98CB" w14:textId="77777777" w:rsidR="00554459" w:rsidRPr="00A454C6" w:rsidRDefault="00554459" w:rsidP="00495559">
            <w:pPr>
              <w:pStyle w:val="Style1"/>
              <w:tabs>
                <w:tab w:val="left" w:pos="-108"/>
                <w:tab w:val="decimal" w:pos="1212"/>
              </w:tabs>
              <w:rPr>
                <w:sz w:val="20"/>
              </w:rPr>
            </w:pPr>
            <w:r w:rsidRPr="00DE3990">
              <w:rPr>
                <w:sz w:val="20"/>
              </w:rPr>
              <w:t>$</w:t>
            </w:r>
            <w:r w:rsidRPr="00DE3990">
              <w:rPr>
                <w:sz w:val="20"/>
              </w:rPr>
              <w:tab/>
            </w:r>
            <w:r>
              <w:rPr>
                <w:sz w:val="20"/>
              </w:rPr>
              <w:t>19,087,872</w:t>
            </w:r>
          </w:p>
        </w:tc>
        <w:tc>
          <w:tcPr>
            <w:tcW w:w="1533" w:type="dxa"/>
            <w:tcBorders>
              <w:top w:val="single" w:sz="4" w:space="0" w:color="auto"/>
            </w:tcBorders>
          </w:tcPr>
          <w:p w14:paraId="7538720B" w14:textId="77777777" w:rsidR="00554459" w:rsidRPr="00A454C6" w:rsidRDefault="00554459" w:rsidP="00495559">
            <w:pPr>
              <w:pStyle w:val="Style1"/>
              <w:tabs>
                <w:tab w:val="left" w:pos="-108"/>
                <w:tab w:val="decimal" w:pos="1212"/>
              </w:tabs>
              <w:rPr>
                <w:sz w:val="20"/>
              </w:rPr>
            </w:pPr>
            <w:r w:rsidRPr="00DE3990">
              <w:rPr>
                <w:sz w:val="20"/>
              </w:rPr>
              <w:t>$</w:t>
            </w:r>
            <w:r w:rsidRPr="00DE3990">
              <w:rPr>
                <w:sz w:val="20"/>
              </w:rPr>
              <w:tab/>
              <w:t>1,</w:t>
            </w:r>
            <w:r>
              <w:rPr>
                <w:sz w:val="20"/>
              </w:rPr>
              <w:t>581,249</w:t>
            </w:r>
          </w:p>
        </w:tc>
        <w:tc>
          <w:tcPr>
            <w:tcW w:w="1533" w:type="dxa"/>
            <w:tcBorders>
              <w:top w:val="single" w:sz="4" w:space="0" w:color="auto"/>
            </w:tcBorders>
          </w:tcPr>
          <w:p w14:paraId="117C0915" w14:textId="77777777" w:rsidR="00554459" w:rsidRPr="00A454C6" w:rsidRDefault="00554459" w:rsidP="00495559">
            <w:pPr>
              <w:pStyle w:val="Style1"/>
              <w:tabs>
                <w:tab w:val="left" w:pos="-108"/>
                <w:tab w:val="decimal" w:pos="1212"/>
              </w:tabs>
              <w:rPr>
                <w:sz w:val="20"/>
              </w:rPr>
            </w:pPr>
            <w:r w:rsidRPr="00DE3990">
              <w:rPr>
                <w:sz w:val="20"/>
              </w:rPr>
              <w:t>$</w:t>
            </w:r>
            <w:r w:rsidRPr="00DE3990">
              <w:rPr>
                <w:sz w:val="20"/>
              </w:rPr>
              <w:tab/>
              <w:t>(</w:t>
            </w:r>
            <w:r>
              <w:rPr>
                <w:sz w:val="20"/>
              </w:rPr>
              <w:t>16,030,736</w:t>
            </w:r>
            <w:r w:rsidRPr="00DE3990">
              <w:rPr>
                <w:sz w:val="20"/>
              </w:rPr>
              <w:t>)</w:t>
            </w:r>
          </w:p>
        </w:tc>
        <w:tc>
          <w:tcPr>
            <w:tcW w:w="1533" w:type="dxa"/>
            <w:tcBorders>
              <w:top w:val="single" w:sz="4" w:space="0" w:color="auto"/>
            </w:tcBorders>
          </w:tcPr>
          <w:p w14:paraId="5E75327C" w14:textId="77777777" w:rsidR="00554459" w:rsidRPr="00A454C6" w:rsidRDefault="00554459" w:rsidP="00495559">
            <w:pPr>
              <w:pStyle w:val="Style1"/>
              <w:tabs>
                <w:tab w:val="left" w:pos="-108"/>
                <w:tab w:val="decimal" w:pos="1212"/>
              </w:tabs>
              <w:jc w:val="right"/>
              <w:rPr>
                <w:sz w:val="20"/>
              </w:rPr>
            </w:pPr>
            <w:r w:rsidRPr="00DE3990">
              <w:rPr>
                <w:sz w:val="20"/>
              </w:rPr>
              <w:t>$</w:t>
            </w:r>
            <w:r w:rsidRPr="00DE3990">
              <w:rPr>
                <w:sz w:val="20"/>
              </w:rPr>
              <w:tab/>
            </w:r>
            <w:r>
              <w:rPr>
                <w:sz w:val="20"/>
              </w:rPr>
              <w:t>4,638,385</w:t>
            </w:r>
          </w:p>
        </w:tc>
      </w:tr>
      <w:tr w:rsidR="00554459" w:rsidRPr="00A454C6" w14:paraId="4630A46A" w14:textId="77777777" w:rsidTr="00495559">
        <w:tc>
          <w:tcPr>
            <w:tcW w:w="4536" w:type="dxa"/>
          </w:tcPr>
          <w:p w14:paraId="1EF8A156" w14:textId="77777777" w:rsidR="00554459" w:rsidRPr="00A454C6" w:rsidRDefault="00554459" w:rsidP="00495559">
            <w:pPr>
              <w:pStyle w:val="Style1"/>
              <w:tabs>
                <w:tab w:val="left" w:pos="270"/>
                <w:tab w:val="left" w:pos="450"/>
              </w:tabs>
              <w:rPr>
                <w:sz w:val="20"/>
                <w:u w:val="single"/>
              </w:rPr>
            </w:pPr>
            <w:r w:rsidRPr="00A454C6">
              <w:rPr>
                <w:sz w:val="20"/>
              </w:rPr>
              <w:tab/>
              <w:t xml:space="preserve">Loss for the </w:t>
            </w:r>
            <w:r>
              <w:rPr>
                <w:sz w:val="20"/>
              </w:rPr>
              <w:t>period</w:t>
            </w:r>
          </w:p>
        </w:tc>
        <w:tc>
          <w:tcPr>
            <w:tcW w:w="1909" w:type="dxa"/>
            <w:tcBorders>
              <w:bottom w:val="single" w:sz="4" w:space="0" w:color="auto"/>
            </w:tcBorders>
          </w:tcPr>
          <w:p w14:paraId="43522148" w14:textId="77777777" w:rsidR="00554459" w:rsidRPr="00A454C6" w:rsidRDefault="00554459" w:rsidP="00495559">
            <w:pPr>
              <w:pStyle w:val="Style1"/>
              <w:tabs>
                <w:tab w:val="left" w:pos="-108"/>
                <w:tab w:val="decimal" w:pos="1212"/>
              </w:tabs>
              <w:rPr>
                <w:sz w:val="20"/>
              </w:rPr>
            </w:pPr>
            <w:r w:rsidRPr="00A454C6">
              <w:rPr>
                <w:sz w:val="20"/>
              </w:rPr>
              <w:tab/>
              <w:t>-</w:t>
            </w:r>
          </w:p>
        </w:tc>
        <w:tc>
          <w:tcPr>
            <w:tcW w:w="1533" w:type="dxa"/>
            <w:tcBorders>
              <w:bottom w:val="single" w:sz="4" w:space="0" w:color="auto"/>
            </w:tcBorders>
          </w:tcPr>
          <w:p w14:paraId="40D3941C" w14:textId="77777777" w:rsidR="00554459" w:rsidRPr="00A454C6" w:rsidRDefault="00554459" w:rsidP="00495559">
            <w:pPr>
              <w:pStyle w:val="Style1"/>
              <w:tabs>
                <w:tab w:val="left" w:pos="-108"/>
                <w:tab w:val="decimal" w:pos="1212"/>
              </w:tabs>
              <w:rPr>
                <w:sz w:val="20"/>
              </w:rPr>
            </w:pPr>
            <w:r w:rsidRPr="00A454C6">
              <w:rPr>
                <w:sz w:val="20"/>
              </w:rPr>
              <w:tab/>
              <w:t>-</w:t>
            </w:r>
          </w:p>
        </w:tc>
        <w:tc>
          <w:tcPr>
            <w:tcW w:w="1533" w:type="dxa"/>
            <w:tcBorders>
              <w:bottom w:val="single" w:sz="4" w:space="0" w:color="auto"/>
            </w:tcBorders>
          </w:tcPr>
          <w:p w14:paraId="0FE5BE8E" w14:textId="77777777" w:rsidR="00554459" w:rsidRPr="00A454C6" w:rsidRDefault="00554459" w:rsidP="00495559">
            <w:pPr>
              <w:pStyle w:val="Style1"/>
              <w:tabs>
                <w:tab w:val="left" w:pos="-108"/>
                <w:tab w:val="decimal" w:pos="1212"/>
              </w:tabs>
              <w:rPr>
                <w:sz w:val="20"/>
              </w:rPr>
            </w:pPr>
            <w:r w:rsidRPr="00A454C6">
              <w:rPr>
                <w:sz w:val="20"/>
              </w:rPr>
              <w:tab/>
              <w:t>-</w:t>
            </w:r>
          </w:p>
        </w:tc>
        <w:tc>
          <w:tcPr>
            <w:tcW w:w="1533" w:type="dxa"/>
            <w:tcBorders>
              <w:bottom w:val="single" w:sz="4" w:space="0" w:color="auto"/>
            </w:tcBorders>
          </w:tcPr>
          <w:p w14:paraId="7BCC12E4" w14:textId="77777777" w:rsidR="00554459" w:rsidRPr="00A454C6" w:rsidRDefault="00554459" w:rsidP="00495559">
            <w:pPr>
              <w:pStyle w:val="Style1"/>
              <w:tabs>
                <w:tab w:val="left" w:pos="-108"/>
                <w:tab w:val="decimal" w:pos="1212"/>
              </w:tabs>
              <w:rPr>
                <w:sz w:val="20"/>
              </w:rPr>
            </w:pPr>
            <w:r w:rsidRPr="00A454C6">
              <w:rPr>
                <w:sz w:val="20"/>
              </w:rPr>
              <w:tab/>
              <w:t>(1,</w:t>
            </w:r>
            <w:r>
              <w:rPr>
                <w:sz w:val="20"/>
              </w:rPr>
              <w:t xml:space="preserve"> 301,536</w:t>
            </w:r>
            <w:r w:rsidRPr="00A454C6">
              <w:rPr>
                <w:sz w:val="20"/>
              </w:rPr>
              <w:t>)</w:t>
            </w:r>
          </w:p>
        </w:tc>
        <w:tc>
          <w:tcPr>
            <w:tcW w:w="1533" w:type="dxa"/>
            <w:tcBorders>
              <w:bottom w:val="single" w:sz="4" w:space="0" w:color="auto"/>
            </w:tcBorders>
          </w:tcPr>
          <w:p w14:paraId="5EFDB5B4" w14:textId="77777777" w:rsidR="00554459" w:rsidRPr="00A454C6" w:rsidRDefault="00554459" w:rsidP="00495559">
            <w:pPr>
              <w:pStyle w:val="Style1"/>
              <w:tabs>
                <w:tab w:val="left" w:pos="-108"/>
                <w:tab w:val="decimal" w:pos="1212"/>
              </w:tabs>
              <w:jc w:val="right"/>
              <w:rPr>
                <w:sz w:val="20"/>
              </w:rPr>
            </w:pPr>
            <w:r w:rsidRPr="00A454C6">
              <w:rPr>
                <w:sz w:val="20"/>
              </w:rPr>
              <w:tab/>
              <w:t>(1,</w:t>
            </w:r>
            <w:r>
              <w:rPr>
                <w:sz w:val="20"/>
              </w:rPr>
              <w:t>301,536</w:t>
            </w:r>
            <w:r w:rsidRPr="00A454C6">
              <w:rPr>
                <w:sz w:val="20"/>
              </w:rPr>
              <w:t>)</w:t>
            </w:r>
          </w:p>
        </w:tc>
      </w:tr>
      <w:tr w:rsidR="00554459" w:rsidRPr="00A454C6" w14:paraId="7F6472A2" w14:textId="77777777" w:rsidTr="00495559">
        <w:tc>
          <w:tcPr>
            <w:tcW w:w="4536" w:type="dxa"/>
          </w:tcPr>
          <w:p w14:paraId="5320512C" w14:textId="77777777" w:rsidR="00554459" w:rsidRPr="00A454C6" w:rsidRDefault="00554459" w:rsidP="00495559">
            <w:pPr>
              <w:jc w:val="both"/>
              <w:rPr>
                <w:b/>
                <w:u w:val="single"/>
              </w:rPr>
            </w:pPr>
            <w:r w:rsidRPr="00A454C6">
              <w:rPr>
                <w:b/>
              </w:rPr>
              <w:t>Balance, July 31, 201</w:t>
            </w:r>
            <w:r>
              <w:rPr>
                <w:b/>
              </w:rPr>
              <w:t>9</w:t>
            </w:r>
          </w:p>
        </w:tc>
        <w:tc>
          <w:tcPr>
            <w:tcW w:w="1909" w:type="dxa"/>
            <w:tcBorders>
              <w:top w:val="single" w:sz="4" w:space="0" w:color="auto"/>
            </w:tcBorders>
          </w:tcPr>
          <w:p w14:paraId="19D6D695" w14:textId="77777777" w:rsidR="00554459" w:rsidRPr="00A454C6" w:rsidRDefault="00554459" w:rsidP="00495559">
            <w:pPr>
              <w:pStyle w:val="Style1"/>
              <w:tabs>
                <w:tab w:val="left" w:pos="-108"/>
                <w:tab w:val="decimal" w:pos="1212"/>
              </w:tabs>
              <w:rPr>
                <w:sz w:val="20"/>
              </w:rPr>
            </w:pPr>
            <w:r w:rsidRPr="00A454C6">
              <w:rPr>
                <w:sz w:val="20"/>
              </w:rPr>
              <w:tab/>
              <w:t>78,646,890</w:t>
            </w:r>
          </w:p>
        </w:tc>
        <w:tc>
          <w:tcPr>
            <w:tcW w:w="1533" w:type="dxa"/>
            <w:tcBorders>
              <w:top w:val="single" w:sz="4" w:space="0" w:color="auto"/>
            </w:tcBorders>
          </w:tcPr>
          <w:p w14:paraId="61F2E48C" w14:textId="77777777" w:rsidR="00554459" w:rsidRPr="00A454C6" w:rsidRDefault="00554459" w:rsidP="00495559">
            <w:pPr>
              <w:tabs>
                <w:tab w:val="left" w:pos="-108"/>
                <w:tab w:val="decimal" w:pos="1212"/>
              </w:tabs>
            </w:pPr>
            <w:r w:rsidRPr="00A454C6">
              <w:tab/>
              <w:t>19,087,872</w:t>
            </w:r>
          </w:p>
        </w:tc>
        <w:tc>
          <w:tcPr>
            <w:tcW w:w="1533" w:type="dxa"/>
            <w:tcBorders>
              <w:top w:val="single" w:sz="4" w:space="0" w:color="auto"/>
            </w:tcBorders>
          </w:tcPr>
          <w:p w14:paraId="3E36C792" w14:textId="77777777" w:rsidR="00554459" w:rsidRPr="00A454C6" w:rsidRDefault="00554459" w:rsidP="00495559">
            <w:pPr>
              <w:tabs>
                <w:tab w:val="left" w:pos="-108"/>
                <w:tab w:val="decimal" w:pos="1212"/>
              </w:tabs>
            </w:pPr>
            <w:r w:rsidRPr="00A454C6">
              <w:tab/>
              <w:t>1,581,249</w:t>
            </w:r>
          </w:p>
        </w:tc>
        <w:tc>
          <w:tcPr>
            <w:tcW w:w="1533" w:type="dxa"/>
            <w:tcBorders>
              <w:top w:val="single" w:sz="4" w:space="0" w:color="auto"/>
            </w:tcBorders>
          </w:tcPr>
          <w:p w14:paraId="5692F76A" w14:textId="77777777" w:rsidR="00554459" w:rsidRPr="00A454C6" w:rsidRDefault="00554459" w:rsidP="00495559">
            <w:pPr>
              <w:tabs>
                <w:tab w:val="left" w:pos="-108"/>
                <w:tab w:val="decimal" w:pos="1212"/>
              </w:tabs>
            </w:pPr>
            <w:r w:rsidRPr="00A454C6">
              <w:tab/>
              <w:t>(</w:t>
            </w:r>
            <w:r>
              <w:t>17,332,272</w:t>
            </w:r>
            <w:r w:rsidRPr="00A454C6">
              <w:t>)</w:t>
            </w:r>
          </w:p>
        </w:tc>
        <w:tc>
          <w:tcPr>
            <w:tcW w:w="1533" w:type="dxa"/>
            <w:tcBorders>
              <w:top w:val="single" w:sz="4" w:space="0" w:color="auto"/>
            </w:tcBorders>
          </w:tcPr>
          <w:p w14:paraId="5F2A935E" w14:textId="77777777" w:rsidR="00554459" w:rsidRPr="00A454C6" w:rsidRDefault="00554459" w:rsidP="00495559">
            <w:pPr>
              <w:tabs>
                <w:tab w:val="left" w:pos="-108"/>
                <w:tab w:val="decimal" w:pos="1212"/>
              </w:tabs>
              <w:jc w:val="right"/>
            </w:pPr>
            <w:r w:rsidRPr="00A454C6">
              <w:tab/>
            </w:r>
            <w:r>
              <w:t>3,336,849</w:t>
            </w:r>
          </w:p>
        </w:tc>
      </w:tr>
      <w:tr w:rsidR="00554459" w:rsidRPr="00A454C6" w14:paraId="4181E6B1" w14:textId="77777777" w:rsidTr="00495559">
        <w:tc>
          <w:tcPr>
            <w:tcW w:w="4536" w:type="dxa"/>
          </w:tcPr>
          <w:p w14:paraId="4B8EA9DC" w14:textId="77777777" w:rsidR="00554459" w:rsidRPr="00A454C6" w:rsidRDefault="00554459" w:rsidP="00495559">
            <w:pPr>
              <w:pStyle w:val="Style1"/>
              <w:tabs>
                <w:tab w:val="left" w:pos="270"/>
                <w:tab w:val="left" w:pos="450"/>
              </w:tabs>
              <w:rPr>
                <w:sz w:val="20"/>
                <w:u w:val="single"/>
              </w:rPr>
            </w:pPr>
            <w:r w:rsidRPr="00A454C6">
              <w:rPr>
                <w:sz w:val="20"/>
              </w:rPr>
              <w:tab/>
              <w:t xml:space="preserve">Loss for the </w:t>
            </w:r>
            <w:r>
              <w:rPr>
                <w:sz w:val="20"/>
              </w:rPr>
              <w:t>period</w:t>
            </w:r>
          </w:p>
        </w:tc>
        <w:tc>
          <w:tcPr>
            <w:tcW w:w="1909" w:type="dxa"/>
            <w:tcBorders>
              <w:bottom w:val="single" w:sz="4" w:space="0" w:color="auto"/>
            </w:tcBorders>
          </w:tcPr>
          <w:p w14:paraId="3B174440" w14:textId="77777777" w:rsidR="00554459" w:rsidRPr="00A454C6" w:rsidRDefault="00554459" w:rsidP="00495559">
            <w:pPr>
              <w:pStyle w:val="Style1"/>
              <w:tabs>
                <w:tab w:val="left" w:pos="-108"/>
                <w:tab w:val="decimal" w:pos="1212"/>
              </w:tabs>
              <w:rPr>
                <w:sz w:val="20"/>
              </w:rPr>
            </w:pPr>
            <w:r w:rsidRPr="00A454C6">
              <w:rPr>
                <w:sz w:val="20"/>
              </w:rPr>
              <w:tab/>
              <w:t>-</w:t>
            </w:r>
          </w:p>
        </w:tc>
        <w:tc>
          <w:tcPr>
            <w:tcW w:w="1533" w:type="dxa"/>
            <w:tcBorders>
              <w:bottom w:val="single" w:sz="4" w:space="0" w:color="auto"/>
            </w:tcBorders>
          </w:tcPr>
          <w:p w14:paraId="06A2113D" w14:textId="77777777" w:rsidR="00554459" w:rsidRPr="00A454C6" w:rsidRDefault="00554459" w:rsidP="00495559">
            <w:pPr>
              <w:pStyle w:val="Style1"/>
              <w:tabs>
                <w:tab w:val="left" w:pos="-108"/>
                <w:tab w:val="decimal" w:pos="1212"/>
              </w:tabs>
              <w:rPr>
                <w:sz w:val="20"/>
              </w:rPr>
            </w:pPr>
            <w:r w:rsidRPr="00A454C6">
              <w:rPr>
                <w:sz w:val="20"/>
              </w:rPr>
              <w:tab/>
              <w:t>-</w:t>
            </w:r>
          </w:p>
        </w:tc>
        <w:tc>
          <w:tcPr>
            <w:tcW w:w="1533" w:type="dxa"/>
            <w:tcBorders>
              <w:bottom w:val="single" w:sz="4" w:space="0" w:color="auto"/>
            </w:tcBorders>
          </w:tcPr>
          <w:p w14:paraId="127BF74D" w14:textId="77777777" w:rsidR="00554459" w:rsidRPr="00A454C6" w:rsidRDefault="00554459" w:rsidP="00495559">
            <w:pPr>
              <w:pStyle w:val="Style1"/>
              <w:tabs>
                <w:tab w:val="left" w:pos="-108"/>
                <w:tab w:val="decimal" w:pos="1212"/>
              </w:tabs>
              <w:rPr>
                <w:sz w:val="20"/>
              </w:rPr>
            </w:pPr>
            <w:r w:rsidRPr="00A454C6">
              <w:rPr>
                <w:sz w:val="20"/>
              </w:rPr>
              <w:tab/>
              <w:t>-</w:t>
            </w:r>
          </w:p>
        </w:tc>
        <w:tc>
          <w:tcPr>
            <w:tcW w:w="1533" w:type="dxa"/>
            <w:tcBorders>
              <w:bottom w:val="single" w:sz="4" w:space="0" w:color="auto"/>
            </w:tcBorders>
          </w:tcPr>
          <w:p w14:paraId="38CB09E8" w14:textId="77777777" w:rsidR="00554459" w:rsidRPr="00A454C6" w:rsidRDefault="00554459" w:rsidP="00495559">
            <w:pPr>
              <w:pStyle w:val="Style1"/>
              <w:tabs>
                <w:tab w:val="left" w:pos="-108"/>
                <w:tab w:val="decimal" w:pos="1212"/>
              </w:tabs>
              <w:rPr>
                <w:sz w:val="20"/>
              </w:rPr>
            </w:pPr>
            <w:r w:rsidRPr="00A454C6">
              <w:rPr>
                <w:sz w:val="20"/>
              </w:rPr>
              <w:tab/>
              <w:t>(</w:t>
            </w:r>
            <w:r>
              <w:rPr>
                <w:sz w:val="20"/>
              </w:rPr>
              <w:t>100,054</w:t>
            </w:r>
            <w:r w:rsidRPr="00A454C6">
              <w:rPr>
                <w:sz w:val="20"/>
              </w:rPr>
              <w:t>)</w:t>
            </w:r>
          </w:p>
        </w:tc>
        <w:tc>
          <w:tcPr>
            <w:tcW w:w="1533" w:type="dxa"/>
            <w:tcBorders>
              <w:bottom w:val="single" w:sz="4" w:space="0" w:color="auto"/>
            </w:tcBorders>
          </w:tcPr>
          <w:p w14:paraId="6047E751" w14:textId="77777777" w:rsidR="00554459" w:rsidRPr="00A454C6" w:rsidRDefault="00554459" w:rsidP="00495559">
            <w:pPr>
              <w:pStyle w:val="Style1"/>
              <w:tabs>
                <w:tab w:val="left" w:pos="-108"/>
                <w:tab w:val="decimal" w:pos="1212"/>
              </w:tabs>
              <w:jc w:val="right"/>
              <w:rPr>
                <w:sz w:val="20"/>
              </w:rPr>
            </w:pPr>
            <w:r w:rsidRPr="00A454C6">
              <w:rPr>
                <w:sz w:val="20"/>
              </w:rPr>
              <w:tab/>
              <w:t>(</w:t>
            </w:r>
            <w:r>
              <w:rPr>
                <w:sz w:val="20"/>
              </w:rPr>
              <w:t>100,054</w:t>
            </w:r>
            <w:r w:rsidRPr="00A454C6">
              <w:rPr>
                <w:sz w:val="20"/>
              </w:rPr>
              <w:t>)</w:t>
            </w:r>
          </w:p>
        </w:tc>
      </w:tr>
      <w:tr w:rsidR="00554459" w:rsidRPr="00DE3990" w14:paraId="0A88DB62" w14:textId="77777777" w:rsidTr="00495559">
        <w:trPr>
          <w:trHeight w:val="216"/>
        </w:trPr>
        <w:tc>
          <w:tcPr>
            <w:tcW w:w="4536" w:type="dxa"/>
          </w:tcPr>
          <w:p w14:paraId="2F7BED18" w14:textId="77777777" w:rsidR="00554459" w:rsidRPr="00A454C6" w:rsidRDefault="00554459" w:rsidP="00495559">
            <w:pPr>
              <w:jc w:val="both"/>
              <w:rPr>
                <w:b/>
                <w:u w:val="single"/>
              </w:rPr>
            </w:pPr>
            <w:r w:rsidRPr="00A454C6">
              <w:rPr>
                <w:b/>
              </w:rPr>
              <w:t xml:space="preserve">Balance, </w:t>
            </w:r>
            <w:r>
              <w:rPr>
                <w:b/>
              </w:rPr>
              <w:t>October</w:t>
            </w:r>
            <w:r w:rsidRPr="00A454C6">
              <w:rPr>
                <w:b/>
              </w:rPr>
              <w:t xml:space="preserve"> 31, 2019</w:t>
            </w:r>
          </w:p>
        </w:tc>
        <w:tc>
          <w:tcPr>
            <w:tcW w:w="1909" w:type="dxa"/>
            <w:tcBorders>
              <w:bottom w:val="double" w:sz="4" w:space="0" w:color="auto"/>
            </w:tcBorders>
          </w:tcPr>
          <w:p w14:paraId="40436E90" w14:textId="77777777" w:rsidR="00554459" w:rsidRPr="00A454C6" w:rsidRDefault="00554459" w:rsidP="00495559">
            <w:pPr>
              <w:pStyle w:val="Style1"/>
              <w:tabs>
                <w:tab w:val="left" w:pos="-108"/>
                <w:tab w:val="decimal" w:pos="1212"/>
              </w:tabs>
              <w:rPr>
                <w:sz w:val="20"/>
              </w:rPr>
            </w:pPr>
            <w:r w:rsidRPr="00A454C6">
              <w:rPr>
                <w:sz w:val="20"/>
              </w:rPr>
              <w:tab/>
              <w:t>78,646,890</w:t>
            </w:r>
          </w:p>
        </w:tc>
        <w:tc>
          <w:tcPr>
            <w:tcW w:w="1533" w:type="dxa"/>
            <w:tcBorders>
              <w:bottom w:val="double" w:sz="4" w:space="0" w:color="auto"/>
            </w:tcBorders>
          </w:tcPr>
          <w:p w14:paraId="75F550AB" w14:textId="77777777" w:rsidR="00554459" w:rsidRPr="00A454C6" w:rsidRDefault="00554459" w:rsidP="00495559">
            <w:pPr>
              <w:pStyle w:val="Style1"/>
              <w:tabs>
                <w:tab w:val="left" w:pos="-108"/>
                <w:tab w:val="decimal" w:pos="1212"/>
              </w:tabs>
              <w:rPr>
                <w:sz w:val="20"/>
              </w:rPr>
            </w:pPr>
            <w:r w:rsidRPr="00A454C6">
              <w:rPr>
                <w:sz w:val="20"/>
              </w:rPr>
              <w:t>$</w:t>
            </w:r>
            <w:r w:rsidRPr="00A454C6">
              <w:rPr>
                <w:sz w:val="20"/>
              </w:rPr>
              <w:tab/>
              <w:t>19,087,872</w:t>
            </w:r>
          </w:p>
        </w:tc>
        <w:tc>
          <w:tcPr>
            <w:tcW w:w="1533" w:type="dxa"/>
            <w:tcBorders>
              <w:bottom w:val="double" w:sz="4" w:space="0" w:color="auto"/>
            </w:tcBorders>
          </w:tcPr>
          <w:p w14:paraId="5F249F77" w14:textId="77777777" w:rsidR="00554459" w:rsidRPr="00A454C6" w:rsidRDefault="00554459" w:rsidP="00495559">
            <w:pPr>
              <w:pStyle w:val="Style1"/>
              <w:tabs>
                <w:tab w:val="left" w:pos="-108"/>
                <w:tab w:val="decimal" w:pos="1212"/>
              </w:tabs>
              <w:rPr>
                <w:sz w:val="20"/>
              </w:rPr>
            </w:pPr>
            <w:r w:rsidRPr="00A454C6">
              <w:rPr>
                <w:sz w:val="20"/>
              </w:rPr>
              <w:t>$</w:t>
            </w:r>
            <w:r w:rsidRPr="00A454C6">
              <w:rPr>
                <w:sz w:val="20"/>
              </w:rPr>
              <w:tab/>
              <w:t>1,581,249</w:t>
            </w:r>
          </w:p>
        </w:tc>
        <w:tc>
          <w:tcPr>
            <w:tcW w:w="1533" w:type="dxa"/>
            <w:tcBorders>
              <w:bottom w:val="double" w:sz="4" w:space="0" w:color="auto"/>
            </w:tcBorders>
          </w:tcPr>
          <w:p w14:paraId="1B066F13" w14:textId="77777777" w:rsidR="00554459" w:rsidRPr="00A454C6" w:rsidRDefault="00554459" w:rsidP="00495559">
            <w:pPr>
              <w:pStyle w:val="Style1"/>
              <w:tabs>
                <w:tab w:val="left" w:pos="-108"/>
                <w:tab w:val="decimal" w:pos="1212"/>
              </w:tabs>
              <w:rPr>
                <w:sz w:val="20"/>
              </w:rPr>
            </w:pPr>
            <w:r w:rsidRPr="00A454C6">
              <w:rPr>
                <w:sz w:val="20"/>
              </w:rPr>
              <w:t>$</w:t>
            </w:r>
            <w:r w:rsidRPr="00A454C6">
              <w:rPr>
                <w:sz w:val="20"/>
              </w:rPr>
              <w:tab/>
              <w:t>(</w:t>
            </w:r>
            <w:r>
              <w:rPr>
                <w:sz w:val="20"/>
              </w:rPr>
              <w:t>17,432,326</w:t>
            </w:r>
            <w:r w:rsidRPr="00A454C6">
              <w:rPr>
                <w:sz w:val="20"/>
              </w:rPr>
              <w:t>)</w:t>
            </w:r>
          </w:p>
        </w:tc>
        <w:tc>
          <w:tcPr>
            <w:tcW w:w="1533" w:type="dxa"/>
            <w:tcBorders>
              <w:bottom w:val="double" w:sz="4" w:space="0" w:color="auto"/>
            </w:tcBorders>
          </w:tcPr>
          <w:p w14:paraId="60DFF362" w14:textId="77777777" w:rsidR="00554459" w:rsidRPr="00DE3990" w:rsidRDefault="00554459" w:rsidP="00495559">
            <w:pPr>
              <w:pStyle w:val="Style1"/>
              <w:tabs>
                <w:tab w:val="left" w:pos="-108"/>
                <w:tab w:val="decimal" w:pos="1212"/>
              </w:tabs>
              <w:jc w:val="right"/>
              <w:rPr>
                <w:sz w:val="20"/>
              </w:rPr>
            </w:pPr>
            <w:r w:rsidRPr="00A454C6">
              <w:rPr>
                <w:sz w:val="20"/>
              </w:rPr>
              <w:t>$</w:t>
            </w:r>
            <w:r w:rsidRPr="00A454C6">
              <w:rPr>
                <w:sz w:val="20"/>
              </w:rPr>
              <w:tab/>
            </w:r>
            <w:r>
              <w:rPr>
                <w:sz w:val="20"/>
              </w:rPr>
              <w:t>3,236,795</w:t>
            </w:r>
          </w:p>
        </w:tc>
      </w:tr>
      <w:tr w:rsidR="00554459" w:rsidRPr="00DE3990" w14:paraId="0FECC474" w14:textId="77777777" w:rsidTr="00495559">
        <w:tc>
          <w:tcPr>
            <w:tcW w:w="4536" w:type="dxa"/>
          </w:tcPr>
          <w:p w14:paraId="3F54FDD7" w14:textId="77777777" w:rsidR="00554459" w:rsidRPr="00AB2EA8" w:rsidRDefault="00554459" w:rsidP="00495559">
            <w:pPr>
              <w:jc w:val="both"/>
            </w:pPr>
          </w:p>
        </w:tc>
        <w:tc>
          <w:tcPr>
            <w:tcW w:w="1909" w:type="dxa"/>
            <w:tcBorders>
              <w:top w:val="double" w:sz="4" w:space="0" w:color="auto"/>
            </w:tcBorders>
          </w:tcPr>
          <w:p w14:paraId="3A9B06A2" w14:textId="77777777" w:rsidR="00554459" w:rsidRPr="00DE3990" w:rsidRDefault="00554459" w:rsidP="00495559">
            <w:pPr>
              <w:tabs>
                <w:tab w:val="left" w:pos="-108"/>
                <w:tab w:val="decimal" w:pos="1212"/>
              </w:tabs>
              <w:jc w:val="right"/>
              <w:rPr>
                <w:u w:val="double"/>
              </w:rPr>
            </w:pPr>
          </w:p>
        </w:tc>
        <w:tc>
          <w:tcPr>
            <w:tcW w:w="1533" w:type="dxa"/>
            <w:tcBorders>
              <w:top w:val="double" w:sz="4" w:space="0" w:color="auto"/>
            </w:tcBorders>
          </w:tcPr>
          <w:p w14:paraId="685A5369" w14:textId="77777777" w:rsidR="00554459" w:rsidRPr="00DE3990" w:rsidRDefault="00554459" w:rsidP="00495559">
            <w:pPr>
              <w:tabs>
                <w:tab w:val="left" w:pos="-108"/>
                <w:tab w:val="decimal" w:pos="1212"/>
              </w:tabs>
              <w:jc w:val="right"/>
              <w:rPr>
                <w:u w:val="double"/>
              </w:rPr>
            </w:pPr>
          </w:p>
        </w:tc>
        <w:tc>
          <w:tcPr>
            <w:tcW w:w="1533" w:type="dxa"/>
            <w:tcBorders>
              <w:top w:val="double" w:sz="4" w:space="0" w:color="auto"/>
            </w:tcBorders>
          </w:tcPr>
          <w:p w14:paraId="6C3EC5D3" w14:textId="77777777" w:rsidR="00554459" w:rsidRPr="00DE3990" w:rsidRDefault="00554459" w:rsidP="00495559">
            <w:pPr>
              <w:tabs>
                <w:tab w:val="left" w:pos="-108"/>
                <w:tab w:val="decimal" w:pos="1212"/>
              </w:tabs>
              <w:jc w:val="right"/>
              <w:rPr>
                <w:u w:val="double"/>
              </w:rPr>
            </w:pPr>
          </w:p>
        </w:tc>
        <w:tc>
          <w:tcPr>
            <w:tcW w:w="1533" w:type="dxa"/>
            <w:tcBorders>
              <w:top w:val="double" w:sz="4" w:space="0" w:color="auto"/>
            </w:tcBorders>
          </w:tcPr>
          <w:p w14:paraId="3F3811F5" w14:textId="77777777" w:rsidR="00554459" w:rsidRPr="00DE3990" w:rsidRDefault="00554459" w:rsidP="00495559">
            <w:pPr>
              <w:tabs>
                <w:tab w:val="left" w:pos="-108"/>
                <w:tab w:val="decimal" w:pos="1212"/>
              </w:tabs>
              <w:jc w:val="right"/>
              <w:rPr>
                <w:u w:val="double"/>
              </w:rPr>
            </w:pPr>
          </w:p>
        </w:tc>
        <w:tc>
          <w:tcPr>
            <w:tcW w:w="1533" w:type="dxa"/>
            <w:tcBorders>
              <w:top w:val="double" w:sz="4" w:space="0" w:color="auto"/>
            </w:tcBorders>
          </w:tcPr>
          <w:p w14:paraId="6515C9D4" w14:textId="77777777" w:rsidR="00554459" w:rsidRPr="00DE3990" w:rsidRDefault="00554459" w:rsidP="00495559">
            <w:pPr>
              <w:tabs>
                <w:tab w:val="left" w:pos="-108"/>
                <w:tab w:val="decimal" w:pos="1212"/>
              </w:tabs>
              <w:jc w:val="right"/>
              <w:rPr>
                <w:u w:val="double"/>
              </w:rPr>
            </w:pPr>
          </w:p>
        </w:tc>
      </w:tr>
    </w:tbl>
    <w:p w14:paraId="093941FA" w14:textId="77777777" w:rsidR="00554459" w:rsidRPr="00C9168A" w:rsidRDefault="00554459" w:rsidP="00554459">
      <w:pPr>
        <w:rPr>
          <w:sz w:val="22"/>
        </w:rPr>
        <w:sectPr w:rsidR="00554459" w:rsidRPr="00C9168A" w:rsidSect="00495559">
          <w:pgSz w:w="15840" w:h="12240" w:orient="landscape" w:code="1"/>
          <w:pgMar w:top="1684" w:right="1440" w:bottom="1440" w:left="431" w:header="1196" w:footer="431" w:gutter="0"/>
          <w:cols w:space="720"/>
        </w:sectPr>
      </w:pPr>
    </w:p>
    <w:p w14:paraId="74A4D142" w14:textId="77777777" w:rsidR="00554459" w:rsidRPr="00A454C6" w:rsidRDefault="00554459" w:rsidP="00554459">
      <w:pPr>
        <w:rPr>
          <w:b/>
          <w:sz w:val="22"/>
        </w:rPr>
      </w:pPr>
      <w:r w:rsidRPr="00257E04">
        <w:rPr>
          <w:b/>
          <w:sz w:val="22"/>
        </w:rPr>
        <w:lastRenderedPageBreak/>
        <w:t xml:space="preserve">CRUZ </w:t>
      </w:r>
      <w:r w:rsidRPr="00A454C6">
        <w:rPr>
          <w:b/>
          <w:sz w:val="22"/>
        </w:rPr>
        <w:t>COBALT CORP.</w:t>
      </w:r>
    </w:p>
    <w:p w14:paraId="71FCCF14" w14:textId="77777777" w:rsidR="00554459" w:rsidRPr="00A454C6" w:rsidRDefault="00554459" w:rsidP="00554459">
      <w:pPr>
        <w:rPr>
          <w:sz w:val="22"/>
        </w:rPr>
      </w:pPr>
      <w:r w:rsidRPr="00A454C6">
        <w:rPr>
          <w:sz w:val="22"/>
        </w:rPr>
        <w:t xml:space="preserve">NOTES TO THE </w:t>
      </w:r>
      <w:r>
        <w:rPr>
          <w:sz w:val="22"/>
        </w:rPr>
        <w:t>CONDENSED CONSOLIDATED INTERIM</w:t>
      </w:r>
      <w:r w:rsidRPr="00A454C6">
        <w:rPr>
          <w:sz w:val="22"/>
        </w:rPr>
        <w:t xml:space="preserve"> FINANCIAL STATEMENTS</w:t>
      </w:r>
    </w:p>
    <w:p w14:paraId="0AA12715" w14:textId="77777777" w:rsidR="00554459" w:rsidRPr="00A454C6" w:rsidRDefault="00554459" w:rsidP="00554459">
      <w:pPr>
        <w:rPr>
          <w:sz w:val="22"/>
        </w:rPr>
      </w:pPr>
      <w:r w:rsidRPr="00A454C6">
        <w:rPr>
          <w:sz w:val="22"/>
        </w:rPr>
        <w:t>(Expressed in Canadian Dollars)</w:t>
      </w:r>
    </w:p>
    <w:p w14:paraId="63650AFF" w14:textId="77777777" w:rsidR="00554459" w:rsidRPr="000D6BF1" w:rsidRDefault="00554459" w:rsidP="00554459">
      <w:pPr>
        <w:rPr>
          <w:sz w:val="22"/>
        </w:rPr>
      </w:pPr>
      <w:r>
        <w:rPr>
          <w:sz w:val="22"/>
          <w:u w:val="single"/>
        </w:rPr>
        <w:t>October</w:t>
      </w:r>
      <w:r w:rsidRPr="00A454C6">
        <w:rPr>
          <w:sz w:val="22"/>
          <w:u w:val="single"/>
        </w:rPr>
        <w:t xml:space="preserve"> 31, 2019</w:t>
      </w:r>
      <w:r w:rsidRPr="00A454C6">
        <w:rPr>
          <w:sz w:val="22"/>
        </w:rPr>
        <w:t xml:space="preserve"> – Page 1</w:t>
      </w:r>
    </w:p>
    <w:p w14:paraId="3663C595" w14:textId="77777777" w:rsidR="00554459" w:rsidRPr="000D6BF1" w:rsidRDefault="00554459" w:rsidP="00554459">
      <w:pPr>
        <w:pStyle w:val="Style1"/>
        <w:tabs>
          <w:tab w:val="left" w:pos="-1440"/>
          <w:tab w:val="left" w:pos="-720"/>
        </w:tabs>
      </w:pPr>
    </w:p>
    <w:p w14:paraId="2C9FC304" w14:textId="77777777" w:rsidR="00554459" w:rsidRPr="000D6BF1" w:rsidRDefault="00554459" w:rsidP="00367723">
      <w:pPr>
        <w:numPr>
          <w:ilvl w:val="0"/>
          <w:numId w:val="9"/>
        </w:numPr>
        <w:tabs>
          <w:tab w:val="left" w:pos="1080"/>
        </w:tabs>
        <w:jc w:val="both"/>
        <w:rPr>
          <w:b/>
          <w:sz w:val="22"/>
        </w:rPr>
      </w:pPr>
      <w:r w:rsidRPr="000D6BF1">
        <w:rPr>
          <w:b/>
          <w:sz w:val="22"/>
        </w:rPr>
        <w:t>NATURE AND CONTINUANCE OF OPERATIONS</w:t>
      </w:r>
    </w:p>
    <w:p w14:paraId="08093AC9" w14:textId="77777777" w:rsidR="00554459" w:rsidRPr="000D6BF1" w:rsidRDefault="00554459" w:rsidP="00554459">
      <w:pPr>
        <w:tabs>
          <w:tab w:val="left" w:pos="1080"/>
        </w:tabs>
        <w:jc w:val="both"/>
        <w:rPr>
          <w:sz w:val="22"/>
        </w:rPr>
      </w:pPr>
    </w:p>
    <w:p w14:paraId="6520EBB0" w14:textId="77777777" w:rsidR="00554459" w:rsidRPr="00A454C6" w:rsidRDefault="00554459" w:rsidP="00554459">
      <w:pPr>
        <w:pStyle w:val="BodyTextIndent2"/>
      </w:pPr>
      <w:r w:rsidRPr="000D6BF1">
        <w:t>Cruz Cobalt Corp. (the “Company”) is an exploration stage public company</w:t>
      </w:r>
      <w:r>
        <w:t xml:space="preserve"> and is listed on the Canadian Securities</w:t>
      </w:r>
      <w:r w:rsidRPr="000D6BF1">
        <w:t xml:space="preserve"> Exchange (</w:t>
      </w:r>
      <w:r>
        <w:t xml:space="preserve">the </w:t>
      </w:r>
      <w:r w:rsidRPr="000D6BF1">
        <w:t>“</w:t>
      </w:r>
      <w:r>
        <w:t xml:space="preserve">CSE ") </w:t>
      </w:r>
      <w:r w:rsidRPr="000D6BF1">
        <w:t>under the symbol "C</w:t>
      </w:r>
      <w:r>
        <w:t>R</w:t>
      </w:r>
      <w:r w:rsidRPr="000D6BF1">
        <w:t>UZ"</w:t>
      </w:r>
      <w:r>
        <w:t xml:space="preserve">. </w:t>
      </w:r>
      <w:r w:rsidRPr="000D6BF1">
        <w:t>The Company’s principal business activities include acquiring and exploring exploration and evaluation assets</w:t>
      </w:r>
      <w:r w:rsidRPr="00D02513">
        <w:t xml:space="preserve">.  </w:t>
      </w:r>
      <w:r w:rsidRPr="00A454C6">
        <w:t xml:space="preserve">At </w:t>
      </w:r>
      <w:r>
        <w:t>October</w:t>
      </w:r>
      <w:r w:rsidRPr="00A454C6">
        <w:t xml:space="preserve"> 31, 2019, the Company had exploration and evaluation assets located in Canada and the U.S.A. </w:t>
      </w:r>
    </w:p>
    <w:p w14:paraId="3AFEA165" w14:textId="77777777" w:rsidR="00554459" w:rsidRDefault="00554459" w:rsidP="00554459">
      <w:pPr>
        <w:pStyle w:val="BodyTextIndent2"/>
      </w:pPr>
    </w:p>
    <w:p w14:paraId="55826D17" w14:textId="77777777" w:rsidR="00554459" w:rsidRPr="00A454C6" w:rsidRDefault="00554459" w:rsidP="00554459">
      <w:pPr>
        <w:pStyle w:val="BodyTextIndent2"/>
      </w:pPr>
      <w:r w:rsidRPr="00A454C6">
        <w:t>The Company’s head office and principal business address is Suite 1470, 701 West Georgia Street, Vancouver, British Columbia, V7Y 1C6. The Company’s registered and records office is located at 900 – 885 West Georgia Street, Vancouver, British Columbia, V6C 3H1.</w:t>
      </w:r>
    </w:p>
    <w:p w14:paraId="079FFD8D" w14:textId="77777777" w:rsidR="00554459" w:rsidRPr="00A454C6" w:rsidRDefault="00554459" w:rsidP="00554459">
      <w:pPr>
        <w:pStyle w:val="BodyTextIndent2"/>
      </w:pPr>
    </w:p>
    <w:p w14:paraId="1FCEB6CF" w14:textId="77777777" w:rsidR="00554459" w:rsidRDefault="00554459" w:rsidP="00554459">
      <w:pPr>
        <w:pStyle w:val="Header"/>
        <w:tabs>
          <w:tab w:val="clear" w:pos="4320"/>
          <w:tab w:val="clear" w:pos="8640"/>
          <w:tab w:val="left" w:pos="1100"/>
        </w:tabs>
        <w:ind w:left="1080"/>
        <w:jc w:val="both"/>
        <w:rPr>
          <w:sz w:val="22"/>
          <w:lang w:val="en-CA"/>
        </w:rPr>
      </w:pPr>
      <w:r w:rsidRPr="00A454C6">
        <w:rPr>
          <w:sz w:val="22"/>
          <w:lang w:val="en-CA"/>
        </w:rPr>
        <w:t xml:space="preserve">These </w:t>
      </w:r>
      <w:r>
        <w:rPr>
          <w:sz w:val="22"/>
          <w:lang w:val="en-CA"/>
        </w:rPr>
        <w:t>condensed consolidated interim</w:t>
      </w:r>
      <w:r w:rsidRPr="00A454C6">
        <w:rPr>
          <w:sz w:val="22"/>
          <w:lang w:val="en-CA"/>
        </w:rPr>
        <w:t xml:space="preserve"> financial statements have been prepared on a going concern basis, which contemplates continuity of normal business activities and the realization of assets and discharge of liabilities in the normal course of business.  At </w:t>
      </w:r>
      <w:r>
        <w:rPr>
          <w:sz w:val="22"/>
          <w:lang w:val="en-CA"/>
        </w:rPr>
        <w:t>October</w:t>
      </w:r>
      <w:r w:rsidRPr="00A454C6">
        <w:rPr>
          <w:sz w:val="22"/>
          <w:lang w:val="en-CA"/>
        </w:rPr>
        <w:t xml:space="preserve"> 31, 2019, the Company had not yet achieved profitable operations, incurred </w:t>
      </w:r>
      <w:r>
        <w:rPr>
          <w:sz w:val="22"/>
          <w:lang w:val="en-CA"/>
        </w:rPr>
        <w:t xml:space="preserve">a </w:t>
      </w:r>
      <w:r w:rsidRPr="00A454C6">
        <w:rPr>
          <w:sz w:val="22"/>
          <w:lang w:val="en-CA"/>
        </w:rPr>
        <w:t>loss of $</w:t>
      </w:r>
      <w:r>
        <w:rPr>
          <w:sz w:val="22"/>
          <w:lang w:val="en-CA"/>
        </w:rPr>
        <w:t>100,054</w:t>
      </w:r>
      <w:r w:rsidRPr="00A454C6">
        <w:rPr>
          <w:sz w:val="22"/>
          <w:lang w:val="en-CA"/>
        </w:rPr>
        <w:t xml:space="preserve"> during the </w:t>
      </w:r>
      <w:r>
        <w:rPr>
          <w:sz w:val="22"/>
          <w:lang w:val="en-CA"/>
        </w:rPr>
        <w:t>three months</w:t>
      </w:r>
      <w:r w:rsidRPr="00A454C6">
        <w:rPr>
          <w:sz w:val="22"/>
          <w:lang w:val="en-CA"/>
        </w:rPr>
        <w:t xml:space="preserve"> ended </w:t>
      </w:r>
      <w:r>
        <w:rPr>
          <w:sz w:val="22"/>
          <w:lang w:val="en-CA"/>
        </w:rPr>
        <w:t>October</w:t>
      </w:r>
      <w:r w:rsidRPr="00A454C6">
        <w:rPr>
          <w:sz w:val="22"/>
          <w:lang w:val="en-CA"/>
        </w:rPr>
        <w:t xml:space="preserve"> 31, 2019 and had an accumulated deficit of $17,</w:t>
      </w:r>
      <w:r>
        <w:rPr>
          <w:sz w:val="22"/>
          <w:lang w:val="en-CA"/>
        </w:rPr>
        <w:t>4</w:t>
      </w:r>
      <w:r w:rsidRPr="00A454C6">
        <w:rPr>
          <w:sz w:val="22"/>
          <w:lang w:val="en-CA"/>
        </w:rPr>
        <w:t>32,</w:t>
      </w:r>
      <w:r>
        <w:rPr>
          <w:sz w:val="22"/>
          <w:lang w:val="en-CA"/>
        </w:rPr>
        <w:t>3</w:t>
      </w:r>
      <w:r w:rsidRPr="00A454C6">
        <w:rPr>
          <w:sz w:val="22"/>
          <w:lang w:val="en-CA"/>
        </w:rPr>
        <w:t>2</w:t>
      </w:r>
      <w:r>
        <w:rPr>
          <w:sz w:val="22"/>
          <w:lang w:val="en-CA"/>
        </w:rPr>
        <w:t>6</w:t>
      </w:r>
      <w:r w:rsidRPr="00A454C6">
        <w:rPr>
          <w:sz w:val="22"/>
          <w:lang w:val="en-CA"/>
        </w:rPr>
        <w:t xml:space="preserve"> since its inception. The Company expects to incur further losses in the development of its business, all of which may</w:t>
      </w:r>
      <w:r w:rsidRPr="005E6421">
        <w:rPr>
          <w:sz w:val="22"/>
          <w:lang w:val="en-CA"/>
        </w:rPr>
        <w:t xml:space="preserve"> cast substantial doubt on the Company’s ability to continue as a going concern.  The Company may require additional financing in order to conduct the planned work programs on its </w:t>
      </w:r>
      <w:r w:rsidRPr="005E6421">
        <w:rPr>
          <w:sz w:val="22"/>
          <w:szCs w:val="22"/>
        </w:rPr>
        <w:t>exploration and evaluation assets</w:t>
      </w:r>
      <w:r w:rsidRPr="005E6421">
        <w:rPr>
          <w:sz w:val="22"/>
          <w:lang w:val="en-CA"/>
        </w:rPr>
        <w:t xml:space="preserve">, meet its ongoing levels of corporate overhead and discharge its liabilities as they come due.  While the Company has been successful in </w:t>
      </w:r>
      <w:r w:rsidRPr="00F10BB4">
        <w:rPr>
          <w:sz w:val="22"/>
          <w:lang w:val="en-CA"/>
        </w:rPr>
        <w:t xml:space="preserve">securing financings in the past, there is no assurance that it will be able to do so in the future. Accordingly, </w:t>
      </w:r>
      <w:r w:rsidRPr="00A454C6">
        <w:rPr>
          <w:sz w:val="22"/>
          <w:lang w:val="en-CA"/>
        </w:rPr>
        <w:t xml:space="preserve">these </w:t>
      </w:r>
      <w:r>
        <w:rPr>
          <w:sz w:val="22"/>
          <w:lang w:val="en-CA"/>
        </w:rPr>
        <w:t>condensed consolidated interim</w:t>
      </w:r>
      <w:r w:rsidRPr="00A454C6">
        <w:rPr>
          <w:sz w:val="22"/>
          <w:lang w:val="en-CA"/>
        </w:rPr>
        <w:t xml:space="preserve"> financial statements do not give effect to adjustments, if any, that would be necessary should the Company be unable to continue as a going concern.  If the going concern assumption was not used</w:t>
      </w:r>
      <w:r>
        <w:rPr>
          <w:sz w:val="22"/>
          <w:lang w:val="en-CA"/>
        </w:rPr>
        <w:t>,</w:t>
      </w:r>
      <w:r w:rsidRPr="00A454C6">
        <w:rPr>
          <w:sz w:val="22"/>
          <w:lang w:val="en-CA"/>
        </w:rPr>
        <w:t xml:space="preserve"> then the adjustments required to report the Company’s assets and liabilities on a liquidation basis could be material to these </w:t>
      </w:r>
      <w:r>
        <w:rPr>
          <w:sz w:val="22"/>
          <w:lang w:val="en-CA"/>
        </w:rPr>
        <w:t>condensed consolidated interim</w:t>
      </w:r>
      <w:r w:rsidRPr="00F10BB4">
        <w:rPr>
          <w:sz w:val="22"/>
          <w:lang w:val="en-CA"/>
        </w:rPr>
        <w:t xml:space="preserve"> financial statements.</w:t>
      </w:r>
    </w:p>
    <w:p w14:paraId="5847D999" w14:textId="77777777" w:rsidR="00554459" w:rsidRPr="00201F1F" w:rsidRDefault="00554459" w:rsidP="00554459">
      <w:pPr>
        <w:pStyle w:val="BodyTextIndent2"/>
      </w:pPr>
    </w:p>
    <w:p w14:paraId="5773977A" w14:textId="77777777" w:rsidR="00554459" w:rsidRPr="005E1FCE" w:rsidRDefault="00554459" w:rsidP="00554459">
      <w:pPr>
        <w:pStyle w:val="Header"/>
        <w:numPr>
          <w:ilvl w:val="0"/>
          <w:numId w:val="7"/>
        </w:numPr>
        <w:tabs>
          <w:tab w:val="clear" w:pos="1095"/>
          <w:tab w:val="clear" w:pos="4320"/>
          <w:tab w:val="clear" w:pos="8640"/>
          <w:tab w:val="left" w:pos="1100"/>
          <w:tab w:val="num" w:pos="1455"/>
        </w:tabs>
        <w:ind w:left="1440" w:hanging="1080"/>
        <w:rPr>
          <w:b/>
          <w:sz w:val="22"/>
          <w:lang w:val="en-CA"/>
        </w:rPr>
      </w:pPr>
      <w:r w:rsidRPr="005E1FCE">
        <w:rPr>
          <w:b/>
          <w:sz w:val="22"/>
          <w:lang w:val="en-CA"/>
        </w:rPr>
        <w:t>BASIS OF PREPARATION</w:t>
      </w:r>
      <w:r>
        <w:rPr>
          <w:b/>
          <w:sz w:val="22"/>
          <w:lang w:val="en-CA"/>
        </w:rPr>
        <w:t xml:space="preserve"> </w:t>
      </w:r>
    </w:p>
    <w:p w14:paraId="0886F572" w14:textId="77777777" w:rsidR="00554459" w:rsidRDefault="00554459" w:rsidP="00554459">
      <w:pPr>
        <w:pStyle w:val="Header"/>
        <w:tabs>
          <w:tab w:val="clear" w:pos="4320"/>
          <w:tab w:val="clear" w:pos="8640"/>
          <w:tab w:val="left" w:pos="1100"/>
        </w:tabs>
        <w:ind w:left="360"/>
        <w:rPr>
          <w:sz w:val="22"/>
          <w:lang w:val="en-CA"/>
        </w:rPr>
      </w:pPr>
    </w:p>
    <w:p w14:paraId="3C82CCE3" w14:textId="77777777" w:rsidR="00554459" w:rsidRDefault="00554459" w:rsidP="00554459">
      <w:pPr>
        <w:pStyle w:val="Header"/>
        <w:numPr>
          <w:ilvl w:val="1"/>
          <w:numId w:val="7"/>
        </w:numPr>
        <w:tabs>
          <w:tab w:val="clear" w:pos="1080"/>
          <w:tab w:val="clear" w:pos="4320"/>
          <w:tab w:val="clear" w:pos="8640"/>
          <w:tab w:val="left" w:pos="1100"/>
          <w:tab w:val="num" w:pos="1440"/>
        </w:tabs>
        <w:ind w:left="1440"/>
        <w:rPr>
          <w:sz w:val="22"/>
          <w:lang w:val="en-CA"/>
        </w:rPr>
      </w:pPr>
      <w:r>
        <w:rPr>
          <w:sz w:val="22"/>
          <w:lang w:val="en-CA"/>
        </w:rPr>
        <w:t>Statement of Compliance</w:t>
      </w:r>
    </w:p>
    <w:p w14:paraId="00FAFC55" w14:textId="77777777" w:rsidR="00554459" w:rsidRDefault="00554459" w:rsidP="00554459">
      <w:pPr>
        <w:pStyle w:val="Header"/>
        <w:tabs>
          <w:tab w:val="clear" w:pos="4320"/>
          <w:tab w:val="clear" w:pos="8640"/>
          <w:tab w:val="left" w:pos="1100"/>
        </w:tabs>
        <w:ind w:left="1080"/>
        <w:rPr>
          <w:sz w:val="22"/>
          <w:lang w:val="en-CA"/>
        </w:rPr>
      </w:pPr>
    </w:p>
    <w:p w14:paraId="37AEF084" w14:textId="77777777" w:rsidR="00554459" w:rsidRDefault="00554459" w:rsidP="00554459">
      <w:pPr>
        <w:pStyle w:val="Header"/>
        <w:tabs>
          <w:tab w:val="clear" w:pos="4320"/>
          <w:tab w:val="clear" w:pos="8640"/>
          <w:tab w:val="left" w:pos="1100"/>
        </w:tabs>
        <w:ind w:left="1100"/>
        <w:jc w:val="both"/>
        <w:rPr>
          <w:sz w:val="22"/>
          <w:lang w:val="en-CA"/>
        </w:rPr>
      </w:pPr>
      <w:r w:rsidRPr="00634791">
        <w:rPr>
          <w:sz w:val="22"/>
          <w:szCs w:val="22"/>
          <w:lang w:val="en-CA"/>
        </w:rPr>
        <w:t xml:space="preserve">These condensed consolidated interim financial statements of the Company have been prepared in accordance with International Accounting Standard 34 </w:t>
      </w:r>
      <w:r w:rsidRPr="00634791">
        <w:rPr>
          <w:i/>
          <w:sz w:val="22"/>
          <w:szCs w:val="22"/>
          <w:lang w:val="en-CA"/>
        </w:rPr>
        <w:t>Interim Financial Reporting</w:t>
      </w:r>
      <w:r w:rsidRPr="00634791">
        <w:rPr>
          <w:sz w:val="22"/>
          <w:szCs w:val="22"/>
          <w:lang w:val="en-CA"/>
        </w:rPr>
        <w:t xml:space="preserve"> (“IAS34”) as issued by the International Accounting Standards Board (“IASB”). Therefore, these condensed consolidated interim financial statements do not include all of the information required for full annual financial statements, and should be read in conjunction with the Company’s most recently issued audited financial statements for the year ended Ju</w:t>
      </w:r>
      <w:r>
        <w:rPr>
          <w:sz w:val="22"/>
          <w:szCs w:val="22"/>
          <w:lang w:val="en-CA"/>
        </w:rPr>
        <w:t>ly</w:t>
      </w:r>
      <w:r w:rsidRPr="00634791">
        <w:rPr>
          <w:sz w:val="22"/>
          <w:szCs w:val="22"/>
          <w:lang w:val="en-CA"/>
        </w:rPr>
        <w:t xml:space="preserve"> 3</w:t>
      </w:r>
      <w:r>
        <w:rPr>
          <w:sz w:val="22"/>
          <w:szCs w:val="22"/>
          <w:lang w:val="en-CA"/>
        </w:rPr>
        <w:t>1</w:t>
      </w:r>
      <w:r w:rsidRPr="00634791">
        <w:rPr>
          <w:sz w:val="22"/>
          <w:szCs w:val="22"/>
          <w:lang w:val="en-CA"/>
        </w:rPr>
        <w:t>, 201</w:t>
      </w:r>
      <w:r>
        <w:rPr>
          <w:sz w:val="22"/>
          <w:szCs w:val="22"/>
          <w:lang w:val="en-CA"/>
        </w:rPr>
        <w:t>9</w:t>
      </w:r>
      <w:r w:rsidRPr="00634791">
        <w:rPr>
          <w:sz w:val="22"/>
          <w:szCs w:val="22"/>
          <w:lang w:val="en-CA"/>
        </w:rPr>
        <w:t>, which includes information necessary or useful to understanding the Company’s business and financial statement presentation. In particular, the Company’s significant accounting policies, use of judgements and estimates were presented in Note 2 and Note 3 of these audited financial statements, and have been consistently applied in the preparation of these condensed consolidated interim financial statements</w:t>
      </w:r>
      <w:r>
        <w:rPr>
          <w:sz w:val="22"/>
          <w:lang w:val="en-CA"/>
        </w:rPr>
        <w:t xml:space="preserve">.  </w:t>
      </w:r>
    </w:p>
    <w:p w14:paraId="4D4DD52A" w14:textId="77777777" w:rsidR="00554459" w:rsidRDefault="00554459" w:rsidP="00554459">
      <w:pPr>
        <w:pStyle w:val="Header"/>
        <w:tabs>
          <w:tab w:val="clear" w:pos="4320"/>
          <w:tab w:val="clear" w:pos="8640"/>
          <w:tab w:val="left" w:pos="1100"/>
        </w:tabs>
        <w:ind w:left="1100"/>
        <w:jc w:val="both"/>
        <w:rPr>
          <w:sz w:val="22"/>
          <w:lang w:val="en-CA"/>
        </w:rPr>
      </w:pPr>
    </w:p>
    <w:p w14:paraId="3DF79010" w14:textId="77777777" w:rsidR="00554459" w:rsidRDefault="00554459" w:rsidP="00554459">
      <w:pPr>
        <w:pStyle w:val="Header"/>
        <w:tabs>
          <w:tab w:val="clear" w:pos="4320"/>
          <w:tab w:val="clear" w:pos="8640"/>
          <w:tab w:val="left" w:pos="1100"/>
        </w:tabs>
        <w:ind w:left="1100"/>
        <w:jc w:val="both"/>
        <w:rPr>
          <w:sz w:val="22"/>
          <w:lang w:val="en-CA"/>
        </w:rPr>
      </w:pPr>
      <w:r>
        <w:rPr>
          <w:sz w:val="22"/>
          <w:lang w:val="en-CA"/>
        </w:rPr>
        <w:t xml:space="preserve">These condensed consolidated interim financial statements were authorized for issue by the </w:t>
      </w:r>
      <w:r w:rsidRPr="003172AE">
        <w:rPr>
          <w:sz w:val="22"/>
          <w:lang w:val="en-CA"/>
        </w:rPr>
        <w:t xml:space="preserve">Board of </w:t>
      </w:r>
      <w:r w:rsidRPr="004C26EE">
        <w:rPr>
          <w:sz w:val="22"/>
          <w:lang w:val="en-CA"/>
        </w:rPr>
        <w:t xml:space="preserve">Directors </w:t>
      </w:r>
      <w:r w:rsidRPr="00A6575F">
        <w:rPr>
          <w:sz w:val="22"/>
          <w:lang w:val="en-CA"/>
        </w:rPr>
        <w:t>on December 10, 2019.</w:t>
      </w:r>
    </w:p>
    <w:p w14:paraId="5D5E8D8D" w14:textId="77777777" w:rsidR="00554459" w:rsidRDefault="00554459" w:rsidP="00554459">
      <w:pPr>
        <w:spacing w:after="200" w:line="276" w:lineRule="auto"/>
        <w:rPr>
          <w:sz w:val="22"/>
          <w:lang w:val="en-CA"/>
        </w:rPr>
      </w:pPr>
      <w:r>
        <w:rPr>
          <w:sz w:val="22"/>
          <w:lang w:val="en-CA"/>
        </w:rPr>
        <w:br w:type="page"/>
      </w:r>
    </w:p>
    <w:p w14:paraId="0F694EF7" w14:textId="77777777" w:rsidR="00554459" w:rsidRDefault="00554459" w:rsidP="00554459">
      <w:pPr>
        <w:pStyle w:val="Header"/>
        <w:tabs>
          <w:tab w:val="clear" w:pos="4320"/>
          <w:tab w:val="clear" w:pos="8640"/>
          <w:tab w:val="left" w:pos="1100"/>
        </w:tabs>
        <w:ind w:left="1440" w:hanging="1080"/>
        <w:rPr>
          <w:b/>
          <w:sz w:val="22"/>
          <w:lang w:val="en-CA"/>
        </w:rPr>
      </w:pPr>
      <w:r w:rsidRPr="00797BF0">
        <w:rPr>
          <w:b/>
          <w:sz w:val="22"/>
          <w:lang w:val="en-CA"/>
        </w:rPr>
        <w:lastRenderedPageBreak/>
        <w:t>2.</w:t>
      </w:r>
      <w:r>
        <w:rPr>
          <w:b/>
          <w:sz w:val="22"/>
          <w:lang w:val="en-CA"/>
        </w:rPr>
        <w:tab/>
        <w:t>BASIS OF PREPARATION (continued)</w:t>
      </w:r>
    </w:p>
    <w:p w14:paraId="56070D0E" w14:textId="77777777" w:rsidR="00554459" w:rsidRDefault="00554459" w:rsidP="00554459">
      <w:pPr>
        <w:pStyle w:val="Header"/>
        <w:tabs>
          <w:tab w:val="clear" w:pos="4320"/>
          <w:tab w:val="clear" w:pos="8640"/>
          <w:tab w:val="left" w:pos="1100"/>
        </w:tabs>
        <w:ind w:left="1440"/>
        <w:rPr>
          <w:sz w:val="22"/>
          <w:lang w:val="en-CA"/>
        </w:rPr>
      </w:pPr>
    </w:p>
    <w:p w14:paraId="678CBC2F" w14:textId="77777777" w:rsidR="00554459" w:rsidRDefault="00554459" w:rsidP="00367723">
      <w:pPr>
        <w:pStyle w:val="Header"/>
        <w:numPr>
          <w:ilvl w:val="0"/>
          <w:numId w:val="10"/>
        </w:numPr>
        <w:tabs>
          <w:tab w:val="clear" w:pos="4320"/>
          <w:tab w:val="clear" w:pos="8640"/>
          <w:tab w:val="left" w:pos="1100"/>
        </w:tabs>
        <w:rPr>
          <w:sz w:val="22"/>
          <w:lang w:val="en-CA"/>
        </w:rPr>
      </w:pPr>
      <w:r>
        <w:rPr>
          <w:sz w:val="22"/>
          <w:lang w:val="en-CA"/>
        </w:rPr>
        <w:t>Basis of Consolidation</w:t>
      </w:r>
    </w:p>
    <w:p w14:paraId="1D1C38B5" w14:textId="77777777" w:rsidR="00554459" w:rsidRDefault="00554459" w:rsidP="00554459">
      <w:pPr>
        <w:pStyle w:val="Header"/>
        <w:tabs>
          <w:tab w:val="clear" w:pos="4320"/>
          <w:tab w:val="clear" w:pos="8640"/>
          <w:tab w:val="left" w:pos="1100"/>
        </w:tabs>
        <w:ind w:left="1440"/>
        <w:rPr>
          <w:sz w:val="22"/>
          <w:lang w:val="en-CA"/>
        </w:rPr>
      </w:pPr>
    </w:p>
    <w:p w14:paraId="5EB8453A" w14:textId="77777777" w:rsidR="00554459" w:rsidRPr="008617DD" w:rsidRDefault="00554459" w:rsidP="00554459">
      <w:pPr>
        <w:autoSpaceDE w:val="0"/>
        <w:autoSpaceDN w:val="0"/>
        <w:adjustRightInd w:val="0"/>
        <w:ind w:left="1094"/>
        <w:jc w:val="both"/>
        <w:rPr>
          <w:sz w:val="22"/>
          <w:szCs w:val="22"/>
        </w:rPr>
      </w:pPr>
      <w:r w:rsidRPr="00E61072">
        <w:rPr>
          <w:sz w:val="22"/>
          <w:lang w:val="en-CA"/>
        </w:rPr>
        <w:t xml:space="preserve">These </w:t>
      </w:r>
      <w:r>
        <w:rPr>
          <w:sz w:val="22"/>
          <w:lang w:val="en-CA"/>
        </w:rPr>
        <w:t>condensed consolidated interim</w:t>
      </w:r>
      <w:r w:rsidRPr="00E61072">
        <w:rPr>
          <w:sz w:val="22"/>
          <w:lang w:val="en-CA"/>
        </w:rPr>
        <w:t xml:space="preserve"> financial</w:t>
      </w:r>
      <w:r w:rsidRPr="00461A08">
        <w:rPr>
          <w:sz w:val="22"/>
          <w:lang w:val="en-CA"/>
        </w:rPr>
        <w:t xml:space="preserve"> statements</w:t>
      </w:r>
      <w:r>
        <w:rPr>
          <w:sz w:val="22"/>
          <w:lang w:val="en-CA"/>
        </w:rPr>
        <w:t xml:space="preserve"> include the accounts of the Company and its wholly-owned subsidiaries. All inter-company balances, transactions, income and expenses have been eliminated upon consolidation.</w:t>
      </w:r>
    </w:p>
    <w:p w14:paraId="5E44BB3A" w14:textId="77777777" w:rsidR="00554459" w:rsidRDefault="00554459" w:rsidP="00554459">
      <w:pPr>
        <w:pStyle w:val="Header"/>
        <w:tabs>
          <w:tab w:val="clear" w:pos="4320"/>
          <w:tab w:val="clear" w:pos="8640"/>
          <w:tab w:val="left" w:pos="1100"/>
        </w:tabs>
        <w:ind w:left="1440"/>
        <w:rPr>
          <w:sz w:val="22"/>
          <w:lang w:val="en-CA"/>
        </w:rPr>
      </w:pPr>
    </w:p>
    <w:p w14:paraId="0DCF9543" w14:textId="77777777" w:rsidR="00554459" w:rsidRDefault="00554459" w:rsidP="00367723">
      <w:pPr>
        <w:pStyle w:val="Header"/>
        <w:numPr>
          <w:ilvl w:val="0"/>
          <w:numId w:val="10"/>
        </w:numPr>
        <w:tabs>
          <w:tab w:val="clear" w:pos="4320"/>
          <w:tab w:val="clear" w:pos="8640"/>
          <w:tab w:val="left" w:pos="1100"/>
        </w:tabs>
        <w:rPr>
          <w:sz w:val="22"/>
          <w:lang w:val="en-CA"/>
        </w:rPr>
      </w:pPr>
      <w:r>
        <w:rPr>
          <w:sz w:val="22"/>
          <w:lang w:val="en-CA"/>
        </w:rPr>
        <w:t xml:space="preserve">Subsidiaries </w:t>
      </w:r>
    </w:p>
    <w:p w14:paraId="6F9DE21C" w14:textId="77777777" w:rsidR="00554459" w:rsidRDefault="00554459" w:rsidP="00554459">
      <w:pPr>
        <w:pStyle w:val="Header"/>
        <w:tabs>
          <w:tab w:val="clear" w:pos="4320"/>
          <w:tab w:val="clear" w:pos="8640"/>
          <w:tab w:val="left" w:pos="1100"/>
        </w:tabs>
        <w:ind w:left="1080"/>
        <w:rPr>
          <w:sz w:val="22"/>
          <w:lang w:val="en-CA"/>
        </w:rPr>
      </w:pPr>
    </w:p>
    <w:p w14:paraId="16F843E9" w14:textId="77777777" w:rsidR="00554459" w:rsidRDefault="00554459" w:rsidP="00554459">
      <w:pPr>
        <w:pStyle w:val="Header"/>
        <w:tabs>
          <w:tab w:val="clear" w:pos="4320"/>
          <w:tab w:val="clear" w:pos="8640"/>
          <w:tab w:val="left" w:pos="1100"/>
        </w:tabs>
        <w:ind w:left="1094"/>
        <w:jc w:val="both"/>
        <w:rPr>
          <w:sz w:val="22"/>
          <w:lang w:val="en-CA"/>
        </w:rPr>
      </w:pPr>
      <w:r w:rsidRPr="00020278">
        <w:rPr>
          <w:sz w:val="22"/>
          <w:szCs w:val="22"/>
          <w:lang w:val="en-CA"/>
        </w:rPr>
        <w:t xml:space="preserve">Subsidiaries are entities controlled by the Company. Control exists when the Company has power over an investee, when the Company is exposed, or has rights, to variable returns from the investee and when the Company has the ability to affect those returns through its power over the investee. Subsidiaries are included in </w:t>
      </w:r>
      <w:r w:rsidRPr="00461A08">
        <w:rPr>
          <w:sz w:val="22"/>
          <w:szCs w:val="22"/>
          <w:lang w:val="en-CA"/>
        </w:rPr>
        <w:t xml:space="preserve">the </w:t>
      </w:r>
      <w:r>
        <w:rPr>
          <w:sz w:val="22"/>
          <w:szCs w:val="22"/>
          <w:lang w:val="en-CA"/>
        </w:rPr>
        <w:t xml:space="preserve">consolidated </w:t>
      </w:r>
      <w:r w:rsidRPr="00461A08">
        <w:rPr>
          <w:sz w:val="22"/>
          <w:szCs w:val="22"/>
          <w:lang w:val="en-CA"/>
        </w:rPr>
        <w:t>financial results</w:t>
      </w:r>
      <w:r w:rsidRPr="00020278">
        <w:rPr>
          <w:sz w:val="22"/>
          <w:szCs w:val="22"/>
          <w:lang w:val="en-CA"/>
        </w:rPr>
        <w:t xml:space="preserve"> of the Company from the effective date of acquisition up to the effective date of disposition or loss of control. Where necessary, adjustments are made to the financial statements of subsidiaries to bring their accounting policies into line with those used by the Company</w:t>
      </w:r>
      <w:r>
        <w:rPr>
          <w:sz w:val="22"/>
          <w:lang w:val="en-CA"/>
        </w:rPr>
        <w:t>.</w:t>
      </w:r>
    </w:p>
    <w:p w14:paraId="4D51FF4F" w14:textId="77777777" w:rsidR="00554459" w:rsidRDefault="00554459" w:rsidP="00554459">
      <w:pPr>
        <w:pStyle w:val="Header"/>
        <w:tabs>
          <w:tab w:val="clear" w:pos="4320"/>
          <w:tab w:val="clear" w:pos="8640"/>
          <w:tab w:val="left" w:pos="1100"/>
        </w:tabs>
        <w:ind w:left="1094"/>
        <w:jc w:val="both"/>
        <w:rPr>
          <w:sz w:val="22"/>
          <w:lang w:val="en-CA"/>
        </w:rPr>
      </w:pPr>
    </w:p>
    <w:p w14:paraId="5DBC6658" w14:textId="77777777" w:rsidR="00554459" w:rsidRPr="00E61072" w:rsidRDefault="00554459" w:rsidP="00554459">
      <w:pPr>
        <w:pStyle w:val="Header"/>
        <w:tabs>
          <w:tab w:val="clear" w:pos="4320"/>
          <w:tab w:val="clear" w:pos="8640"/>
          <w:tab w:val="left" w:pos="1100"/>
        </w:tabs>
        <w:ind w:left="1094"/>
        <w:jc w:val="both"/>
        <w:rPr>
          <w:sz w:val="22"/>
          <w:lang w:val="en-CA"/>
        </w:rPr>
      </w:pPr>
      <w:r w:rsidRPr="00582F80">
        <w:rPr>
          <w:sz w:val="22"/>
          <w:lang w:val="en-CA"/>
        </w:rPr>
        <w:t xml:space="preserve">The principal subsidiaries of </w:t>
      </w:r>
      <w:r w:rsidRPr="00582F80">
        <w:rPr>
          <w:sz w:val="22"/>
          <w:szCs w:val="22"/>
          <w:lang w:val="en-CA"/>
        </w:rPr>
        <w:t xml:space="preserve">the Company </w:t>
      </w:r>
      <w:r w:rsidRPr="00E61072">
        <w:rPr>
          <w:sz w:val="22"/>
          <w:szCs w:val="22"/>
          <w:lang w:val="en-CA"/>
        </w:rPr>
        <w:t xml:space="preserve">as of </w:t>
      </w:r>
      <w:r>
        <w:rPr>
          <w:sz w:val="22"/>
          <w:szCs w:val="22"/>
        </w:rPr>
        <w:t>October</w:t>
      </w:r>
      <w:r w:rsidRPr="00E61072">
        <w:rPr>
          <w:sz w:val="22"/>
          <w:szCs w:val="22"/>
        </w:rPr>
        <w:t xml:space="preserve"> 31, 2019 </w:t>
      </w:r>
      <w:r w:rsidRPr="00E61072">
        <w:rPr>
          <w:sz w:val="22"/>
          <w:szCs w:val="22"/>
          <w:lang w:val="en-CA"/>
        </w:rPr>
        <w:t>are as follows:</w:t>
      </w:r>
    </w:p>
    <w:p w14:paraId="1FAF2659" w14:textId="77777777" w:rsidR="00554459" w:rsidRPr="00E61072" w:rsidRDefault="00554459" w:rsidP="00554459">
      <w:pPr>
        <w:pStyle w:val="Header"/>
        <w:tabs>
          <w:tab w:val="clear" w:pos="4320"/>
          <w:tab w:val="clear" w:pos="8640"/>
          <w:tab w:val="left" w:pos="1100"/>
        </w:tabs>
        <w:ind w:left="1440"/>
        <w:jc w:val="both"/>
        <w:rPr>
          <w:sz w:val="22"/>
          <w:lang w:val="en-CA"/>
        </w:rPr>
      </w:pPr>
    </w:p>
    <w:tbl>
      <w:tblPr>
        <w:tblW w:w="9663" w:type="dxa"/>
        <w:tblInd w:w="435" w:type="dxa"/>
        <w:tblLayout w:type="fixed"/>
        <w:tblLook w:val="01E0" w:firstRow="1" w:lastRow="1" w:firstColumn="1" w:lastColumn="1" w:noHBand="0" w:noVBand="0"/>
      </w:tblPr>
      <w:tblGrid>
        <w:gridCol w:w="3276"/>
        <w:gridCol w:w="1986"/>
        <w:gridCol w:w="1559"/>
        <w:gridCol w:w="1582"/>
        <w:gridCol w:w="1260"/>
      </w:tblGrid>
      <w:tr w:rsidR="00554459" w:rsidRPr="00582F80" w14:paraId="52B06B62" w14:textId="77777777" w:rsidTr="00495559">
        <w:trPr>
          <w:trHeight w:val="255"/>
        </w:trPr>
        <w:tc>
          <w:tcPr>
            <w:tcW w:w="3276" w:type="dxa"/>
            <w:tcBorders>
              <w:bottom w:val="single" w:sz="4" w:space="0" w:color="auto"/>
            </w:tcBorders>
          </w:tcPr>
          <w:p w14:paraId="1D5ED8C9" w14:textId="77777777" w:rsidR="00554459" w:rsidRPr="00E61072" w:rsidRDefault="00554459" w:rsidP="00495559">
            <w:pPr>
              <w:tabs>
                <w:tab w:val="left" w:pos="1080"/>
              </w:tabs>
              <w:jc w:val="both"/>
              <w:rPr>
                <w:b/>
                <w:sz w:val="22"/>
              </w:rPr>
            </w:pPr>
          </w:p>
          <w:p w14:paraId="5AAF5030" w14:textId="77777777" w:rsidR="00554459" w:rsidRPr="00E61072" w:rsidRDefault="00554459" w:rsidP="00495559">
            <w:pPr>
              <w:tabs>
                <w:tab w:val="left" w:pos="1080"/>
              </w:tabs>
              <w:jc w:val="both"/>
              <w:rPr>
                <w:b/>
                <w:sz w:val="22"/>
              </w:rPr>
            </w:pPr>
          </w:p>
          <w:p w14:paraId="12A431FC" w14:textId="77777777" w:rsidR="00554459" w:rsidRPr="00E61072" w:rsidRDefault="00554459" w:rsidP="00495559">
            <w:pPr>
              <w:tabs>
                <w:tab w:val="left" w:pos="1080"/>
              </w:tabs>
              <w:jc w:val="both"/>
              <w:rPr>
                <w:b/>
                <w:sz w:val="22"/>
              </w:rPr>
            </w:pPr>
          </w:p>
          <w:p w14:paraId="401E3D48" w14:textId="77777777" w:rsidR="00554459" w:rsidRPr="00E61072" w:rsidRDefault="00554459" w:rsidP="00495559">
            <w:pPr>
              <w:tabs>
                <w:tab w:val="left" w:pos="1080"/>
              </w:tabs>
              <w:jc w:val="both"/>
              <w:rPr>
                <w:b/>
                <w:sz w:val="22"/>
              </w:rPr>
            </w:pPr>
            <w:r w:rsidRPr="00E61072">
              <w:rPr>
                <w:b/>
                <w:sz w:val="22"/>
              </w:rPr>
              <w:t>Name of subsidiary</w:t>
            </w:r>
          </w:p>
        </w:tc>
        <w:tc>
          <w:tcPr>
            <w:tcW w:w="1986" w:type="dxa"/>
            <w:tcBorders>
              <w:bottom w:val="single" w:sz="4" w:space="0" w:color="auto"/>
            </w:tcBorders>
          </w:tcPr>
          <w:p w14:paraId="6321B77D" w14:textId="77777777" w:rsidR="00554459" w:rsidRPr="00E61072" w:rsidRDefault="00554459" w:rsidP="00495559">
            <w:pPr>
              <w:tabs>
                <w:tab w:val="left" w:pos="1080"/>
              </w:tabs>
              <w:jc w:val="center"/>
              <w:rPr>
                <w:b/>
                <w:sz w:val="22"/>
              </w:rPr>
            </w:pPr>
          </w:p>
          <w:p w14:paraId="1F89296D" w14:textId="77777777" w:rsidR="00554459" w:rsidRPr="00E61072" w:rsidRDefault="00554459" w:rsidP="00495559">
            <w:pPr>
              <w:tabs>
                <w:tab w:val="left" w:pos="1080"/>
              </w:tabs>
              <w:jc w:val="center"/>
              <w:rPr>
                <w:b/>
                <w:sz w:val="22"/>
              </w:rPr>
            </w:pPr>
          </w:p>
          <w:p w14:paraId="6C070D77" w14:textId="77777777" w:rsidR="00554459" w:rsidRPr="00E61072" w:rsidRDefault="00554459" w:rsidP="00495559">
            <w:pPr>
              <w:tabs>
                <w:tab w:val="left" w:pos="1080"/>
              </w:tabs>
              <w:jc w:val="center"/>
              <w:rPr>
                <w:b/>
                <w:sz w:val="22"/>
              </w:rPr>
            </w:pPr>
          </w:p>
          <w:p w14:paraId="659C8A62" w14:textId="77777777" w:rsidR="00554459" w:rsidRPr="00E61072" w:rsidRDefault="00554459" w:rsidP="00495559">
            <w:pPr>
              <w:tabs>
                <w:tab w:val="left" w:pos="1080"/>
              </w:tabs>
              <w:jc w:val="center"/>
              <w:rPr>
                <w:b/>
                <w:sz w:val="22"/>
              </w:rPr>
            </w:pPr>
            <w:r w:rsidRPr="00E61072">
              <w:rPr>
                <w:b/>
                <w:sz w:val="22"/>
              </w:rPr>
              <w:t>Principal activity</w:t>
            </w:r>
          </w:p>
        </w:tc>
        <w:tc>
          <w:tcPr>
            <w:tcW w:w="1559" w:type="dxa"/>
            <w:tcBorders>
              <w:bottom w:val="single" w:sz="4" w:space="0" w:color="auto"/>
            </w:tcBorders>
          </w:tcPr>
          <w:p w14:paraId="4175D10E" w14:textId="77777777" w:rsidR="00554459" w:rsidRPr="00E61072" w:rsidRDefault="00554459" w:rsidP="00495559">
            <w:pPr>
              <w:tabs>
                <w:tab w:val="left" w:pos="1080"/>
              </w:tabs>
              <w:rPr>
                <w:b/>
                <w:sz w:val="22"/>
              </w:rPr>
            </w:pPr>
          </w:p>
          <w:p w14:paraId="5FE1DECD" w14:textId="77777777" w:rsidR="00554459" w:rsidRPr="00E61072" w:rsidRDefault="00554459" w:rsidP="00495559">
            <w:pPr>
              <w:tabs>
                <w:tab w:val="left" w:pos="1080"/>
              </w:tabs>
              <w:rPr>
                <w:b/>
                <w:sz w:val="22"/>
              </w:rPr>
            </w:pPr>
          </w:p>
          <w:p w14:paraId="772D3AB5" w14:textId="77777777" w:rsidR="00554459" w:rsidRPr="00E61072" w:rsidRDefault="00554459" w:rsidP="00495559">
            <w:pPr>
              <w:tabs>
                <w:tab w:val="left" w:pos="1080"/>
              </w:tabs>
              <w:rPr>
                <w:b/>
                <w:sz w:val="22"/>
              </w:rPr>
            </w:pPr>
            <w:r w:rsidRPr="00E61072">
              <w:rPr>
                <w:b/>
                <w:sz w:val="22"/>
              </w:rPr>
              <w:t>Place of</w:t>
            </w:r>
          </w:p>
          <w:p w14:paraId="1D322299" w14:textId="77777777" w:rsidR="00554459" w:rsidRPr="00E61072" w:rsidRDefault="00554459" w:rsidP="00495559">
            <w:pPr>
              <w:tabs>
                <w:tab w:val="left" w:pos="1080"/>
              </w:tabs>
              <w:jc w:val="center"/>
              <w:rPr>
                <w:sz w:val="22"/>
                <w:u w:val="single"/>
              </w:rPr>
            </w:pPr>
            <w:r w:rsidRPr="00E61072">
              <w:rPr>
                <w:b/>
                <w:sz w:val="22"/>
              </w:rPr>
              <w:t>Incorporation</w:t>
            </w:r>
          </w:p>
        </w:tc>
        <w:tc>
          <w:tcPr>
            <w:tcW w:w="1582" w:type="dxa"/>
            <w:tcBorders>
              <w:bottom w:val="single" w:sz="4" w:space="0" w:color="auto"/>
            </w:tcBorders>
          </w:tcPr>
          <w:p w14:paraId="27661057" w14:textId="77777777" w:rsidR="00554459" w:rsidRPr="00E61072" w:rsidRDefault="00554459" w:rsidP="00495559">
            <w:pPr>
              <w:tabs>
                <w:tab w:val="left" w:pos="1080"/>
              </w:tabs>
              <w:jc w:val="center"/>
              <w:rPr>
                <w:b/>
                <w:sz w:val="22"/>
              </w:rPr>
            </w:pPr>
            <w:r w:rsidRPr="00E61072">
              <w:rPr>
                <w:b/>
                <w:sz w:val="22"/>
              </w:rPr>
              <w:t>Ownership</w:t>
            </w:r>
          </w:p>
          <w:p w14:paraId="118D9B65" w14:textId="77777777" w:rsidR="00554459" w:rsidRPr="00E61072" w:rsidRDefault="00554459" w:rsidP="00495559">
            <w:pPr>
              <w:tabs>
                <w:tab w:val="left" w:pos="1080"/>
              </w:tabs>
              <w:jc w:val="center"/>
              <w:rPr>
                <w:b/>
                <w:sz w:val="22"/>
              </w:rPr>
            </w:pPr>
            <w:r w:rsidRPr="00E61072">
              <w:rPr>
                <w:b/>
                <w:sz w:val="22"/>
              </w:rPr>
              <w:t>Interest</w:t>
            </w:r>
          </w:p>
          <w:p w14:paraId="008F379B" w14:textId="77777777" w:rsidR="00554459" w:rsidRPr="00E61072" w:rsidRDefault="00554459" w:rsidP="00495559">
            <w:pPr>
              <w:tabs>
                <w:tab w:val="left" w:pos="1080"/>
              </w:tabs>
              <w:jc w:val="center"/>
              <w:rPr>
                <w:b/>
                <w:sz w:val="22"/>
              </w:rPr>
            </w:pPr>
            <w:r>
              <w:rPr>
                <w:b/>
                <w:sz w:val="22"/>
              </w:rPr>
              <w:t>October</w:t>
            </w:r>
            <w:r w:rsidRPr="00E61072">
              <w:rPr>
                <w:b/>
                <w:sz w:val="22"/>
              </w:rPr>
              <w:t xml:space="preserve"> 31,</w:t>
            </w:r>
          </w:p>
          <w:p w14:paraId="1154D47B" w14:textId="77777777" w:rsidR="00554459" w:rsidRPr="00E61072" w:rsidRDefault="00554459" w:rsidP="00495559">
            <w:pPr>
              <w:tabs>
                <w:tab w:val="left" w:pos="1080"/>
              </w:tabs>
              <w:jc w:val="center"/>
              <w:rPr>
                <w:b/>
                <w:sz w:val="22"/>
              </w:rPr>
            </w:pPr>
            <w:r w:rsidRPr="00E61072">
              <w:rPr>
                <w:b/>
                <w:sz w:val="22"/>
              </w:rPr>
              <w:t>2019</w:t>
            </w:r>
          </w:p>
        </w:tc>
        <w:tc>
          <w:tcPr>
            <w:tcW w:w="1260" w:type="dxa"/>
            <w:tcBorders>
              <w:bottom w:val="single" w:sz="4" w:space="0" w:color="auto"/>
            </w:tcBorders>
          </w:tcPr>
          <w:p w14:paraId="7E683BBD" w14:textId="77777777" w:rsidR="00554459" w:rsidRPr="00E61072" w:rsidRDefault="00554459" w:rsidP="00495559">
            <w:pPr>
              <w:tabs>
                <w:tab w:val="left" w:pos="1080"/>
              </w:tabs>
              <w:jc w:val="center"/>
              <w:rPr>
                <w:b/>
                <w:sz w:val="22"/>
              </w:rPr>
            </w:pPr>
            <w:r w:rsidRPr="00E61072">
              <w:rPr>
                <w:b/>
                <w:sz w:val="22"/>
              </w:rPr>
              <w:t>Ownership</w:t>
            </w:r>
          </w:p>
          <w:p w14:paraId="7FC8AAD2" w14:textId="77777777" w:rsidR="00554459" w:rsidRPr="00E61072" w:rsidRDefault="00554459" w:rsidP="00495559">
            <w:pPr>
              <w:tabs>
                <w:tab w:val="left" w:pos="1080"/>
              </w:tabs>
              <w:jc w:val="center"/>
              <w:rPr>
                <w:b/>
                <w:sz w:val="22"/>
              </w:rPr>
            </w:pPr>
            <w:r w:rsidRPr="00E61072">
              <w:rPr>
                <w:b/>
                <w:sz w:val="22"/>
              </w:rPr>
              <w:t>Interest</w:t>
            </w:r>
          </w:p>
          <w:p w14:paraId="504E24C3" w14:textId="77777777" w:rsidR="00554459" w:rsidRPr="00E61072" w:rsidRDefault="00554459" w:rsidP="00495559">
            <w:pPr>
              <w:tabs>
                <w:tab w:val="left" w:pos="1080"/>
              </w:tabs>
              <w:jc w:val="center"/>
              <w:rPr>
                <w:b/>
                <w:sz w:val="22"/>
              </w:rPr>
            </w:pPr>
            <w:r w:rsidRPr="00E61072">
              <w:rPr>
                <w:b/>
                <w:sz w:val="22"/>
              </w:rPr>
              <w:t>July 31,</w:t>
            </w:r>
          </w:p>
          <w:p w14:paraId="60E52B06" w14:textId="77777777" w:rsidR="00554459" w:rsidRPr="00582F80" w:rsidRDefault="00554459" w:rsidP="00495559">
            <w:pPr>
              <w:tabs>
                <w:tab w:val="left" w:pos="1080"/>
              </w:tabs>
              <w:jc w:val="center"/>
              <w:rPr>
                <w:b/>
                <w:sz w:val="22"/>
              </w:rPr>
            </w:pPr>
            <w:r w:rsidRPr="00E61072">
              <w:rPr>
                <w:b/>
                <w:sz w:val="22"/>
              </w:rPr>
              <w:t>201</w:t>
            </w:r>
            <w:r>
              <w:rPr>
                <w:b/>
                <w:sz w:val="22"/>
              </w:rPr>
              <w:t>9</w:t>
            </w:r>
          </w:p>
        </w:tc>
      </w:tr>
      <w:tr w:rsidR="00554459" w:rsidRPr="00582F80" w14:paraId="3A393938" w14:textId="77777777" w:rsidTr="00495559">
        <w:trPr>
          <w:trHeight w:val="255"/>
        </w:trPr>
        <w:tc>
          <w:tcPr>
            <w:tcW w:w="3276" w:type="dxa"/>
            <w:tcBorders>
              <w:top w:val="single" w:sz="4" w:space="0" w:color="auto"/>
            </w:tcBorders>
          </w:tcPr>
          <w:p w14:paraId="55145F26" w14:textId="77777777" w:rsidR="00554459" w:rsidRPr="00582F80" w:rsidRDefault="00554459" w:rsidP="00495559">
            <w:pPr>
              <w:tabs>
                <w:tab w:val="left" w:pos="1080"/>
              </w:tabs>
              <w:jc w:val="both"/>
              <w:rPr>
                <w:sz w:val="22"/>
              </w:rPr>
            </w:pPr>
          </w:p>
        </w:tc>
        <w:tc>
          <w:tcPr>
            <w:tcW w:w="1986" w:type="dxa"/>
            <w:tcBorders>
              <w:top w:val="single" w:sz="4" w:space="0" w:color="auto"/>
            </w:tcBorders>
          </w:tcPr>
          <w:p w14:paraId="099318C3" w14:textId="77777777" w:rsidR="00554459" w:rsidRPr="00582F80" w:rsidRDefault="00554459" w:rsidP="00495559">
            <w:pPr>
              <w:tabs>
                <w:tab w:val="left" w:pos="1080"/>
              </w:tabs>
              <w:jc w:val="both"/>
              <w:rPr>
                <w:sz w:val="22"/>
              </w:rPr>
            </w:pPr>
          </w:p>
        </w:tc>
        <w:tc>
          <w:tcPr>
            <w:tcW w:w="1559" w:type="dxa"/>
            <w:tcBorders>
              <w:top w:val="single" w:sz="4" w:space="0" w:color="auto"/>
            </w:tcBorders>
          </w:tcPr>
          <w:p w14:paraId="6B29B027" w14:textId="77777777" w:rsidR="00554459" w:rsidRPr="00582F80" w:rsidRDefault="00554459" w:rsidP="00495559">
            <w:pPr>
              <w:tabs>
                <w:tab w:val="left" w:pos="1080"/>
              </w:tabs>
              <w:jc w:val="both"/>
              <w:rPr>
                <w:sz w:val="22"/>
              </w:rPr>
            </w:pPr>
          </w:p>
        </w:tc>
        <w:tc>
          <w:tcPr>
            <w:tcW w:w="1582" w:type="dxa"/>
            <w:tcBorders>
              <w:top w:val="single" w:sz="4" w:space="0" w:color="auto"/>
            </w:tcBorders>
          </w:tcPr>
          <w:p w14:paraId="3957B4AA" w14:textId="77777777" w:rsidR="00554459" w:rsidRPr="00582F80" w:rsidRDefault="00554459" w:rsidP="00495559">
            <w:pPr>
              <w:tabs>
                <w:tab w:val="left" w:pos="1080"/>
              </w:tabs>
              <w:jc w:val="both"/>
              <w:rPr>
                <w:sz w:val="22"/>
              </w:rPr>
            </w:pPr>
          </w:p>
        </w:tc>
        <w:tc>
          <w:tcPr>
            <w:tcW w:w="1260" w:type="dxa"/>
            <w:tcBorders>
              <w:top w:val="single" w:sz="4" w:space="0" w:color="auto"/>
            </w:tcBorders>
          </w:tcPr>
          <w:p w14:paraId="74BAB832" w14:textId="77777777" w:rsidR="00554459" w:rsidRPr="00582F80" w:rsidRDefault="00554459" w:rsidP="00495559">
            <w:pPr>
              <w:tabs>
                <w:tab w:val="left" w:pos="1080"/>
              </w:tabs>
              <w:jc w:val="both"/>
              <w:rPr>
                <w:sz w:val="22"/>
              </w:rPr>
            </w:pPr>
          </w:p>
        </w:tc>
      </w:tr>
      <w:tr w:rsidR="00554459" w:rsidRPr="00582F80" w14:paraId="42B3613B" w14:textId="77777777" w:rsidTr="00495559">
        <w:trPr>
          <w:trHeight w:val="255"/>
        </w:trPr>
        <w:tc>
          <w:tcPr>
            <w:tcW w:w="3276" w:type="dxa"/>
          </w:tcPr>
          <w:p w14:paraId="4054F847" w14:textId="77777777" w:rsidR="00554459" w:rsidRPr="00582F80" w:rsidRDefault="00554459" w:rsidP="00495559">
            <w:pPr>
              <w:autoSpaceDE w:val="0"/>
              <w:autoSpaceDN w:val="0"/>
              <w:adjustRightInd w:val="0"/>
              <w:jc w:val="both"/>
              <w:rPr>
                <w:bCs/>
                <w:iCs/>
                <w:sz w:val="22"/>
                <w:szCs w:val="22"/>
              </w:rPr>
            </w:pPr>
            <w:r w:rsidRPr="00582F80">
              <w:rPr>
                <w:bCs/>
                <w:iCs/>
                <w:sz w:val="22"/>
                <w:szCs w:val="22"/>
              </w:rPr>
              <w:t>Cobalt Locaters Inc.</w:t>
            </w:r>
          </w:p>
        </w:tc>
        <w:tc>
          <w:tcPr>
            <w:tcW w:w="1986" w:type="dxa"/>
          </w:tcPr>
          <w:p w14:paraId="16C59AF4" w14:textId="77777777" w:rsidR="00554459" w:rsidRPr="00582F80" w:rsidRDefault="00554459" w:rsidP="00495559">
            <w:pPr>
              <w:tabs>
                <w:tab w:val="left" w:pos="0"/>
                <w:tab w:val="decimal" w:pos="1242"/>
              </w:tabs>
              <w:jc w:val="center"/>
              <w:rPr>
                <w:sz w:val="22"/>
              </w:rPr>
            </w:pPr>
            <w:r w:rsidRPr="00582F80">
              <w:rPr>
                <w:sz w:val="22"/>
              </w:rPr>
              <w:t>Holding company</w:t>
            </w:r>
          </w:p>
        </w:tc>
        <w:tc>
          <w:tcPr>
            <w:tcW w:w="1559" w:type="dxa"/>
          </w:tcPr>
          <w:p w14:paraId="35D65058" w14:textId="77777777" w:rsidR="00554459" w:rsidRPr="00582F80" w:rsidRDefault="00554459" w:rsidP="00495559">
            <w:pPr>
              <w:tabs>
                <w:tab w:val="left" w:pos="0"/>
                <w:tab w:val="decimal" w:pos="1242"/>
              </w:tabs>
              <w:rPr>
                <w:sz w:val="22"/>
              </w:rPr>
            </w:pPr>
            <w:r w:rsidRPr="00582F80">
              <w:rPr>
                <w:sz w:val="22"/>
              </w:rPr>
              <w:t>Canada</w:t>
            </w:r>
          </w:p>
        </w:tc>
        <w:tc>
          <w:tcPr>
            <w:tcW w:w="1582" w:type="dxa"/>
          </w:tcPr>
          <w:p w14:paraId="79D5014E" w14:textId="77777777" w:rsidR="00554459" w:rsidRPr="00582F80" w:rsidRDefault="00554459" w:rsidP="00495559">
            <w:pPr>
              <w:tabs>
                <w:tab w:val="left" w:pos="0"/>
                <w:tab w:val="decimal" w:pos="1242"/>
              </w:tabs>
              <w:jc w:val="center"/>
              <w:rPr>
                <w:sz w:val="22"/>
              </w:rPr>
            </w:pPr>
            <w:r w:rsidRPr="00582F80">
              <w:rPr>
                <w:sz w:val="22"/>
              </w:rPr>
              <w:t>100%</w:t>
            </w:r>
          </w:p>
        </w:tc>
        <w:tc>
          <w:tcPr>
            <w:tcW w:w="1260" w:type="dxa"/>
          </w:tcPr>
          <w:p w14:paraId="7B9FF628" w14:textId="77777777" w:rsidR="00554459" w:rsidRPr="00582F80" w:rsidRDefault="00554459" w:rsidP="00495559">
            <w:pPr>
              <w:tabs>
                <w:tab w:val="left" w:pos="0"/>
                <w:tab w:val="decimal" w:pos="1242"/>
              </w:tabs>
              <w:jc w:val="center"/>
              <w:rPr>
                <w:sz w:val="22"/>
              </w:rPr>
            </w:pPr>
            <w:r w:rsidRPr="00582F80">
              <w:rPr>
                <w:sz w:val="22"/>
              </w:rPr>
              <w:t>100%</w:t>
            </w:r>
          </w:p>
        </w:tc>
      </w:tr>
      <w:tr w:rsidR="00554459" w14:paraId="1037C330" w14:textId="77777777" w:rsidTr="00495559">
        <w:trPr>
          <w:trHeight w:val="255"/>
        </w:trPr>
        <w:tc>
          <w:tcPr>
            <w:tcW w:w="3276" w:type="dxa"/>
            <w:tcBorders>
              <w:bottom w:val="single" w:sz="4" w:space="0" w:color="auto"/>
            </w:tcBorders>
          </w:tcPr>
          <w:p w14:paraId="76A5E248" w14:textId="77777777" w:rsidR="00554459" w:rsidRPr="00582F80" w:rsidRDefault="00554459" w:rsidP="00495559">
            <w:pPr>
              <w:autoSpaceDE w:val="0"/>
              <w:autoSpaceDN w:val="0"/>
              <w:adjustRightInd w:val="0"/>
              <w:jc w:val="both"/>
              <w:rPr>
                <w:bCs/>
                <w:iCs/>
                <w:sz w:val="22"/>
                <w:szCs w:val="22"/>
              </w:rPr>
            </w:pPr>
            <w:r w:rsidRPr="00582F80">
              <w:rPr>
                <w:bCs/>
                <w:iCs/>
                <w:sz w:val="22"/>
                <w:szCs w:val="22"/>
              </w:rPr>
              <w:t>Cruz Capital (US) Corp.</w:t>
            </w:r>
          </w:p>
        </w:tc>
        <w:tc>
          <w:tcPr>
            <w:tcW w:w="1986" w:type="dxa"/>
            <w:tcBorders>
              <w:bottom w:val="single" w:sz="4" w:space="0" w:color="auto"/>
            </w:tcBorders>
          </w:tcPr>
          <w:p w14:paraId="54E6D9CB" w14:textId="77777777" w:rsidR="00554459" w:rsidRPr="00582F80" w:rsidRDefault="00554459" w:rsidP="00495559">
            <w:pPr>
              <w:tabs>
                <w:tab w:val="left" w:pos="0"/>
                <w:tab w:val="decimal" w:pos="1242"/>
              </w:tabs>
              <w:jc w:val="center"/>
              <w:rPr>
                <w:sz w:val="22"/>
              </w:rPr>
            </w:pPr>
            <w:r w:rsidRPr="00582F80">
              <w:rPr>
                <w:sz w:val="22"/>
              </w:rPr>
              <w:t>Holding company</w:t>
            </w:r>
          </w:p>
        </w:tc>
        <w:tc>
          <w:tcPr>
            <w:tcW w:w="1559" w:type="dxa"/>
            <w:tcBorders>
              <w:bottom w:val="single" w:sz="4" w:space="0" w:color="auto"/>
            </w:tcBorders>
          </w:tcPr>
          <w:p w14:paraId="373E217B" w14:textId="77777777" w:rsidR="00554459" w:rsidRPr="00582F80" w:rsidRDefault="00554459" w:rsidP="00495559">
            <w:pPr>
              <w:tabs>
                <w:tab w:val="left" w:pos="0"/>
                <w:tab w:val="decimal" w:pos="1242"/>
              </w:tabs>
              <w:rPr>
                <w:sz w:val="22"/>
              </w:rPr>
            </w:pPr>
            <w:r w:rsidRPr="00582F80">
              <w:rPr>
                <w:sz w:val="22"/>
              </w:rPr>
              <w:t>USA</w:t>
            </w:r>
          </w:p>
        </w:tc>
        <w:tc>
          <w:tcPr>
            <w:tcW w:w="1582" w:type="dxa"/>
          </w:tcPr>
          <w:p w14:paraId="65973244" w14:textId="77777777" w:rsidR="00554459" w:rsidRPr="00582F80" w:rsidRDefault="00554459" w:rsidP="00495559">
            <w:pPr>
              <w:tabs>
                <w:tab w:val="left" w:pos="0"/>
                <w:tab w:val="decimal" w:pos="1242"/>
              </w:tabs>
              <w:jc w:val="center"/>
              <w:rPr>
                <w:sz w:val="22"/>
              </w:rPr>
            </w:pPr>
            <w:r w:rsidRPr="00582F80">
              <w:rPr>
                <w:sz w:val="22"/>
              </w:rPr>
              <w:t>100%</w:t>
            </w:r>
          </w:p>
        </w:tc>
        <w:tc>
          <w:tcPr>
            <w:tcW w:w="1260" w:type="dxa"/>
          </w:tcPr>
          <w:p w14:paraId="74703896" w14:textId="77777777" w:rsidR="00554459" w:rsidRDefault="00554459" w:rsidP="00495559">
            <w:pPr>
              <w:tabs>
                <w:tab w:val="left" w:pos="0"/>
                <w:tab w:val="decimal" w:pos="1242"/>
              </w:tabs>
              <w:jc w:val="center"/>
              <w:rPr>
                <w:sz w:val="22"/>
              </w:rPr>
            </w:pPr>
            <w:r w:rsidRPr="00582F80">
              <w:rPr>
                <w:sz w:val="22"/>
              </w:rPr>
              <w:t>100%</w:t>
            </w:r>
          </w:p>
        </w:tc>
      </w:tr>
      <w:tr w:rsidR="00554459" w14:paraId="6529DBA7" w14:textId="77777777" w:rsidTr="00495559">
        <w:trPr>
          <w:trHeight w:val="255"/>
        </w:trPr>
        <w:tc>
          <w:tcPr>
            <w:tcW w:w="3276" w:type="dxa"/>
            <w:tcBorders>
              <w:top w:val="single" w:sz="4" w:space="0" w:color="auto"/>
            </w:tcBorders>
          </w:tcPr>
          <w:p w14:paraId="4647C31B" w14:textId="77777777" w:rsidR="00554459" w:rsidRPr="009A0425" w:rsidRDefault="00554459" w:rsidP="00495559">
            <w:pPr>
              <w:tabs>
                <w:tab w:val="left" w:pos="1080"/>
                <w:tab w:val="decimal" w:pos="1332"/>
              </w:tabs>
              <w:jc w:val="both"/>
              <w:rPr>
                <w:sz w:val="22"/>
              </w:rPr>
            </w:pPr>
          </w:p>
        </w:tc>
        <w:tc>
          <w:tcPr>
            <w:tcW w:w="1986" w:type="dxa"/>
            <w:tcBorders>
              <w:top w:val="single" w:sz="4" w:space="0" w:color="auto"/>
            </w:tcBorders>
          </w:tcPr>
          <w:p w14:paraId="4A14C544" w14:textId="77777777" w:rsidR="00554459" w:rsidRDefault="00554459" w:rsidP="00495559">
            <w:pPr>
              <w:tabs>
                <w:tab w:val="left" w:pos="0"/>
                <w:tab w:val="decimal" w:pos="1242"/>
              </w:tabs>
              <w:jc w:val="both"/>
              <w:rPr>
                <w:sz w:val="22"/>
              </w:rPr>
            </w:pPr>
          </w:p>
        </w:tc>
        <w:tc>
          <w:tcPr>
            <w:tcW w:w="1559" w:type="dxa"/>
            <w:tcBorders>
              <w:top w:val="single" w:sz="4" w:space="0" w:color="auto"/>
            </w:tcBorders>
          </w:tcPr>
          <w:p w14:paraId="19E08F1B" w14:textId="77777777" w:rsidR="00554459" w:rsidRDefault="00554459" w:rsidP="00495559">
            <w:pPr>
              <w:tabs>
                <w:tab w:val="left" w:pos="0"/>
                <w:tab w:val="decimal" w:pos="1242"/>
              </w:tabs>
              <w:jc w:val="both"/>
              <w:rPr>
                <w:sz w:val="22"/>
              </w:rPr>
            </w:pPr>
          </w:p>
        </w:tc>
        <w:tc>
          <w:tcPr>
            <w:tcW w:w="1582" w:type="dxa"/>
            <w:tcBorders>
              <w:top w:val="single" w:sz="4" w:space="0" w:color="auto"/>
            </w:tcBorders>
          </w:tcPr>
          <w:p w14:paraId="56DECAA3" w14:textId="77777777" w:rsidR="00554459" w:rsidRDefault="00554459" w:rsidP="00495559">
            <w:pPr>
              <w:tabs>
                <w:tab w:val="left" w:pos="0"/>
                <w:tab w:val="decimal" w:pos="1242"/>
              </w:tabs>
              <w:jc w:val="both"/>
              <w:rPr>
                <w:sz w:val="22"/>
              </w:rPr>
            </w:pPr>
          </w:p>
        </w:tc>
        <w:tc>
          <w:tcPr>
            <w:tcW w:w="1260" w:type="dxa"/>
            <w:tcBorders>
              <w:top w:val="single" w:sz="4" w:space="0" w:color="auto"/>
            </w:tcBorders>
          </w:tcPr>
          <w:p w14:paraId="3C10A229" w14:textId="77777777" w:rsidR="00554459" w:rsidRDefault="00554459" w:rsidP="00495559">
            <w:pPr>
              <w:tabs>
                <w:tab w:val="left" w:pos="0"/>
                <w:tab w:val="decimal" w:pos="1242"/>
              </w:tabs>
              <w:jc w:val="both"/>
              <w:rPr>
                <w:sz w:val="22"/>
              </w:rPr>
            </w:pPr>
          </w:p>
        </w:tc>
      </w:tr>
    </w:tbl>
    <w:p w14:paraId="11DC90EE" w14:textId="77777777" w:rsidR="00554459" w:rsidRDefault="00554459" w:rsidP="00554459">
      <w:pPr>
        <w:pStyle w:val="Header"/>
        <w:tabs>
          <w:tab w:val="clear" w:pos="4320"/>
          <w:tab w:val="clear" w:pos="8640"/>
          <w:tab w:val="left" w:pos="1100"/>
        </w:tabs>
        <w:ind w:left="1440" w:hanging="1080"/>
        <w:jc w:val="both"/>
        <w:rPr>
          <w:b/>
          <w:sz w:val="22"/>
          <w:lang w:val="en-CA"/>
        </w:rPr>
      </w:pPr>
      <w:r>
        <w:rPr>
          <w:b/>
          <w:sz w:val="22"/>
          <w:lang w:val="en-CA"/>
        </w:rPr>
        <w:t>3.</w:t>
      </w:r>
      <w:r>
        <w:rPr>
          <w:b/>
          <w:sz w:val="22"/>
          <w:lang w:val="en-CA"/>
        </w:rPr>
        <w:tab/>
        <w:t>NEW ACCOUNTING STANDARDS ADOPTED DURING THE PERIOD</w:t>
      </w:r>
    </w:p>
    <w:p w14:paraId="55B0A638" w14:textId="77777777" w:rsidR="00554459" w:rsidRDefault="00554459" w:rsidP="00554459">
      <w:pPr>
        <w:pStyle w:val="Header"/>
        <w:tabs>
          <w:tab w:val="clear" w:pos="4320"/>
          <w:tab w:val="clear" w:pos="8640"/>
          <w:tab w:val="left" w:pos="1100"/>
        </w:tabs>
        <w:ind w:left="360"/>
        <w:jc w:val="both"/>
        <w:rPr>
          <w:b/>
          <w:sz w:val="22"/>
          <w:lang w:val="en-CA"/>
        </w:rPr>
      </w:pPr>
    </w:p>
    <w:p w14:paraId="74E58F2D" w14:textId="77777777" w:rsidR="00554459" w:rsidRPr="00536344" w:rsidRDefault="00554459" w:rsidP="00554459">
      <w:pPr>
        <w:pStyle w:val="BodyText"/>
        <w:tabs>
          <w:tab w:val="left" w:pos="741"/>
        </w:tabs>
        <w:spacing w:before="0"/>
        <w:ind w:left="1094"/>
        <w:jc w:val="both"/>
        <w:rPr>
          <w:bCs/>
          <w:i/>
          <w:color w:val="000000"/>
          <w:szCs w:val="22"/>
        </w:rPr>
      </w:pPr>
      <w:r w:rsidRPr="00536344">
        <w:rPr>
          <w:bCs/>
          <w:i/>
          <w:color w:val="000000"/>
          <w:szCs w:val="22"/>
        </w:rPr>
        <w:t>IFRS 16 – Leases</w:t>
      </w:r>
    </w:p>
    <w:p w14:paraId="25B2B393" w14:textId="77777777" w:rsidR="00554459" w:rsidRPr="00536344" w:rsidRDefault="00554459" w:rsidP="00554459">
      <w:pPr>
        <w:pStyle w:val="BodyText"/>
        <w:tabs>
          <w:tab w:val="left" w:pos="741"/>
        </w:tabs>
        <w:spacing w:before="0"/>
        <w:ind w:left="1094"/>
        <w:jc w:val="both"/>
        <w:rPr>
          <w:bCs/>
          <w:i/>
          <w:color w:val="000000"/>
          <w:szCs w:val="22"/>
        </w:rPr>
      </w:pPr>
    </w:p>
    <w:p w14:paraId="539FDC8D" w14:textId="77777777" w:rsidR="00554459" w:rsidRDefault="00554459" w:rsidP="00554459">
      <w:pPr>
        <w:pStyle w:val="Header"/>
        <w:tabs>
          <w:tab w:val="clear" w:pos="4320"/>
          <w:tab w:val="clear" w:pos="8640"/>
          <w:tab w:val="left" w:pos="1100"/>
        </w:tabs>
        <w:ind w:left="1094"/>
        <w:jc w:val="both"/>
        <w:rPr>
          <w:sz w:val="22"/>
          <w:szCs w:val="22"/>
          <w:lang w:val="en-CA"/>
        </w:rPr>
      </w:pPr>
      <w:r w:rsidRPr="00536344">
        <w:rPr>
          <w:bCs/>
          <w:color w:val="000000"/>
          <w:sz w:val="22"/>
          <w:szCs w:val="22"/>
        </w:rPr>
        <w:t>New standard to establish principles for recognition, measurement, presentation and disclosure of leases with an impact on lessee accounting. The Company adopted this new standard on August 1, 2019. The adoption of this new standard has no impact on the Company's condensed consolidated interim financial statements</w:t>
      </w:r>
      <w:r w:rsidRPr="00536344">
        <w:rPr>
          <w:sz w:val="22"/>
          <w:szCs w:val="22"/>
          <w:lang w:val="en-CA"/>
        </w:rPr>
        <w:t>.</w:t>
      </w:r>
    </w:p>
    <w:p w14:paraId="36DCF85F" w14:textId="77777777" w:rsidR="00554459" w:rsidRPr="00536344" w:rsidRDefault="00554459" w:rsidP="00554459">
      <w:pPr>
        <w:pStyle w:val="Header"/>
        <w:tabs>
          <w:tab w:val="clear" w:pos="4320"/>
          <w:tab w:val="clear" w:pos="8640"/>
          <w:tab w:val="left" w:pos="1100"/>
        </w:tabs>
        <w:ind w:left="1094"/>
        <w:jc w:val="both"/>
        <w:rPr>
          <w:sz w:val="22"/>
          <w:szCs w:val="22"/>
          <w:lang w:val="en-CA"/>
        </w:rPr>
      </w:pPr>
    </w:p>
    <w:p w14:paraId="5631249C" w14:textId="77777777" w:rsidR="00554459" w:rsidRPr="00E530BE" w:rsidRDefault="00554459" w:rsidP="00367723">
      <w:pPr>
        <w:pStyle w:val="Header"/>
        <w:numPr>
          <w:ilvl w:val="0"/>
          <w:numId w:val="14"/>
        </w:numPr>
        <w:tabs>
          <w:tab w:val="clear" w:pos="4320"/>
          <w:tab w:val="clear" w:pos="8640"/>
          <w:tab w:val="left" w:pos="1100"/>
        </w:tabs>
        <w:ind w:left="1440" w:hanging="1080"/>
        <w:jc w:val="both"/>
        <w:rPr>
          <w:b/>
          <w:sz w:val="22"/>
          <w:lang w:val="en-CA"/>
        </w:rPr>
      </w:pPr>
      <w:r>
        <w:rPr>
          <w:b/>
          <w:sz w:val="22"/>
          <w:lang w:val="en-CA"/>
        </w:rPr>
        <w:t xml:space="preserve">CASH AND CASH EQUIVALENTS </w:t>
      </w:r>
    </w:p>
    <w:p w14:paraId="3656552E" w14:textId="77777777" w:rsidR="00554459" w:rsidRDefault="00554459" w:rsidP="00554459">
      <w:pPr>
        <w:pStyle w:val="Header"/>
        <w:tabs>
          <w:tab w:val="clear" w:pos="4320"/>
          <w:tab w:val="clear" w:pos="8640"/>
          <w:tab w:val="left" w:pos="1100"/>
        </w:tabs>
        <w:jc w:val="both"/>
        <w:rPr>
          <w:b/>
          <w:sz w:val="22"/>
          <w:lang w:val="en-CA"/>
        </w:rPr>
      </w:pPr>
      <w:r>
        <w:rPr>
          <w:b/>
          <w:sz w:val="22"/>
          <w:lang w:val="en-CA"/>
        </w:rPr>
        <w:tab/>
      </w:r>
    </w:p>
    <w:p w14:paraId="290E9DC1" w14:textId="77777777" w:rsidR="00554459" w:rsidRPr="00E530BE" w:rsidRDefault="00554459" w:rsidP="00554459">
      <w:pPr>
        <w:pStyle w:val="Header"/>
        <w:tabs>
          <w:tab w:val="clear" w:pos="4320"/>
          <w:tab w:val="clear" w:pos="8640"/>
          <w:tab w:val="left" w:pos="1100"/>
        </w:tabs>
        <w:jc w:val="both"/>
        <w:rPr>
          <w:sz w:val="22"/>
          <w:szCs w:val="22"/>
        </w:rPr>
      </w:pPr>
      <w:r>
        <w:rPr>
          <w:b/>
          <w:sz w:val="22"/>
          <w:lang w:val="en-CA"/>
        </w:rPr>
        <w:tab/>
      </w:r>
      <w:r w:rsidRPr="00E530BE">
        <w:rPr>
          <w:sz w:val="22"/>
          <w:szCs w:val="22"/>
          <w:lang w:val="en-CA"/>
        </w:rPr>
        <w:t>The</w:t>
      </w:r>
      <w:r w:rsidRPr="00E530BE">
        <w:rPr>
          <w:sz w:val="22"/>
          <w:szCs w:val="22"/>
        </w:rPr>
        <w:t xml:space="preserve"> Company’s cash and cash equivalents are denominated in </w:t>
      </w:r>
      <w:r>
        <w:rPr>
          <w:sz w:val="22"/>
          <w:szCs w:val="22"/>
        </w:rPr>
        <w:t>Canadian Dollars</w:t>
      </w:r>
      <w:r w:rsidRPr="00E530BE">
        <w:rPr>
          <w:sz w:val="22"/>
          <w:szCs w:val="22"/>
        </w:rPr>
        <w:t xml:space="preserve"> and </w:t>
      </w:r>
      <w:r>
        <w:rPr>
          <w:sz w:val="22"/>
          <w:szCs w:val="22"/>
        </w:rPr>
        <w:tab/>
      </w:r>
      <w:r w:rsidRPr="00E530BE">
        <w:rPr>
          <w:sz w:val="22"/>
          <w:szCs w:val="22"/>
        </w:rPr>
        <w:t>include</w:t>
      </w:r>
      <w:r>
        <w:rPr>
          <w:sz w:val="22"/>
          <w:szCs w:val="22"/>
        </w:rPr>
        <w:t xml:space="preserve"> </w:t>
      </w:r>
      <w:r>
        <w:rPr>
          <w:sz w:val="22"/>
          <w:szCs w:val="22"/>
        </w:rPr>
        <w:tab/>
      </w:r>
      <w:r w:rsidRPr="00E530BE">
        <w:rPr>
          <w:sz w:val="22"/>
          <w:szCs w:val="22"/>
        </w:rPr>
        <w:t>the following components:</w:t>
      </w:r>
    </w:p>
    <w:tbl>
      <w:tblPr>
        <w:tblW w:w="6750" w:type="dxa"/>
        <w:tblInd w:w="1188" w:type="dxa"/>
        <w:tblLayout w:type="fixed"/>
        <w:tblLook w:val="01E0" w:firstRow="1" w:lastRow="1" w:firstColumn="1" w:lastColumn="1" w:noHBand="0" w:noVBand="0"/>
      </w:tblPr>
      <w:tblGrid>
        <w:gridCol w:w="3330"/>
        <w:gridCol w:w="1800"/>
        <w:gridCol w:w="1620"/>
      </w:tblGrid>
      <w:tr w:rsidR="00554459" w:rsidRPr="005D7938" w14:paraId="4632294F" w14:textId="77777777" w:rsidTr="00495559">
        <w:trPr>
          <w:trHeight w:val="255"/>
        </w:trPr>
        <w:tc>
          <w:tcPr>
            <w:tcW w:w="3330" w:type="dxa"/>
          </w:tcPr>
          <w:p w14:paraId="30C6B900" w14:textId="77777777" w:rsidR="00554459" w:rsidRPr="00E530BE" w:rsidRDefault="00554459" w:rsidP="00495559">
            <w:pPr>
              <w:tabs>
                <w:tab w:val="left" w:pos="1080"/>
              </w:tabs>
              <w:jc w:val="both"/>
              <w:rPr>
                <w:sz w:val="22"/>
                <w:szCs w:val="22"/>
              </w:rPr>
            </w:pPr>
          </w:p>
        </w:tc>
        <w:tc>
          <w:tcPr>
            <w:tcW w:w="1800" w:type="dxa"/>
          </w:tcPr>
          <w:p w14:paraId="52B3FE34" w14:textId="77777777" w:rsidR="00554459" w:rsidRPr="005D7938" w:rsidRDefault="00554459" w:rsidP="00495559">
            <w:pPr>
              <w:tabs>
                <w:tab w:val="left" w:pos="1080"/>
              </w:tabs>
              <w:jc w:val="right"/>
              <w:rPr>
                <w:sz w:val="22"/>
                <w:szCs w:val="22"/>
                <w:u w:val="single"/>
              </w:rPr>
            </w:pPr>
            <w:r>
              <w:rPr>
                <w:sz w:val="22"/>
                <w:szCs w:val="22"/>
              </w:rPr>
              <w:t>October</w:t>
            </w:r>
            <w:r w:rsidRPr="005D7938">
              <w:rPr>
                <w:sz w:val="22"/>
                <w:szCs w:val="22"/>
              </w:rPr>
              <w:t xml:space="preserve"> 31,</w:t>
            </w:r>
          </w:p>
          <w:p w14:paraId="5E2BFC7C" w14:textId="77777777" w:rsidR="00554459" w:rsidRPr="005D7938" w:rsidRDefault="00554459" w:rsidP="00495559">
            <w:pPr>
              <w:tabs>
                <w:tab w:val="left" w:pos="1080"/>
              </w:tabs>
              <w:jc w:val="right"/>
              <w:rPr>
                <w:sz w:val="22"/>
                <w:szCs w:val="22"/>
                <w:u w:val="single"/>
              </w:rPr>
            </w:pPr>
            <w:r w:rsidRPr="005D7938">
              <w:rPr>
                <w:sz w:val="22"/>
                <w:szCs w:val="22"/>
                <w:u w:val="single"/>
              </w:rPr>
              <w:t>2019</w:t>
            </w:r>
          </w:p>
        </w:tc>
        <w:tc>
          <w:tcPr>
            <w:tcW w:w="1620" w:type="dxa"/>
          </w:tcPr>
          <w:p w14:paraId="58821AF4" w14:textId="77777777" w:rsidR="00554459" w:rsidRPr="005D7938" w:rsidRDefault="00554459" w:rsidP="00495559">
            <w:pPr>
              <w:tabs>
                <w:tab w:val="left" w:pos="1080"/>
              </w:tabs>
              <w:jc w:val="right"/>
              <w:rPr>
                <w:sz w:val="22"/>
                <w:szCs w:val="22"/>
                <w:u w:val="single"/>
              </w:rPr>
            </w:pPr>
            <w:r w:rsidRPr="005D7938">
              <w:rPr>
                <w:sz w:val="22"/>
                <w:szCs w:val="22"/>
              </w:rPr>
              <w:t>July 31,</w:t>
            </w:r>
            <w:r w:rsidRPr="005D7938">
              <w:rPr>
                <w:sz w:val="22"/>
                <w:szCs w:val="22"/>
                <w:u w:val="single"/>
              </w:rPr>
              <w:t xml:space="preserve"> </w:t>
            </w:r>
          </w:p>
          <w:p w14:paraId="1250F0CA" w14:textId="77777777" w:rsidR="00554459" w:rsidRPr="005D7938" w:rsidRDefault="00554459" w:rsidP="00495559">
            <w:pPr>
              <w:tabs>
                <w:tab w:val="left" w:pos="1080"/>
              </w:tabs>
              <w:jc w:val="right"/>
              <w:rPr>
                <w:sz w:val="22"/>
                <w:szCs w:val="22"/>
                <w:u w:val="single"/>
              </w:rPr>
            </w:pPr>
            <w:r w:rsidRPr="005D7938">
              <w:rPr>
                <w:sz w:val="22"/>
                <w:szCs w:val="22"/>
                <w:u w:val="single"/>
              </w:rPr>
              <w:t>201</w:t>
            </w:r>
            <w:r>
              <w:rPr>
                <w:sz w:val="22"/>
                <w:szCs w:val="22"/>
                <w:u w:val="single"/>
              </w:rPr>
              <w:t>9</w:t>
            </w:r>
          </w:p>
        </w:tc>
      </w:tr>
      <w:tr w:rsidR="00554459" w:rsidRPr="005D7938" w14:paraId="6EFD3A85" w14:textId="77777777" w:rsidTr="00495559">
        <w:trPr>
          <w:trHeight w:val="255"/>
        </w:trPr>
        <w:tc>
          <w:tcPr>
            <w:tcW w:w="3330" w:type="dxa"/>
          </w:tcPr>
          <w:p w14:paraId="0D6790D2" w14:textId="77777777" w:rsidR="00554459" w:rsidRPr="005D7938" w:rsidRDefault="00554459" w:rsidP="00495559">
            <w:pPr>
              <w:autoSpaceDE w:val="0"/>
              <w:autoSpaceDN w:val="0"/>
              <w:adjustRightInd w:val="0"/>
              <w:jc w:val="both"/>
              <w:rPr>
                <w:bCs/>
                <w:iCs/>
                <w:sz w:val="22"/>
                <w:szCs w:val="22"/>
              </w:rPr>
            </w:pPr>
          </w:p>
        </w:tc>
        <w:tc>
          <w:tcPr>
            <w:tcW w:w="1800" w:type="dxa"/>
          </w:tcPr>
          <w:p w14:paraId="592B88F3" w14:textId="77777777" w:rsidR="00554459" w:rsidRPr="005D7938" w:rsidRDefault="00554459" w:rsidP="00495559">
            <w:pPr>
              <w:tabs>
                <w:tab w:val="left" w:pos="0"/>
                <w:tab w:val="decimal" w:pos="1242"/>
              </w:tabs>
              <w:jc w:val="right"/>
              <w:rPr>
                <w:sz w:val="22"/>
                <w:szCs w:val="22"/>
              </w:rPr>
            </w:pPr>
          </w:p>
        </w:tc>
        <w:tc>
          <w:tcPr>
            <w:tcW w:w="1620" w:type="dxa"/>
          </w:tcPr>
          <w:p w14:paraId="7631C91C" w14:textId="77777777" w:rsidR="00554459" w:rsidRPr="005D7938" w:rsidRDefault="00554459" w:rsidP="00495559">
            <w:pPr>
              <w:tabs>
                <w:tab w:val="left" w:pos="0"/>
                <w:tab w:val="decimal" w:pos="1242"/>
              </w:tabs>
              <w:jc w:val="right"/>
              <w:rPr>
                <w:sz w:val="22"/>
                <w:szCs w:val="22"/>
              </w:rPr>
            </w:pPr>
          </w:p>
        </w:tc>
      </w:tr>
      <w:tr w:rsidR="00554459" w:rsidRPr="005D7938" w14:paraId="424C33AA" w14:textId="77777777" w:rsidTr="00495559">
        <w:trPr>
          <w:trHeight w:val="255"/>
        </w:trPr>
        <w:tc>
          <w:tcPr>
            <w:tcW w:w="3330" w:type="dxa"/>
          </w:tcPr>
          <w:p w14:paraId="03BAEA32" w14:textId="77777777" w:rsidR="00554459" w:rsidRPr="005D7938" w:rsidRDefault="00554459" w:rsidP="00495559">
            <w:pPr>
              <w:autoSpaceDE w:val="0"/>
              <w:autoSpaceDN w:val="0"/>
              <w:adjustRightInd w:val="0"/>
              <w:jc w:val="both"/>
              <w:rPr>
                <w:bCs/>
                <w:iCs/>
                <w:sz w:val="22"/>
                <w:szCs w:val="22"/>
              </w:rPr>
            </w:pPr>
            <w:r w:rsidRPr="005D7938">
              <w:rPr>
                <w:bCs/>
                <w:iCs/>
                <w:sz w:val="22"/>
                <w:szCs w:val="22"/>
              </w:rPr>
              <w:t xml:space="preserve">Cash at bank </w:t>
            </w:r>
          </w:p>
        </w:tc>
        <w:tc>
          <w:tcPr>
            <w:tcW w:w="1800" w:type="dxa"/>
          </w:tcPr>
          <w:p w14:paraId="34B7269A" w14:textId="77777777" w:rsidR="00554459" w:rsidRPr="005D7938" w:rsidRDefault="00554459" w:rsidP="00495559">
            <w:pPr>
              <w:tabs>
                <w:tab w:val="left" w:pos="0"/>
                <w:tab w:val="decimal" w:pos="1242"/>
              </w:tabs>
              <w:jc w:val="right"/>
              <w:rPr>
                <w:sz w:val="22"/>
                <w:szCs w:val="22"/>
              </w:rPr>
            </w:pPr>
            <w:r w:rsidRPr="005D7938">
              <w:rPr>
                <w:sz w:val="22"/>
                <w:szCs w:val="22"/>
              </w:rPr>
              <w:t xml:space="preserve">$          </w:t>
            </w:r>
            <w:r>
              <w:rPr>
                <w:sz w:val="22"/>
                <w:szCs w:val="22"/>
              </w:rPr>
              <w:t>23,713</w:t>
            </w:r>
          </w:p>
        </w:tc>
        <w:tc>
          <w:tcPr>
            <w:tcW w:w="1620" w:type="dxa"/>
          </w:tcPr>
          <w:p w14:paraId="7150C2C0" w14:textId="77777777" w:rsidR="00554459" w:rsidRPr="005D7938" w:rsidRDefault="00554459" w:rsidP="00495559">
            <w:pPr>
              <w:tabs>
                <w:tab w:val="left" w:pos="0"/>
                <w:tab w:val="decimal" w:pos="1242"/>
              </w:tabs>
              <w:jc w:val="right"/>
              <w:rPr>
                <w:sz w:val="22"/>
                <w:szCs w:val="22"/>
              </w:rPr>
            </w:pPr>
            <w:r w:rsidRPr="005D7938">
              <w:rPr>
                <w:sz w:val="22"/>
                <w:szCs w:val="22"/>
              </w:rPr>
              <w:t xml:space="preserve">$          </w:t>
            </w:r>
            <w:r>
              <w:rPr>
                <w:sz w:val="22"/>
                <w:szCs w:val="22"/>
              </w:rPr>
              <w:t>58,047</w:t>
            </w:r>
          </w:p>
        </w:tc>
      </w:tr>
      <w:tr w:rsidR="00554459" w:rsidRPr="005D7938" w14:paraId="0B1216F7" w14:textId="77777777" w:rsidTr="00495559">
        <w:trPr>
          <w:trHeight w:val="255"/>
        </w:trPr>
        <w:tc>
          <w:tcPr>
            <w:tcW w:w="3330" w:type="dxa"/>
          </w:tcPr>
          <w:p w14:paraId="0066DA9A" w14:textId="77777777" w:rsidR="00554459" w:rsidRPr="005D7938" w:rsidRDefault="00554459" w:rsidP="00495559">
            <w:pPr>
              <w:autoSpaceDE w:val="0"/>
              <w:autoSpaceDN w:val="0"/>
              <w:adjustRightInd w:val="0"/>
              <w:jc w:val="both"/>
              <w:rPr>
                <w:bCs/>
                <w:iCs/>
                <w:sz w:val="22"/>
                <w:szCs w:val="22"/>
              </w:rPr>
            </w:pPr>
            <w:r w:rsidRPr="005D7938">
              <w:rPr>
                <w:bCs/>
                <w:iCs/>
                <w:sz w:val="22"/>
                <w:szCs w:val="22"/>
              </w:rPr>
              <w:t xml:space="preserve">Short-term deposits </w:t>
            </w:r>
          </w:p>
        </w:tc>
        <w:tc>
          <w:tcPr>
            <w:tcW w:w="1800" w:type="dxa"/>
            <w:tcBorders>
              <w:bottom w:val="single" w:sz="4" w:space="0" w:color="auto"/>
            </w:tcBorders>
          </w:tcPr>
          <w:p w14:paraId="04DCF142" w14:textId="77777777" w:rsidR="00554459" w:rsidRPr="005D7938" w:rsidRDefault="00554459" w:rsidP="00495559">
            <w:pPr>
              <w:tabs>
                <w:tab w:val="left" w:pos="0"/>
                <w:tab w:val="decimal" w:pos="1242"/>
              </w:tabs>
              <w:jc w:val="right"/>
              <w:rPr>
                <w:sz w:val="22"/>
                <w:szCs w:val="22"/>
              </w:rPr>
            </w:pPr>
            <w:r w:rsidRPr="005D7938">
              <w:rPr>
                <w:sz w:val="22"/>
                <w:szCs w:val="22"/>
              </w:rPr>
              <w:t xml:space="preserve">         </w:t>
            </w:r>
            <w:r>
              <w:rPr>
                <w:sz w:val="22"/>
                <w:szCs w:val="22"/>
              </w:rPr>
              <w:t>1</w:t>
            </w:r>
            <w:r w:rsidRPr="005D7938">
              <w:rPr>
                <w:sz w:val="22"/>
                <w:szCs w:val="22"/>
              </w:rPr>
              <w:t>,</w:t>
            </w:r>
            <w:r>
              <w:rPr>
                <w:sz w:val="22"/>
                <w:szCs w:val="22"/>
              </w:rPr>
              <w:t>92</w:t>
            </w:r>
            <w:r w:rsidRPr="005D7938">
              <w:rPr>
                <w:sz w:val="22"/>
                <w:szCs w:val="22"/>
              </w:rPr>
              <w:t xml:space="preserve">4,500  </w:t>
            </w:r>
          </w:p>
        </w:tc>
        <w:tc>
          <w:tcPr>
            <w:tcW w:w="1620" w:type="dxa"/>
            <w:tcBorders>
              <w:bottom w:val="single" w:sz="4" w:space="0" w:color="auto"/>
            </w:tcBorders>
          </w:tcPr>
          <w:p w14:paraId="2B202401" w14:textId="77777777" w:rsidR="00554459" w:rsidRPr="005D7938" w:rsidRDefault="00554459" w:rsidP="00495559">
            <w:pPr>
              <w:tabs>
                <w:tab w:val="left" w:pos="0"/>
                <w:tab w:val="decimal" w:pos="1242"/>
              </w:tabs>
              <w:jc w:val="right"/>
              <w:rPr>
                <w:sz w:val="22"/>
                <w:szCs w:val="22"/>
              </w:rPr>
            </w:pPr>
            <w:r w:rsidRPr="005D7938">
              <w:rPr>
                <w:sz w:val="22"/>
                <w:szCs w:val="22"/>
              </w:rPr>
              <w:t xml:space="preserve">         2,</w:t>
            </w:r>
            <w:r>
              <w:rPr>
                <w:sz w:val="22"/>
                <w:szCs w:val="22"/>
              </w:rPr>
              <w:t>00</w:t>
            </w:r>
            <w:r w:rsidRPr="005D7938">
              <w:rPr>
                <w:sz w:val="22"/>
                <w:szCs w:val="22"/>
              </w:rPr>
              <w:t xml:space="preserve">4,500  </w:t>
            </w:r>
          </w:p>
        </w:tc>
      </w:tr>
      <w:tr w:rsidR="00554459" w:rsidRPr="005D7938" w14:paraId="6C855C58" w14:textId="77777777" w:rsidTr="00495559">
        <w:trPr>
          <w:trHeight w:val="255"/>
        </w:trPr>
        <w:tc>
          <w:tcPr>
            <w:tcW w:w="3330" w:type="dxa"/>
          </w:tcPr>
          <w:p w14:paraId="5007B1CC" w14:textId="77777777" w:rsidR="00554459" w:rsidRPr="005D7938" w:rsidRDefault="00554459" w:rsidP="00495559">
            <w:pPr>
              <w:tabs>
                <w:tab w:val="left" w:pos="1080"/>
              </w:tabs>
              <w:jc w:val="both"/>
              <w:rPr>
                <w:sz w:val="22"/>
                <w:szCs w:val="22"/>
              </w:rPr>
            </w:pPr>
          </w:p>
        </w:tc>
        <w:tc>
          <w:tcPr>
            <w:tcW w:w="1800" w:type="dxa"/>
            <w:tcBorders>
              <w:top w:val="single" w:sz="4" w:space="0" w:color="auto"/>
              <w:bottom w:val="double" w:sz="4" w:space="0" w:color="auto"/>
            </w:tcBorders>
          </w:tcPr>
          <w:p w14:paraId="523CB9CF" w14:textId="77777777" w:rsidR="00554459" w:rsidRPr="005D7938" w:rsidRDefault="00554459" w:rsidP="00495559">
            <w:pPr>
              <w:tabs>
                <w:tab w:val="left" w:pos="0"/>
                <w:tab w:val="decimal" w:pos="1242"/>
              </w:tabs>
              <w:jc w:val="right"/>
              <w:rPr>
                <w:sz w:val="22"/>
                <w:szCs w:val="22"/>
              </w:rPr>
            </w:pPr>
            <w:r w:rsidRPr="005D7938">
              <w:rPr>
                <w:sz w:val="22"/>
                <w:szCs w:val="22"/>
              </w:rPr>
              <w:t xml:space="preserve">$     </w:t>
            </w:r>
            <w:r>
              <w:rPr>
                <w:sz w:val="22"/>
                <w:szCs w:val="22"/>
              </w:rPr>
              <w:t>1,948,213</w:t>
            </w:r>
          </w:p>
        </w:tc>
        <w:tc>
          <w:tcPr>
            <w:tcW w:w="1620" w:type="dxa"/>
            <w:tcBorders>
              <w:top w:val="single" w:sz="4" w:space="0" w:color="auto"/>
              <w:bottom w:val="double" w:sz="4" w:space="0" w:color="auto"/>
            </w:tcBorders>
          </w:tcPr>
          <w:p w14:paraId="7EB1227F" w14:textId="77777777" w:rsidR="00554459" w:rsidRPr="005D7938" w:rsidRDefault="00554459" w:rsidP="00495559">
            <w:pPr>
              <w:tabs>
                <w:tab w:val="left" w:pos="0"/>
                <w:tab w:val="decimal" w:pos="1242"/>
              </w:tabs>
              <w:jc w:val="right"/>
              <w:rPr>
                <w:sz w:val="22"/>
                <w:szCs w:val="22"/>
              </w:rPr>
            </w:pPr>
            <w:r w:rsidRPr="005D7938">
              <w:rPr>
                <w:sz w:val="22"/>
                <w:szCs w:val="22"/>
              </w:rPr>
              <w:t>$     2,</w:t>
            </w:r>
            <w:r>
              <w:rPr>
                <w:sz w:val="22"/>
                <w:szCs w:val="22"/>
              </w:rPr>
              <w:t>062,547</w:t>
            </w:r>
          </w:p>
        </w:tc>
      </w:tr>
    </w:tbl>
    <w:p w14:paraId="53347FB3" w14:textId="77777777" w:rsidR="00554459" w:rsidRDefault="00554459" w:rsidP="00554459">
      <w:pPr>
        <w:pStyle w:val="Header"/>
        <w:tabs>
          <w:tab w:val="clear" w:pos="4320"/>
          <w:tab w:val="clear" w:pos="8640"/>
          <w:tab w:val="left" w:pos="1100"/>
        </w:tabs>
        <w:jc w:val="both"/>
        <w:rPr>
          <w:b/>
          <w:sz w:val="22"/>
          <w:lang w:val="en-CA"/>
        </w:rPr>
      </w:pPr>
    </w:p>
    <w:p w14:paraId="2013C6E1" w14:textId="77777777" w:rsidR="00554459" w:rsidRDefault="00554459" w:rsidP="00554459">
      <w:pPr>
        <w:spacing w:after="200" w:line="276" w:lineRule="auto"/>
        <w:rPr>
          <w:b/>
          <w:sz w:val="22"/>
          <w:lang w:val="en-CA"/>
        </w:rPr>
      </w:pPr>
      <w:r>
        <w:rPr>
          <w:b/>
          <w:sz w:val="22"/>
          <w:lang w:val="en-CA"/>
        </w:rPr>
        <w:br w:type="page"/>
      </w:r>
    </w:p>
    <w:p w14:paraId="31C158D7" w14:textId="77777777" w:rsidR="00554459" w:rsidRPr="005D7938" w:rsidRDefault="00554459" w:rsidP="00367723">
      <w:pPr>
        <w:pStyle w:val="Header"/>
        <w:numPr>
          <w:ilvl w:val="0"/>
          <w:numId w:val="14"/>
        </w:numPr>
        <w:tabs>
          <w:tab w:val="clear" w:pos="4320"/>
          <w:tab w:val="clear" w:pos="8640"/>
          <w:tab w:val="left" w:pos="1100"/>
        </w:tabs>
        <w:ind w:left="1440" w:hanging="1080"/>
        <w:jc w:val="both"/>
        <w:rPr>
          <w:b/>
          <w:sz w:val="22"/>
          <w:lang w:val="en-CA"/>
        </w:rPr>
      </w:pPr>
      <w:r w:rsidRPr="005D7938">
        <w:rPr>
          <w:b/>
          <w:sz w:val="22"/>
          <w:lang w:val="en-CA"/>
        </w:rPr>
        <w:lastRenderedPageBreak/>
        <w:t>RECEIVABLES</w:t>
      </w:r>
    </w:p>
    <w:p w14:paraId="617A054C" w14:textId="77777777" w:rsidR="00554459" w:rsidRPr="005D7938" w:rsidRDefault="00554459" w:rsidP="00554459">
      <w:pPr>
        <w:pStyle w:val="Header"/>
        <w:tabs>
          <w:tab w:val="clear" w:pos="4320"/>
          <w:tab w:val="clear" w:pos="8640"/>
          <w:tab w:val="left" w:pos="1100"/>
        </w:tabs>
        <w:ind w:left="360"/>
        <w:jc w:val="both"/>
        <w:rPr>
          <w:sz w:val="22"/>
          <w:lang w:val="en-CA"/>
        </w:rPr>
      </w:pPr>
      <w:r w:rsidRPr="005D7938">
        <w:rPr>
          <w:b/>
          <w:sz w:val="22"/>
          <w:lang w:val="en-CA"/>
        </w:rPr>
        <w:tab/>
      </w:r>
    </w:p>
    <w:p w14:paraId="212A229B" w14:textId="77777777" w:rsidR="00554459" w:rsidRPr="005D7938" w:rsidRDefault="00554459" w:rsidP="00554459">
      <w:pPr>
        <w:pStyle w:val="Header"/>
        <w:tabs>
          <w:tab w:val="clear" w:pos="4320"/>
          <w:tab w:val="clear" w:pos="8640"/>
          <w:tab w:val="left" w:pos="1100"/>
        </w:tabs>
        <w:ind w:left="1080"/>
        <w:jc w:val="both"/>
        <w:rPr>
          <w:sz w:val="22"/>
          <w:lang w:val="en-CA"/>
        </w:rPr>
      </w:pPr>
      <w:r w:rsidRPr="005D7938">
        <w:rPr>
          <w:sz w:val="22"/>
          <w:szCs w:val="22"/>
          <w:lang w:val="en-CA"/>
        </w:rPr>
        <w:t>The Company’s receivables comprise of goods and services tax (“GST”) receivable due from Canadian government taxation authorities</w:t>
      </w:r>
      <w:r>
        <w:rPr>
          <w:sz w:val="22"/>
          <w:szCs w:val="22"/>
          <w:lang w:val="en-CA"/>
        </w:rPr>
        <w:t>, accrued interest on short-term deposits, and reimbursements from one public company with one common director for recoverable office expenses</w:t>
      </w:r>
      <w:r w:rsidRPr="005D7938">
        <w:rPr>
          <w:sz w:val="22"/>
          <w:szCs w:val="22"/>
          <w:lang w:val="en-CA"/>
        </w:rPr>
        <w:t>.</w:t>
      </w:r>
    </w:p>
    <w:p w14:paraId="687E60A9" w14:textId="77777777" w:rsidR="00554459" w:rsidRPr="005D7938" w:rsidRDefault="00554459" w:rsidP="00554459">
      <w:pPr>
        <w:pStyle w:val="Header"/>
        <w:tabs>
          <w:tab w:val="clear" w:pos="4320"/>
          <w:tab w:val="clear" w:pos="8640"/>
          <w:tab w:val="left" w:pos="1100"/>
        </w:tabs>
        <w:ind w:left="360"/>
        <w:jc w:val="both"/>
        <w:rPr>
          <w:sz w:val="22"/>
          <w:lang w:val="en-CA"/>
        </w:rPr>
      </w:pPr>
    </w:p>
    <w:tbl>
      <w:tblPr>
        <w:tblW w:w="6858" w:type="dxa"/>
        <w:tblInd w:w="1242" w:type="dxa"/>
        <w:tblLayout w:type="fixed"/>
        <w:tblLook w:val="01E0" w:firstRow="1" w:lastRow="1" w:firstColumn="1" w:lastColumn="1" w:noHBand="0" w:noVBand="0"/>
      </w:tblPr>
      <w:tblGrid>
        <w:gridCol w:w="3798"/>
        <w:gridCol w:w="1530"/>
        <w:gridCol w:w="1530"/>
      </w:tblGrid>
      <w:tr w:rsidR="00554459" w:rsidRPr="009F17E3" w14:paraId="10D18E28" w14:textId="77777777" w:rsidTr="00495559">
        <w:trPr>
          <w:trHeight w:val="255"/>
        </w:trPr>
        <w:tc>
          <w:tcPr>
            <w:tcW w:w="3798" w:type="dxa"/>
          </w:tcPr>
          <w:p w14:paraId="534F10C1" w14:textId="77777777" w:rsidR="00554459" w:rsidRPr="005D7938" w:rsidRDefault="00554459" w:rsidP="00495559">
            <w:pPr>
              <w:tabs>
                <w:tab w:val="left" w:pos="1080"/>
              </w:tabs>
              <w:jc w:val="both"/>
              <w:rPr>
                <w:sz w:val="22"/>
              </w:rPr>
            </w:pPr>
          </w:p>
        </w:tc>
        <w:tc>
          <w:tcPr>
            <w:tcW w:w="1530" w:type="dxa"/>
          </w:tcPr>
          <w:p w14:paraId="1B42A265" w14:textId="77777777" w:rsidR="00554459" w:rsidRPr="005D7938" w:rsidRDefault="00554459" w:rsidP="00495559">
            <w:pPr>
              <w:tabs>
                <w:tab w:val="left" w:pos="1080"/>
              </w:tabs>
              <w:jc w:val="right"/>
              <w:rPr>
                <w:sz w:val="22"/>
              </w:rPr>
            </w:pPr>
            <w:r>
              <w:rPr>
                <w:sz w:val="22"/>
              </w:rPr>
              <w:t>October</w:t>
            </w:r>
            <w:r w:rsidRPr="005D7938">
              <w:rPr>
                <w:sz w:val="22"/>
              </w:rPr>
              <w:t xml:space="preserve"> 31,</w:t>
            </w:r>
          </w:p>
          <w:p w14:paraId="665CADD8" w14:textId="77777777" w:rsidR="00554459" w:rsidRPr="005D7938" w:rsidRDefault="00554459" w:rsidP="00495559">
            <w:pPr>
              <w:tabs>
                <w:tab w:val="left" w:pos="1080"/>
              </w:tabs>
              <w:jc w:val="right"/>
              <w:rPr>
                <w:sz w:val="22"/>
                <w:u w:val="single"/>
              </w:rPr>
            </w:pPr>
            <w:r w:rsidRPr="005D7938">
              <w:rPr>
                <w:sz w:val="22"/>
                <w:u w:val="single"/>
              </w:rPr>
              <w:t>2019</w:t>
            </w:r>
          </w:p>
        </w:tc>
        <w:tc>
          <w:tcPr>
            <w:tcW w:w="1530" w:type="dxa"/>
          </w:tcPr>
          <w:p w14:paraId="0C86174E" w14:textId="77777777" w:rsidR="00554459" w:rsidRPr="005D7938" w:rsidRDefault="00554459" w:rsidP="00495559">
            <w:pPr>
              <w:tabs>
                <w:tab w:val="left" w:pos="1080"/>
              </w:tabs>
              <w:jc w:val="right"/>
              <w:rPr>
                <w:sz w:val="22"/>
              </w:rPr>
            </w:pPr>
            <w:r w:rsidRPr="005D7938">
              <w:rPr>
                <w:sz w:val="22"/>
              </w:rPr>
              <w:t>July 31,</w:t>
            </w:r>
          </w:p>
          <w:p w14:paraId="0F38CB07" w14:textId="77777777" w:rsidR="00554459" w:rsidRPr="003B1AE6" w:rsidRDefault="00554459" w:rsidP="00495559">
            <w:pPr>
              <w:tabs>
                <w:tab w:val="left" w:pos="1080"/>
              </w:tabs>
              <w:jc w:val="right"/>
              <w:rPr>
                <w:sz w:val="22"/>
                <w:u w:val="single"/>
              </w:rPr>
            </w:pPr>
            <w:r w:rsidRPr="005D7938">
              <w:rPr>
                <w:sz w:val="22"/>
                <w:u w:val="single"/>
              </w:rPr>
              <w:t>201</w:t>
            </w:r>
            <w:r>
              <w:rPr>
                <w:sz w:val="22"/>
                <w:u w:val="single"/>
              </w:rPr>
              <w:t>9</w:t>
            </w:r>
          </w:p>
        </w:tc>
      </w:tr>
      <w:tr w:rsidR="00554459" w:rsidRPr="009A0425" w14:paraId="3B81F551" w14:textId="77777777" w:rsidTr="00495559">
        <w:trPr>
          <w:trHeight w:val="255"/>
        </w:trPr>
        <w:tc>
          <w:tcPr>
            <w:tcW w:w="3798" w:type="dxa"/>
          </w:tcPr>
          <w:p w14:paraId="52475A5D" w14:textId="77777777" w:rsidR="00554459" w:rsidRPr="009A0425" w:rsidRDefault="00554459" w:rsidP="00495559">
            <w:pPr>
              <w:tabs>
                <w:tab w:val="left" w:pos="1080"/>
              </w:tabs>
              <w:jc w:val="both"/>
              <w:rPr>
                <w:sz w:val="22"/>
              </w:rPr>
            </w:pPr>
          </w:p>
        </w:tc>
        <w:tc>
          <w:tcPr>
            <w:tcW w:w="1530" w:type="dxa"/>
          </w:tcPr>
          <w:p w14:paraId="166286B7" w14:textId="77777777" w:rsidR="00554459" w:rsidRPr="00A651E0" w:rsidRDefault="00554459" w:rsidP="00495559">
            <w:pPr>
              <w:tabs>
                <w:tab w:val="left" w:pos="1080"/>
              </w:tabs>
              <w:jc w:val="right"/>
              <w:rPr>
                <w:sz w:val="22"/>
              </w:rPr>
            </w:pPr>
          </w:p>
        </w:tc>
        <w:tc>
          <w:tcPr>
            <w:tcW w:w="1530" w:type="dxa"/>
          </w:tcPr>
          <w:p w14:paraId="5CD6E7A8" w14:textId="77777777" w:rsidR="00554459" w:rsidRPr="00A651E0" w:rsidRDefault="00554459" w:rsidP="00495559">
            <w:pPr>
              <w:tabs>
                <w:tab w:val="left" w:pos="1080"/>
              </w:tabs>
              <w:jc w:val="right"/>
              <w:rPr>
                <w:sz w:val="22"/>
              </w:rPr>
            </w:pPr>
          </w:p>
        </w:tc>
      </w:tr>
      <w:tr w:rsidR="00554459" w14:paraId="420231BB" w14:textId="77777777" w:rsidTr="00495559">
        <w:trPr>
          <w:trHeight w:val="255"/>
        </w:trPr>
        <w:tc>
          <w:tcPr>
            <w:tcW w:w="3798" w:type="dxa"/>
          </w:tcPr>
          <w:p w14:paraId="03AD03BD" w14:textId="77777777" w:rsidR="00554459" w:rsidRPr="00C9168A" w:rsidRDefault="00554459" w:rsidP="00495559">
            <w:pPr>
              <w:tabs>
                <w:tab w:val="left" w:pos="0"/>
                <w:tab w:val="decimal" w:pos="4068"/>
              </w:tabs>
              <w:ind w:firstLine="18"/>
              <w:jc w:val="both"/>
              <w:rPr>
                <w:sz w:val="22"/>
                <w:szCs w:val="22"/>
              </w:rPr>
            </w:pPr>
            <w:r>
              <w:rPr>
                <w:sz w:val="22"/>
                <w:szCs w:val="22"/>
              </w:rPr>
              <w:t>Related party receivable (Note 11)</w:t>
            </w:r>
          </w:p>
        </w:tc>
        <w:tc>
          <w:tcPr>
            <w:tcW w:w="1530" w:type="dxa"/>
          </w:tcPr>
          <w:p w14:paraId="1F751EF0" w14:textId="77777777" w:rsidR="00554459" w:rsidRPr="00A651E0" w:rsidRDefault="00554459" w:rsidP="00495559">
            <w:pPr>
              <w:tabs>
                <w:tab w:val="left" w:pos="0"/>
                <w:tab w:val="decimal" w:pos="1242"/>
              </w:tabs>
              <w:jc w:val="right"/>
              <w:rPr>
                <w:sz w:val="22"/>
              </w:rPr>
            </w:pPr>
            <w:r w:rsidRPr="00A651E0">
              <w:rPr>
                <w:sz w:val="22"/>
              </w:rPr>
              <w:t>$</w:t>
            </w:r>
            <w:r w:rsidRPr="00A651E0">
              <w:rPr>
                <w:sz w:val="22"/>
              </w:rPr>
              <w:tab/>
            </w:r>
            <w:r>
              <w:rPr>
                <w:sz w:val="22"/>
              </w:rPr>
              <w:t>1,046</w:t>
            </w:r>
          </w:p>
        </w:tc>
        <w:tc>
          <w:tcPr>
            <w:tcW w:w="1530" w:type="dxa"/>
          </w:tcPr>
          <w:p w14:paraId="6B309648" w14:textId="77777777" w:rsidR="00554459" w:rsidRPr="00A651E0" w:rsidRDefault="00554459" w:rsidP="00495559">
            <w:pPr>
              <w:tabs>
                <w:tab w:val="left" w:pos="0"/>
                <w:tab w:val="decimal" w:pos="1242"/>
              </w:tabs>
              <w:jc w:val="right"/>
              <w:rPr>
                <w:sz w:val="22"/>
              </w:rPr>
            </w:pPr>
            <w:r w:rsidRPr="00A651E0">
              <w:rPr>
                <w:sz w:val="22"/>
              </w:rPr>
              <w:t>$</w:t>
            </w:r>
            <w:r w:rsidRPr="00A651E0">
              <w:rPr>
                <w:sz w:val="22"/>
              </w:rPr>
              <w:tab/>
            </w:r>
            <w:r>
              <w:rPr>
                <w:sz w:val="22"/>
              </w:rPr>
              <w:t>1,804</w:t>
            </w:r>
          </w:p>
        </w:tc>
      </w:tr>
      <w:tr w:rsidR="00554459" w14:paraId="7A5CA492" w14:textId="77777777" w:rsidTr="00495559">
        <w:trPr>
          <w:trHeight w:val="255"/>
        </w:trPr>
        <w:tc>
          <w:tcPr>
            <w:tcW w:w="3798" w:type="dxa"/>
          </w:tcPr>
          <w:p w14:paraId="693AAA39" w14:textId="77777777" w:rsidR="00554459" w:rsidRDefault="00554459" w:rsidP="00495559">
            <w:pPr>
              <w:tabs>
                <w:tab w:val="left" w:pos="0"/>
                <w:tab w:val="decimal" w:pos="4068"/>
              </w:tabs>
              <w:ind w:firstLine="18"/>
              <w:jc w:val="both"/>
              <w:rPr>
                <w:sz w:val="22"/>
                <w:szCs w:val="22"/>
              </w:rPr>
            </w:pPr>
            <w:r>
              <w:rPr>
                <w:sz w:val="22"/>
                <w:szCs w:val="22"/>
              </w:rPr>
              <w:t>Trade receivable</w:t>
            </w:r>
          </w:p>
        </w:tc>
        <w:tc>
          <w:tcPr>
            <w:tcW w:w="1530" w:type="dxa"/>
          </w:tcPr>
          <w:p w14:paraId="0AA13E01" w14:textId="77777777" w:rsidR="00554459" w:rsidRPr="00A651E0" w:rsidRDefault="00554459" w:rsidP="00495559">
            <w:pPr>
              <w:tabs>
                <w:tab w:val="left" w:pos="0"/>
                <w:tab w:val="decimal" w:pos="1242"/>
              </w:tabs>
              <w:jc w:val="right"/>
              <w:rPr>
                <w:sz w:val="22"/>
              </w:rPr>
            </w:pPr>
            <w:r w:rsidRPr="00A651E0">
              <w:rPr>
                <w:sz w:val="22"/>
              </w:rPr>
              <w:tab/>
            </w:r>
            <w:r>
              <w:rPr>
                <w:sz w:val="22"/>
              </w:rPr>
              <w:t>1,430</w:t>
            </w:r>
          </w:p>
        </w:tc>
        <w:tc>
          <w:tcPr>
            <w:tcW w:w="1530" w:type="dxa"/>
          </w:tcPr>
          <w:p w14:paraId="66D4520D" w14:textId="77777777" w:rsidR="00554459" w:rsidRPr="00A651E0" w:rsidRDefault="00554459" w:rsidP="00495559">
            <w:pPr>
              <w:tabs>
                <w:tab w:val="left" w:pos="0"/>
                <w:tab w:val="decimal" w:pos="1242"/>
              </w:tabs>
              <w:jc w:val="right"/>
              <w:rPr>
                <w:sz w:val="22"/>
              </w:rPr>
            </w:pPr>
            <w:r w:rsidRPr="00A651E0">
              <w:rPr>
                <w:sz w:val="22"/>
              </w:rPr>
              <w:tab/>
            </w:r>
            <w:r>
              <w:rPr>
                <w:sz w:val="22"/>
              </w:rPr>
              <w:t>-</w:t>
            </w:r>
          </w:p>
        </w:tc>
      </w:tr>
      <w:tr w:rsidR="00554459" w14:paraId="2642E628" w14:textId="77777777" w:rsidTr="00495559">
        <w:trPr>
          <w:trHeight w:val="255"/>
        </w:trPr>
        <w:tc>
          <w:tcPr>
            <w:tcW w:w="3798" w:type="dxa"/>
          </w:tcPr>
          <w:p w14:paraId="4F226BCD" w14:textId="77777777" w:rsidR="00554459" w:rsidRPr="00C9168A" w:rsidRDefault="00554459" w:rsidP="00495559">
            <w:pPr>
              <w:tabs>
                <w:tab w:val="left" w:pos="0"/>
                <w:tab w:val="decimal" w:pos="4068"/>
              </w:tabs>
              <w:ind w:firstLine="18"/>
              <w:jc w:val="both"/>
              <w:rPr>
                <w:sz w:val="22"/>
                <w:szCs w:val="22"/>
              </w:rPr>
            </w:pPr>
            <w:r>
              <w:rPr>
                <w:sz w:val="22"/>
                <w:szCs w:val="22"/>
              </w:rPr>
              <w:t>Accrued interest on short-term deposits</w:t>
            </w:r>
          </w:p>
        </w:tc>
        <w:tc>
          <w:tcPr>
            <w:tcW w:w="1530" w:type="dxa"/>
          </w:tcPr>
          <w:p w14:paraId="768E6D90" w14:textId="77777777" w:rsidR="00554459" w:rsidRPr="00A651E0" w:rsidRDefault="00554459" w:rsidP="00495559">
            <w:pPr>
              <w:tabs>
                <w:tab w:val="left" w:pos="0"/>
                <w:tab w:val="decimal" w:pos="1242"/>
              </w:tabs>
              <w:jc w:val="right"/>
              <w:rPr>
                <w:sz w:val="22"/>
              </w:rPr>
            </w:pPr>
            <w:r w:rsidRPr="00A651E0">
              <w:rPr>
                <w:sz w:val="22"/>
              </w:rPr>
              <w:tab/>
            </w:r>
            <w:r>
              <w:rPr>
                <w:sz w:val="22"/>
              </w:rPr>
              <w:t>4,582</w:t>
            </w:r>
          </w:p>
        </w:tc>
        <w:tc>
          <w:tcPr>
            <w:tcW w:w="1530" w:type="dxa"/>
          </w:tcPr>
          <w:p w14:paraId="510E2233" w14:textId="77777777" w:rsidR="00554459" w:rsidRPr="00A651E0" w:rsidRDefault="00554459" w:rsidP="00495559">
            <w:pPr>
              <w:tabs>
                <w:tab w:val="left" w:pos="0"/>
                <w:tab w:val="decimal" w:pos="1242"/>
              </w:tabs>
              <w:jc w:val="right"/>
              <w:rPr>
                <w:sz w:val="22"/>
              </w:rPr>
            </w:pPr>
            <w:r w:rsidRPr="00A651E0">
              <w:rPr>
                <w:sz w:val="22"/>
              </w:rPr>
              <w:tab/>
            </w:r>
            <w:r>
              <w:rPr>
                <w:sz w:val="22"/>
              </w:rPr>
              <w:t>18,025</w:t>
            </w:r>
          </w:p>
        </w:tc>
      </w:tr>
      <w:tr w:rsidR="00554459" w14:paraId="10527136" w14:textId="77777777" w:rsidTr="00495559">
        <w:trPr>
          <w:trHeight w:val="255"/>
        </w:trPr>
        <w:tc>
          <w:tcPr>
            <w:tcW w:w="3798" w:type="dxa"/>
          </w:tcPr>
          <w:p w14:paraId="6F844806" w14:textId="77777777" w:rsidR="00554459" w:rsidRPr="00C9168A" w:rsidRDefault="00554459" w:rsidP="00495559">
            <w:pPr>
              <w:tabs>
                <w:tab w:val="left" w:pos="0"/>
                <w:tab w:val="decimal" w:pos="4068"/>
              </w:tabs>
              <w:ind w:firstLine="18"/>
              <w:jc w:val="both"/>
              <w:rPr>
                <w:sz w:val="22"/>
                <w:szCs w:val="22"/>
              </w:rPr>
            </w:pPr>
            <w:r>
              <w:rPr>
                <w:sz w:val="22"/>
                <w:szCs w:val="22"/>
              </w:rPr>
              <w:t>GST recoverable</w:t>
            </w:r>
          </w:p>
        </w:tc>
        <w:tc>
          <w:tcPr>
            <w:tcW w:w="1530" w:type="dxa"/>
          </w:tcPr>
          <w:p w14:paraId="40CBF090" w14:textId="77777777" w:rsidR="00554459" w:rsidRPr="00A651E0" w:rsidRDefault="00554459" w:rsidP="00495559">
            <w:pPr>
              <w:tabs>
                <w:tab w:val="left" w:pos="0"/>
                <w:tab w:val="decimal" w:pos="1242"/>
              </w:tabs>
              <w:jc w:val="right"/>
              <w:rPr>
                <w:sz w:val="22"/>
              </w:rPr>
            </w:pPr>
            <w:r w:rsidRPr="00A651E0">
              <w:rPr>
                <w:sz w:val="22"/>
              </w:rPr>
              <w:tab/>
            </w:r>
            <w:r>
              <w:rPr>
                <w:sz w:val="22"/>
              </w:rPr>
              <w:t>4,322</w:t>
            </w:r>
          </w:p>
        </w:tc>
        <w:tc>
          <w:tcPr>
            <w:tcW w:w="1530" w:type="dxa"/>
          </w:tcPr>
          <w:p w14:paraId="6AD88AD1" w14:textId="77777777" w:rsidR="00554459" w:rsidRPr="00A651E0" w:rsidRDefault="00554459" w:rsidP="00495559">
            <w:pPr>
              <w:tabs>
                <w:tab w:val="left" w:pos="0"/>
                <w:tab w:val="decimal" w:pos="1242"/>
              </w:tabs>
              <w:jc w:val="right"/>
              <w:rPr>
                <w:sz w:val="22"/>
              </w:rPr>
            </w:pPr>
            <w:r w:rsidRPr="00A651E0">
              <w:rPr>
                <w:sz w:val="22"/>
              </w:rPr>
              <w:tab/>
            </w:r>
            <w:r>
              <w:rPr>
                <w:sz w:val="22"/>
              </w:rPr>
              <w:t>5,511</w:t>
            </w:r>
          </w:p>
        </w:tc>
      </w:tr>
      <w:tr w:rsidR="00554459" w14:paraId="4A7D9540" w14:textId="77777777" w:rsidTr="00495559">
        <w:trPr>
          <w:trHeight w:val="255"/>
        </w:trPr>
        <w:tc>
          <w:tcPr>
            <w:tcW w:w="3798" w:type="dxa"/>
          </w:tcPr>
          <w:p w14:paraId="45CDCCB4" w14:textId="77777777" w:rsidR="00554459" w:rsidRPr="009A0425" w:rsidRDefault="00554459" w:rsidP="00495559">
            <w:pPr>
              <w:tabs>
                <w:tab w:val="left" w:pos="1080"/>
                <w:tab w:val="decimal" w:pos="1332"/>
              </w:tabs>
              <w:jc w:val="both"/>
              <w:rPr>
                <w:sz w:val="22"/>
              </w:rPr>
            </w:pPr>
          </w:p>
        </w:tc>
        <w:tc>
          <w:tcPr>
            <w:tcW w:w="1530" w:type="dxa"/>
            <w:tcBorders>
              <w:top w:val="single" w:sz="4" w:space="0" w:color="auto"/>
            </w:tcBorders>
          </w:tcPr>
          <w:p w14:paraId="0332F60D" w14:textId="77777777" w:rsidR="00554459" w:rsidRPr="00A651E0" w:rsidRDefault="00554459" w:rsidP="00495559">
            <w:pPr>
              <w:tabs>
                <w:tab w:val="left" w:pos="0"/>
                <w:tab w:val="decimal" w:pos="1242"/>
              </w:tabs>
              <w:jc w:val="right"/>
              <w:rPr>
                <w:sz w:val="22"/>
              </w:rPr>
            </w:pPr>
          </w:p>
        </w:tc>
        <w:tc>
          <w:tcPr>
            <w:tcW w:w="1530" w:type="dxa"/>
            <w:tcBorders>
              <w:top w:val="single" w:sz="4" w:space="0" w:color="auto"/>
            </w:tcBorders>
          </w:tcPr>
          <w:p w14:paraId="55161056" w14:textId="77777777" w:rsidR="00554459" w:rsidRPr="00A651E0" w:rsidRDefault="00554459" w:rsidP="00495559">
            <w:pPr>
              <w:tabs>
                <w:tab w:val="left" w:pos="0"/>
                <w:tab w:val="decimal" w:pos="1242"/>
              </w:tabs>
              <w:jc w:val="right"/>
              <w:rPr>
                <w:sz w:val="22"/>
              </w:rPr>
            </w:pPr>
          </w:p>
        </w:tc>
      </w:tr>
      <w:tr w:rsidR="00554459" w14:paraId="60B7D14F" w14:textId="77777777" w:rsidTr="00495559">
        <w:trPr>
          <w:trHeight w:val="255"/>
        </w:trPr>
        <w:tc>
          <w:tcPr>
            <w:tcW w:w="3798" w:type="dxa"/>
          </w:tcPr>
          <w:p w14:paraId="4ED39935" w14:textId="77777777" w:rsidR="00554459" w:rsidRPr="009A0425" w:rsidRDefault="00554459" w:rsidP="00495559">
            <w:pPr>
              <w:tabs>
                <w:tab w:val="left" w:pos="1080"/>
              </w:tabs>
              <w:jc w:val="both"/>
              <w:rPr>
                <w:sz w:val="22"/>
              </w:rPr>
            </w:pPr>
            <w:r>
              <w:rPr>
                <w:sz w:val="22"/>
              </w:rPr>
              <w:t>Total receivables</w:t>
            </w:r>
          </w:p>
        </w:tc>
        <w:tc>
          <w:tcPr>
            <w:tcW w:w="1530" w:type="dxa"/>
            <w:tcBorders>
              <w:bottom w:val="double" w:sz="4" w:space="0" w:color="auto"/>
            </w:tcBorders>
          </w:tcPr>
          <w:p w14:paraId="26A961BE" w14:textId="77777777" w:rsidR="00554459" w:rsidRPr="00A651E0" w:rsidRDefault="00554459" w:rsidP="00495559">
            <w:pPr>
              <w:tabs>
                <w:tab w:val="left" w:pos="0"/>
                <w:tab w:val="decimal" w:pos="1242"/>
              </w:tabs>
              <w:jc w:val="right"/>
              <w:rPr>
                <w:sz w:val="22"/>
              </w:rPr>
            </w:pPr>
            <w:r w:rsidRPr="00A651E0">
              <w:rPr>
                <w:sz w:val="22"/>
              </w:rPr>
              <w:t>$</w:t>
            </w:r>
            <w:r w:rsidRPr="00A651E0">
              <w:rPr>
                <w:sz w:val="22"/>
              </w:rPr>
              <w:tab/>
            </w:r>
            <w:r>
              <w:rPr>
                <w:sz w:val="22"/>
              </w:rPr>
              <w:t>11,380</w:t>
            </w:r>
          </w:p>
        </w:tc>
        <w:tc>
          <w:tcPr>
            <w:tcW w:w="1530" w:type="dxa"/>
            <w:tcBorders>
              <w:bottom w:val="double" w:sz="4" w:space="0" w:color="auto"/>
            </w:tcBorders>
          </w:tcPr>
          <w:p w14:paraId="4B17878C" w14:textId="77777777" w:rsidR="00554459" w:rsidRPr="00A651E0" w:rsidRDefault="00554459" w:rsidP="00495559">
            <w:pPr>
              <w:tabs>
                <w:tab w:val="left" w:pos="0"/>
                <w:tab w:val="decimal" w:pos="1242"/>
              </w:tabs>
              <w:jc w:val="right"/>
              <w:rPr>
                <w:sz w:val="22"/>
              </w:rPr>
            </w:pPr>
            <w:r w:rsidRPr="00A651E0">
              <w:rPr>
                <w:sz w:val="22"/>
              </w:rPr>
              <w:t>$</w:t>
            </w:r>
            <w:r w:rsidRPr="00A651E0">
              <w:rPr>
                <w:sz w:val="22"/>
              </w:rPr>
              <w:tab/>
            </w:r>
            <w:r>
              <w:rPr>
                <w:sz w:val="22"/>
              </w:rPr>
              <w:t>25,340</w:t>
            </w:r>
          </w:p>
        </w:tc>
      </w:tr>
    </w:tbl>
    <w:p w14:paraId="06E5C089" w14:textId="77777777" w:rsidR="00554459" w:rsidRDefault="00554459" w:rsidP="00554459">
      <w:pPr>
        <w:pStyle w:val="Header"/>
        <w:tabs>
          <w:tab w:val="clear" w:pos="4320"/>
          <w:tab w:val="clear" w:pos="8640"/>
          <w:tab w:val="left" w:pos="1100"/>
        </w:tabs>
        <w:ind w:left="1077"/>
        <w:jc w:val="both"/>
        <w:rPr>
          <w:sz w:val="22"/>
          <w:szCs w:val="22"/>
          <w:lang w:val="en-CA"/>
        </w:rPr>
      </w:pPr>
    </w:p>
    <w:p w14:paraId="3717EC69" w14:textId="77777777" w:rsidR="00554459" w:rsidRDefault="00554459" w:rsidP="00554459">
      <w:pPr>
        <w:pStyle w:val="Header"/>
        <w:tabs>
          <w:tab w:val="clear" w:pos="4320"/>
          <w:tab w:val="clear" w:pos="8640"/>
          <w:tab w:val="left" w:pos="1100"/>
        </w:tabs>
        <w:ind w:left="1080"/>
        <w:jc w:val="both"/>
        <w:rPr>
          <w:sz w:val="22"/>
          <w:szCs w:val="22"/>
          <w:lang w:val="en-CA"/>
        </w:rPr>
      </w:pPr>
      <w:r>
        <w:rPr>
          <w:sz w:val="22"/>
          <w:szCs w:val="22"/>
          <w:lang w:val="en-CA"/>
        </w:rPr>
        <w:t>All amounts are short-term and the net carrying value of receivables is considered a reasonable approximation of fair value.  The Company anticipates full recovery of these amounts and therefore no impairment has been recorded against receivables.  The Company’s receivables are all considered current and are not past due or impaired.  The Company does not possess any collateral related to these assets.</w:t>
      </w:r>
    </w:p>
    <w:p w14:paraId="2BD54B2B" w14:textId="77777777" w:rsidR="00554459" w:rsidRDefault="00554459" w:rsidP="00554459">
      <w:pPr>
        <w:pStyle w:val="Header"/>
        <w:tabs>
          <w:tab w:val="clear" w:pos="4320"/>
          <w:tab w:val="clear" w:pos="8640"/>
          <w:tab w:val="left" w:pos="1100"/>
        </w:tabs>
        <w:ind w:left="1080"/>
        <w:jc w:val="both"/>
        <w:rPr>
          <w:sz w:val="22"/>
          <w:szCs w:val="22"/>
          <w:lang w:val="en-CA"/>
        </w:rPr>
      </w:pPr>
    </w:p>
    <w:p w14:paraId="30B16DFD" w14:textId="77777777" w:rsidR="00554459" w:rsidRPr="001B71BF" w:rsidRDefault="00554459" w:rsidP="00367723">
      <w:pPr>
        <w:pStyle w:val="Header"/>
        <w:numPr>
          <w:ilvl w:val="0"/>
          <w:numId w:val="14"/>
        </w:numPr>
        <w:tabs>
          <w:tab w:val="clear" w:pos="4320"/>
          <w:tab w:val="clear" w:pos="8640"/>
          <w:tab w:val="left" w:pos="1100"/>
        </w:tabs>
        <w:ind w:left="1440" w:hanging="1080"/>
        <w:jc w:val="both"/>
        <w:rPr>
          <w:b/>
          <w:sz w:val="22"/>
          <w:lang w:val="en-CA"/>
        </w:rPr>
      </w:pPr>
      <w:r w:rsidRPr="001B71BF">
        <w:rPr>
          <w:b/>
          <w:sz w:val="22"/>
          <w:lang w:val="en-CA"/>
        </w:rPr>
        <w:t>PREPAIDS</w:t>
      </w:r>
    </w:p>
    <w:p w14:paraId="21D553AF" w14:textId="77777777" w:rsidR="00554459" w:rsidRPr="001B71BF" w:rsidRDefault="00554459" w:rsidP="00554459">
      <w:pPr>
        <w:pStyle w:val="Header"/>
        <w:tabs>
          <w:tab w:val="clear" w:pos="4320"/>
          <w:tab w:val="clear" w:pos="8640"/>
          <w:tab w:val="left" w:pos="1100"/>
        </w:tabs>
        <w:ind w:left="360"/>
        <w:jc w:val="both"/>
        <w:rPr>
          <w:sz w:val="22"/>
          <w:lang w:val="en-CA"/>
        </w:rPr>
      </w:pPr>
      <w:r w:rsidRPr="001B71BF">
        <w:rPr>
          <w:b/>
          <w:sz w:val="22"/>
          <w:lang w:val="en-CA"/>
        </w:rPr>
        <w:tab/>
      </w:r>
    </w:p>
    <w:p w14:paraId="0FF83313" w14:textId="77777777" w:rsidR="00554459" w:rsidRPr="001B71BF" w:rsidRDefault="00554459" w:rsidP="00554459">
      <w:pPr>
        <w:pStyle w:val="Header"/>
        <w:tabs>
          <w:tab w:val="clear" w:pos="4320"/>
          <w:tab w:val="clear" w:pos="8640"/>
          <w:tab w:val="left" w:pos="1100"/>
        </w:tabs>
        <w:ind w:left="1080"/>
        <w:jc w:val="both"/>
        <w:rPr>
          <w:sz w:val="22"/>
          <w:lang w:val="en-CA"/>
        </w:rPr>
      </w:pPr>
      <w:r w:rsidRPr="001B71BF">
        <w:rPr>
          <w:sz w:val="22"/>
          <w:szCs w:val="22"/>
          <w:lang w:val="en-CA"/>
        </w:rPr>
        <w:t>The Company’s prepaids are comprised of fees prepaid to vendors of the Company and include the following components:</w:t>
      </w:r>
    </w:p>
    <w:p w14:paraId="3FCC12DB" w14:textId="77777777" w:rsidR="00554459" w:rsidRPr="001B71BF" w:rsidRDefault="00554459" w:rsidP="00554459">
      <w:pPr>
        <w:pStyle w:val="Header"/>
        <w:tabs>
          <w:tab w:val="clear" w:pos="4320"/>
          <w:tab w:val="clear" w:pos="8640"/>
          <w:tab w:val="left" w:pos="1100"/>
        </w:tabs>
        <w:ind w:left="360"/>
        <w:jc w:val="both"/>
        <w:rPr>
          <w:sz w:val="22"/>
          <w:lang w:val="en-CA"/>
        </w:rPr>
      </w:pPr>
    </w:p>
    <w:tbl>
      <w:tblPr>
        <w:tblW w:w="6858" w:type="dxa"/>
        <w:tblInd w:w="1242" w:type="dxa"/>
        <w:tblLayout w:type="fixed"/>
        <w:tblLook w:val="01E0" w:firstRow="1" w:lastRow="1" w:firstColumn="1" w:lastColumn="1" w:noHBand="0" w:noVBand="0"/>
      </w:tblPr>
      <w:tblGrid>
        <w:gridCol w:w="3798"/>
        <w:gridCol w:w="1530"/>
        <w:gridCol w:w="1530"/>
      </w:tblGrid>
      <w:tr w:rsidR="00554459" w:rsidRPr="001B71BF" w14:paraId="249CC566" w14:textId="77777777" w:rsidTr="00495559">
        <w:trPr>
          <w:trHeight w:val="255"/>
        </w:trPr>
        <w:tc>
          <w:tcPr>
            <w:tcW w:w="3798" w:type="dxa"/>
          </w:tcPr>
          <w:p w14:paraId="12FC22D2" w14:textId="77777777" w:rsidR="00554459" w:rsidRPr="001B71BF" w:rsidRDefault="00554459" w:rsidP="00495559">
            <w:pPr>
              <w:tabs>
                <w:tab w:val="left" w:pos="1080"/>
              </w:tabs>
              <w:jc w:val="both"/>
              <w:rPr>
                <w:sz w:val="22"/>
              </w:rPr>
            </w:pPr>
          </w:p>
        </w:tc>
        <w:tc>
          <w:tcPr>
            <w:tcW w:w="1530" w:type="dxa"/>
          </w:tcPr>
          <w:p w14:paraId="6DD07BCC" w14:textId="77777777" w:rsidR="00554459" w:rsidRPr="004A133C" w:rsidRDefault="00554459" w:rsidP="00495559">
            <w:pPr>
              <w:tabs>
                <w:tab w:val="left" w:pos="1080"/>
              </w:tabs>
              <w:jc w:val="right"/>
              <w:rPr>
                <w:sz w:val="22"/>
              </w:rPr>
            </w:pPr>
            <w:r>
              <w:rPr>
                <w:sz w:val="22"/>
              </w:rPr>
              <w:t>October</w:t>
            </w:r>
            <w:r w:rsidRPr="004A133C">
              <w:rPr>
                <w:sz w:val="22"/>
              </w:rPr>
              <w:t xml:space="preserve"> 31,</w:t>
            </w:r>
          </w:p>
          <w:p w14:paraId="722A3313" w14:textId="77777777" w:rsidR="00554459" w:rsidRPr="004A133C" w:rsidRDefault="00554459" w:rsidP="00495559">
            <w:pPr>
              <w:tabs>
                <w:tab w:val="left" w:pos="1080"/>
              </w:tabs>
              <w:jc w:val="right"/>
              <w:rPr>
                <w:sz w:val="22"/>
                <w:u w:val="single"/>
              </w:rPr>
            </w:pPr>
            <w:r w:rsidRPr="004A133C">
              <w:rPr>
                <w:sz w:val="22"/>
                <w:u w:val="single"/>
              </w:rPr>
              <w:t>2019</w:t>
            </w:r>
          </w:p>
        </w:tc>
        <w:tc>
          <w:tcPr>
            <w:tcW w:w="1530" w:type="dxa"/>
          </w:tcPr>
          <w:p w14:paraId="57F64461" w14:textId="77777777" w:rsidR="00554459" w:rsidRPr="004A133C" w:rsidRDefault="00554459" w:rsidP="00495559">
            <w:pPr>
              <w:tabs>
                <w:tab w:val="left" w:pos="1080"/>
              </w:tabs>
              <w:jc w:val="right"/>
              <w:rPr>
                <w:sz w:val="22"/>
              </w:rPr>
            </w:pPr>
            <w:r w:rsidRPr="004A133C">
              <w:rPr>
                <w:sz w:val="22"/>
              </w:rPr>
              <w:t>July 31,</w:t>
            </w:r>
          </w:p>
          <w:p w14:paraId="1DAA2D69" w14:textId="77777777" w:rsidR="00554459" w:rsidRPr="004A133C" w:rsidRDefault="00554459" w:rsidP="00495559">
            <w:pPr>
              <w:tabs>
                <w:tab w:val="left" w:pos="1080"/>
              </w:tabs>
              <w:jc w:val="right"/>
              <w:rPr>
                <w:sz w:val="22"/>
                <w:u w:val="single"/>
              </w:rPr>
            </w:pPr>
            <w:r w:rsidRPr="004A133C">
              <w:rPr>
                <w:sz w:val="22"/>
                <w:u w:val="single"/>
              </w:rPr>
              <w:t>201</w:t>
            </w:r>
            <w:r>
              <w:rPr>
                <w:sz w:val="22"/>
                <w:u w:val="single"/>
              </w:rPr>
              <w:t>9</w:t>
            </w:r>
          </w:p>
        </w:tc>
      </w:tr>
      <w:tr w:rsidR="00554459" w:rsidRPr="001B71BF" w14:paraId="4767E4A4" w14:textId="77777777" w:rsidTr="00495559">
        <w:trPr>
          <w:trHeight w:val="255"/>
        </w:trPr>
        <w:tc>
          <w:tcPr>
            <w:tcW w:w="3798" w:type="dxa"/>
          </w:tcPr>
          <w:p w14:paraId="2D4DB2FF" w14:textId="77777777" w:rsidR="00554459" w:rsidRPr="001B71BF" w:rsidRDefault="00554459" w:rsidP="00495559">
            <w:pPr>
              <w:tabs>
                <w:tab w:val="left" w:pos="0"/>
                <w:tab w:val="decimal" w:pos="4068"/>
              </w:tabs>
              <w:ind w:firstLine="18"/>
              <w:jc w:val="both"/>
              <w:rPr>
                <w:sz w:val="22"/>
                <w:szCs w:val="22"/>
              </w:rPr>
            </w:pPr>
          </w:p>
        </w:tc>
        <w:tc>
          <w:tcPr>
            <w:tcW w:w="1530" w:type="dxa"/>
          </w:tcPr>
          <w:p w14:paraId="18D8AB6B" w14:textId="77777777" w:rsidR="00554459" w:rsidRPr="001B71BF" w:rsidRDefault="00554459" w:rsidP="00495559">
            <w:pPr>
              <w:tabs>
                <w:tab w:val="left" w:pos="0"/>
                <w:tab w:val="decimal" w:pos="1242"/>
              </w:tabs>
              <w:jc w:val="right"/>
              <w:rPr>
                <w:sz w:val="22"/>
              </w:rPr>
            </w:pPr>
          </w:p>
        </w:tc>
        <w:tc>
          <w:tcPr>
            <w:tcW w:w="1530" w:type="dxa"/>
          </w:tcPr>
          <w:p w14:paraId="4B34E5FC" w14:textId="77777777" w:rsidR="00554459" w:rsidRPr="001B71BF" w:rsidRDefault="00554459" w:rsidP="00495559">
            <w:pPr>
              <w:tabs>
                <w:tab w:val="left" w:pos="0"/>
                <w:tab w:val="decimal" w:pos="1242"/>
              </w:tabs>
              <w:jc w:val="right"/>
              <w:rPr>
                <w:sz w:val="22"/>
              </w:rPr>
            </w:pPr>
          </w:p>
        </w:tc>
      </w:tr>
      <w:tr w:rsidR="00554459" w:rsidRPr="001B71BF" w14:paraId="269D3EDB" w14:textId="77777777" w:rsidTr="00495559">
        <w:trPr>
          <w:trHeight w:val="255"/>
        </w:trPr>
        <w:tc>
          <w:tcPr>
            <w:tcW w:w="3798" w:type="dxa"/>
          </w:tcPr>
          <w:p w14:paraId="77BB3739" w14:textId="77777777" w:rsidR="00554459" w:rsidRPr="001B71BF" w:rsidRDefault="00554459" w:rsidP="00495559">
            <w:pPr>
              <w:tabs>
                <w:tab w:val="left" w:pos="0"/>
                <w:tab w:val="decimal" w:pos="4068"/>
              </w:tabs>
              <w:ind w:firstLine="18"/>
              <w:jc w:val="both"/>
              <w:rPr>
                <w:sz w:val="22"/>
                <w:szCs w:val="22"/>
              </w:rPr>
            </w:pPr>
            <w:r w:rsidRPr="001B71BF">
              <w:rPr>
                <w:sz w:val="22"/>
                <w:szCs w:val="22"/>
              </w:rPr>
              <w:t>Corporate branding</w:t>
            </w:r>
          </w:p>
        </w:tc>
        <w:tc>
          <w:tcPr>
            <w:tcW w:w="1530" w:type="dxa"/>
          </w:tcPr>
          <w:p w14:paraId="64428921" w14:textId="77777777" w:rsidR="00554459" w:rsidRPr="001B71BF" w:rsidRDefault="00554459" w:rsidP="00495559">
            <w:pPr>
              <w:tabs>
                <w:tab w:val="left" w:pos="0"/>
                <w:tab w:val="decimal" w:pos="1242"/>
              </w:tabs>
              <w:jc w:val="right"/>
              <w:rPr>
                <w:sz w:val="22"/>
              </w:rPr>
            </w:pPr>
            <w:r w:rsidRPr="001B71BF">
              <w:rPr>
                <w:sz w:val="22"/>
              </w:rPr>
              <w:t>$</w:t>
            </w:r>
            <w:r w:rsidRPr="001B71BF">
              <w:rPr>
                <w:sz w:val="22"/>
              </w:rPr>
              <w:tab/>
            </w:r>
            <w:r>
              <w:rPr>
                <w:sz w:val="22"/>
              </w:rPr>
              <w:t>8,468</w:t>
            </w:r>
          </w:p>
        </w:tc>
        <w:tc>
          <w:tcPr>
            <w:tcW w:w="1530" w:type="dxa"/>
          </w:tcPr>
          <w:p w14:paraId="6793A7E7" w14:textId="77777777" w:rsidR="00554459" w:rsidRPr="001B71BF" w:rsidRDefault="00554459" w:rsidP="00495559">
            <w:pPr>
              <w:tabs>
                <w:tab w:val="left" w:pos="0"/>
                <w:tab w:val="decimal" w:pos="1242"/>
              </w:tabs>
              <w:jc w:val="right"/>
              <w:rPr>
                <w:sz w:val="22"/>
              </w:rPr>
            </w:pPr>
            <w:r w:rsidRPr="001B71BF">
              <w:rPr>
                <w:sz w:val="22"/>
              </w:rPr>
              <w:t>$</w:t>
            </w:r>
            <w:r w:rsidRPr="001B71BF">
              <w:rPr>
                <w:sz w:val="22"/>
              </w:rPr>
              <w:tab/>
            </w:r>
            <w:r>
              <w:rPr>
                <w:sz w:val="22"/>
              </w:rPr>
              <w:t>7,500</w:t>
            </w:r>
          </w:p>
        </w:tc>
      </w:tr>
      <w:tr w:rsidR="00554459" w:rsidRPr="001B71BF" w14:paraId="7E753887" w14:textId="77777777" w:rsidTr="00495559">
        <w:trPr>
          <w:trHeight w:val="255"/>
        </w:trPr>
        <w:tc>
          <w:tcPr>
            <w:tcW w:w="3798" w:type="dxa"/>
          </w:tcPr>
          <w:p w14:paraId="79812DA6" w14:textId="77777777" w:rsidR="00554459" w:rsidRPr="001B71BF" w:rsidRDefault="00554459" w:rsidP="00495559">
            <w:pPr>
              <w:tabs>
                <w:tab w:val="left" w:pos="0"/>
                <w:tab w:val="decimal" w:pos="4068"/>
              </w:tabs>
              <w:ind w:firstLine="18"/>
              <w:jc w:val="both"/>
              <w:rPr>
                <w:sz w:val="22"/>
                <w:szCs w:val="22"/>
              </w:rPr>
            </w:pPr>
            <w:r w:rsidRPr="001B71BF">
              <w:rPr>
                <w:sz w:val="22"/>
                <w:szCs w:val="22"/>
              </w:rPr>
              <w:t>Other prepaids</w:t>
            </w:r>
          </w:p>
        </w:tc>
        <w:tc>
          <w:tcPr>
            <w:tcW w:w="1530" w:type="dxa"/>
            <w:tcBorders>
              <w:bottom w:val="single" w:sz="4" w:space="0" w:color="auto"/>
            </w:tcBorders>
          </w:tcPr>
          <w:p w14:paraId="6BC12E31" w14:textId="77777777" w:rsidR="00554459" w:rsidRPr="001B71BF" w:rsidRDefault="00554459" w:rsidP="00495559">
            <w:pPr>
              <w:tabs>
                <w:tab w:val="left" w:pos="0"/>
                <w:tab w:val="decimal" w:pos="1242"/>
              </w:tabs>
              <w:jc w:val="right"/>
              <w:rPr>
                <w:sz w:val="22"/>
              </w:rPr>
            </w:pPr>
            <w:r w:rsidRPr="001B71BF">
              <w:rPr>
                <w:sz w:val="22"/>
              </w:rPr>
              <w:tab/>
            </w:r>
            <w:r>
              <w:rPr>
                <w:sz w:val="22"/>
              </w:rPr>
              <w:t>8,258</w:t>
            </w:r>
          </w:p>
        </w:tc>
        <w:tc>
          <w:tcPr>
            <w:tcW w:w="1530" w:type="dxa"/>
            <w:tcBorders>
              <w:bottom w:val="single" w:sz="4" w:space="0" w:color="auto"/>
            </w:tcBorders>
          </w:tcPr>
          <w:p w14:paraId="6D15F56D" w14:textId="77777777" w:rsidR="00554459" w:rsidRPr="001B71BF" w:rsidRDefault="00554459" w:rsidP="00495559">
            <w:pPr>
              <w:tabs>
                <w:tab w:val="left" w:pos="0"/>
                <w:tab w:val="decimal" w:pos="1242"/>
              </w:tabs>
              <w:jc w:val="right"/>
              <w:rPr>
                <w:sz w:val="22"/>
              </w:rPr>
            </w:pPr>
            <w:r w:rsidRPr="001B71BF">
              <w:rPr>
                <w:sz w:val="22"/>
              </w:rPr>
              <w:tab/>
            </w:r>
            <w:r>
              <w:rPr>
                <w:sz w:val="22"/>
              </w:rPr>
              <w:t>10,272</w:t>
            </w:r>
          </w:p>
        </w:tc>
      </w:tr>
      <w:tr w:rsidR="00554459" w14:paraId="07EE6008" w14:textId="77777777" w:rsidTr="00495559">
        <w:trPr>
          <w:trHeight w:val="255"/>
        </w:trPr>
        <w:tc>
          <w:tcPr>
            <w:tcW w:w="3798" w:type="dxa"/>
          </w:tcPr>
          <w:p w14:paraId="72067C77" w14:textId="77777777" w:rsidR="00554459" w:rsidRPr="001B71BF" w:rsidRDefault="00554459" w:rsidP="00495559">
            <w:pPr>
              <w:tabs>
                <w:tab w:val="left" w:pos="1080"/>
              </w:tabs>
              <w:jc w:val="both"/>
              <w:rPr>
                <w:sz w:val="22"/>
              </w:rPr>
            </w:pPr>
            <w:r w:rsidRPr="001B71BF">
              <w:rPr>
                <w:sz w:val="22"/>
              </w:rPr>
              <w:t>Total prepaids</w:t>
            </w:r>
          </w:p>
        </w:tc>
        <w:tc>
          <w:tcPr>
            <w:tcW w:w="1530" w:type="dxa"/>
            <w:tcBorders>
              <w:top w:val="single" w:sz="4" w:space="0" w:color="auto"/>
              <w:bottom w:val="double" w:sz="4" w:space="0" w:color="auto"/>
            </w:tcBorders>
          </w:tcPr>
          <w:p w14:paraId="7DE1D0F2" w14:textId="77777777" w:rsidR="00554459" w:rsidRPr="001B71BF" w:rsidRDefault="00554459" w:rsidP="00495559">
            <w:pPr>
              <w:tabs>
                <w:tab w:val="left" w:pos="0"/>
                <w:tab w:val="decimal" w:pos="1242"/>
              </w:tabs>
              <w:jc w:val="right"/>
              <w:rPr>
                <w:sz w:val="22"/>
              </w:rPr>
            </w:pPr>
            <w:r w:rsidRPr="001B71BF">
              <w:rPr>
                <w:sz w:val="22"/>
              </w:rPr>
              <w:t>$</w:t>
            </w:r>
            <w:r w:rsidRPr="001B71BF">
              <w:rPr>
                <w:sz w:val="22"/>
              </w:rPr>
              <w:tab/>
            </w:r>
            <w:r>
              <w:rPr>
                <w:sz w:val="22"/>
              </w:rPr>
              <w:t>16,726</w:t>
            </w:r>
          </w:p>
        </w:tc>
        <w:tc>
          <w:tcPr>
            <w:tcW w:w="1530" w:type="dxa"/>
            <w:tcBorders>
              <w:top w:val="single" w:sz="4" w:space="0" w:color="auto"/>
              <w:bottom w:val="double" w:sz="4" w:space="0" w:color="auto"/>
            </w:tcBorders>
          </w:tcPr>
          <w:p w14:paraId="5B19CD85" w14:textId="77777777" w:rsidR="00554459" w:rsidRPr="001B71BF" w:rsidRDefault="00554459" w:rsidP="00495559">
            <w:pPr>
              <w:tabs>
                <w:tab w:val="left" w:pos="0"/>
                <w:tab w:val="decimal" w:pos="1242"/>
              </w:tabs>
              <w:jc w:val="right"/>
              <w:rPr>
                <w:sz w:val="22"/>
              </w:rPr>
            </w:pPr>
            <w:r w:rsidRPr="001B71BF">
              <w:rPr>
                <w:sz w:val="22"/>
              </w:rPr>
              <w:t>$</w:t>
            </w:r>
            <w:r w:rsidRPr="001B71BF">
              <w:rPr>
                <w:sz w:val="22"/>
              </w:rPr>
              <w:tab/>
            </w:r>
            <w:r>
              <w:rPr>
                <w:sz w:val="22"/>
              </w:rPr>
              <w:t>17,772</w:t>
            </w:r>
          </w:p>
        </w:tc>
      </w:tr>
    </w:tbl>
    <w:p w14:paraId="5EE6B7EB" w14:textId="77777777" w:rsidR="00554459" w:rsidRDefault="00554459" w:rsidP="00554459">
      <w:pPr>
        <w:ind w:left="2160"/>
        <w:rPr>
          <w:b/>
          <w:sz w:val="22"/>
          <w:lang w:val="en-CA"/>
        </w:rPr>
        <w:sectPr w:rsidR="00554459" w:rsidSect="00495559">
          <w:headerReference w:type="default" r:id="rId11"/>
          <w:footerReference w:type="default" r:id="rId12"/>
          <w:headerReference w:type="first" r:id="rId13"/>
          <w:pgSz w:w="12240" w:h="15840"/>
          <w:pgMar w:top="1440" w:right="1440" w:bottom="432" w:left="1440" w:header="720" w:footer="720" w:gutter="0"/>
          <w:pgNumType w:start="1"/>
          <w:cols w:space="720"/>
          <w:titlePg/>
          <w:docGrid w:linePitch="360"/>
        </w:sectPr>
      </w:pPr>
    </w:p>
    <w:p w14:paraId="542AA83B" w14:textId="77777777" w:rsidR="00554459" w:rsidRPr="00C04E19" w:rsidRDefault="00554459" w:rsidP="00367723">
      <w:pPr>
        <w:pStyle w:val="Header"/>
        <w:numPr>
          <w:ilvl w:val="0"/>
          <w:numId w:val="14"/>
        </w:numPr>
        <w:tabs>
          <w:tab w:val="clear" w:pos="4320"/>
          <w:tab w:val="clear" w:pos="8640"/>
          <w:tab w:val="left" w:pos="1100"/>
        </w:tabs>
        <w:jc w:val="both"/>
        <w:rPr>
          <w:b/>
          <w:sz w:val="22"/>
          <w:lang w:val="en-CA"/>
        </w:rPr>
      </w:pPr>
      <w:r w:rsidRPr="00C04E19">
        <w:rPr>
          <w:b/>
          <w:sz w:val="22"/>
          <w:lang w:val="en-CA"/>
        </w:rPr>
        <w:lastRenderedPageBreak/>
        <w:t>EXPLORATION AND EVALUATION ASSETS</w:t>
      </w:r>
    </w:p>
    <w:p w14:paraId="0384D4ED" w14:textId="77777777" w:rsidR="00554459" w:rsidRDefault="00554459" w:rsidP="00554459">
      <w:pPr>
        <w:pStyle w:val="Header"/>
        <w:tabs>
          <w:tab w:val="clear" w:pos="4320"/>
          <w:tab w:val="clear" w:pos="8640"/>
          <w:tab w:val="left" w:pos="1100"/>
        </w:tabs>
        <w:ind w:left="360"/>
        <w:rPr>
          <w:sz w:val="22"/>
          <w:szCs w:val="22"/>
          <w:lang w:val="en-CA"/>
        </w:rPr>
      </w:pPr>
    </w:p>
    <w:p w14:paraId="19E93462" w14:textId="77777777" w:rsidR="00554459" w:rsidRDefault="00554459" w:rsidP="00554459">
      <w:pPr>
        <w:pStyle w:val="Header"/>
        <w:tabs>
          <w:tab w:val="clear" w:pos="4320"/>
          <w:tab w:val="clear" w:pos="8640"/>
          <w:tab w:val="left" w:pos="1100"/>
        </w:tabs>
        <w:ind w:left="1100"/>
        <w:jc w:val="both"/>
        <w:rPr>
          <w:sz w:val="22"/>
          <w:szCs w:val="22"/>
          <w:lang w:val="en-CA"/>
        </w:rPr>
      </w:pPr>
      <w:r>
        <w:rPr>
          <w:sz w:val="22"/>
          <w:szCs w:val="22"/>
          <w:lang w:val="en-CA"/>
        </w:rPr>
        <w:t>The Company’s exploration and evaluation assets consist of the following mineral properties:</w:t>
      </w:r>
    </w:p>
    <w:tbl>
      <w:tblPr>
        <w:tblW w:w="11230" w:type="dxa"/>
        <w:tblInd w:w="378" w:type="dxa"/>
        <w:tblBorders>
          <w:top w:val="single" w:sz="4" w:space="0" w:color="auto"/>
          <w:bottom w:val="single" w:sz="4" w:space="0" w:color="auto"/>
        </w:tblBorders>
        <w:tblLayout w:type="fixed"/>
        <w:tblLook w:val="0000" w:firstRow="0" w:lastRow="0" w:firstColumn="0" w:lastColumn="0" w:noHBand="0" w:noVBand="0"/>
      </w:tblPr>
      <w:tblGrid>
        <w:gridCol w:w="3018"/>
        <w:gridCol w:w="1005"/>
        <w:gridCol w:w="1177"/>
        <w:gridCol w:w="1080"/>
        <w:gridCol w:w="1080"/>
        <w:gridCol w:w="1080"/>
        <w:gridCol w:w="1530"/>
        <w:gridCol w:w="1260"/>
      </w:tblGrid>
      <w:tr w:rsidR="00554459" w:rsidRPr="00DF36B4" w14:paraId="6FA281F8" w14:textId="77777777" w:rsidTr="00495559">
        <w:tc>
          <w:tcPr>
            <w:tcW w:w="3018" w:type="dxa"/>
            <w:tcBorders>
              <w:top w:val="nil"/>
              <w:bottom w:val="nil"/>
            </w:tcBorders>
          </w:tcPr>
          <w:p w14:paraId="228B547E" w14:textId="77777777" w:rsidR="00554459" w:rsidRPr="00DF36B4" w:rsidRDefault="00554459" w:rsidP="00495559">
            <w:pPr>
              <w:pStyle w:val="Style1"/>
              <w:jc w:val="center"/>
              <w:rPr>
                <w:sz w:val="18"/>
                <w:szCs w:val="18"/>
              </w:rPr>
            </w:pPr>
          </w:p>
        </w:tc>
        <w:tc>
          <w:tcPr>
            <w:tcW w:w="1005" w:type="dxa"/>
            <w:tcBorders>
              <w:top w:val="nil"/>
              <w:bottom w:val="nil"/>
            </w:tcBorders>
            <w:vAlign w:val="bottom"/>
          </w:tcPr>
          <w:p w14:paraId="563524C9" w14:textId="77777777" w:rsidR="00554459" w:rsidRPr="00DF36B4" w:rsidRDefault="00554459" w:rsidP="00495559">
            <w:pPr>
              <w:jc w:val="center"/>
              <w:rPr>
                <w:sz w:val="18"/>
                <w:szCs w:val="18"/>
              </w:rPr>
            </w:pPr>
          </w:p>
          <w:p w14:paraId="4FD12A01" w14:textId="77777777" w:rsidR="00554459" w:rsidRPr="00DF36B4" w:rsidRDefault="00554459" w:rsidP="00495559">
            <w:pPr>
              <w:jc w:val="center"/>
              <w:rPr>
                <w:sz w:val="18"/>
                <w:szCs w:val="18"/>
              </w:rPr>
            </w:pPr>
            <w:r w:rsidRPr="00DF36B4">
              <w:rPr>
                <w:sz w:val="18"/>
                <w:szCs w:val="18"/>
              </w:rPr>
              <w:t xml:space="preserve">BC War Eagle </w:t>
            </w:r>
            <w:r w:rsidRPr="00DF36B4">
              <w:rPr>
                <w:sz w:val="18"/>
                <w:szCs w:val="18"/>
                <w:u w:val="single"/>
              </w:rPr>
              <w:t>Cobalt</w:t>
            </w:r>
          </w:p>
        </w:tc>
        <w:tc>
          <w:tcPr>
            <w:tcW w:w="1177" w:type="dxa"/>
            <w:tcBorders>
              <w:top w:val="nil"/>
              <w:bottom w:val="nil"/>
            </w:tcBorders>
            <w:vAlign w:val="bottom"/>
          </w:tcPr>
          <w:p w14:paraId="2645534A" w14:textId="77777777" w:rsidR="00554459" w:rsidRPr="00DF36B4" w:rsidRDefault="00554459" w:rsidP="00495559">
            <w:pPr>
              <w:jc w:val="center"/>
              <w:rPr>
                <w:sz w:val="18"/>
                <w:szCs w:val="18"/>
              </w:rPr>
            </w:pPr>
            <w:r w:rsidRPr="00DF36B4">
              <w:rPr>
                <w:sz w:val="18"/>
                <w:szCs w:val="18"/>
              </w:rPr>
              <w:t xml:space="preserve">ON Cobalt </w:t>
            </w:r>
            <w:r w:rsidRPr="00DF36B4">
              <w:rPr>
                <w:sz w:val="18"/>
                <w:szCs w:val="18"/>
                <w:u w:val="single"/>
              </w:rPr>
              <w:t>Prospects</w:t>
            </w:r>
          </w:p>
        </w:tc>
        <w:tc>
          <w:tcPr>
            <w:tcW w:w="1080" w:type="dxa"/>
            <w:tcBorders>
              <w:top w:val="nil"/>
              <w:bottom w:val="nil"/>
            </w:tcBorders>
            <w:vAlign w:val="bottom"/>
          </w:tcPr>
          <w:p w14:paraId="4C98F913" w14:textId="77777777" w:rsidR="00554459" w:rsidRPr="00DF36B4" w:rsidRDefault="00554459" w:rsidP="00495559">
            <w:pPr>
              <w:jc w:val="center"/>
              <w:rPr>
                <w:sz w:val="18"/>
                <w:szCs w:val="18"/>
              </w:rPr>
            </w:pPr>
          </w:p>
          <w:p w14:paraId="23983AC6" w14:textId="77777777" w:rsidR="00554459" w:rsidRPr="00DF36B4" w:rsidRDefault="00554459" w:rsidP="00495559">
            <w:pPr>
              <w:jc w:val="center"/>
              <w:rPr>
                <w:sz w:val="18"/>
                <w:szCs w:val="18"/>
              </w:rPr>
            </w:pPr>
          </w:p>
          <w:p w14:paraId="221394D9" w14:textId="77777777" w:rsidR="00554459" w:rsidRPr="00DF36B4" w:rsidRDefault="00554459" w:rsidP="00495559">
            <w:pPr>
              <w:jc w:val="center"/>
              <w:rPr>
                <w:sz w:val="18"/>
                <w:szCs w:val="18"/>
              </w:rPr>
            </w:pPr>
            <w:r w:rsidRPr="00DF36B4">
              <w:rPr>
                <w:sz w:val="18"/>
                <w:szCs w:val="18"/>
              </w:rPr>
              <w:t>Yukon</w:t>
            </w:r>
          </w:p>
          <w:p w14:paraId="64421748" w14:textId="77777777" w:rsidR="00554459" w:rsidRPr="00DF36B4" w:rsidRDefault="00554459" w:rsidP="00495559">
            <w:pPr>
              <w:jc w:val="center"/>
              <w:rPr>
                <w:sz w:val="18"/>
                <w:szCs w:val="18"/>
              </w:rPr>
            </w:pPr>
            <w:r w:rsidRPr="00DF36B4">
              <w:rPr>
                <w:sz w:val="18"/>
                <w:szCs w:val="18"/>
              </w:rPr>
              <w:t xml:space="preserve">Quartz </w:t>
            </w:r>
            <w:r w:rsidRPr="00DF36B4">
              <w:rPr>
                <w:sz w:val="18"/>
                <w:szCs w:val="18"/>
                <w:u w:val="single"/>
              </w:rPr>
              <w:t>Claims</w:t>
            </w:r>
          </w:p>
        </w:tc>
        <w:tc>
          <w:tcPr>
            <w:tcW w:w="1080" w:type="dxa"/>
            <w:tcBorders>
              <w:top w:val="nil"/>
              <w:bottom w:val="nil"/>
            </w:tcBorders>
            <w:vAlign w:val="bottom"/>
          </w:tcPr>
          <w:p w14:paraId="568405D0" w14:textId="77777777" w:rsidR="00554459" w:rsidRPr="00DF36B4" w:rsidRDefault="00554459" w:rsidP="00495559">
            <w:pPr>
              <w:jc w:val="center"/>
              <w:rPr>
                <w:sz w:val="18"/>
                <w:szCs w:val="18"/>
              </w:rPr>
            </w:pPr>
            <w:r w:rsidRPr="00DF36B4">
              <w:rPr>
                <w:sz w:val="18"/>
                <w:szCs w:val="18"/>
              </w:rPr>
              <w:t xml:space="preserve">Idaho Star Cobalt </w:t>
            </w:r>
            <w:r w:rsidRPr="00DF36B4">
              <w:rPr>
                <w:sz w:val="18"/>
                <w:szCs w:val="18"/>
                <w:u w:val="single"/>
              </w:rPr>
              <w:t>Prospect</w:t>
            </w:r>
          </w:p>
        </w:tc>
        <w:tc>
          <w:tcPr>
            <w:tcW w:w="1080" w:type="dxa"/>
            <w:tcBorders>
              <w:top w:val="nil"/>
              <w:bottom w:val="nil"/>
            </w:tcBorders>
            <w:vAlign w:val="bottom"/>
          </w:tcPr>
          <w:p w14:paraId="21DFE28B" w14:textId="77777777" w:rsidR="00554459" w:rsidRPr="00DF36B4" w:rsidRDefault="00554459" w:rsidP="00495559">
            <w:pPr>
              <w:jc w:val="center"/>
              <w:rPr>
                <w:sz w:val="18"/>
                <w:szCs w:val="18"/>
              </w:rPr>
            </w:pPr>
            <w:r w:rsidRPr="00DF36B4">
              <w:rPr>
                <w:sz w:val="18"/>
                <w:szCs w:val="18"/>
              </w:rPr>
              <w:t xml:space="preserve">Montana Chicken Hawk Cobalt </w:t>
            </w:r>
            <w:r w:rsidRPr="00DF36B4">
              <w:rPr>
                <w:sz w:val="18"/>
                <w:szCs w:val="18"/>
                <w:u w:val="single"/>
              </w:rPr>
              <w:t>Prospect</w:t>
            </w:r>
          </w:p>
        </w:tc>
        <w:tc>
          <w:tcPr>
            <w:tcW w:w="1530" w:type="dxa"/>
            <w:tcBorders>
              <w:top w:val="nil"/>
              <w:bottom w:val="nil"/>
            </w:tcBorders>
            <w:vAlign w:val="bottom"/>
          </w:tcPr>
          <w:p w14:paraId="2502AA24" w14:textId="77777777" w:rsidR="00554459" w:rsidRPr="00DF36B4" w:rsidRDefault="00554459" w:rsidP="00495559">
            <w:pPr>
              <w:jc w:val="center"/>
              <w:rPr>
                <w:sz w:val="18"/>
                <w:szCs w:val="18"/>
              </w:rPr>
            </w:pPr>
            <w:r w:rsidRPr="00DF36B4">
              <w:rPr>
                <w:sz w:val="18"/>
                <w:szCs w:val="18"/>
              </w:rPr>
              <w:t>Nevada Clayton Valley W.</w:t>
            </w:r>
          </w:p>
          <w:p w14:paraId="7245F108" w14:textId="77777777" w:rsidR="00554459" w:rsidRPr="00DF36B4" w:rsidRDefault="00554459" w:rsidP="00495559">
            <w:pPr>
              <w:jc w:val="center"/>
              <w:rPr>
                <w:sz w:val="18"/>
                <w:szCs w:val="18"/>
              </w:rPr>
            </w:pPr>
            <w:r w:rsidRPr="00A146EA">
              <w:rPr>
                <w:sz w:val="18"/>
                <w:szCs w:val="18"/>
                <w:u w:val="single"/>
              </w:rPr>
              <w:t>Lithium P</w:t>
            </w:r>
            <w:r w:rsidRPr="00DF36B4">
              <w:rPr>
                <w:sz w:val="18"/>
                <w:szCs w:val="18"/>
                <w:u w:val="single"/>
              </w:rPr>
              <w:t>roperty</w:t>
            </w:r>
          </w:p>
        </w:tc>
        <w:tc>
          <w:tcPr>
            <w:tcW w:w="1260" w:type="dxa"/>
            <w:tcBorders>
              <w:top w:val="nil"/>
              <w:bottom w:val="nil"/>
            </w:tcBorders>
            <w:vAlign w:val="bottom"/>
          </w:tcPr>
          <w:p w14:paraId="003CA477" w14:textId="77777777" w:rsidR="00554459" w:rsidRPr="00DF36B4" w:rsidRDefault="00554459" w:rsidP="00495559">
            <w:pPr>
              <w:jc w:val="center"/>
              <w:rPr>
                <w:sz w:val="18"/>
                <w:szCs w:val="18"/>
              </w:rPr>
            </w:pPr>
          </w:p>
          <w:p w14:paraId="317E13B7" w14:textId="77777777" w:rsidR="00554459" w:rsidRPr="00DF36B4" w:rsidRDefault="00554459" w:rsidP="00495559">
            <w:pPr>
              <w:jc w:val="center"/>
              <w:rPr>
                <w:sz w:val="18"/>
                <w:szCs w:val="18"/>
              </w:rPr>
            </w:pPr>
          </w:p>
          <w:p w14:paraId="4CC72CF2" w14:textId="77777777" w:rsidR="00554459" w:rsidRPr="00DF36B4" w:rsidRDefault="00554459" w:rsidP="00495559">
            <w:pPr>
              <w:jc w:val="center"/>
              <w:rPr>
                <w:sz w:val="18"/>
                <w:szCs w:val="18"/>
              </w:rPr>
            </w:pPr>
          </w:p>
          <w:p w14:paraId="1014237F" w14:textId="77777777" w:rsidR="00554459" w:rsidRPr="00DF36B4" w:rsidRDefault="00554459" w:rsidP="00495559">
            <w:pPr>
              <w:jc w:val="center"/>
              <w:rPr>
                <w:sz w:val="18"/>
                <w:szCs w:val="18"/>
                <w:u w:val="single"/>
              </w:rPr>
            </w:pPr>
            <w:r w:rsidRPr="00DF36B4">
              <w:rPr>
                <w:sz w:val="18"/>
                <w:szCs w:val="18"/>
                <w:u w:val="single"/>
              </w:rPr>
              <w:t>Total</w:t>
            </w:r>
          </w:p>
        </w:tc>
      </w:tr>
      <w:tr w:rsidR="00554459" w:rsidRPr="00DF36B4" w14:paraId="7E0EEDCA" w14:textId="77777777" w:rsidTr="00495559">
        <w:tc>
          <w:tcPr>
            <w:tcW w:w="3018" w:type="dxa"/>
          </w:tcPr>
          <w:p w14:paraId="48610832" w14:textId="77777777" w:rsidR="00554459" w:rsidRPr="00DF36B4" w:rsidDel="000813C4" w:rsidRDefault="00554459" w:rsidP="00495559">
            <w:pPr>
              <w:pStyle w:val="dr"/>
              <w:tabs>
                <w:tab w:val="left" w:pos="274"/>
                <w:tab w:val="left" w:pos="467"/>
              </w:tabs>
              <w:jc w:val="left"/>
              <w:rPr>
                <w:sz w:val="18"/>
                <w:szCs w:val="18"/>
              </w:rPr>
            </w:pPr>
            <w:r w:rsidRPr="00DF36B4">
              <w:rPr>
                <w:sz w:val="18"/>
                <w:szCs w:val="18"/>
              </w:rPr>
              <w:t>Balance, July 31, 201</w:t>
            </w:r>
            <w:r>
              <w:rPr>
                <w:sz w:val="18"/>
                <w:szCs w:val="18"/>
              </w:rPr>
              <w:t>8</w:t>
            </w:r>
          </w:p>
        </w:tc>
        <w:tc>
          <w:tcPr>
            <w:tcW w:w="1005" w:type="dxa"/>
            <w:tcBorders>
              <w:top w:val="nil"/>
              <w:bottom w:val="nil"/>
            </w:tcBorders>
          </w:tcPr>
          <w:p w14:paraId="4D843ECE" w14:textId="77777777" w:rsidR="00554459" w:rsidRPr="00DF36B4" w:rsidRDefault="00554459" w:rsidP="00495559">
            <w:pPr>
              <w:tabs>
                <w:tab w:val="left" w:pos="-54"/>
                <w:tab w:val="left" w:pos="0"/>
                <w:tab w:val="decimal" w:pos="1242"/>
              </w:tabs>
              <w:jc w:val="right"/>
              <w:rPr>
                <w:sz w:val="18"/>
                <w:szCs w:val="18"/>
              </w:rPr>
            </w:pPr>
            <w:r w:rsidRPr="00DF36B4">
              <w:rPr>
                <w:sz w:val="18"/>
                <w:szCs w:val="18"/>
              </w:rPr>
              <w:t xml:space="preserve">$    </w:t>
            </w:r>
            <w:r>
              <w:rPr>
                <w:sz w:val="18"/>
                <w:szCs w:val="18"/>
              </w:rPr>
              <w:t>19</w:t>
            </w:r>
            <w:r w:rsidRPr="00DF36B4">
              <w:rPr>
                <w:sz w:val="18"/>
                <w:szCs w:val="18"/>
              </w:rPr>
              <w:t>,</w:t>
            </w:r>
            <w:r>
              <w:rPr>
                <w:sz w:val="18"/>
                <w:szCs w:val="18"/>
              </w:rPr>
              <w:t>615</w:t>
            </w:r>
          </w:p>
        </w:tc>
        <w:tc>
          <w:tcPr>
            <w:tcW w:w="1177" w:type="dxa"/>
            <w:tcBorders>
              <w:top w:val="nil"/>
              <w:bottom w:val="nil"/>
            </w:tcBorders>
          </w:tcPr>
          <w:p w14:paraId="656A3A1A" w14:textId="77777777" w:rsidR="00554459" w:rsidRPr="00DF36B4" w:rsidRDefault="00554459" w:rsidP="00495559">
            <w:pPr>
              <w:tabs>
                <w:tab w:val="left" w:pos="-54"/>
                <w:tab w:val="left" w:pos="0"/>
                <w:tab w:val="decimal" w:pos="969"/>
              </w:tabs>
              <w:jc w:val="right"/>
              <w:rPr>
                <w:sz w:val="18"/>
                <w:szCs w:val="18"/>
              </w:rPr>
            </w:pPr>
            <w:r w:rsidRPr="00DF36B4">
              <w:rPr>
                <w:sz w:val="18"/>
                <w:szCs w:val="18"/>
              </w:rPr>
              <w:t>$</w:t>
            </w:r>
            <w:r>
              <w:rPr>
                <w:sz w:val="18"/>
                <w:szCs w:val="18"/>
              </w:rPr>
              <w:t xml:space="preserve">   </w:t>
            </w:r>
            <w:r w:rsidRPr="00DF36B4">
              <w:rPr>
                <w:sz w:val="18"/>
                <w:szCs w:val="18"/>
              </w:rPr>
              <w:t xml:space="preserve">  </w:t>
            </w:r>
            <w:r>
              <w:rPr>
                <w:sz w:val="18"/>
                <w:szCs w:val="18"/>
              </w:rPr>
              <w:t>930,108</w:t>
            </w:r>
          </w:p>
        </w:tc>
        <w:tc>
          <w:tcPr>
            <w:tcW w:w="1080" w:type="dxa"/>
            <w:tcBorders>
              <w:top w:val="nil"/>
              <w:bottom w:val="nil"/>
            </w:tcBorders>
          </w:tcPr>
          <w:p w14:paraId="3743EC69" w14:textId="77777777" w:rsidR="00554459" w:rsidRPr="00DF36B4" w:rsidRDefault="00554459" w:rsidP="00495559">
            <w:pPr>
              <w:pStyle w:val="Style1"/>
              <w:tabs>
                <w:tab w:val="left" w:pos="0"/>
                <w:tab w:val="decimal" w:pos="1152"/>
              </w:tabs>
              <w:jc w:val="right"/>
              <w:rPr>
                <w:sz w:val="18"/>
                <w:szCs w:val="18"/>
              </w:rPr>
            </w:pPr>
            <w:r w:rsidRPr="00DF36B4">
              <w:rPr>
                <w:sz w:val="18"/>
                <w:szCs w:val="18"/>
              </w:rPr>
              <w:t xml:space="preserve">$  </w:t>
            </w:r>
            <w:r>
              <w:rPr>
                <w:sz w:val="18"/>
                <w:szCs w:val="18"/>
              </w:rPr>
              <w:t>16,343</w:t>
            </w:r>
          </w:p>
        </w:tc>
        <w:tc>
          <w:tcPr>
            <w:tcW w:w="1080" w:type="dxa"/>
            <w:tcBorders>
              <w:top w:val="nil"/>
              <w:bottom w:val="nil"/>
            </w:tcBorders>
          </w:tcPr>
          <w:p w14:paraId="43D14060" w14:textId="77777777" w:rsidR="00554459" w:rsidRPr="00DF36B4" w:rsidRDefault="00554459" w:rsidP="00495559">
            <w:pPr>
              <w:tabs>
                <w:tab w:val="left" w:pos="-54"/>
                <w:tab w:val="left" w:pos="0"/>
                <w:tab w:val="decimal" w:pos="1242"/>
              </w:tabs>
              <w:jc w:val="right"/>
              <w:rPr>
                <w:sz w:val="18"/>
                <w:szCs w:val="18"/>
              </w:rPr>
            </w:pPr>
            <w:r w:rsidRPr="00DF36B4">
              <w:rPr>
                <w:sz w:val="18"/>
                <w:szCs w:val="18"/>
              </w:rPr>
              <w:t xml:space="preserve">$   </w:t>
            </w:r>
            <w:r>
              <w:rPr>
                <w:sz w:val="18"/>
                <w:szCs w:val="18"/>
              </w:rPr>
              <w:t xml:space="preserve">  </w:t>
            </w:r>
            <w:r w:rsidRPr="00DF36B4">
              <w:rPr>
                <w:sz w:val="18"/>
                <w:szCs w:val="18"/>
              </w:rPr>
              <w:t xml:space="preserve">   </w:t>
            </w:r>
            <w:r>
              <w:rPr>
                <w:sz w:val="18"/>
                <w:szCs w:val="18"/>
              </w:rPr>
              <w:t>6,846</w:t>
            </w:r>
          </w:p>
        </w:tc>
        <w:tc>
          <w:tcPr>
            <w:tcW w:w="1080" w:type="dxa"/>
            <w:tcBorders>
              <w:top w:val="nil"/>
              <w:bottom w:val="nil"/>
            </w:tcBorders>
          </w:tcPr>
          <w:p w14:paraId="4D9F809C" w14:textId="77777777" w:rsidR="00554459" w:rsidRPr="00DF36B4" w:rsidRDefault="00554459" w:rsidP="00495559">
            <w:pPr>
              <w:tabs>
                <w:tab w:val="left" w:pos="-54"/>
                <w:tab w:val="left" w:pos="0"/>
                <w:tab w:val="decimal" w:pos="1242"/>
              </w:tabs>
              <w:jc w:val="right"/>
              <w:rPr>
                <w:sz w:val="18"/>
                <w:szCs w:val="18"/>
              </w:rPr>
            </w:pPr>
            <w:r w:rsidRPr="00DF36B4">
              <w:rPr>
                <w:sz w:val="18"/>
                <w:szCs w:val="18"/>
              </w:rPr>
              <w:t xml:space="preserve">$  </w:t>
            </w:r>
            <w:r>
              <w:rPr>
                <w:sz w:val="18"/>
                <w:szCs w:val="18"/>
              </w:rPr>
              <w:t>690,881</w:t>
            </w:r>
          </w:p>
        </w:tc>
        <w:tc>
          <w:tcPr>
            <w:tcW w:w="1530" w:type="dxa"/>
            <w:tcBorders>
              <w:top w:val="nil"/>
              <w:bottom w:val="nil"/>
            </w:tcBorders>
          </w:tcPr>
          <w:p w14:paraId="7B15C36D" w14:textId="77777777" w:rsidR="00554459" w:rsidRPr="00DF36B4" w:rsidRDefault="00554459" w:rsidP="00495559">
            <w:pPr>
              <w:pStyle w:val="Style1"/>
              <w:tabs>
                <w:tab w:val="left" w:pos="0"/>
                <w:tab w:val="decimal" w:pos="1242"/>
              </w:tabs>
              <w:jc w:val="right"/>
              <w:rPr>
                <w:sz w:val="18"/>
                <w:szCs w:val="18"/>
              </w:rPr>
            </w:pPr>
            <w:r>
              <w:rPr>
                <w:sz w:val="18"/>
                <w:szCs w:val="18"/>
              </w:rPr>
              <w:t>$         37,3</w:t>
            </w:r>
            <w:r w:rsidRPr="00DF36B4">
              <w:rPr>
                <w:sz w:val="18"/>
                <w:szCs w:val="18"/>
              </w:rPr>
              <w:t>0</w:t>
            </w:r>
            <w:r>
              <w:rPr>
                <w:sz w:val="18"/>
                <w:szCs w:val="18"/>
              </w:rPr>
              <w:t>4</w:t>
            </w:r>
          </w:p>
        </w:tc>
        <w:tc>
          <w:tcPr>
            <w:tcW w:w="1260" w:type="dxa"/>
            <w:tcBorders>
              <w:top w:val="nil"/>
              <w:bottom w:val="nil"/>
            </w:tcBorders>
          </w:tcPr>
          <w:p w14:paraId="0CF715E0" w14:textId="77777777" w:rsidR="00554459" w:rsidRPr="00DF36B4" w:rsidRDefault="00554459" w:rsidP="00495559">
            <w:pPr>
              <w:tabs>
                <w:tab w:val="left" w:pos="-54"/>
                <w:tab w:val="left" w:pos="0"/>
                <w:tab w:val="decimal" w:pos="1133"/>
              </w:tabs>
              <w:jc w:val="right"/>
              <w:rPr>
                <w:sz w:val="18"/>
                <w:szCs w:val="18"/>
              </w:rPr>
            </w:pPr>
            <w:r w:rsidRPr="00DF36B4">
              <w:rPr>
                <w:sz w:val="18"/>
                <w:szCs w:val="18"/>
              </w:rPr>
              <w:t xml:space="preserve">$  </w:t>
            </w:r>
            <w:r>
              <w:rPr>
                <w:sz w:val="18"/>
                <w:szCs w:val="18"/>
              </w:rPr>
              <w:t>1,791,097</w:t>
            </w:r>
          </w:p>
        </w:tc>
      </w:tr>
      <w:tr w:rsidR="00554459" w:rsidRPr="00DF36B4" w14:paraId="415F81E2" w14:textId="77777777" w:rsidTr="00495559">
        <w:tc>
          <w:tcPr>
            <w:tcW w:w="3018" w:type="dxa"/>
            <w:tcBorders>
              <w:top w:val="nil"/>
              <w:bottom w:val="nil"/>
            </w:tcBorders>
          </w:tcPr>
          <w:p w14:paraId="1DC56029" w14:textId="77777777" w:rsidR="00554459" w:rsidRPr="00DF36B4" w:rsidRDefault="00554459" w:rsidP="00495559">
            <w:pPr>
              <w:pStyle w:val="dr"/>
              <w:tabs>
                <w:tab w:val="left" w:pos="274"/>
                <w:tab w:val="left" w:pos="467"/>
              </w:tabs>
              <w:jc w:val="left"/>
              <w:rPr>
                <w:sz w:val="18"/>
                <w:szCs w:val="18"/>
              </w:rPr>
            </w:pPr>
            <w:r w:rsidRPr="00DF36B4">
              <w:rPr>
                <w:sz w:val="18"/>
                <w:szCs w:val="18"/>
              </w:rPr>
              <w:t>Deferred exploration expenditures</w:t>
            </w:r>
          </w:p>
        </w:tc>
        <w:tc>
          <w:tcPr>
            <w:tcW w:w="1005" w:type="dxa"/>
            <w:tcBorders>
              <w:top w:val="nil"/>
              <w:bottom w:val="nil"/>
            </w:tcBorders>
          </w:tcPr>
          <w:p w14:paraId="3806CF73" w14:textId="77777777" w:rsidR="00554459" w:rsidRPr="00DF36B4" w:rsidRDefault="00554459" w:rsidP="00495559">
            <w:pPr>
              <w:jc w:val="right"/>
              <w:rPr>
                <w:sz w:val="18"/>
                <w:szCs w:val="18"/>
              </w:rPr>
            </w:pPr>
          </w:p>
        </w:tc>
        <w:tc>
          <w:tcPr>
            <w:tcW w:w="1177" w:type="dxa"/>
            <w:tcBorders>
              <w:top w:val="nil"/>
              <w:bottom w:val="nil"/>
            </w:tcBorders>
          </w:tcPr>
          <w:p w14:paraId="78513E59" w14:textId="77777777" w:rsidR="00554459" w:rsidRPr="00DF36B4" w:rsidRDefault="00554459" w:rsidP="00495559">
            <w:pPr>
              <w:tabs>
                <w:tab w:val="left" w:pos="0"/>
                <w:tab w:val="decimal" w:pos="969"/>
              </w:tabs>
              <w:jc w:val="right"/>
              <w:rPr>
                <w:sz w:val="18"/>
                <w:szCs w:val="18"/>
              </w:rPr>
            </w:pPr>
          </w:p>
        </w:tc>
        <w:tc>
          <w:tcPr>
            <w:tcW w:w="1080" w:type="dxa"/>
            <w:tcBorders>
              <w:top w:val="nil"/>
              <w:bottom w:val="nil"/>
            </w:tcBorders>
          </w:tcPr>
          <w:p w14:paraId="5FD1D8C9" w14:textId="77777777" w:rsidR="00554459" w:rsidRPr="00DF36B4" w:rsidRDefault="00554459" w:rsidP="00495559">
            <w:pPr>
              <w:tabs>
                <w:tab w:val="left" w:pos="0"/>
                <w:tab w:val="decimal" w:pos="1152"/>
              </w:tabs>
              <w:jc w:val="right"/>
              <w:rPr>
                <w:sz w:val="18"/>
                <w:szCs w:val="18"/>
              </w:rPr>
            </w:pPr>
          </w:p>
        </w:tc>
        <w:tc>
          <w:tcPr>
            <w:tcW w:w="1080" w:type="dxa"/>
            <w:tcBorders>
              <w:top w:val="nil"/>
              <w:bottom w:val="nil"/>
            </w:tcBorders>
          </w:tcPr>
          <w:p w14:paraId="10768BFC" w14:textId="77777777" w:rsidR="00554459" w:rsidRPr="00DF36B4" w:rsidRDefault="00554459" w:rsidP="00495559">
            <w:pPr>
              <w:tabs>
                <w:tab w:val="left" w:pos="0"/>
                <w:tab w:val="decimal" w:pos="1242"/>
              </w:tabs>
              <w:jc w:val="right"/>
              <w:rPr>
                <w:sz w:val="18"/>
                <w:szCs w:val="18"/>
              </w:rPr>
            </w:pPr>
          </w:p>
        </w:tc>
        <w:tc>
          <w:tcPr>
            <w:tcW w:w="1080" w:type="dxa"/>
            <w:tcBorders>
              <w:top w:val="nil"/>
              <w:bottom w:val="nil"/>
            </w:tcBorders>
          </w:tcPr>
          <w:p w14:paraId="2EE50AC7" w14:textId="77777777" w:rsidR="00554459" w:rsidRPr="00DF36B4" w:rsidRDefault="00554459" w:rsidP="00495559">
            <w:pPr>
              <w:tabs>
                <w:tab w:val="left" w:pos="0"/>
                <w:tab w:val="decimal" w:pos="1242"/>
              </w:tabs>
              <w:jc w:val="right"/>
              <w:rPr>
                <w:sz w:val="18"/>
                <w:szCs w:val="18"/>
              </w:rPr>
            </w:pPr>
          </w:p>
        </w:tc>
        <w:tc>
          <w:tcPr>
            <w:tcW w:w="1530" w:type="dxa"/>
            <w:tcBorders>
              <w:top w:val="nil"/>
              <w:bottom w:val="nil"/>
            </w:tcBorders>
          </w:tcPr>
          <w:p w14:paraId="23DB5208" w14:textId="77777777" w:rsidR="00554459" w:rsidRPr="00DF36B4" w:rsidRDefault="00554459" w:rsidP="00495559">
            <w:pPr>
              <w:tabs>
                <w:tab w:val="left" w:pos="0"/>
                <w:tab w:val="decimal" w:pos="1242"/>
              </w:tabs>
              <w:jc w:val="right"/>
              <w:rPr>
                <w:sz w:val="18"/>
                <w:szCs w:val="18"/>
              </w:rPr>
            </w:pPr>
          </w:p>
        </w:tc>
        <w:tc>
          <w:tcPr>
            <w:tcW w:w="1260" w:type="dxa"/>
            <w:tcBorders>
              <w:top w:val="nil"/>
              <w:bottom w:val="nil"/>
            </w:tcBorders>
          </w:tcPr>
          <w:p w14:paraId="2FE6B94D" w14:textId="77777777" w:rsidR="00554459" w:rsidRPr="00DF36B4" w:rsidRDefault="00554459" w:rsidP="00495559">
            <w:pPr>
              <w:tabs>
                <w:tab w:val="left" w:pos="0"/>
                <w:tab w:val="decimal" w:pos="1133"/>
              </w:tabs>
              <w:jc w:val="right"/>
              <w:rPr>
                <w:sz w:val="18"/>
                <w:szCs w:val="18"/>
              </w:rPr>
            </w:pPr>
          </w:p>
        </w:tc>
      </w:tr>
      <w:tr w:rsidR="00554459" w:rsidRPr="00DF36B4" w14:paraId="2D5160DA" w14:textId="77777777" w:rsidTr="00495559">
        <w:tc>
          <w:tcPr>
            <w:tcW w:w="3018" w:type="dxa"/>
            <w:tcBorders>
              <w:top w:val="nil"/>
              <w:bottom w:val="nil"/>
            </w:tcBorders>
          </w:tcPr>
          <w:p w14:paraId="08069CD0" w14:textId="77777777" w:rsidR="00554459" w:rsidRPr="00DF36B4" w:rsidRDefault="00554459" w:rsidP="00495559">
            <w:pPr>
              <w:pStyle w:val="dr"/>
              <w:tabs>
                <w:tab w:val="left" w:pos="274"/>
                <w:tab w:val="left" w:pos="467"/>
              </w:tabs>
              <w:jc w:val="left"/>
              <w:rPr>
                <w:sz w:val="18"/>
                <w:szCs w:val="18"/>
              </w:rPr>
            </w:pPr>
            <w:r w:rsidRPr="00DF36B4">
              <w:rPr>
                <w:sz w:val="18"/>
                <w:szCs w:val="18"/>
              </w:rPr>
              <w:tab/>
              <w:t>Geological expenses</w:t>
            </w:r>
          </w:p>
        </w:tc>
        <w:tc>
          <w:tcPr>
            <w:tcW w:w="1005" w:type="dxa"/>
            <w:tcBorders>
              <w:top w:val="nil"/>
              <w:bottom w:val="nil"/>
            </w:tcBorders>
          </w:tcPr>
          <w:p w14:paraId="00BA85A6" w14:textId="77777777" w:rsidR="00554459" w:rsidRPr="00DF36B4" w:rsidRDefault="00554459" w:rsidP="00495559">
            <w:pPr>
              <w:jc w:val="right"/>
              <w:rPr>
                <w:sz w:val="18"/>
                <w:szCs w:val="18"/>
              </w:rPr>
            </w:pPr>
            <w:r>
              <w:rPr>
                <w:sz w:val="18"/>
                <w:szCs w:val="18"/>
              </w:rPr>
              <w:t>3,000</w:t>
            </w:r>
          </w:p>
        </w:tc>
        <w:tc>
          <w:tcPr>
            <w:tcW w:w="1177" w:type="dxa"/>
            <w:tcBorders>
              <w:top w:val="nil"/>
              <w:bottom w:val="nil"/>
            </w:tcBorders>
          </w:tcPr>
          <w:p w14:paraId="0EA5D99F" w14:textId="77777777" w:rsidR="00554459" w:rsidRPr="00DF36B4" w:rsidRDefault="00554459" w:rsidP="00495559">
            <w:pPr>
              <w:tabs>
                <w:tab w:val="left" w:pos="0"/>
                <w:tab w:val="decimal" w:pos="969"/>
              </w:tabs>
              <w:jc w:val="right"/>
              <w:rPr>
                <w:sz w:val="18"/>
                <w:szCs w:val="18"/>
              </w:rPr>
            </w:pPr>
            <w:r>
              <w:rPr>
                <w:sz w:val="18"/>
                <w:szCs w:val="18"/>
              </w:rPr>
              <w:t>89,756</w:t>
            </w:r>
          </w:p>
        </w:tc>
        <w:tc>
          <w:tcPr>
            <w:tcW w:w="1080" w:type="dxa"/>
            <w:tcBorders>
              <w:top w:val="nil"/>
              <w:bottom w:val="nil"/>
            </w:tcBorders>
          </w:tcPr>
          <w:p w14:paraId="0B9A519A" w14:textId="77777777" w:rsidR="00554459" w:rsidRPr="00DF36B4" w:rsidRDefault="00554459" w:rsidP="00495559">
            <w:pPr>
              <w:tabs>
                <w:tab w:val="left" w:pos="0"/>
                <w:tab w:val="decimal" w:pos="1152"/>
              </w:tabs>
              <w:jc w:val="right"/>
              <w:rPr>
                <w:sz w:val="18"/>
                <w:szCs w:val="18"/>
              </w:rPr>
            </w:pPr>
            <w:r w:rsidRPr="00DF36B4">
              <w:rPr>
                <w:sz w:val="18"/>
                <w:szCs w:val="18"/>
              </w:rPr>
              <w:t>-</w:t>
            </w:r>
          </w:p>
        </w:tc>
        <w:tc>
          <w:tcPr>
            <w:tcW w:w="1080" w:type="dxa"/>
            <w:tcBorders>
              <w:top w:val="nil"/>
              <w:bottom w:val="nil"/>
            </w:tcBorders>
          </w:tcPr>
          <w:p w14:paraId="3A393FB3"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080" w:type="dxa"/>
            <w:tcBorders>
              <w:top w:val="nil"/>
              <w:bottom w:val="nil"/>
            </w:tcBorders>
          </w:tcPr>
          <w:p w14:paraId="414D8171"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530" w:type="dxa"/>
            <w:tcBorders>
              <w:top w:val="nil"/>
              <w:bottom w:val="nil"/>
            </w:tcBorders>
          </w:tcPr>
          <w:p w14:paraId="556BB241"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260" w:type="dxa"/>
            <w:tcBorders>
              <w:top w:val="nil"/>
              <w:bottom w:val="nil"/>
            </w:tcBorders>
          </w:tcPr>
          <w:p w14:paraId="1FA2382A" w14:textId="77777777" w:rsidR="00554459" w:rsidRPr="00DF36B4" w:rsidRDefault="00554459" w:rsidP="00495559">
            <w:pPr>
              <w:tabs>
                <w:tab w:val="left" w:pos="0"/>
                <w:tab w:val="decimal" w:pos="1133"/>
              </w:tabs>
              <w:jc w:val="right"/>
              <w:rPr>
                <w:sz w:val="18"/>
                <w:szCs w:val="18"/>
              </w:rPr>
            </w:pPr>
            <w:r>
              <w:rPr>
                <w:sz w:val="18"/>
                <w:szCs w:val="18"/>
              </w:rPr>
              <w:t>92,756</w:t>
            </w:r>
          </w:p>
        </w:tc>
      </w:tr>
      <w:tr w:rsidR="00554459" w:rsidRPr="00DF36B4" w14:paraId="0ABC23E0" w14:textId="77777777" w:rsidTr="00495559">
        <w:tc>
          <w:tcPr>
            <w:tcW w:w="3018" w:type="dxa"/>
            <w:tcBorders>
              <w:top w:val="nil"/>
              <w:bottom w:val="nil"/>
            </w:tcBorders>
          </w:tcPr>
          <w:p w14:paraId="25FD4A83" w14:textId="77777777" w:rsidR="00554459" w:rsidRPr="00DF36B4" w:rsidRDefault="00554459" w:rsidP="00495559">
            <w:pPr>
              <w:pStyle w:val="dr"/>
              <w:tabs>
                <w:tab w:val="left" w:pos="274"/>
                <w:tab w:val="left" w:pos="467"/>
              </w:tabs>
              <w:jc w:val="left"/>
              <w:rPr>
                <w:sz w:val="18"/>
                <w:szCs w:val="18"/>
              </w:rPr>
            </w:pPr>
            <w:r w:rsidRPr="00DF36B4">
              <w:rPr>
                <w:sz w:val="18"/>
                <w:szCs w:val="18"/>
              </w:rPr>
              <w:tab/>
              <w:t xml:space="preserve">Geological </w:t>
            </w:r>
            <w:r>
              <w:rPr>
                <w:sz w:val="18"/>
                <w:szCs w:val="18"/>
              </w:rPr>
              <w:t>report</w:t>
            </w:r>
          </w:p>
        </w:tc>
        <w:tc>
          <w:tcPr>
            <w:tcW w:w="1005" w:type="dxa"/>
            <w:tcBorders>
              <w:top w:val="nil"/>
              <w:bottom w:val="nil"/>
            </w:tcBorders>
          </w:tcPr>
          <w:p w14:paraId="012049BA" w14:textId="77777777" w:rsidR="00554459" w:rsidRPr="00DF36B4" w:rsidRDefault="00554459" w:rsidP="00495559">
            <w:pPr>
              <w:jc w:val="right"/>
              <w:rPr>
                <w:sz w:val="18"/>
                <w:szCs w:val="18"/>
              </w:rPr>
            </w:pPr>
            <w:r w:rsidRPr="00DF36B4">
              <w:rPr>
                <w:sz w:val="18"/>
                <w:szCs w:val="18"/>
              </w:rPr>
              <w:t>-</w:t>
            </w:r>
          </w:p>
        </w:tc>
        <w:tc>
          <w:tcPr>
            <w:tcW w:w="1177" w:type="dxa"/>
            <w:tcBorders>
              <w:top w:val="nil"/>
              <w:bottom w:val="nil"/>
            </w:tcBorders>
          </w:tcPr>
          <w:p w14:paraId="4EB918A5" w14:textId="77777777" w:rsidR="00554459" w:rsidRPr="00DF36B4" w:rsidRDefault="00554459" w:rsidP="00495559">
            <w:pPr>
              <w:tabs>
                <w:tab w:val="left" w:pos="0"/>
                <w:tab w:val="decimal" w:pos="969"/>
              </w:tabs>
              <w:jc w:val="right"/>
              <w:rPr>
                <w:sz w:val="18"/>
                <w:szCs w:val="18"/>
              </w:rPr>
            </w:pPr>
            <w:r>
              <w:rPr>
                <w:sz w:val="18"/>
                <w:szCs w:val="18"/>
              </w:rPr>
              <w:t>32,143</w:t>
            </w:r>
          </w:p>
        </w:tc>
        <w:tc>
          <w:tcPr>
            <w:tcW w:w="1080" w:type="dxa"/>
            <w:tcBorders>
              <w:top w:val="nil"/>
              <w:bottom w:val="nil"/>
            </w:tcBorders>
          </w:tcPr>
          <w:p w14:paraId="2DF35500" w14:textId="77777777" w:rsidR="00554459" w:rsidRPr="00DF36B4" w:rsidRDefault="00554459" w:rsidP="00495559">
            <w:pPr>
              <w:tabs>
                <w:tab w:val="left" w:pos="0"/>
                <w:tab w:val="decimal" w:pos="1152"/>
              </w:tabs>
              <w:jc w:val="right"/>
              <w:rPr>
                <w:sz w:val="18"/>
                <w:szCs w:val="18"/>
              </w:rPr>
            </w:pPr>
            <w:r w:rsidRPr="00DF36B4">
              <w:rPr>
                <w:sz w:val="18"/>
                <w:szCs w:val="18"/>
              </w:rPr>
              <w:t>-</w:t>
            </w:r>
          </w:p>
        </w:tc>
        <w:tc>
          <w:tcPr>
            <w:tcW w:w="1080" w:type="dxa"/>
            <w:tcBorders>
              <w:top w:val="nil"/>
              <w:bottom w:val="nil"/>
            </w:tcBorders>
          </w:tcPr>
          <w:p w14:paraId="6B10A4E2"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080" w:type="dxa"/>
            <w:tcBorders>
              <w:top w:val="nil"/>
              <w:bottom w:val="nil"/>
            </w:tcBorders>
          </w:tcPr>
          <w:p w14:paraId="789261AB"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530" w:type="dxa"/>
            <w:tcBorders>
              <w:top w:val="nil"/>
              <w:bottom w:val="nil"/>
            </w:tcBorders>
          </w:tcPr>
          <w:p w14:paraId="22B9C8CC"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260" w:type="dxa"/>
            <w:tcBorders>
              <w:top w:val="nil"/>
              <w:bottom w:val="nil"/>
            </w:tcBorders>
          </w:tcPr>
          <w:p w14:paraId="4C58EE55" w14:textId="77777777" w:rsidR="00554459" w:rsidRPr="00DF36B4" w:rsidRDefault="00554459" w:rsidP="00495559">
            <w:pPr>
              <w:tabs>
                <w:tab w:val="left" w:pos="0"/>
                <w:tab w:val="decimal" w:pos="1133"/>
              </w:tabs>
              <w:jc w:val="right"/>
              <w:rPr>
                <w:sz w:val="18"/>
                <w:szCs w:val="18"/>
              </w:rPr>
            </w:pPr>
            <w:r>
              <w:rPr>
                <w:sz w:val="18"/>
                <w:szCs w:val="18"/>
              </w:rPr>
              <w:t>32,143</w:t>
            </w:r>
          </w:p>
        </w:tc>
      </w:tr>
      <w:tr w:rsidR="00554459" w:rsidRPr="00DF36B4" w14:paraId="5FDD19BB" w14:textId="77777777" w:rsidTr="00495559">
        <w:tc>
          <w:tcPr>
            <w:tcW w:w="3018" w:type="dxa"/>
            <w:tcBorders>
              <w:top w:val="nil"/>
              <w:bottom w:val="nil"/>
            </w:tcBorders>
          </w:tcPr>
          <w:p w14:paraId="6EB8F88D" w14:textId="77777777" w:rsidR="00554459" w:rsidRPr="00DF36B4" w:rsidRDefault="00554459" w:rsidP="00495559">
            <w:pPr>
              <w:pStyle w:val="dr"/>
              <w:tabs>
                <w:tab w:val="left" w:pos="274"/>
                <w:tab w:val="left" w:pos="467"/>
              </w:tabs>
              <w:jc w:val="left"/>
              <w:rPr>
                <w:sz w:val="18"/>
                <w:szCs w:val="18"/>
              </w:rPr>
            </w:pPr>
            <w:r w:rsidRPr="00DF36B4">
              <w:rPr>
                <w:sz w:val="18"/>
                <w:szCs w:val="18"/>
              </w:rPr>
              <w:tab/>
              <w:t>Claim maintenance fees</w:t>
            </w:r>
          </w:p>
        </w:tc>
        <w:tc>
          <w:tcPr>
            <w:tcW w:w="1005" w:type="dxa"/>
            <w:tcBorders>
              <w:top w:val="nil"/>
              <w:bottom w:val="nil"/>
            </w:tcBorders>
          </w:tcPr>
          <w:p w14:paraId="4924318F" w14:textId="77777777" w:rsidR="00554459" w:rsidRPr="00DF36B4" w:rsidRDefault="00554459" w:rsidP="00495559">
            <w:pPr>
              <w:jc w:val="right"/>
              <w:rPr>
                <w:sz w:val="18"/>
                <w:szCs w:val="18"/>
              </w:rPr>
            </w:pPr>
            <w:r w:rsidRPr="00DF36B4">
              <w:rPr>
                <w:sz w:val="18"/>
                <w:szCs w:val="18"/>
              </w:rPr>
              <w:t>-</w:t>
            </w:r>
          </w:p>
        </w:tc>
        <w:tc>
          <w:tcPr>
            <w:tcW w:w="1177" w:type="dxa"/>
            <w:tcBorders>
              <w:top w:val="nil"/>
              <w:bottom w:val="nil"/>
            </w:tcBorders>
          </w:tcPr>
          <w:p w14:paraId="0C8E0A01" w14:textId="77777777" w:rsidR="00554459" w:rsidRPr="00DF36B4" w:rsidRDefault="00554459" w:rsidP="00495559">
            <w:pPr>
              <w:tabs>
                <w:tab w:val="left" w:pos="0"/>
                <w:tab w:val="decimal" w:pos="969"/>
              </w:tabs>
              <w:jc w:val="right"/>
              <w:rPr>
                <w:sz w:val="18"/>
                <w:szCs w:val="18"/>
              </w:rPr>
            </w:pPr>
            <w:r w:rsidRPr="00DF36B4">
              <w:rPr>
                <w:sz w:val="18"/>
                <w:szCs w:val="18"/>
              </w:rPr>
              <w:t>-</w:t>
            </w:r>
          </w:p>
        </w:tc>
        <w:tc>
          <w:tcPr>
            <w:tcW w:w="1080" w:type="dxa"/>
            <w:tcBorders>
              <w:top w:val="nil"/>
              <w:bottom w:val="nil"/>
            </w:tcBorders>
          </w:tcPr>
          <w:p w14:paraId="40226DAE" w14:textId="77777777" w:rsidR="00554459" w:rsidRPr="00DF36B4" w:rsidRDefault="00554459" w:rsidP="00495559">
            <w:pPr>
              <w:tabs>
                <w:tab w:val="left" w:pos="0"/>
                <w:tab w:val="decimal" w:pos="1152"/>
              </w:tabs>
              <w:jc w:val="right"/>
              <w:rPr>
                <w:sz w:val="18"/>
                <w:szCs w:val="18"/>
              </w:rPr>
            </w:pPr>
            <w:r w:rsidRPr="00DF36B4">
              <w:rPr>
                <w:sz w:val="18"/>
                <w:szCs w:val="18"/>
              </w:rPr>
              <w:t>210</w:t>
            </w:r>
          </w:p>
        </w:tc>
        <w:tc>
          <w:tcPr>
            <w:tcW w:w="1080" w:type="dxa"/>
            <w:tcBorders>
              <w:top w:val="nil"/>
              <w:bottom w:val="nil"/>
            </w:tcBorders>
          </w:tcPr>
          <w:p w14:paraId="03D67139" w14:textId="77777777" w:rsidR="00554459" w:rsidRPr="00DF36B4" w:rsidRDefault="00554459" w:rsidP="00495559">
            <w:pPr>
              <w:tabs>
                <w:tab w:val="left" w:pos="0"/>
                <w:tab w:val="decimal" w:pos="1242"/>
              </w:tabs>
              <w:jc w:val="right"/>
              <w:rPr>
                <w:sz w:val="18"/>
                <w:szCs w:val="18"/>
              </w:rPr>
            </w:pPr>
            <w:r w:rsidRPr="00DF36B4">
              <w:rPr>
                <w:sz w:val="18"/>
                <w:szCs w:val="18"/>
              </w:rPr>
              <w:t>8</w:t>
            </w:r>
            <w:r>
              <w:rPr>
                <w:sz w:val="18"/>
                <w:szCs w:val="18"/>
              </w:rPr>
              <w:t>3</w:t>
            </w:r>
            <w:r w:rsidRPr="00DF36B4">
              <w:rPr>
                <w:sz w:val="18"/>
                <w:szCs w:val="18"/>
              </w:rPr>
              <w:t>2</w:t>
            </w:r>
          </w:p>
        </w:tc>
        <w:tc>
          <w:tcPr>
            <w:tcW w:w="1080" w:type="dxa"/>
            <w:tcBorders>
              <w:top w:val="nil"/>
              <w:bottom w:val="nil"/>
            </w:tcBorders>
          </w:tcPr>
          <w:p w14:paraId="54C25659" w14:textId="77777777" w:rsidR="00554459" w:rsidRPr="00DF36B4" w:rsidRDefault="00554459" w:rsidP="00495559">
            <w:pPr>
              <w:tabs>
                <w:tab w:val="left" w:pos="0"/>
                <w:tab w:val="decimal" w:pos="1242"/>
              </w:tabs>
              <w:jc w:val="right"/>
              <w:rPr>
                <w:sz w:val="18"/>
                <w:szCs w:val="18"/>
              </w:rPr>
            </w:pPr>
            <w:r>
              <w:rPr>
                <w:sz w:val="18"/>
                <w:szCs w:val="18"/>
              </w:rPr>
              <w:t>13,425</w:t>
            </w:r>
          </w:p>
        </w:tc>
        <w:tc>
          <w:tcPr>
            <w:tcW w:w="1530" w:type="dxa"/>
            <w:tcBorders>
              <w:top w:val="nil"/>
              <w:bottom w:val="nil"/>
            </w:tcBorders>
          </w:tcPr>
          <w:p w14:paraId="3E77687A" w14:textId="77777777" w:rsidR="00554459" w:rsidRPr="00DF36B4" w:rsidRDefault="00554459" w:rsidP="00495559">
            <w:pPr>
              <w:tabs>
                <w:tab w:val="left" w:pos="0"/>
                <w:tab w:val="decimal" w:pos="1242"/>
              </w:tabs>
              <w:jc w:val="right"/>
              <w:rPr>
                <w:sz w:val="18"/>
                <w:szCs w:val="18"/>
              </w:rPr>
            </w:pPr>
            <w:r w:rsidRPr="00DF36B4">
              <w:rPr>
                <w:sz w:val="18"/>
                <w:szCs w:val="18"/>
              </w:rPr>
              <w:t>2,6</w:t>
            </w:r>
            <w:r>
              <w:rPr>
                <w:sz w:val="18"/>
                <w:szCs w:val="18"/>
              </w:rPr>
              <w:t>92</w:t>
            </w:r>
          </w:p>
        </w:tc>
        <w:tc>
          <w:tcPr>
            <w:tcW w:w="1260" w:type="dxa"/>
            <w:tcBorders>
              <w:top w:val="nil"/>
              <w:bottom w:val="nil"/>
            </w:tcBorders>
          </w:tcPr>
          <w:p w14:paraId="05EFE97D" w14:textId="77777777" w:rsidR="00554459" w:rsidRPr="00DF36B4" w:rsidRDefault="00554459" w:rsidP="00495559">
            <w:pPr>
              <w:tabs>
                <w:tab w:val="left" w:pos="0"/>
                <w:tab w:val="decimal" w:pos="1133"/>
              </w:tabs>
              <w:jc w:val="right"/>
              <w:rPr>
                <w:sz w:val="18"/>
                <w:szCs w:val="18"/>
              </w:rPr>
            </w:pPr>
            <w:r>
              <w:rPr>
                <w:sz w:val="18"/>
                <w:szCs w:val="18"/>
              </w:rPr>
              <w:t>17,159</w:t>
            </w:r>
          </w:p>
        </w:tc>
      </w:tr>
      <w:tr w:rsidR="00554459" w:rsidRPr="00DF36B4" w14:paraId="0479F6F8" w14:textId="77777777" w:rsidTr="00495559">
        <w:tc>
          <w:tcPr>
            <w:tcW w:w="3018" w:type="dxa"/>
            <w:tcBorders>
              <w:top w:val="nil"/>
              <w:bottom w:val="nil"/>
            </w:tcBorders>
          </w:tcPr>
          <w:p w14:paraId="4030F30D" w14:textId="77777777" w:rsidR="00554459" w:rsidRPr="00DF36B4" w:rsidRDefault="00554459" w:rsidP="00495559">
            <w:pPr>
              <w:pStyle w:val="dr"/>
              <w:tabs>
                <w:tab w:val="left" w:pos="274"/>
                <w:tab w:val="left" w:pos="467"/>
              </w:tabs>
              <w:jc w:val="left"/>
              <w:rPr>
                <w:sz w:val="18"/>
                <w:szCs w:val="18"/>
              </w:rPr>
            </w:pPr>
            <w:r w:rsidRPr="00DF36B4">
              <w:rPr>
                <w:sz w:val="18"/>
                <w:szCs w:val="18"/>
              </w:rPr>
              <w:tab/>
            </w:r>
            <w:r>
              <w:rPr>
                <w:sz w:val="18"/>
                <w:szCs w:val="18"/>
              </w:rPr>
              <w:t>Drilling</w:t>
            </w:r>
          </w:p>
        </w:tc>
        <w:tc>
          <w:tcPr>
            <w:tcW w:w="1005" w:type="dxa"/>
            <w:tcBorders>
              <w:top w:val="nil"/>
              <w:bottom w:val="nil"/>
            </w:tcBorders>
          </w:tcPr>
          <w:p w14:paraId="30E90494" w14:textId="77777777" w:rsidR="00554459" w:rsidRPr="00DF36B4" w:rsidRDefault="00554459" w:rsidP="00495559">
            <w:pPr>
              <w:jc w:val="right"/>
              <w:rPr>
                <w:sz w:val="18"/>
                <w:szCs w:val="18"/>
              </w:rPr>
            </w:pPr>
            <w:r w:rsidRPr="00DF36B4">
              <w:rPr>
                <w:sz w:val="18"/>
                <w:szCs w:val="18"/>
              </w:rPr>
              <w:t>-</w:t>
            </w:r>
          </w:p>
        </w:tc>
        <w:tc>
          <w:tcPr>
            <w:tcW w:w="1177" w:type="dxa"/>
            <w:tcBorders>
              <w:top w:val="nil"/>
              <w:bottom w:val="nil"/>
            </w:tcBorders>
          </w:tcPr>
          <w:p w14:paraId="766166D9" w14:textId="77777777" w:rsidR="00554459" w:rsidRPr="00DF36B4" w:rsidRDefault="00554459" w:rsidP="00495559">
            <w:pPr>
              <w:tabs>
                <w:tab w:val="left" w:pos="0"/>
                <w:tab w:val="decimal" w:pos="969"/>
              </w:tabs>
              <w:jc w:val="right"/>
              <w:rPr>
                <w:sz w:val="18"/>
                <w:szCs w:val="18"/>
              </w:rPr>
            </w:pPr>
            <w:r>
              <w:rPr>
                <w:sz w:val="18"/>
                <w:szCs w:val="18"/>
              </w:rPr>
              <w:t>115,147</w:t>
            </w:r>
          </w:p>
        </w:tc>
        <w:tc>
          <w:tcPr>
            <w:tcW w:w="1080" w:type="dxa"/>
            <w:tcBorders>
              <w:top w:val="nil"/>
              <w:bottom w:val="nil"/>
            </w:tcBorders>
          </w:tcPr>
          <w:p w14:paraId="11B37ECF" w14:textId="77777777" w:rsidR="00554459" w:rsidRPr="00DF36B4" w:rsidRDefault="00554459" w:rsidP="00495559">
            <w:pPr>
              <w:tabs>
                <w:tab w:val="left" w:pos="0"/>
                <w:tab w:val="decimal" w:pos="1152"/>
              </w:tabs>
              <w:jc w:val="right"/>
              <w:rPr>
                <w:sz w:val="18"/>
                <w:szCs w:val="18"/>
              </w:rPr>
            </w:pPr>
            <w:r w:rsidRPr="00DF36B4">
              <w:rPr>
                <w:sz w:val="18"/>
                <w:szCs w:val="18"/>
              </w:rPr>
              <w:t>-</w:t>
            </w:r>
          </w:p>
        </w:tc>
        <w:tc>
          <w:tcPr>
            <w:tcW w:w="1080" w:type="dxa"/>
            <w:tcBorders>
              <w:top w:val="nil"/>
              <w:bottom w:val="nil"/>
            </w:tcBorders>
          </w:tcPr>
          <w:p w14:paraId="2E1474F0"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080" w:type="dxa"/>
            <w:tcBorders>
              <w:top w:val="nil"/>
              <w:bottom w:val="nil"/>
            </w:tcBorders>
          </w:tcPr>
          <w:p w14:paraId="61D6D555"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530" w:type="dxa"/>
            <w:tcBorders>
              <w:top w:val="nil"/>
              <w:bottom w:val="nil"/>
            </w:tcBorders>
          </w:tcPr>
          <w:p w14:paraId="09C2F5EC"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260" w:type="dxa"/>
            <w:tcBorders>
              <w:top w:val="nil"/>
              <w:bottom w:val="nil"/>
            </w:tcBorders>
          </w:tcPr>
          <w:p w14:paraId="1761229F" w14:textId="77777777" w:rsidR="00554459" w:rsidRPr="00DF36B4" w:rsidRDefault="00554459" w:rsidP="00495559">
            <w:pPr>
              <w:tabs>
                <w:tab w:val="left" w:pos="0"/>
                <w:tab w:val="decimal" w:pos="1133"/>
              </w:tabs>
              <w:jc w:val="right"/>
              <w:rPr>
                <w:sz w:val="18"/>
                <w:szCs w:val="18"/>
              </w:rPr>
            </w:pPr>
            <w:r>
              <w:rPr>
                <w:sz w:val="18"/>
                <w:szCs w:val="18"/>
              </w:rPr>
              <w:t>115,147</w:t>
            </w:r>
          </w:p>
        </w:tc>
      </w:tr>
      <w:tr w:rsidR="00554459" w:rsidRPr="00DF36B4" w14:paraId="1B86AF25" w14:textId="77777777" w:rsidTr="00495559">
        <w:tc>
          <w:tcPr>
            <w:tcW w:w="3018" w:type="dxa"/>
            <w:tcBorders>
              <w:top w:val="nil"/>
              <w:bottom w:val="nil"/>
            </w:tcBorders>
          </w:tcPr>
          <w:p w14:paraId="56044D54" w14:textId="77777777" w:rsidR="00554459" w:rsidRPr="00DF36B4" w:rsidRDefault="00554459" w:rsidP="00495559">
            <w:pPr>
              <w:pStyle w:val="dr"/>
              <w:tabs>
                <w:tab w:val="left" w:pos="274"/>
                <w:tab w:val="left" w:pos="467"/>
              </w:tabs>
              <w:jc w:val="left"/>
              <w:rPr>
                <w:sz w:val="18"/>
                <w:szCs w:val="18"/>
              </w:rPr>
            </w:pPr>
            <w:r w:rsidRPr="00DF36B4">
              <w:rPr>
                <w:sz w:val="18"/>
                <w:szCs w:val="18"/>
              </w:rPr>
              <w:tab/>
              <w:t>Field supplies and equipment</w:t>
            </w:r>
          </w:p>
        </w:tc>
        <w:tc>
          <w:tcPr>
            <w:tcW w:w="1005" w:type="dxa"/>
            <w:tcBorders>
              <w:top w:val="nil"/>
              <w:bottom w:val="nil"/>
            </w:tcBorders>
          </w:tcPr>
          <w:p w14:paraId="7E17630F" w14:textId="77777777" w:rsidR="00554459" w:rsidRPr="00DF36B4" w:rsidRDefault="00554459" w:rsidP="00495559">
            <w:pPr>
              <w:jc w:val="right"/>
              <w:rPr>
                <w:sz w:val="18"/>
                <w:szCs w:val="18"/>
              </w:rPr>
            </w:pPr>
            <w:r w:rsidRPr="00DF36B4">
              <w:rPr>
                <w:sz w:val="18"/>
                <w:szCs w:val="18"/>
              </w:rPr>
              <w:t>-</w:t>
            </w:r>
          </w:p>
        </w:tc>
        <w:tc>
          <w:tcPr>
            <w:tcW w:w="1177" w:type="dxa"/>
            <w:tcBorders>
              <w:top w:val="nil"/>
              <w:bottom w:val="nil"/>
            </w:tcBorders>
          </w:tcPr>
          <w:p w14:paraId="62402498" w14:textId="77777777" w:rsidR="00554459" w:rsidRPr="00DF36B4" w:rsidRDefault="00554459" w:rsidP="00495559">
            <w:pPr>
              <w:tabs>
                <w:tab w:val="left" w:pos="0"/>
                <w:tab w:val="decimal" w:pos="969"/>
              </w:tabs>
              <w:jc w:val="right"/>
              <w:rPr>
                <w:sz w:val="18"/>
                <w:szCs w:val="18"/>
              </w:rPr>
            </w:pPr>
            <w:r>
              <w:rPr>
                <w:sz w:val="18"/>
                <w:szCs w:val="18"/>
              </w:rPr>
              <w:t>9,547</w:t>
            </w:r>
          </w:p>
        </w:tc>
        <w:tc>
          <w:tcPr>
            <w:tcW w:w="1080" w:type="dxa"/>
            <w:tcBorders>
              <w:top w:val="nil"/>
              <w:bottom w:val="nil"/>
            </w:tcBorders>
          </w:tcPr>
          <w:p w14:paraId="51C8B5A8" w14:textId="77777777" w:rsidR="00554459" w:rsidRPr="00DF36B4" w:rsidRDefault="00554459" w:rsidP="00495559">
            <w:pPr>
              <w:tabs>
                <w:tab w:val="left" w:pos="0"/>
                <w:tab w:val="decimal" w:pos="1152"/>
              </w:tabs>
              <w:jc w:val="right"/>
              <w:rPr>
                <w:sz w:val="18"/>
                <w:szCs w:val="18"/>
              </w:rPr>
            </w:pPr>
            <w:r w:rsidRPr="00DF36B4">
              <w:rPr>
                <w:sz w:val="18"/>
                <w:szCs w:val="18"/>
              </w:rPr>
              <w:t>-</w:t>
            </w:r>
          </w:p>
        </w:tc>
        <w:tc>
          <w:tcPr>
            <w:tcW w:w="1080" w:type="dxa"/>
            <w:tcBorders>
              <w:top w:val="nil"/>
              <w:bottom w:val="nil"/>
            </w:tcBorders>
          </w:tcPr>
          <w:p w14:paraId="1BEDD117"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080" w:type="dxa"/>
            <w:tcBorders>
              <w:top w:val="nil"/>
              <w:bottom w:val="nil"/>
            </w:tcBorders>
          </w:tcPr>
          <w:p w14:paraId="0D7B17C8"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530" w:type="dxa"/>
            <w:tcBorders>
              <w:top w:val="nil"/>
              <w:bottom w:val="nil"/>
            </w:tcBorders>
          </w:tcPr>
          <w:p w14:paraId="464BFE84"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260" w:type="dxa"/>
            <w:tcBorders>
              <w:top w:val="nil"/>
              <w:bottom w:val="nil"/>
            </w:tcBorders>
          </w:tcPr>
          <w:p w14:paraId="6C6FE3E5" w14:textId="77777777" w:rsidR="00554459" w:rsidRPr="00DF36B4" w:rsidRDefault="00554459" w:rsidP="00495559">
            <w:pPr>
              <w:tabs>
                <w:tab w:val="left" w:pos="0"/>
                <w:tab w:val="decimal" w:pos="1133"/>
              </w:tabs>
              <w:jc w:val="right"/>
              <w:rPr>
                <w:sz w:val="18"/>
                <w:szCs w:val="18"/>
              </w:rPr>
            </w:pPr>
            <w:r>
              <w:rPr>
                <w:sz w:val="18"/>
                <w:szCs w:val="18"/>
              </w:rPr>
              <w:t>9,547</w:t>
            </w:r>
          </w:p>
        </w:tc>
      </w:tr>
      <w:tr w:rsidR="00554459" w:rsidRPr="00DF36B4" w14:paraId="63EFB028" w14:textId="77777777" w:rsidTr="00495559">
        <w:tc>
          <w:tcPr>
            <w:tcW w:w="3018" w:type="dxa"/>
            <w:tcBorders>
              <w:top w:val="nil"/>
              <w:bottom w:val="nil"/>
            </w:tcBorders>
          </w:tcPr>
          <w:p w14:paraId="18F9E819" w14:textId="77777777" w:rsidR="00554459" w:rsidRPr="00DF36B4" w:rsidRDefault="00554459" w:rsidP="00495559">
            <w:pPr>
              <w:pStyle w:val="dr"/>
              <w:tabs>
                <w:tab w:val="left" w:pos="274"/>
                <w:tab w:val="left" w:pos="467"/>
              </w:tabs>
              <w:jc w:val="left"/>
              <w:rPr>
                <w:sz w:val="18"/>
                <w:szCs w:val="18"/>
              </w:rPr>
            </w:pPr>
            <w:r w:rsidRPr="00DF36B4">
              <w:rPr>
                <w:sz w:val="18"/>
                <w:szCs w:val="18"/>
              </w:rPr>
              <w:tab/>
            </w:r>
            <w:r>
              <w:rPr>
                <w:sz w:val="18"/>
                <w:szCs w:val="18"/>
              </w:rPr>
              <w:t>Lab and assay</w:t>
            </w:r>
          </w:p>
        </w:tc>
        <w:tc>
          <w:tcPr>
            <w:tcW w:w="1005" w:type="dxa"/>
            <w:tcBorders>
              <w:top w:val="nil"/>
              <w:bottom w:val="nil"/>
            </w:tcBorders>
          </w:tcPr>
          <w:p w14:paraId="4649CFC3" w14:textId="77777777" w:rsidR="00554459" w:rsidRPr="00DF36B4" w:rsidRDefault="00554459" w:rsidP="00495559">
            <w:pPr>
              <w:jc w:val="right"/>
              <w:rPr>
                <w:sz w:val="18"/>
                <w:szCs w:val="18"/>
              </w:rPr>
            </w:pPr>
            <w:r>
              <w:rPr>
                <w:sz w:val="18"/>
                <w:szCs w:val="18"/>
              </w:rPr>
              <w:t>636</w:t>
            </w:r>
          </w:p>
        </w:tc>
        <w:tc>
          <w:tcPr>
            <w:tcW w:w="1177" w:type="dxa"/>
            <w:tcBorders>
              <w:top w:val="nil"/>
              <w:bottom w:val="nil"/>
            </w:tcBorders>
          </w:tcPr>
          <w:p w14:paraId="18B44D06" w14:textId="77777777" w:rsidR="00554459" w:rsidRPr="00DF36B4" w:rsidRDefault="00554459" w:rsidP="00495559">
            <w:pPr>
              <w:tabs>
                <w:tab w:val="left" w:pos="0"/>
                <w:tab w:val="decimal" w:pos="969"/>
              </w:tabs>
              <w:jc w:val="right"/>
              <w:rPr>
                <w:sz w:val="18"/>
                <w:szCs w:val="18"/>
              </w:rPr>
            </w:pPr>
            <w:r>
              <w:rPr>
                <w:sz w:val="18"/>
                <w:szCs w:val="18"/>
              </w:rPr>
              <w:t>25,733</w:t>
            </w:r>
          </w:p>
        </w:tc>
        <w:tc>
          <w:tcPr>
            <w:tcW w:w="1080" w:type="dxa"/>
            <w:tcBorders>
              <w:top w:val="nil"/>
              <w:bottom w:val="nil"/>
            </w:tcBorders>
          </w:tcPr>
          <w:p w14:paraId="57FBA935" w14:textId="77777777" w:rsidR="00554459" w:rsidRPr="00DF36B4" w:rsidRDefault="00554459" w:rsidP="00495559">
            <w:pPr>
              <w:tabs>
                <w:tab w:val="left" w:pos="0"/>
                <w:tab w:val="decimal" w:pos="1152"/>
              </w:tabs>
              <w:jc w:val="right"/>
              <w:rPr>
                <w:sz w:val="18"/>
                <w:szCs w:val="18"/>
              </w:rPr>
            </w:pPr>
            <w:r w:rsidRPr="00DF36B4">
              <w:rPr>
                <w:sz w:val="18"/>
                <w:szCs w:val="18"/>
              </w:rPr>
              <w:t>-</w:t>
            </w:r>
          </w:p>
        </w:tc>
        <w:tc>
          <w:tcPr>
            <w:tcW w:w="1080" w:type="dxa"/>
            <w:tcBorders>
              <w:top w:val="nil"/>
              <w:bottom w:val="nil"/>
            </w:tcBorders>
          </w:tcPr>
          <w:p w14:paraId="6C9741C6"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080" w:type="dxa"/>
            <w:tcBorders>
              <w:top w:val="nil"/>
              <w:bottom w:val="nil"/>
            </w:tcBorders>
          </w:tcPr>
          <w:p w14:paraId="01C33BE0"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530" w:type="dxa"/>
            <w:tcBorders>
              <w:top w:val="nil"/>
              <w:bottom w:val="nil"/>
            </w:tcBorders>
          </w:tcPr>
          <w:p w14:paraId="39DCA611"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260" w:type="dxa"/>
            <w:tcBorders>
              <w:top w:val="nil"/>
              <w:bottom w:val="nil"/>
            </w:tcBorders>
          </w:tcPr>
          <w:p w14:paraId="60DB9BAA" w14:textId="77777777" w:rsidR="00554459" w:rsidRPr="00DF36B4" w:rsidRDefault="00554459" w:rsidP="00495559">
            <w:pPr>
              <w:tabs>
                <w:tab w:val="left" w:pos="0"/>
                <w:tab w:val="decimal" w:pos="1133"/>
              </w:tabs>
              <w:jc w:val="right"/>
              <w:rPr>
                <w:sz w:val="18"/>
                <w:szCs w:val="18"/>
              </w:rPr>
            </w:pPr>
            <w:r>
              <w:rPr>
                <w:sz w:val="18"/>
                <w:szCs w:val="18"/>
              </w:rPr>
              <w:t>26,369</w:t>
            </w:r>
          </w:p>
        </w:tc>
      </w:tr>
      <w:tr w:rsidR="00554459" w:rsidRPr="00DF36B4" w14:paraId="5BF5FDA6" w14:textId="77777777" w:rsidTr="00495559">
        <w:tc>
          <w:tcPr>
            <w:tcW w:w="3018" w:type="dxa"/>
            <w:tcBorders>
              <w:top w:val="nil"/>
              <w:bottom w:val="nil"/>
            </w:tcBorders>
          </w:tcPr>
          <w:p w14:paraId="7D45E1D8" w14:textId="77777777" w:rsidR="00554459" w:rsidRPr="00DF36B4" w:rsidRDefault="00554459" w:rsidP="00495559">
            <w:pPr>
              <w:pStyle w:val="dr"/>
              <w:tabs>
                <w:tab w:val="left" w:pos="274"/>
                <w:tab w:val="left" w:pos="467"/>
              </w:tabs>
              <w:jc w:val="left"/>
              <w:rPr>
                <w:sz w:val="18"/>
                <w:szCs w:val="18"/>
              </w:rPr>
            </w:pPr>
            <w:r w:rsidRPr="00DF36B4">
              <w:rPr>
                <w:sz w:val="18"/>
                <w:szCs w:val="18"/>
              </w:rPr>
              <w:tab/>
              <w:t>Travel &amp; misc</w:t>
            </w:r>
            <w:r>
              <w:rPr>
                <w:sz w:val="18"/>
                <w:szCs w:val="18"/>
              </w:rPr>
              <w:t>ellaneous</w:t>
            </w:r>
          </w:p>
        </w:tc>
        <w:tc>
          <w:tcPr>
            <w:tcW w:w="1005" w:type="dxa"/>
            <w:tcBorders>
              <w:top w:val="nil"/>
              <w:bottom w:val="nil"/>
            </w:tcBorders>
          </w:tcPr>
          <w:p w14:paraId="7CF60A36" w14:textId="77777777" w:rsidR="00554459" w:rsidRPr="00DF36B4" w:rsidRDefault="00554459" w:rsidP="00495559">
            <w:pPr>
              <w:jc w:val="right"/>
              <w:rPr>
                <w:sz w:val="18"/>
                <w:szCs w:val="18"/>
              </w:rPr>
            </w:pPr>
            <w:r>
              <w:rPr>
                <w:sz w:val="18"/>
                <w:szCs w:val="18"/>
              </w:rPr>
              <w:t>7,448</w:t>
            </w:r>
          </w:p>
        </w:tc>
        <w:tc>
          <w:tcPr>
            <w:tcW w:w="1177" w:type="dxa"/>
            <w:tcBorders>
              <w:top w:val="nil"/>
              <w:bottom w:val="nil"/>
            </w:tcBorders>
          </w:tcPr>
          <w:p w14:paraId="05F2A571" w14:textId="77777777" w:rsidR="00554459" w:rsidRPr="00DF36B4" w:rsidRDefault="00554459" w:rsidP="00495559">
            <w:pPr>
              <w:tabs>
                <w:tab w:val="left" w:pos="0"/>
                <w:tab w:val="decimal" w:pos="969"/>
              </w:tabs>
              <w:jc w:val="right"/>
              <w:rPr>
                <w:sz w:val="18"/>
                <w:szCs w:val="18"/>
              </w:rPr>
            </w:pPr>
            <w:r>
              <w:rPr>
                <w:sz w:val="18"/>
                <w:szCs w:val="18"/>
              </w:rPr>
              <w:t>37,486</w:t>
            </w:r>
          </w:p>
        </w:tc>
        <w:tc>
          <w:tcPr>
            <w:tcW w:w="1080" w:type="dxa"/>
            <w:tcBorders>
              <w:top w:val="nil"/>
              <w:bottom w:val="nil"/>
            </w:tcBorders>
          </w:tcPr>
          <w:p w14:paraId="48C1A236" w14:textId="77777777" w:rsidR="00554459" w:rsidRPr="00DF36B4" w:rsidRDefault="00554459" w:rsidP="00495559">
            <w:pPr>
              <w:tabs>
                <w:tab w:val="left" w:pos="0"/>
                <w:tab w:val="decimal" w:pos="1152"/>
              </w:tabs>
              <w:jc w:val="right"/>
              <w:rPr>
                <w:sz w:val="18"/>
                <w:szCs w:val="18"/>
              </w:rPr>
            </w:pPr>
            <w:r w:rsidRPr="00DF36B4">
              <w:rPr>
                <w:sz w:val="18"/>
                <w:szCs w:val="18"/>
              </w:rPr>
              <w:t>-</w:t>
            </w:r>
          </w:p>
        </w:tc>
        <w:tc>
          <w:tcPr>
            <w:tcW w:w="1080" w:type="dxa"/>
            <w:tcBorders>
              <w:top w:val="nil"/>
              <w:bottom w:val="nil"/>
            </w:tcBorders>
          </w:tcPr>
          <w:p w14:paraId="4778DA5E"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080" w:type="dxa"/>
            <w:tcBorders>
              <w:top w:val="nil"/>
              <w:bottom w:val="nil"/>
            </w:tcBorders>
          </w:tcPr>
          <w:p w14:paraId="025E1F72"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530" w:type="dxa"/>
            <w:tcBorders>
              <w:top w:val="nil"/>
              <w:bottom w:val="nil"/>
            </w:tcBorders>
          </w:tcPr>
          <w:p w14:paraId="6FE8FCFA"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260" w:type="dxa"/>
            <w:tcBorders>
              <w:top w:val="nil"/>
              <w:bottom w:val="nil"/>
            </w:tcBorders>
          </w:tcPr>
          <w:p w14:paraId="583DF53D" w14:textId="77777777" w:rsidR="00554459" w:rsidRPr="00DF36B4" w:rsidRDefault="00554459" w:rsidP="00495559">
            <w:pPr>
              <w:tabs>
                <w:tab w:val="left" w:pos="0"/>
                <w:tab w:val="decimal" w:pos="1133"/>
              </w:tabs>
              <w:jc w:val="right"/>
              <w:rPr>
                <w:sz w:val="18"/>
                <w:szCs w:val="18"/>
              </w:rPr>
            </w:pPr>
            <w:r>
              <w:rPr>
                <w:sz w:val="18"/>
                <w:szCs w:val="18"/>
              </w:rPr>
              <w:t>44,934</w:t>
            </w:r>
          </w:p>
        </w:tc>
      </w:tr>
      <w:tr w:rsidR="00554459" w:rsidRPr="00DF36B4" w14:paraId="542F771E" w14:textId="77777777" w:rsidTr="00495559">
        <w:tc>
          <w:tcPr>
            <w:tcW w:w="3018" w:type="dxa"/>
            <w:tcBorders>
              <w:top w:val="nil"/>
              <w:bottom w:val="nil"/>
            </w:tcBorders>
          </w:tcPr>
          <w:p w14:paraId="0710B701" w14:textId="77777777" w:rsidR="00554459" w:rsidRPr="00DF36B4" w:rsidRDefault="00554459" w:rsidP="00495559">
            <w:pPr>
              <w:pStyle w:val="dr"/>
              <w:tabs>
                <w:tab w:val="left" w:pos="274"/>
                <w:tab w:val="left" w:pos="467"/>
              </w:tabs>
              <w:jc w:val="left"/>
              <w:rPr>
                <w:sz w:val="18"/>
                <w:szCs w:val="18"/>
              </w:rPr>
            </w:pPr>
            <w:r w:rsidRPr="00DF36B4">
              <w:rPr>
                <w:sz w:val="18"/>
                <w:szCs w:val="18"/>
              </w:rPr>
              <w:tab/>
            </w:r>
            <w:r>
              <w:rPr>
                <w:sz w:val="18"/>
                <w:szCs w:val="18"/>
              </w:rPr>
              <w:t>Prior year a</w:t>
            </w:r>
            <w:r w:rsidRPr="00DF36B4">
              <w:rPr>
                <w:sz w:val="18"/>
                <w:szCs w:val="18"/>
              </w:rPr>
              <w:t>dvance for exploration</w:t>
            </w:r>
          </w:p>
        </w:tc>
        <w:tc>
          <w:tcPr>
            <w:tcW w:w="1005" w:type="dxa"/>
            <w:tcBorders>
              <w:top w:val="nil"/>
              <w:bottom w:val="nil"/>
            </w:tcBorders>
          </w:tcPr>
          <w:p w14:paraId="274951D8" w14:textId="77777777" w:rsidR="00554459" w:rsidRPr="00DF36B4" w:rsidRDefault="00554459" w:rsidP="00495559">
            <w:pPr>
              <w:jc w:val="right"/>
              <w:rPr>
                <w:sz w:val="18"/>
                <w:szCs w:val="18"/>
              </w:rPr>
            </w:pPr>
            <w:r w:rsidRPr="00DF36B4">
              <w:rPr>
                <w:sz w:val="18"/>
                <w:szCs w:val="18"/>
              </w:rPr>
              <w:t>-</w:t>
            </w:r>
          </w:p>
        </w:tc>
        <w:tc>
          <w:tcPr>
            <w:tcW w:w="1177" w:type="dxa"/>
            <w:tcBorders>
              <w:top w:val="nil"/>
              <w:bottom w:val="nil"/>
            </w:tcBorders>
          </w:tcPr>
          <w:p w14:paraId="42D592F3" w14:textId="77777777" w:rsidR="00554459" w:rsidRPr="00DF36B4" w:rsidRDefault="00554459" w:rsidP="00495559">
            <w:pPr>
              <w:tabs>
                <w:tab w:val="left" w:pos="0"/>
                <w:tab w:val="decimal" w:pos="969"/>
              </w:tabs>
              <w:jc w:val="right"/>
              <w:rPr>
                <w:sz w:val="18"/>
                <w:szCs w:val="18"/>
              </w:rPr>
            </w:pPr>
            <w:r w:rsidRPr="00DF36B4">
              <w:rPr>
                <w:sz w:val="18"/>
                <w:szCs w:val="18"/>
              </w:rPr>
              <w:t>(</w:t>
            </w:r>
            <w:r>
              <w:rPr>
                <w:sz w:val="18"/>
                <w:szCs w:val="18"/>
              </w:rPr>
              <w:t>11,413</w:t>
            </w:r>
            <w:r w:rsidRPr="00DF36B4">
              <w:rPr>
                <w:sz w:val="18"/>
                <w:szCs w:val="18"/>
              </w:rPr>
              <w:t>)</w:t>
            </w:r>
          </w:p>
        </w:tc>
        <w:tc>
          <w:tcPr>
            <w:tcW w:w="1080" w:type="dxa"/>
            <w:tcBorders>
              <w:top w:val="nil"/>
              <w:bottom w:val="nil"/>
            </w:tcBorders>
          </w:tcPr>
          <w:p w14:paraId="1673590F" w14:textId="77777777" w:rsidR="00554459" w:rsidRPr="00DF36B4" w:rsidRDefault="00554459" w:rsidP="00495559">
            <w:pPr>
              <w:tabs>
                <w:tab w:val="left" w:pos="0"/>
                <w:tab w:val="decimal" w:pos="1152"/>
              </w:tabs>
              <w:jc w:val="right"/>
              <w:rPr>
                <w:sz w:val="18"/>
                <w:szCs w:val="18"/>
              </w:rPr>
            </w:pPr>
            <w:r w:rsidRPr="00DF36B4">
              <w:rPr>
                <w:sz w:val="18"/>
                <w:szCs w:val="18"/>
              </w:rPr>
              <w:t>-</w:t>
            </w:r>
          </w:p>
        </w:tc>
        <w:tc>
          <w:tcPr>
            <w:tcW w:w="1080" w:type="dxa"/>
            <w:tcBorders>
              <w:top w:val="nil"/>
              <w:bottom w:val="nil"/>
            </w:tcBorders>
          </w:tcPr>
          <w:p w14:paraId="622C53B0"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080" w:type="dxa"/>
            <w:tcBorders>
              <w:top w:val="nil"/>
              <w:bottom w:val="nil"/>
            </w:tcBorders>
          </w:tcPr>
          <w:p w14:paraId="59936C77"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530" w:type="dxa"/>
            <w:tcBorders>
              <w:top w:val="nil"/>
              <w:bottom w:val="nil"/>
            </w:tcBorders>
          </w:tcPr>
          <w:p w14:paraId="07B4EFCB"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260" w:type="dxa"/>
            <w:tcBorders>
              <w:top w:val="nil"/>
              <w:bottom w:val="nil"/>
            </w:tcBorders>
          </w:tcPr>
          <w:p w14:paraId="435FFB10" w14:textId="77777777" w:rsidR="00554459" w:rsidRPr="00DF36B4" w:rsidRDefault="00554459" w:rsidP="00495559">
            <w:pPr>
              <w:tabs>
                <w:tab w:val="left" w:pos="0"/>
                <w:tab w:val="decimal" w:pos="1133"/>
              </w:tabs>
              <w:jc w:val="right"/>
              <w:rPr>
                <w:sz w:val="18"/>
                <w:szCs w:val="18"/>
              </w:rPr>
            </w:pPr>
            <w:r w:rsidRPr="00DF36B4">
              <w:rPr>
                <w:sz w:val="18"/>
                <w:szCs w:val="18"/>
              </w:rPr>
              <w:t>(</w:t>
            </w:r>
            <w:r>
              <w:rPr>
                <w:sz w:val="18"/>
                <w:szCs w:val="18"/>
              </w:rPr>
              <w:t>11,413</w:t>
            </w:r>
            <w:r w:rsidRPr="00DF36B4">
              <w:rPr>
                <w:sz w:val="18"/>
                <w:szCs w:val="18"/>
              </w:rPr>
              <w:t>)</w:t>
            </w:r>
          </w:p>
        </w:tc>
      </w:tr>
      <w:tr w:rsidR="00554459" w:rsidRPr="00DF36B4" w14:paraId="7CD308D8" w14:textId="77777777" w:rsidTr="00495559">
        <w:tc>
          <w:tcPr>
            <w:tcW w:w="3018" w:type="dxa"/>
            <w:tcBorders>
              <w:top w:val="nil"/>
              <w:bottom w:val="nil"/>
            </w:tcBorders>
          </w:tcPr>
          <w:p w14:paraId="3BF99FBA" w14:textId="77777777" w:rsidR="00554459" w:rsidRPr="00DF36B4" w:rsidRDefault="00554459" w:rsidP="00495559">
            <w:pPr>
              <w:pStyle w:val="dr"/>
              <w:tabs>
                <w:tab w:val="left" w:pos="274"/>
                <w:tab w:val="left" w:pos="467"/>
              </w:tabs>
              <w:jc w:val="left"/>
              <w:rPr>
                <w:sz w:val="18"/>
                <w:szCs w:val="18"/>
              </w:rPr>
            </w:pPr>
            <w:r w:rsidRPr="00DF36B4">
              <w:rPr>
                <w:sz w:val="18"/>
                <w:szCs w:val="18"/>
              </w:rPr>
              <w:t>Write-down of exploration and evaluation assets</w:t>
            </w:r>
          </w:p>
        </w:tc>
        <w:tc>
          <w:tcPr>
            <w:tcW w:w="1005" w:type="dxa"/>
            <w:tcBorders>
              <w:top w:val="nil"/>
              <w:bottom w:val="single" w:sz="4" w:space="0" w:color="auto"/>
            </w:tcBorders>
          </w:tcPr>
          <w:p w14:paraId="727176A3" w14:textId="77777777" w:rsidR="00554459" w:rsidRPr="00DF36B4" w:rsidRDefault="00554459" w:rsidP="00495559">
            <w:pPr>
              <w:jc w:val="right"/>
              <w:rPr>
                <w:sz w:val="18"/>
                <w:szCs w:val="18"/>
              </w:rPr>
            </w:pPr>
            <w:r>
              <w:rPr>
                <w:sz w:val="18"/>
                <w:szCs w:val="18"/>
              </w:rPr>
              <w:t>(21,109)</w:t>
            </w:r>
          </w:p>
        </w:tc>
        <w:tc>
          <w:tcPr>
            <w:tcW w:w="1177" w:type="dxa"/>
            <w:tcBorders>
              <w:top w:val="nil"/>
              <w:bottom w:val="single" w:sz="4" w:space="0" w:color="auto"/>
            </w:tcBorders>
          </w:tcPr>
          <w:p w14:paraId="05E143C7" w14:textId="77777777" w:rsidR="00554459" w:rsidRPr="00DF36B4" w:rsidRDefault="00554459" w:rsidP="00495559">
            <w:pPr>
              <w:tabs>
                <w:tab w:val="left" w:pos="0"/>
                <w:tab w:val="decimal" w:pos="969"/>
              </w:tabs>
              <w:jc w:val="right"/>
              <w:rPr>
                <w:sz w:val="18"/>
                <w:szCs w:val="18"/>
              </w:rPr>
            </w:pPr>
            <w:r>
              <w:rPr>
                <w:sz w:val="18"/>
                <w:szCs w:val="18"/>
              </w:rPr>
              <w:t>(40,000)</w:t>
            </w:r>
          </w:p>
        </w:tc>
        <w:tc>
          <w:tcPr>
            <w:tcW w:w="1080" w:type="dxa"/>
            <w:tcBorders>
              <w:top w:val="nil"/>
              <w:bottom w:val="single" w:sz="4" w:space="0" w:color="auto"/>
            </w:tcBorders>
          </w:tcPr>
          <w:p w14:paraId="2DF1E6CF" w14:textId="77777777" w:rsidR="00554459" w:rsidRPr="00DF36B4" w:rsidRDefault="00554459" w:rsidP="00495559">
            <w:pPr>
              <w:tabs>
                <w:tab w:val="left" w:pos="0"/>
                <w:tab w:val="decimal" w:pos="1152"/>
              </w:tabs>
              <w:jc w:val="right"/>
              <w:rPr>
                <w:sz w:val="18"/>
                <w:szCs w:val="18"/>
              </w:rPr>
            </w:pPr>
            <w:r w:rsidRPr="00DF36B4">
              <w:rPr>
                <w:sz w:val="18"/>
                <w:szCs w:val="18"/>
              </w:rPr>
              <w:t>-</w:t>
            </w:r>
          </w:p>
        </w:tc>
        <w:tc>
          <w:tcPr>
            <w:tcW w:w="1080" w:type="dxa"/>
            <w:tcBorders>
              <w:top w:val="nil"/>
              <w:bottom w:val="single" w:sz="4" w:space="0" w:color="auto"/>
            </w:tcBorders>
          </w:tcPr>
          <w:p w14:paraId="343071E9" w14:textId="77777777" w:rsidR="00554459" w:rsidRPr="00DF36B4" w:rsidRDefault="00554459" w:rsidP="00495559">
            <w:pPr>
              <w:tabs>
                <w:tab w:val="left" w:pos="0"/>
                <w:tab w:val="decimal" w:pos="1242"/>
              </w:tabs>
              <w:jc w:val="right"/>
              <w:rPr>
                <w:sz w:val="18"/>
                <w:szCs w:val="18"/>
              </w:rPr>
            </w:pPr>
            <w:r>
              <w:rPr>
                <w:sz w:val="18"/>
                <w:szCs w:val="18"/>
              </w:rPr>
              <w:t>-</w:t>
            </w:r>
          </w:p>
        </w:tc>
        <w:tc>
          <w:tcPr>
            <w:tcW w:w="1080" w:type="dxa"/>
            <w:tcBorders>
              <w:top w:val="nil"/>
              <w:bottom w:val="single" w:sz="4" w:space="0" w:color="auto"/>
            </w:tcBorders>
          </w:tcPr>
          <w:p w14:paraId="418EC1E6" w14:textId="77777777" w:rsidR="00554459" w:rsidRPr="00DF36B4" w:rsidRDefault="00554459" w:rsidP="00495559">
            <w:pPr>
              <w:tabs>
                <w:tab w:val="left" w:pos="0"/>
                <w:tab w:val="decimal" w:pos="1242"/>
              </w:tabs>
              <w:jc w:val="right"/>
              <w:rPr>
                <w:sz w:val="18"/>
                <w:szCs w:val="18"/>
              </w:rPr>
            </w:pPr>
            <w:r>
              <w:rPr>
                <w:sz w:val="18"/>
                <w:szCs w:val="18"/>
              </w:rPr>
              <w:t>(704,306)</w:t>
            </w:r>
          </w:p>
        </w:tc>
        <w:tc>
          <w:tcPr>
            <w:tcW w:w="1530" w:type="dxa"/>
            <w:tcBorders>
              <w:top w:val="nil"/>
              <w:bottom w:val="single" w:sz="4" w:space="0" w:color="auto"/>
            </w:tcBorders>
          </w:tcPr>
          <w:p w14:paraId="1CB16E9F"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260" w:type="dxa"/>
            <w:tcBorders>
              <w:top w:val="nil"/>
              <w:bottom w:val="single" w:sz="4" w:space="0" w:color="auto"/>
            </w:tcBorders>
          </w:tcPr>
          <w:p w14:paraId="5DED89F9" w14:textId="77777777" w:rsidR="00554459" w:rsidRPr="00DF36B4" w:rsidRDefault="00554459" w:rsidP="00495559">
            <w:pPr>
              <w:tabs>
                <w:tab w:val="left" w:pos="0"/>
                <w:tab w:val="decimal" w:pos="1133"/>
              </w:tabs>
              <w:jc w:val="right"/>
              <w:rPr>
                <w:sz w:val="18"/>
                <w:szCs w:val="18"/>
              </w:rPr>
            </w:pPr>
            <w:r w:rsidRPr="00DF36B4">
              <w:rPr>
                <w:sz w:val="18"/>
                <w:szCs w:val="18"/>
              </w:rPr>
              <w:t>(</w:t>
            </w:r>
            <w:r>
              <w:rPr>
                <w:sz w:val="18"/>
                <w:szCs w:val="18"/>
              </w:rPr>
              <w:t>765,415</w:t>
            </w:r>
            <w:r w:rsidRPr="00DF36B4">
              <w:rPr>
                <w:sz w:val="18"/>
                <w:szCs w:val="18"/>
              </w:rPr>
              <w:t>)</w:t>
            </w:r>
          </w:p>
        </w:tc>
      </w:tr>
      <w:tr w:rsidR="00554459" w:rsidRPr="00DF36B4" w14:paraId="2C19DDA3" w14:textId="77777777" w:rsidTr="00495559">
        <w:tc>
          <w:tcPr>
            <w:tcW w:w="3018" w:type="dxa"/>
            <w:tcBorders>
              <w:top w:val="nil"/>
              <w:bottom w:val="nil"/>
            </w:tcBorders>
          </w:tcPr>
          <w:p w14:paraId="47073C2E" w14:textId="77777777" w:rsidR="00554459" w:rsidRPr="00DF36B4" w:rsidDel="000813C4" w:rsidRDefault="00554459" w:rsidP="00495559">
            <w:pPr>
              <w:pStyle w:val="dr"/>
              <w:tabs>
                <w:tab w:val="left" w:pos="274"/>
                <w:tab w:val="left" w:pos="467"/>
              </w:tabs>
              <w:jc w:val="left"/>
              <w:rPr>
                <w:sz w:val="18"/>
                <w:szCs w:val="18"/>
              </w:rPr>
            </w:pPr>
            <w:r w:rsidRPr="00DF36B4">
              <w:rPr>
                <w:sz w:val="18"/>
                <w:szCs w:val="18"/>
              </w:rPr>
              <w:t>Balance, July 31, 201</w:t>
            </w:r>
            <w:r>
              <w:rPr>
                <w:sz w:val="18"/>
                <w:szCs w:val="18"/>
              </w:rPr>
              <w:t>9</w:t>
            </w:r>
          </w:p>
        </w:tc>
        <w:tc>
          <w:tcPr>
            <w:tcW w:w="1005" w:type="dxa"/>
            <w:tcBorders>
              <w:top w:val="single" w:sz="4" w:space="0" w:color="auto"/>
              <w:bottom w:val="nil"/>
            </w:tcBorders>
          </w:tcPr>
          <w:p w14:paraId="7B9C9855" w14:textId="77777777" w:rsidR="00554459" w:rsidRPr="00DF36B4" w:rsidRDefault="00554459" w:rsidP="00495559">
            <w:pPr>
              <w:jc w:val="right"/>
              <w:rPr>
                <w:sz w:val="18"/>
                <w:szCs w:val="18"/>
              </w:rPr>
            </w:pPr>
            <w:r>
              <w:rPr>
                <w:sz w:val="18"/>
                <w:szCs w:val="18"/>
              </w:rPr>
              <w:t>9,950</w:t>
            </w:r>
          </w:p>
        </w:tc>
        <w:tc>
          <w:tcPr>
            <w:tcW w:w="1177" w:type="dxa"/>
            <w:tcBorders>
              <w:top w:val="single" w:sz="4" w:space="0" w:color="auto"/>
              <w:bottom w:val="nil"/>
            </w:tcBorders>
          </w:tcPr>
          <w:p w14:paraId="418CFD19" w14:textId="77777777" w:rsidR="00554459" w:rsidRPr="00DF36B4" w:rsidRDefault="00554459" w:rsidP="00495559">
            <w:pPr>
              <w:tabs>
                <w:tab w:val="left" w:pos="0"/>
                <w:tab w:val="decimal" w:pos="969"/>
              </w:tabs>
              <w:jc w:val="right"/>
              <w:rPr>
                <w:sz w:val="18"/>
                <w:szCs w:val="18"/>
              </w:rPr>
            </w:pPr>
            <w:r>
              <w:rPr>
                <w:sz w:val="18"/>
                <w:szCs w:val="18"/>
              </w:rPr>
              <w:t>1,188,507</w:t>
            </w:r>
          </w:p>
        </w:tc>
        <w:tc>
          <w:tcPr>
            <w:tcW w:w="1080" w:type="dxa"/>
            <w:tcBorders>
              <w:top w:val="single" w:sz="4" w:space="0" w:color="auto"/>
              <w:bottom w:val="nil"/>
            </w:tcBorders>
          </w:tcPr>
          <w:p w14:paraId="58D68A9D" w14:textId="77777777" w:rsidR="00554459" w:rsidRPr="00DF36B4" w:rsidRDefault="00554459" w:rsidP="00495559">
            <w:pPr>
              <w:tabs>
                <w:tab w:val="left" w:pos="0"/>
                <w:tab w:val="decimal" w:pos="1152"/>
              </w:tabs>
              <w:jc w:val="right"/>
              <w:rPr>
                <w:sz w:val="18"/>
                <w:szCs w:val="18"/>
              </w:rPr>
            </w:pPr>
            <w:r>
              <w:rPr>
                <w:sz w:val="18"/>
                <w:szCs w:val="18"/>
              </w:rPr>
              <w:t>16,553</w:t>
            </w:r>
          </w:p>
        </w:tc>
        <w:tc>
          <w:tcPr>
            <w:tcW w:w="1080" w:type="dxa"/>
            <w:tcBorders>
              <w:top w:val="single" w:sz="4" w:space="0" w:color="auto"/>
              <w:bottom w:val="nil"/>
            </w:tcBorders>
          </w:tcPr>
          <w:p w14:paraId="39907D68" w14:textId="77777777" w:rsidR="00554459" w:rsidRPr="00DF36B4" w:rsidRDefault="00554459" w:rsidP="00495559">
            <w:pPr>
              <w:tabs>
                <w:tab w:val="left" w:pos="0"/>
                <w:tab w:val="decimal" w:pos="1242"/>
              </w:tabs>
              <w:jc w:val="right"/>
              <w:rPr>
                <w:sz w:val="18"/>
                <w:szCs w:val="18"/>
              </w:rPr>
            </w:pPr>
            <w:r>
              <w:rPr>
                <w:sz w:val="18"/>
                <w:szCs w:val="18"/>
              </w:rPr>
              <w:t>7,678</w:t>
            </w:r>
          </w:p>
        </w:tc>
        <w:tc>
          <w:tcPr>
            <w:tcW w:w="1080" w:type="dxa"/>
            <w:tcBorders>
              <w:top w:val="single" w:sz="4" w:space="0" w:color="auto"/>
              <w:bottom w:val="nil"/>
            </w:tcBorders>
          </w:tcPr>
          <w:p w14:paraId="7727C67C" w14:textId="77777777" w:rsidR="00554459" w:rsidRPr="00DF36B4" w:rsidRDefault="00554459" w:rsidP="00495559">
            <w:pPr>
              <w:tabs>
                <w:tab w:val="left" w:pos="0"/>
                <w:tab w:val="decimal" w:pos="1242"/>
              </w:tabs>
              <w:jc w:val="right"/>
              <w:rPr>
                <w:sz w:val="18"/>
                <w:szCs w:val="18"/>
              </w:rPr>
            </w:pPr>
            <w:r>
              <w:rPr>
                <w:sz w:val="18"/>
                <w:szCs w:val="18"/>
              </w:rPr>
              <w:t>-</w:t>
            </w:r>
          </w:p>
        </w:tc>
        <w:tc>
          <w:tcPr>
            <w:tcW w:w="1530" w:type="dxa"/>
            <w:tcBorders>
              <w:top w:val="single" w:sz="4" w:space="0" w:color="auto"/>
              <w:bottom w:val="nil"/>
            </w:tcBorders>
          </w:tcPr>
          <w:p w14:paraId="4BF67CBB" w14:textId="77777777" w:rsidR="00554459" w:rsidRPr="00DF36B4" w:rsidRDefault="00554459" w:rsidP="00495559">
            <w:pPr>
              <w:tabs>
                <w:tab w:val="left" w:pos="0"/>
                <w:tab w:val="decimal" w:pos="1242"/>
              </w:tabs>
              <w:jc w:val="right"/>
              <w:rPr>
                <w:sz w:val="18"/>
                <w:szCs w:val="18"/>
              </w:rPr>
            </w:pPr>
            <w:r w:rsidRPr="00DF36B4">
              <w:rPr>
                <w:sz w:val="18"/>
                <w:szCs w:val="18"/>
              </w:rPr>
              <w:t>3</w:t>
            </w:r>
            <w:r>
              <w:rPr>
                <w:sz w:val="18"/>
                <w:szCs w:val="18"/>
              </w:rPr>
              <w:t>9,996</w:t>
            </w:r>
          </w:p>
        </w:tc>
        <w:tc>
          <w:tcPr>
            <w:tcW w:w="1260" w:type="dxa"/>
            <w:tcBorders>
              <w:top w:val="single" w:sz="4" w:space="0" w:color="auto"/>
              <w:bottom w:val="nil"/>
            </w:tcBorders>
          </w:tcPr>
          <w:p w14:paraId="4A1BEB2C" w14:textId="77777777" w:rsidR="00554459" w:rsidRPr="00DF36B4" w:rsidRDefault="00554459" w:rsidP="00495559">
            <w:pPr>
              <w:tabs>
                <w:tab w:val="left" w:pos="0"/>
                <w:tab w:val="decimal" w:pos="1133"/>
              </w:tabs>
              <w:jc w:val="right"/>
              <w:rPr>
                <w:sz w:val="18"/>
                <w:szCs w:val="18"/>
              </w:rPr>
            </w:pPr>
            <w:r w:rsidRPr="00DF36B4">
              <w:rPr>
                <w:sz w:val="18"/>
                <w:szCs w:val="18"/>
              </w:rPr>
              <w:t>1,</w:t>
            </w:r>
            <w:r>
              <w:rPr>
                <w:sz w:val="18"/>
                <w:szCs w:val="18"/>
              </w:rPr>
              <w:t>262,324</w:t>
            </w:r>
          </w:p>
        </w:tc>
      </w:tr>
      <w:tr w:rsidR="00554459" w:rsidRPr="00DF36B4" w14:paraId="10D92900" w14:textId="77777777" w:rsidTr="00495559">
        <w:tc>
          <w:tcPr>
            <w:tcW w:w="3018" w:type="dxa"/>
            <w:tcBorders>
              <w:top w:val="nil"/>
              <w:bottom w:val="nil"/>
            </w:tcBorders>
          </w:tcPr>
          <w:p w14:paraId="77588A35" w14:textId="77777777" w:rsidR="00554459" w:rsidRPr="00DF36B4" w:rsidRDefault="00554459" w:rsidP="00495559">
            <w:pPr>
              <w:pStyle w:val="dr"/>
              <w:tabs>
                <w:tab w:val="left" w:pos="274"/>
                <w:tab w:val="left" w:pos="467"/>
              </w:tabs>
              <w:jc w:val="left"/>
              <w:rPr>
                <w:sz w:val="18"/>
                <w:szCs w:val="18"/>
              </w:rPr>
            </w:pPr>
            <w:r w:rsidRPr="00DF36B4">
              <w:rPr>
                <w:sz w:val="18"/>
                <w:szCs w:val="18"/>
              </w:rPr>
              <w:t>Deferred exploration expenditures</w:t>
            </w:r>
          </w:p>
        </w:tc>
        <w:tc>
          <w:tcPr>
            <w:tcW w:w="1005" w:type="dxa"/>
            <w:tcBorders>
              <w:top w:val="nil"/>
              <w:bottom w:val="nil"/>
            </w:tcBorders>
          </w:tcPr>
          <w:p w14:paraId="1ABB04D9" w14:textId="77777777" w:rsidR="00554459" w:rsidRPr="00DF36B4" w:rsidRDefault="00554459" w:rsidP="00495559">
            <w:pPr>
              <w:jc w:val="right"/>
              <w:rPr>
                <w:sz w:val="18"/>
                <w:szCs w:val="18"/>
              </w:rPr>
            </w:pPr>
          </w:p>
        </w:tc>
        <w:tc>
          <w:tcPr>
            <w:tcW w:w="1177" w:type="dxa"/>
            <w:tcBorders>
              <w:top w:val="nil"/>
              <w:bottom w:val="nil"/>
            </w:tcBorders>
          </w:tcPr>
          <w:p w14:paraId="13B5BA66" w14:textId="77777777" w:rsidR="00554459" w:rsidRPr="00DF36B4" w:rsidRDefault="00554459" w:rsidP="00495559">
            <w:pPr>
              <w:tabs>
                <w:tab w:val="left" w:pos="0"/>
                <w:tab w:val="decimal" w:pos="969"/>
              </w:tabs>
              <w:jc w:val="right"/>
              <w:rPr>
                <w:sz w:val="18"/>
                <w:szCs w:val="18"/>
              </w:rPr>
            </w:pPr>
          </w:p>
        </w:tc>
        <w:tc>
          <w:tcPr>
            <w:tcW w:w="1080" w:type="dxa"/>
            <w:tcBorders>
              <w:top w:val="nil"/>
              <w:bottom w:val="nil"/>
            </w:tcBorders>
          </w:tcPr>
          <w:p w14:paraId="3DBC8C0F" w14:textId="77777777" w:rsidR="00554459" w:rsidRPr="00DF36B4" w:rsidRDefault="00554459" w:rsidP="00495559">
            <w:pPr>
              <w:tabs>
                <w:tab w:val="left" w:pos="0"/>
                <w:tab w:val="decimal" w:pos="1152"/>
              </w:tabs>
              <w:jc w:val="right"/>
              <w:rPr>
                <w:sz w:val="18"/>
                <w:szCs w:val="18"/>
              </w:rPr>
            </w:pPr>
          </w:p>
        </w:tc>
        <w:tc>
          <w:tcPr>
            <w:tcW w:w="1080" w:type="dxa"/>
            <w:tcBorders>
              <w:top w:val="nil"/>
              <w:bottom w:val="nil"/>
            </w:tcBorders>
          </w:tcPr>
          <w:p w14:paraId="0555ED5A" w14:textId="77777777" w:rsidR="00554459" w:rsidRPr="00DF36B4" w:rsidRDefault="00554459" w:rsidP="00495559">
            <w:pPr>
              <w:tabs>
                <w:tab w:val="left" w:pos="0"/>
                <w:tab w:val="decimal" w:pos="1242"/>
              </w:tabs>
              <w:jc w:val="right"/>
              <w:rPr>
                <w:sz w:val="18"/>
                <w:szCs w:val="18"/>
              </w:rPr>
            </w:pPr>
          </w:p>
        </w:tc>
        <w:tc>
          <w:tcPr>
            <w:tcW w:w="1080" w:type="dxa"/>
            <w:tcBorders>
              <w:top w:val="nil"/>
              <w:bottom w:val="nil"/>
            </w:tcBorders>
          </w:tcPr>
          <w:p w14:paraId="4C7F3743" w14:textId="77777777" w:rsidR="00554459" w:rsidRPr="00DF36B4" w:rsidRDefault="00554459" w:rsidP="00495559">
            <w:pPr>
              <w:tabs>
                <w:tab w:val="left" w:pos="0"/>
                <w:tab w:val="decimal" w:pos="1242"/>
              </w:tabs>
              <w:jc w:val="right"/>
              <w:rPr>
                <w:sz w:val="18"/>
                <w:szCs w:val="18"/>
              </w:rPr>
            </w:pPr>
          </w:p>
        </w:tc>
        <w:tc>
          <w:tcPr>
            <w:tcW w:w="1530" w:type="dxa"/>
            <w:tcBorders>
              <w:top w:val="nil"/>
              <w:bottom w:val="nil"/>
            </w:tcBorders>
          </w:tcPr>
          <w:p w14:paraId="4777ED91" w14:textId="77777777" w:rsidR="00554459" w:rsidRPr="00DF36B4" w:rsidRDefault="00554459" w:rsidP="00495559">
            <w:pPr>
              <w:tabs>
                <w:tab w:val="left" w:pos="0"/>
                <w:tab w:val="decimal" w:pos="1242"/>
              </w:tabs>
              <w:jc w:val="right"/>
              <w:rPr>
                <w:sz w:val="18"/>
                <w:szCs w:val="18"/>
              </w:rPr>
            </w:pPr>
          </w:p>
        </w:tc>
        <w:tc>
          <w:tcPr>
            <w:tcW w:w="1260" w:type="dxa"/>
            <w:tcBorders>
              <w:top w:val="nil"/>
              <w:bottom w:val="nil"/>
            </w:tcBorders>
          </w:tcPr>
          <w:p w14:paraId="5EE1A08D" w14:textId="77777777" w:rsidR="00554459" w:rsidRPr="00DF36B4" w:rsidRDefault="00554459" w:rsidP="00495559">
            <w:pPr>
              <w:tabs>
                <w:tab w:val="left" w:pos="0"/>
                <w:tab w:val="decimal" w:pos="1133"/>
              </w:tabs>
              <w:jc w:val="right"/>
              <w:rPr>
                <w:sz w:val="18"/>
                <w:szCs w:val="18"/>
              </w:rPr>
            </w:pPr>
          </w:p>
        </w:tc>
      </w:tr>
      <w:tr w:rsidR="00554459" w:rsidRPr="00DF36B4" w14:paraId="2DA83F62" w14:textId="77777777" w:rsidTr="00495559">
        <w:tc>
          <w:tcPr>
            <w:tcW w:w="3018" w:type="dxa"/>
            <w:tcBorders>
              <w:top w:val="nil"/>
              <w:bottom w:val="nil"/>
            </w:tcBorders>
          </w:tcPr>
          <w:p w14:paraId="7606AE6D" w14:textId="77777777" w:rsidR="00554459" w:rsidRPr="00DF36B4" w:rsidRDefault="00554459" w:rsidP="00495559">
            <w:pPr>
              <w:pStyle w:val="dr"/>
              <w:tabs>
                <w:tab w:val="left" w:pos="274"/>
                <w:tab w:val="left" w:pos="467"/>
              </w:tabs>
              <w:jc w:val="left"/>
              <w:rPr>
                <w:sz w:val="18"/>
                <w:szCs w:val="18"/>
              </w:rPr>
            </w:pPr>
            <w:r w:rsidRPr="00DF36B4">
              <w:rPr>
                <w:sz w:val="18"/>
                <w:szCs w:val="18"/>
              </w:rPr>
              <w:tab/>
              <w:t xml:space="preserve">Geological </w:t>
            </w:r>
            <w:r>
              <w:rPr>
                <w:sz w:val="18"/>
                <w:szCs w:val="18"/>
              </w:rPr>
              <w:t>report</w:t>
            </w:r>
          </w:p>
        </w:tc>
        <w:tc>
          <w:tcPr>
            <w:tcW w:w="1005" w:type="dxa"/>
            <w:tcBorders>
              <w:top w:val="nil"/>
              <w:bottom w:val="nil"/>
            </w:tcBorders>
          </w:tcPr>
          <w:p w14:paraId="795E8C19" w14:textId="77777777" w:rsidR="00554459" w:rsidRPr="00DF36B4" w:rsidRDefault="00554459" w:rsidP="00495559">
            <w:pPr>
              <w:jc w:val="right"/>
              <w:rPr>
                <w:sz w:val="18"/>
                <w:szCs w:val="18"/>
              </w:rPr>
            </w:pPr>
            <w:r>
              <w:rPr>
                <w:sz w:val="18"/>
                <w:szCs w:val="18"/>
              </w:rPr>
              <w:t>2,500</w:t>
            </w:r>
          </w:p>
        </w:tc>
        <w:tc>
          <w:tcPr>
            <w:tcW w:w="1177" w:type="dxa"/>
            <w:tcBorders>
              <w:top w:val="nil"/>
              <w:bottom w:val="nil"/>
            </w:tcBorders>
          </w:tcPr>
          <w:p w14:paraId="3B3188B4" w14:textId="77777777" w:rsidR="00554459" w:rsidRPr="00DF36B4" w:rsidRDefault="00554459" w:rsidP="00495559">
            <w:pPr>
              <w:tabs>
                <w:tab w:val="left" w:pos="0"/>
                <w:tab w:val="decimal" w:pos="969"/>
              </w:tabs>
              <w:jc w:val="right"/>
              <w:rPr>
                <w:sz w:val="18"/>
                <w:szCs w:val="18"/>
              </w:rPr>
            </w:pPr>
            <w:r>
              <w:rPr>
                <w:sz w:val="18"/>
                <w:szCs w:val="18"/>
              </w:rPr>
              <w:t>-</w:t>
            </w:r>
          </w:p>
        </w:tc>
        <w:tc>
          <w:tcPr>
            <w:tcW w:w="1080" w:type="dxa"/>
            <w:tcBorders>
              <w:top w:val="nil"/>
              <w:bottom w:val="nil"/>
            </w:tcBorders>
          </w:tcPr>
          <w:p w14:paraId="76563156" w14:textId="77777777" w:rsidR="00554459" w:rsidRPr="00DF36B4" w:rsidRDefault="00554459" w:rsidP="00495559">
            <w:pPr>
              <w:tabs>
                <w:tab w:val="left" w:pos="0"/>
                <w:tab w:val="decimal" w:pos="1152"/>
              </w:tabs>
              <w:jc w:val="right"/>
              <w:rPr>
                <w:sz w:val="18"/>
                <w:szCs w:val="18"/>
              </w:rPr>
            </w:pPr>
            <w:r w:rsidRPr="00DF36B4">
              <w:rPr>
                <w:sz w:val="18"/>
                <w:szCs w:val="18"/>
              </w:rPr>
              <w:t>-</w:t>
            </w:r>
          </w:p>
        </w:tc>
        <w:tc>
          <w:tcPr>
            <w:tcW w:w="1080" w:type="dxa"/>
            <w:tcBorders>
              <w:top w:val="nil"/>
              <w:bottom w:val="nil"/>
            </w:tcBorders>
          </w:tcPr>
          <w:p w14:paraId="63AFA92D"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080" w:type="dxa"/>
            <w:tcBorders>
              <w:top w:val="nil"/>
              <w:bottom w:val="nil"/>
            </w:tcBorders>
          </w:tcPr>
          <w:p w14:paraId="64FA03C7"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530" w:type="dxa"/>
            <w:tcBorders>
              <w:top w:val="nil"/>
              <w:bottom w:val="nil"/>
            </w:tcBorders>
          </w:tcPr>
          <w:p w14:paraId="666FE0BA" w14:textId="77777777" w:rsidR="00554459" w:rsidRPr="00DF36B4" w:rsidRDefault="00554459" w:rsidP="00495559">
            <w:pPr>
              <w:tabs>
                <w:tab w:val="left" w:pos="0"/>
                <w:tab w:val="decimal" w:pos="1242"/>
              </w:tabs>
              <w:jc w:val="right"/>
              <w:rPr>
                <w:sz w:val="18"/>
                <w:szCs w:val="18"/>
              </w:rPr>
            </w:pPr>
            <w:r w:rsidRPr="00DF36B4">
              <w:rPr>
                <w:sz w:val="18"/>
                <w:szCs w:val="18"/>
              </w:rPr>
              <w:t>-</w:t>
            </w:r>
          </w:p>
        </w:tc>
        <w:tc>
          <w:tcPr>
            <w:tcW w:w="1260" w:type="dxa"/>
            <w:tcBorders>
              <w:top w:val="nil"/>
              <w:bottom w:val="nil"/>
            </w:tcBorders>
          </w:tcPr>
          <w:p w14:paraId="6D0D2DF0" w14:textId="77777777" w:rsidR="00554459" w:rsidRPr="00DF36B4" w:rsidRDefault="00554459" w:rsidP="00495559">
            <w:pPr>
              <w:tabs>
                <w:tab w:val="left" w:pos="0"/>
                <w:tab w:val="decimal" w:pos="1133"/>
              </w:tabs>
              <w:jc w:val="right"/>
              <w:rPr>
                <w:sz w:val="18"/>
                <w:szCs w:val="18"/>
              </w:rPr>
            </w:pPr>
            <w:r>
              <w:rPr>
                <w:sz w:val="18"/>
                <w:szCs w:val="18"/>
              </w:rPr>
              <w:t>2,500</w:t>
            </w:r>
          </w:p>
        </w:tc>
      </w:tr>
      <w:tr w:rsidR="00554459" w:rsidRPr="00DF36B4" w14:paraId="206EA597" w14:textId="77777777" w:rsidTr="00495559">
        <w:tc>
          <w:tcPr>
            <w:tcW w:w="3018" w:type="dxa"/>
            <w:tcBorders>
              <w:top w:val="nil"/>
              <w:bottom w:val="nil"/>
            </w:tcBorders>
          </w:tcPr>
          <w:p w14:paraId="2A945B5C" w14:textId="77777777" w:rsidR="00554459" w:rsidRPr="00DF36B4" w:rsidRDefault="00554459" w:rsidP="00495559">
            <w:pPr>
              <w:pStyle w:val="dr"/>
              <w:tabs>
                <w:tab w:val="left" w:pos="274"/>
                <w:tab w:val="left" w:pos="467"/>
              </w:tabs>
              <w:jc w:val="left"/>
              <w:rPr>
                <w:sz w:val="18"/>
                <w:szCs w:val="18"/>
              </w:rPr>
            </w:pPr>
            <w:r w:rsidRPr="00DF36B4">
              <w:rPr>
                <w:sz w:val="18"/>
                <w:szCs w:val="18"/>
              </w:rPr>
              <w:tab/>
              <w:t>Claim maintenance fees</w:t>
            </w:r>
          </w:p>
        </w:tc>
        <w:tc>
          <w:tcPr>
            <w:tcW w:w="1005" w:type="dxa"/>
            <w:tcBorders>
              <w:top w:val="nil"/>
              <w:bottom w:val="nil"/>
            </w:tcBorders>
          </w:tcPr>
          <w:p w14:paraId="18819A36" w14:textId="77777777" w:rsidR="00554459" w:rsidRPr="00DF36B4" w:rsidRDefault="00554459" w:rsidP="00495559">
            <w:pPr>
              <w:jc w:val="right"/>
              <w:rPr>
                <w:sz w:val="18"/>
                <w:szCs w:val="18"/>
              </w:rPr>
            </w:pPr>
            <w:r w:rsidRPr="00DF36B4">
              <w:rPr>
                <w:sz w:val="18"/>
                <w:szCs w:val="18"/>
              </w:rPr>
              <w:t>-</w:t>
            </w:r>
          </w:p>
        </w:tc>
        <w:tc>
          <w:tcPr>
            <w:tcW w:w="1177" w:type="dxa"/>
            <w:tcBorders>
              <w:top w:val="nil"/>
              <w:bottom w:val="nil"/>
            </w:tcBorders>
          </w:tcPr>
          <w:p w14:paraId="3F05CF87" w14:textId="77777777" w:rsidR="00554459" w:rsidRPr="00DF36B4" w:rsidRDefault="00554459" w:rsidP="00495559">
            <w:pPr>
              <w:tabs>
                <w:tab w:val="left" w:pos="0"/>
                <w:tab w:val="decimal" w:pos="969"/>
              </w:tabs>
              <w:jc w:val="right"/>
              <w:rPr>
                <w:sz w:val="18"/>
                <w:szCs w:val="18"/>
              </w:rPr>
            </w:pPr>
            <w:r w:rsidRPr="00DF36B4">
              <w:rPr>
                <w:sz w:val="18"/>
                <w:szCs w:val="18"/>
              </w:rPr>
              <w:t>-</w:t>
            </w:r>
          </w:p>
        </w:tc>
        <w:tc>
          <w:tcPr>
            <w:tcW w:w="1080" w:type="dxa"/>
            <w:tcBorders>
              <w:top w:val="nil"/>
              <w:bottom w:val="nil"/>
            </w:tcBorders>
          </w:tcPr>
          <w:p w14:paraId="5CF73393" w14:textId="77777777" w:rsidR="00554459" w:rsidRPr="00DF36B4" w:rsidRDefault="00554459" w:rsidP="00495559">
            <w:pPr>
              <w:tabs>
                <w:tab w:val="left" w:pos="0"/>
                <w:tab w:val="decimal" w:pos="1152"/>
              </w:tabs>
              <w:jc w:val="right"/>
              <w:rPr>
                <w:sz w:val="18"/>
                <w:szCs w:val="18"/>
              </w:rPr>
            </w:pPr>
            <w:r w:rsidRPr="00DF36B4">
              <w:rPr>
                <w:sz w:val="18"/>
                <w:szCs w:val="18"/>
              </w:rPr>
              <w:t>210</w:t>
            </w:r>
          </w:p>
        </w:tc>
        <w:tc>
          <w:tcPr>
            <w:tcW w:w="1080" w:type="dxa"/>
            <w:tcBorders>
              <w:top w:val="nil"/>
              <w:bottom w:val="nil"/>
            </w:tcBorders>
          </w:tcPr>
          <w:p w14:paraId="12827DD3" w14:textId="77777777" w:rsidR="00554459" w:rsidRPr="00DF36B4" w:rsidRDefault="00554459" w:rsidP="00495559">
            <w:pPr>
              <w:tabs>
                <w:tab w:val="left" w:pos="0"/>
                <w:tab w:val="decimal" w:pos="1242"/>
              </w:tabs>
              <w:jc w:val="right"/>
              <w:rPr>
                <w:sz w:val="18"/>
                <w:szCs w:val="18"/>
              </w:rPr>
            </w:pPr>
            <w:r>
              <w:rPr>
                <w:sz w:val="18"/>
                <w:szCs w:val="18"/>
              </w:rPr>
              <w:t>903</w:t>
            </w:r>
          </w:p>
        </w:tc>
        <w:tc>
          <w:tcPr>
            <w:tcW w:w="1080" w:type="dxa"/>
            <w:tcBorders>
              <w:top w:val="nil"/>
              <w:bottom w:val="nil"/>
            </w:tcBorders>
          </w:tcPr>
          <w:p w14:paraId="3321BEF3" w14:textId="77777777" w:rsidR="00554459" w:rsidRPr="00DF36B4" w:rsidRDefault="00554459" w:rsidP="00495559">
            <w:pPr>
              <w:tabs>
                <w:tab w:val="left" w:pos="0"/>
                <w:tab w:val="decimal" w:pos="1242"/>
              </w:tabs>
              <w:jc w:val="right"/>
              <w:rPr>
                <w:sz w:val="18"/>
                <w:szCs w:val="18"/>
              </w:rPr>
            </w:pPr>
            <w:r>
              <w:rPr>
                <w:sz w:val="18"/>
                <w:szCs w:val="18"/>
              </w:rPr>
              <w:t>-</w:t>
            </w:r>
          </w:p>
        </w:tc>
        <w:tc>
          <w:tcPr>
            <w:tcW w:w="1530" w:type="dxa"/>
            <w:tcBorders>
              <w:top w:val="nil"/>
              <w:bottom w:val="nil"/>
            </w:tcBorders>
          </w:tcPr>
          <w:p w14:paraId="30A74C11" w14:textId="77777777" w:rsidR="00554459" w:rsidRPr="00DF36B4" w:rsidRDefault="00554459" w:rsidP="00495559">
            <w:pPr>
              <w:tabs>
                <w:tab w:val="left" w:pos="0"/>
                <w:tab w:val="decimal" w:pos="1242"/>
              </w:tabs>
              <w:jc w:val="right"/>
              <w:rPr>
                <w:sz w:val="18"/>
                <w:szCs w:val="18"/>
              </w:rPr>
            </w:pPr>
            <w:r w:rsidRPr="00DF36B4">
              <w:rPr>
                <w:sz w:val="18"/>
                <w:szCs w:val="18"/>
              </w:rPr>
              <w:t>2,</w:t>
            </w:r>
            <w:r>
              <w:rPr>
                <w:sz w:val="18"/>
                <w:szCs w:val="18"/>
              </w:rPr>
              <w:t>909</w:t>
            </w:r>
          </w:p>
        </w:tc>
        <w:tc>
          <w:tcPr>
            <w:tcW w:w="1260" w:type="dxa"/>
            <w:tcBorders>
              <w:top w:val="nil"/>
              <w:bottom w:val="nil"/>
            </w:tcBorders>
          </w:tcPr>
          <w:p w14:paraId="1D1DEF36" w14:textId="77777777" w:rsidR="00554459" w:rsidRPr="00DF36B4" w:rsidRDefault="00554459" w:rsidP="00495559">
            <w:pPr>
              <w:tabs>
                <w:tab w:val="left" w:pos="0"/>
                <w:tab w:val="decimal" w:pos="1133"/>
              </w:tabs>
              <w:jc w:val="right"/>
              <w:rPr>
                <w:sz w:val="18"/>
                <w:szCs w:val="18"/>
              </w:rPr>
            </w:pPr>
            <w:r>
              <w:rPr>
                <w:sz w:val="18"/>
                <w:szCs w:val="18"/>
              </w:rPr>
              <w:t>4,022</w:t>
            </w:r>
          </w:p>
        </w:tc>
      </w:tr>
      <w:tr w:rsidR="00554459" w:rsidRPr="00DF36B4" w14:paraId="572A0FD3" w14:textId="77777777" w:rsidTr="00495559">
        <w:tc>
          <w:tcPr>
            <w:tcW w:w="3018" w:type="dxa"/>
            <w:tcBorders>
              <w:top w:val="nil"/>
              <w:bottom w:val="nil"/>
            </w:tcBorders>
          </w:tcPr>
          <w:p w14:paraId="4FD34375" w14:textId="77777777" w:rsidR="00554459" w:rsidRPr="00DF36B4" w:rsidRDefault="00554459" w:rsidP="00495559">
            <w:pPr>
              <w:tabs>
                <w:tab w:val="left" w:pos="274"/>
                <w:tab w:val="left" w:pos="467"/>
              </w:tabs>
              <w:rPr>
                <w:sz w:val="18"/>
                <w:szCs w:val="18"/>
              </w:rPr>
            </w:pPr>
            <w:r w:rsidRPr="00F86403">
              <w:rPr>
                <w:sz w:val="18"/>
                <w:szCs w:val="18"/>
              </w:rPr>
              <w:t xml:space="preserve">Balance, </w:t>
            </w:r>
            <w:r>
              <w:rPr>
                <w:sz w:val="18"/>
                <w:szCs w:val="18"/>
              </w:rPr>
              <w:t>October</w:t>
            </w:r>
            <w:r w:rsidRPr="00F86403">
              <w:rPr>
                <w:sz w:val="18"/>
                <w:szCs w:val="18"/>
              </w:rPr>
              <w:t xml:space="preserve"> 31, 2019</w:t>
            </w:r>
          </w:p>
        </w:tc>
        <w:tc>
          <w:tcPr>
            <w:tcW w:w="1005" w:type="dxa"/>
            <w:tcBorders>
              <w:top w:val="single" w:sz="4" w:space="0" w:color="auto"/>
              <w:bottom w:val="double" w:sz="4" w:space="0" w:color="auto"/>
            </w:tcBorders>
          </w:tcPr>
          <w:p w14:paraId="76CFC2C8" w14:textId="77777777" w:rsidR="00554459" w:rsidRPr="00DF36B4" w:rsidRDefault="00554459" w:rsidP="00495559">
            <w:pPr>
              <w:tabs>
                <w:tab w:val="left" w:pos="-54"/>
                <w:tab w:val="left" w:pos="0"/>
                <w:tab w:val="decimal" w:pos="1242"/>
              </w:tabs>
              <w:jc w:val="right"/>
              <w:rPr>
                <w:sz w:val="18"/>
                <w:szCs w:val="18"/>
              </w:rPr>
            </w:pPr>
            <w:r w:rsidRPr="00DF36B4">
              <w:rPr>
                <w:sz w:val="18"/>
                <w:szCs w:val="18"/>
              </w:rPr>
              <w:t xml:space="preserve">$ </w:t>
            </w:r>
            <w:r>
              <w:rPr>
                <w:sz w:val="18"/>
                <w:szCs w:val="18"/>
              </w:rPr>
              <w:t xml:space="preserve">  </w:t>
            </w:r>
            <w:r w:rsidRPr="00DF36B4">
              <w:rPr>
                <w:sz w:val="18"/>
                <w:szCs w:val="18"/>
              </w:rPr>
              <w:t xml:space="preserve"> </w:t>
            </w:r>
            <w:r>
              <w:rPr>
                <w:sz w:val="18"/>
                <w:szCs w:val="18"/>
              </w:rPr>
              <w:t>12,090</w:t>
            </w:r>
          </w:p>
        </w:tc>
        <w:tc>
          <w:tcPr>
            <w:tcW w:w="1177" w:type="dxa"/>
            <w:tcBorders>
              <w:top w:val="single" w:sz="4" w:space="0" w:color="auto"/>
              <w:bottom w:val="double" w:sz="4" w:space="0" w:color="auto"/>
            </w:tcBorders>
          </w:tcPr>
          <w:p w14:paraId="1B706659" w14:textId="77777777" w:rsidR="00554459" w:rsidRPr="00DF36B4" w:rsidRDefault="00554459" w:rsidP="00495559">
            <w:pPr>
              <w:tabs>
                <w:tab w:val="left" w:pos="-54"/>
                <w:tab w:val="left" w:pos="0"/>
                <w:tab w:val="decimal" w:pos="969"/>
              </w:tabs>
              <w:jc w:val="right"/>
              <w:rPr>
                <w:sz w:val="18"/>
                <w:szCs w:val="18"/>
              </w:rPr>
            </w:pPr>
            <w:r w:rsidRPr="00DF36B4">
              <w:rPr>
                <w:sz w:val="18"/>
                <w:szCs w:val="18"/>
              </w:rPr>
              <w:t xml:space="preserve">$  </w:t>
            </w:r>
            <w:r>
              <w:rPr>
                <w:sz w:val="18"/>
                <w:szCs w:val="18"/>
              </w:rPr>
              <w:t>1,188,507</w:t>
            </w:r>
          </w:p>
        </w:tc>
        <w:tc>
          <w:tcPr>
            <w:tcW w:w="1080" w:type="dxa"/>
            <w:tcBorders>
              <w:top w:val="single" w:sz="4" w:space="0" w:color="auto"/>
              <w:bottom w:val="double" w:sz="4" w:space="0" w:color="auto"/>
            </w:tcBorders>
          </w:tcPr>
          <w:p w14:paraId="42132931" w14:textId="77777777" w:rsidR="00554459" w:rsidRPr="00DF36B4" w:rsidRDefault="00554459" w:rsidP="00495559">
            <w:pPr>
              <w:tabs>
                <w:tab w:val="left" w:pos="-54"/>
                <w:tab w:val="left" w:pos="0"/>
                <w:tab w:val="decimal" w:pos="1152"/>
              </w:tabs>
              <w:jc w:val="right"/>
              <w:rPr>
                <w:sz w:val="18"/>
                <w:szCs w:val="18"/>
              </w:rPr>
            </w:pPr>
            <w:r w:rsidRPr="00DF36B4">
              <w:rPr>
                <w:sz w:val="18"/>
                <w:szCs w:val="18"/>
              </w:rPr>
              <w:t>$  16,</w:t>
            </w:r>
            <w:r>
              <w:rPr>
                <w:sz w:val="18"/>
                <w:szCs w:val="18"/>
              </w:rPr>
              <w:t>76</w:t>
            </w:r>
            <w:r w:rsidRPr="00DF36B4">
              <w:rPr>
                <w:sz w:val="18"/>
                <w:szCs w:val="18"/>
              </w:rPr>
              <w:t>3</w:t>
            </w:r>
          </w:p>
        </w:tc>
        <w:tc>
          <w:tcPr>
            <w:tcW w:w="1080" w:type="dxa"/>
            <w:tcBorders>
              <w:top w:val="single" w:sz="4" w:space="0" w:color="auto"/>
              <w:bottom w:val="double" w:sz="4" w:space="0" w:color="auto"/>
            </w:tcBorders>
          </w:tcPr>
          <w:p w14:paraId="742013DD" w14:textId="77777777" w:rsidR="00554459" w:rsidRPr="00DF36B4" w:rsidRDefault="00554459" w:rsidP="00495559">
            <w:pPr>
              <w:tabs>
                <w:tab w:val="left" w:pos="-54"/>
                <w:tab w:val="left" w:pos="0"/>
                <w:tab w:val="decimal" w:pos="1242"/>
              </w:tabs>
              <w:jc w:val="right"/>
              <w:rPr>
                <w:sz w:val="18"/>
                <w:szCs w:val="18"/>
              </w:rPr>
            </w:pPr>
            <w:r w:rsidRPr="00DF36B4">
              <w:rPr>
                <w:sz w:val="18"/>
                <w:szCs w:val="18"/>
              </w:rPr>
              <w:t xml:space="preserve">$ </w:t>
            </w:r>
            <w:r>
              <w:rPr>
                <w:sz w:val="18"/>
                <w:szCs w:val="18"/>
              </w:rPr>
              <w:t xml:space="preserve">      </w:t>
            </w:r>
            <w:r w:rsidRPr="00DF36B4">
              <w:rPr>
                <w:sz w:val="18"/>
                <w:szCs w:val="18"/>
              </w:rPr>
              <w:t xml:space="preserve"> </w:t>
            </w:r>
            <w:r>
              <w:rPr>
                <w:sz w:val="18"/>
                <w:szCs w:val="18"/>
              </w:rPr>
              <w:t>8,581</w:t>
            </w:r>
          </w:p>
        </w:tc>
        <w:tc>
          <w:tcPr>
            <w:tcW w:w="1080" w:type="dxa"/>
            <w:tcBorders>
              <w:top w:val="single" w:sz="4" w:space="0" w:color="auto"/>
              <w:bottom w:val="double" w:sz="4" w:space="0" w:color="auto"/>
            </w:tcBorders>
          </w:tcPr>
          <w:p w14:paraId="0DA7080A" w14:textId="77777777" w:rsidR="00554459" w:rsidRPr="00DF36B4" w:rsidRDefault="00554459" w:rsidP="00495559">
            <w:pPr>
              <w:tabs>
                <w:tab w:val="left" w:pos="-54"/>
                <w:tab w:val="left" w:pos="0"/>
                <w:tab w:val="decimal" w:pos="1242"/>
              </w:tabs>
              <w:jc w:val="right"/>
              <w:rPr>
                <w:sz w:val="18"/>
                <w:szCs w:val="18"/>
              </w:rPr>
            </w:pPr>
            <w:r w:rsidRPr="00DF36B4">
              <w:rPr>
                <w:sz w:val="18"/>
                <w:szCs w:val="18"/>
              </w:rPr>
              <w:t xml:space="preserve">$ </w:t>
            </w:r>
            <w:r>
              <w:rPr>
                <w:sz w:val="18"/>
                <w:szCs w:val="18"/>
              </w:rPr>
              <w:t xml:space="preserve">             </w:t>
            </w:r>
            <w:r w:rsidRPr="00DF36B4">
              <w:rPr>
                <w:sz w:val="18"/>
                <w:szCs w:val="18"/>
              </w:rPr>
              <w:t xml:space="preserve"> </w:t>
            </w:r>
            <w:r>
              <w:rPr>
                <w:sz w:val="18"/>
                <w:szCs w:val="18"/>
              </w:rPr>
              <w:t>-</w:t>
            </w:r>
          </w:p>
        </w:tc>
        <w:tc>
          <w:tcPr>
            <w:tcW w:w="1530" w:type="dxa"/>
            <w:tcBorders>
              <w:top w:val="single" w:sz="4" w:space="0" w:color="auto"/>
              <w:bottom w:val="double" w:sz="4" w:space="0" w:color="auto"/>
            </w:tcBorders>
          </w:tcPr>
          <w:p w14:paraId="5BEC19C2" w14:textId="77777777" w:rsidR="00554459" w:rsidRPr="00DF36B4" w:rsidRDefault="00554459" w:rsidP="00495559">
            <w:pPr>
              <w:pStyle w:val="Style1"/>
              <w:tabs>
                <w:tab w:val="left" w:pos="0"/>
                <w:tab w:val="decimal" w:pos="1242"/>
              </w:tabs>
              <w:jc w:val="right"/>
              <w:rPr>
                <w:sz w:val="18"/>
                <w:szCs w:val="18"/>
              </w:rPr>
            </w:pPr>
            <w:r w:rsidRPr="00DF36B4">
              <w:rPr>
                <w:sz w:val="18"/>
                <w:szCs w:val="18"/>
              </w:rPr>
              <w:t xml:space="preserve">$         </w:t>
            </w:r>
            <w:r>
              <w:rPr>
                <w:sz w:val="18"/>
                <w:szCs w:val="18"/>
              </w:rPr>
              <w:t>42,905</w:t>
            </w:r>
          </w:p>
        </w:tc>
        <w:tc>
          <w:tcPr>
            <w:tcW w:w="1260" w:type="dxa"/>
            <w:tcBorders>
              <w:top w:val="single" w:sz="4" w:space="0" w:color="auto"/>
              <w:bottom w:val="double" w:sz="4" w:space="0" w:color="auto"/>
            </w:tcBorders>
          </w:tcPr>
          <w:p w14:paraId="0BA5152D" w14:textId="77777777" w:rsidR="00554459" w:rsidRPr="00DF36B4" w:rsidRDefault="00554459" w:rsidP="00495559">
            <w:pPr>
              <w:tabs>
                <w:tab w:val="left" w:pos="-54"/>
                <w:tab w:val="left" w:pos="0"/>
                <w:tab w:val="decimal" w:pos="1133"/>
              </w:tabs>
              <w:jc w:val="right"/>
              <w:rPr>
                <w:sz w:val="18"/>
                <w:szCs w:val="18"/>
              </w:rPr>
            </w:pPr>
            <w:r w:rsidRPr="00DF36B4">
              <w:rPr>
                <w:sz w:val="18"/>
                <w:szCs w:val="18"/>
              </w:rPr>
              <w:t xml:space="preserve">$  </w:t>
            </w:r>
            <w:r>
              <w:rPr>
                <w:sz w:val="18"/>
                <w:szCs w:val="18"/>
              </w:rPr>
              <w:t>1,268,846</w:t>
            </w:r>
          </w:p>
        </w:tc>
      </w:tr>
    </w:tbl>
    <w:p w14:paraId="03ADFF80" w14:textId="77777777" w:rsidR="00554459" w:rsidRDefault="00554459" w:rsidP="00554459">
      <w:pPr>
        <w:spacing w:after="200" w:line="276" w:lineRule="auto"/>
        <w:rPr>
          <w:sz w:val="22"/>
        </w:rPr>
        <w:sectPr w:rsidR="00554459" w:rsidSect="00495559">
          <w:headerReference w:type="first" r:id="rId14"/>
          <w:pgSz w:w="15840" w:h="12240" w:orient="landscape"/>
          <w:pgMar w:top="1440" w:right="1440" w:bottom="1440" w:left="432" w:header="720" w:footer="720" w:gutter="0"/>
          <w:pgNumType w:start="4"/>
          <w:cols w:space="720"/>
          <w:titlePg/>
          <w:docGrid w:linePitch="360"/>
        </w:sectPr>
      </w:pPr>
    </w:p>
    <w:p w14:paraId="452F8FEA" w14:textId="77777777" w:rsidR="00554459" w:rsidRDefault="00554459" w:rsidP="00367723">
      <w:pPr>
        <w:pStyle w:val="Header"/>
        <w:numPr>
          <w:ilvl w:val="0"/>
          <w:numId w:val="15"/>
        </w:numPr>
        <w:tabs>
          <w:tab w:val="clear" w:pos="4320"/>
          <w:tab w:val="clear" w:pos="8640"/>
          <w:tab w:val="left" w:pos="1100"/>
        </w:tabs>
        <w:ind w:left="1440" w:hanging="1080"/>
        <w:jc w:val="both"/>
        <w:rPr>
          <w:b/>
          <w:sz w:val="22"/>
          <w:lang w:val="en-CA"/>
        </w:rPr>
      </w:pPr>
      <w:r>
        <w:rPr>
          <w:b/>
          <w:sz w:val="22"/>
          <w:lang w:val="en-CA"/>
        </w:rPr>
        <w:lastRenderedPageBreak/>
        <w:t>EXPLORATION AND EVALUATION ASSETS (continued)</w:t>
      </w:r>
    </w:p>
    <w:p w14:paraId="4CB0E99C" w14:textId="77777777" w:rsidR="00554459" w:rsidRDefault="00554459" w:rsidP="00554459">
      <w:pPr>
        <w:pStyle w:val="Header"/>
        <w:tabs>
          <w:tab w:val="clear" w:pos="4320"/>
          <w:tab w:val="clear" w:pos="8640"/>
          <w:tab w:val="left" w:pos="1100"/>
        </w:tabs>
        <w:ind w:left="1134"/>
        <w:jc w:val="both"/>
        <w:rPr>
          <w:sz w:val="22"/>
          <w:lang w:val="en-CA"/>
        </w:rPr>
      </w:pPr>
    </w:p>
    <w:p w14:paraId="39FEEB33" w14:textId="77777777" w:rsidR="00554459" w:rsidRPr="00AE40DE" w:rsidRDefault="00554459" w:rsidP="00554459">
      <w:pPr>
        <w:pStyle w:val="Header"/>
        <w:tabs>
          <w:tab w:val="clear" w:pos="4320"/>
          <w:tab w:val="clear" w:pos="8640"/>
          <w:tab w:val="left" w:pos="1100"/>
        </w:tabs>
        <w:ind w:left="1134"/>
        <w:jc w:val="both"/>
        <w:rPr>
          <w:sz w:val="22"/>
          <w:szCs w:val="22"/>
          <w:u w:val="single"/>
        </w:rPr>
      </w:pPr>
      <w:r w:rsidRPr="00AE40DE">
        <w:rPr>
          <w:sz w:val="22"/>
          <w:szCs w:val="22"/>
          <w:u w:val="single"/>
          <w:lang w:val="en-CA"/>
        </w:rPr>
        <w:t>Title</w:t>
      </w:r>
      <w:r w:rsidRPr="00AE40DE">
        <w:rPr>
          <w:sz w:val="22"/>
          <w:szCs w:val="22"/>
          <w:u w:val="single"/>
        </w:rPr>
        <w:t xml:space="preserve"> to Interests</w:t>
      </w:r>
      <w:r>
        <w:rPr>
          <w:sz w:val="22"/>
          <w:szCs w:val="22"/>
          <w:u w:val="single"/>
        </w:rPr>
        <w:t xml:space="preserve"> in Exploration and Evaluation Assets</w:t>
      </w:r>
    </w:p>
    <w:p w14:paraId="0391E217" w14:textId="77777777" w:rsidR="00554459" w:rsidRPr="00AE40DE" w:rsidRDefault="00554459" w:rsidP="00554459">
      <w:pPr>
        <w:pStyle w:val="BodyTextIndent2"/>
        <w:tabs>
          <w:tab w:val="left" w:pos="1080"/>
          <w:tab w:val="left" w:pos="1440"/>
          <w:tab w:val="left" w:pos="1800"/>
        </w:tabs>
        <w:ind w:left="0"/>
        <w:rPr>
          <w:szCs w:val="22"/>
        </w:rPr>
      </w:pPr>
    </w:p>
    <w:p w14:paraId="0E9B48AD" w14:textId="77777777" w:rsidR="00554459" w:rsidRDefault="00554459" w:rsidP="00554459">
      <w:pPr>
        <w:pStyle w:val="BodyTextIndent2"/>
        <w:tabs>
          <w:tab w:val="left" w:pos="1080"/>
          <w:tab w:val="left" w:pos="1440"/>
          <w:tab w:val="left" w:pos="1800"/>
        </w:tabs>
        <w:rPr>
          <w:szCs w:val="22"/>
        </w:rPr>
      </w:pPr>
      <w:r>
        <w:rPr>
          <w:szCs w:val="22"/>
        </w:rPr>
        <w:t>Title to exploration and evaluation asset interests involves certain inherent risks due to the difficulties of determining the validity of certain claims as well as the potential for problems arising from the frequently ambiguous conveyancing history characteristic of many exploration and evaluation assets.  The Company has investigated title to all of its exploration and evaluation assets and, to the best of its knowledge, title to all of its interests are in good standing.  However, this should not be construed as a guarantee of title.  The concessions may be subject to prior claims, agreements or transfers, and rights of ownership may be affected by undetected defects.</w:t>
      </w:r>
    </w:p>
    <w:p w14:paraId="763FD0CA" w14:textId="77777777" w:rsidR="00554459" w:rsidRDefault="00554459" w:rsidP="00554459">
      <w:pPr>
        <w:pStyle w:val="NormalWeb"/>
        <w:spacing w:before="0" w:after="0"/>
        <w:ind w:left="1080"/>
        <w:rPr>
          <w:sz w:val="22"/>
          <w:szCs w:val="22"/>
        </w:rPr>
      </w:pPr>
    </w:p>
    <w:p w14:paraId="0939BB37" w14:textId="77777777" w:rsidR="00554459" w:rsidRDefault="00554459" w:rsidP="00554459">
      <w:pPr>
        <w:pStyle w:val="NormalWeb"/>
        <w:spacing w:before="0" w:after="0"/>
        <w:ind w:left="1080"/>
        <w:rPr>
          <w:sz w:val="22"/>
          <w:szCs w:val="22"/>
        </w:rPr>
      </w:pPr>
      <w:r>
        <w:rPr>
          <w:sz w:val="22"/>
          <w:szCs w:val="22"/>
          <w:u w:val="single"/>
        </w:rPr>
        <w:t>BC War Eagle Cobalt Prospect – Staking</w:t>
      </w:r>
    </w:p>
    <w:p w14:paraId="06CFDAC4" w14:textId="77777777" w:rsidR="00554459" w:rsidRDefault="00554459" w:rsidP="00554459">
      <w:pPr>
        <w:pStyle w:val="NormalWeb"/>
        <w:spacing w:before="0" w:after="0"/>
        <w:ind w:left="1080"/>
        <w:rPr>
          <w:sz w:val="22"/>
          <w:szCs w:val="22"/>
        </w:rPr>
      </w:pPr>
    </w:p>
    <w:p w14:paraId="6F084401" w14:textId="77777777" w:rsidR="00554459" w:rsidRDefault="00554459" w:rsidP="00554459">
      <w:pPr>
        <w:pStyle w:val="NormalWeb"/>
        <w:spacing w:before="0" w:after="0"/>
        <w:ind w:left="1080"/>
        <w:rPr>
          <w:sz w:val="22"/>
          <w:szCs w:val="22"/>
        </w:rPr>
      </w:pPr>
      <w:r>
        <w:rPr>
          <w:sz w:val="22"/>
          <w:szCs w:val="22"/>
        </w:rPr>
        <w:t xml:space="preserve">In June 2016, the Company acquired a 100% interest in certain mineral claims in British Columbia for staking costs </w:t>
      </w:r>
      <w:r w:rsidRPr="00E205F4">
        <w:rPr>
          <w:sz w:val="22"/>
          <w:szCs w:val="22"/>
        </w:rPr>
        <w:t>of $3,</w:t>
      </w:r>
      <w:r>
        <w:rPr>
          <w:sz w:val="22"/>
          <w:szCs w:val="22"/>
        </w:rPr>
        <w:t>496.</w:t>
      </w:r>
    </w:p>
    <w:p w14:paraId="2B25BA0C" w14:textId="77777777" w:rsidR="00554459" w:rsidRDefault="00554459" w:rsidP="00554459">
      <w:pPr>
        <w:pStyle w:val="NormalWeb"/>
        <w:spacing w:before="0" w:after="0"/>
        <w:ind w:left="1080"/>
        <w:rPr>
          <w:sz w:val="22"/>
          <w:szCs w:val="22"/>
        </w:rPr>
      </w:pPr>
    </w:p>
    <w:p w14:paraId="615F368C" w14:textId="77777777" w:rsidR="00554459" w:rsidRDefault="00554459" w:rsidP="00554459">
      <w:pPr>
        <w:pStyle w:val="NormalWeb"/>
        <w:spacing w:before="0" w:after="0"/>
        <w:ind w:left="1080"/>
        <w:rPr>
          <w:sz w:val="22"/>
          <w:szCs w:val="22"/>
        </w:rPr>
      </w:pPr>
      <w:r>
        <w:rPr>
          <w:sz w:val="22"/>
          <w:szCs w:val="22"/>
        </w:rPr>
        <w:t xml:space="preserve">In January 2018, the Company acquired a 100% interest in certain mineral claims in British Columbia for staking costs </w:t>
      </w:r>
      <w:r w:rsidRPr="00E205F4">
        <w:rPr>
          <w:sz w:val="22"/>
          <w:szCs w:val="22"/>
        </w:rPr>
        <w:t>of $</w:t>
      </w:r>
      <w:r>
        <w:rPr>
          <w:sz w:val="22"/>
          <w:szCs w:val="22"/>
        </w:rPr>
        <w:t>7,283.</w:t>
      </w:r>
    </w:p>
    <w:p w14:paraId="1CBC910C" w14:textId="77777777" w:rsidR="00554459" w:rsidRDefault="00554459" w:rsidP="00554459">
      <w:pPr>
        <w:pStyle w:val="NormalWeb"/>
        <w:spacing w:before="0" w:after="0"/>
        <w:ind w:left="1080"/>
        <w:rPr>
          <w:sz w:val="22"/>
          <w:szCs w:val="22"/>
        </w:rPr>
      </w:pPr>
    </w:p>
    <w:p w14:paraId="09153A53" w14:textId="77777777" w:rsidR="00554459" w:rsidRDefault="00554459" w:rsidP="00554459">
      <w:pPr>
        <w:pStyle w:val="NormalWeb"/>
        <w:spacing w:before="0" w:after="0"/>
        <w:ind w:left="1080"/>
        <w:rPr>
          <w:sz w:val="22"/>
          <w:szCs w:val="22"/>
        </w:rPr>
      </w:pPr>
      <w:r>
        <w:rPr>
          <w:sz w:val="22"/>
          <w:szCs w:val="22"/>
        </w:rPr>
        <w:t xml:space="preserve">In October 2018, the Company decided to drop certain War Eagle claims and allowed them to lapse when they became due. </w:t>
      </w:r>
      <w:r w:rsidRPr="00B6496C">
        <w:rPr>
          <w:sz w:val="22"/>
          <w:szCs w:val="22"/>
        </w:rPr>
        <w:t xml:space="preserve">Accordingly, </w:t>
      </w:r>
      <w:r>
        <w:rPr>
          <w:sz w:val="22"/>
          <w:szCs w:val="22"/>
        </w:rPr>
        <w:t>prior acquisition costs of $7,283 and exploration costs of $12,716 associated with these lapsed claims were written off as of July 31, 2018.</w:t>
      </w:r>
    </w:p>
    <w:p w14:paraId="0E6B4824" w14:textId="77777777" w:rsidR="00554459" w:rsidRDefault="00554459" w:rsidP="00554459">
      <w:pPr>
        <w:pStyle w:val="NormalWeb"/>
        <w:spacing w:before="0" w:after="0"/>
        <w:ind w:left="1080"/>
        <w:rPr>
          <w:sz w:val="22"/>
          <w:szCs w:val="22"/>
        </w:rPr>
      </w:pPr>
    </w:p>
    <w:p w14:paraId="44BB3337" w14:textId="77777777" w:rsidR="00554459" w:rsidRDefault="00554459" w:rsidP="00554459">
      <w:pPr>
        <w:pStyle w:val="NormalWeb"/>
        <w:spacing w:before="0" w:after="0"/>
        <w:ind w:left="1080"/>
        <w:rPr>
          <w:sz w:val="22"/>
          <w:szCs w:val="22"/>
        </w:rPr>
      </w:pPr>
      <w:r>
        <w:rPr>
          <w:sz w:val="22"/>
          <w:szCs w:val="22"/>
        </w:rPr>
        <w:t>During the year ended July 31, 2019, the Company decided to further reduce the size of certain War Eagle claims. Accordingly, prior acquisition costs of $2,404 and exploration costs of $18,705 were written off.</w:t>
      </w:r>
    </w:p>
    <w:p w14:paraId="5CA8B047" w14:textId="77777777" w:rsidR="00554459" w:rsidRDefault="00554459" w:rsidP="00554459">
      <w:pPr>
        <w:pStyle w:val="NormalWeb"/>
        <w:spacing w:before="0" w:after="0"/>
        <w:ind w:left="1080"/>
        <w:rPr>
          <w:sz w:val="22"/>
          <w:szCs w:val="22"/>
        </w:rPr>
      </w:pPr>
    </w:p>
    <w:p w14:paraId="4E7F71D4" w14:textId="77777777" w:rsidR="00554459" w:rsidRDefault="00554459" w:rsidP="00554459">
      <w:pPr>
        <w:pStyle w:val="NormalWeb"/>
        <w:spacing w:before="0" w:after="0"/>
        <w:ind w:left="1080"/>
        <w:rPr>
          <w:sz w:val="22"/>
          <w:szCs w:val="22"/>
        </w:rPr>
      </w:pPr>
      <w:r w:rsidRPr="00EF0FE9">
        <w:rPr>
          <w:sz w:val="22"/>
          <w:szCs w:val="22"/>
        </w:rPr>
        <w:t xml:space="preserve">As at </w:t>
      </w:r>
      <w:r>
        <w:rPr>
          <w:sz w:val="22"/>
          <w:szCs w:val="22"/>
        </w:rPr>
        <w:t>October</w:t>
      </w:r>
      <w:r w:rsidRPr="00EF0FE9">
        <w:rPr>
          <w:sz w:val="22"/>
          <w:szCs w:val="22"/>
        </w:rPr>
        <w:t xml:space="preserve"> 31, 2019,</w:t>
      </w:r>
      <w:r w:rsidRPr="00D23E89">
        <w:rPr>
          <w:sz w:val="22"/>
          <w:szCs w:val="22"/>
        </w:rPr>
        <w:t xml:space="preserve"> the</w:t>
      </w:r>
      <w:r w:rsidRPr="0003001D">
        <w:rPr>
          <w:sz w:val="22"/>
          <w:szCs w:val="22"/>
        </w:rPr>
        <w:t xml:space="preserve"> Company</w:t>
      </w:r>
      <w:r>
        <w:rPr>
          <w:sz w:val="22"/>
          <w:szCs w:val="22"/>
        </w:rPr>
        <w:t xml:space="preserve"> had spent a total of $10,998 in </w:t>
      </w:r>
      <w:r w:rsidRPr="0034654F">
        <w:rPr>
          <w:sz w:val="22"/>
          <w:szCs w:val="22"/>
        </w:rPr>
        <w:t>exploration expenditures</w:t>
      </w:r>
      <w:r>
        <w:rPr>
          <w:sz w:val="22"/>
          <w:szCs w:val="22"/>
        </w:rPr>
        <w:t xml:space="preserve"> on this prospect.</w:t>
      </w:r>
    </w:p>
    <w:p w14:paraId="0A3EAA49" w14:textId="77777777" w:rsidR="00554459" w:rsidRDefault="00554459" w:rsidP="00554459">
      <w:pPr>
        <w:pStyle w:val="NormalWeb"/>
        <w:spacing w:before="0" w:after="0"/>
        <w:ind w:left="1080"/>
        <w:rPr>
          <w:sz w:val="22"/>
          <w:szCs w:val="22"/>
        </w:rPr>
      </w:pPr>
    </w:p>
    <w:p w14:paraId="211764F3" w14:textId="77777777" w:rsidR="00554459" w:rsidRDefault="00554459" w:rsidP="00554459">
      <w:pPr>
        <w:pStyle w:val="NormalWeb"/>
        <w:spacing w:before="0" w:after="0"/>
        <w:ind w:left="1080"/>
        <w:rPr>
          <w:sz w:val="22"/>
          <w:szCs w:val="22"/>
        </w:rPr>
      </w:pPr>
      <w:r>
        <w:rPr>
          <w:sz w:val="22"/>
          <w:szCs w:val="22"/>
          <w:u w:val="single"/>
        </w:rPr>
        <w:t>BC and ON Cobalt Prospects – Share Purchase Agreement and Staking</w:t>
      </w:r>
    </w:p>
    <w:p w14:paraId="19887B1F" w14:textId="77777777" w:rsidR="00554459" w:rsidRDefault="00554459" w:rsidP="00554459">
      <w:pPr>
        <w:pStyle w:val="NormalWeb"/>
        <w:spacing w:before="0" w:after="0"/>
        <w:ind w:left="1080"/>
        <w:rPr>
          <w:sz w:val="22"/>
          <w:szCs w:val="22"/>
        </w:rPr>
      </w:pPr>
    </w:p>
    <w:p w14:paraId="23E81A9F" w14:textId="77777777" w:rsidR="00554459" w:rsidRPr="00566CC2" w:rsidRDefault="00554459" w:rsidP="00554459">
      <w:pPr>
        <w:pStyle w:val="NormalWeb"/>
        <w:spacing w:before="0" w:after="0"/>
        <w:ind w:left="1080"/>
        <w:rPr>
          <w:sz w:val="22"/>
          <w:szCs w:val="22"/>
        </w:rPr>
      </w:pPr>
      <w:r w:rsidRPr="0034654F">
        <w:rPr>
          <w:sz w:val="22"/>
          <w:szCs w:val="22"/>
        </w:rPr>
        <w:t>On July 22, 2016, the Company entered into a share purchase agreement (the “</w:t>
      </w:r>
      <w:r w:rsidRPr="00437FD4">
        <w:rPr>
          <w:sz w:val="22"/>
          <w:szCs w:val="22"/>
        </w:rPr>
        <w:t>Cobalt Locaters SPA</w:t>
      </w:r>
      <w:r w:rsidRPr="0034654F">
        <w:rPr>
          <w:sz w:val="22"/>
          <w:szCs w:val="22"/>
        </w:rPr>
        <w:t>”) with four arm’s length vendors (the “Vendors”) to purchase 100% of the issued and outstanding shares of Cobalt Locat</w:t>
      </w:r>
      <w:r>
        <w:rPr>
          <w:sz w:val="22"/>
          <w:szCs w:val="22"/>
        </w:rPr>
        <w:t>e</w:t>
      </w:r>
      <w:r w:rsidRPr="0034654F">
        <w:rPr>
          <w:sz w:val="22"/>
          <w:szCs w:val="22"/>
        </w:rPr>
        <w:t>rs Inc., which holds a 100% interest in two cobalt prospects in B.C. (</w:t>
      </w:r>
      <w:r>
        <w:rPr>
          <w:sz w:val="22"/>
          <w:szCs w:val="22"/>
        </w:rPr>
        <w:t xml:space="preserve">the </w:t>
      </w:r>
      <w:r w:rsidRPr="0034654F">
        <w:rPr>
          <w:sz w:val="22"/>
          <w:szCs w:val="22"/>
        </w:rPr>
        <w:t>"Purcell Cobalt Prospect") and a 50% interest in four cobalt prospects in Ontario (</w:t>
      </w:r>
      <w:r>
        <w:rPr>
          <w:sz w:val="22"/>
          <w:szCs w:val="22"/>
        </w:rPr>
        <w:t xml:space="preserve">the </w:t>
      </w:r>
      <w:r w:rsidRPr="0034654F">
        <w:rPr>
          <w:sz w:val="22"/>
          <w:szCs w:val="22"/>
        </w:rPr>
        <w:t xml:space="preserve">"Coleman Cobalt Prospect", </w:t>
      </w:r>
      <w:r>
        <w:rPr>
          <w:sz w:val="22"/>
          <w:szCs w:val="22"/>
        </w:rPr>
        <w:t xml:space="preserve">the </w:t>
      </w:r>
      <w:r w:rsidRPr="0034654F">
        <w:rPr>
          <w:sz w:val="22"/>
          <w:szCs w:val="22"/>
        </w:rPr>
        <w:t>"</w:t>
      </w:r>
      <w:proofErr w:type="spellStart"/>
      <w:r w:rsidRPr="0034654F">
        <w:rPr>
          <w:sz w:val="22"/>
          <w:szCs w:val="22"/>
        </w:rPr>
        <w:t>Bucke</w:t>
      </w:r>
      <w:proofErr w:type="spellEnd"/>
      <w:r w:rsidRPr="0034654F">
        <w:rPr>
          <w:sz w:val="22"/>
          <w:szCs w:val="22"/>
        </w:rPr>
        <w:t xml:space="preserve"> Cobalt Prospect", </w:t>
      </w:r>
      <w:r>
        <w:rPr>
          <w:sz w:val="22"/>
          <w:szCs w:val="22"/>
        </w:rPr>
        <w:t>the "</w:t>
      </w:r>
      <w:r w:rsidRPr="0034654F">
        <w:rPr>
          <w:sz w:val="22"/>
          <w:szCs w:val="22"/>
        </w:rPr>
        <w:t xml:space="preserve">Hector Cobalt Prospect", and </w:t>
      </w:r>
      <w:r>
        <w:rPr>
          <w:sz w:val="22"/>
          <w:szCs w:val="22"/>
        </w:rPr>
        <w:t xml:space="preserve">the </w:t>
      </w:r>
      <w:r w:rsidRPr="0034654F">
        <w:rPr>
          <w:sz w:val="22"/>
          <w:szCs w:val="22"/>
        </w:rPr>
        <w:t xml:space="preserve">"Johnson Cobalt Prospect"). The acquisition has been accounted for as an asset acquisition. In August 2016, the Company paid $20,000 cash and issued 4,800,000 shares (issued at a value of $816,000) to the Vendors pursuant to the </w:t>
      </w:r>
      <w:r w:rsidRPr="00437FD4">
        <w:rPr>
          <w:sz w:val="22"/>
          <w:szCs w:val="22"/>
        </w:rPr>
        <w:t>Cobalt Locaters SPA</w:t>
      </w:r>
      <w:r w:rsidRPr="0034654F">
        <w:rPr>
          <w:sz w:val="22"/>
          <w:szCs w:val="22"/>
        </w:rPr>
        <w:t>. Cobalt Locat</w:t>
      </w:r>
      <w:r>
        <w:rPr>
          <w:sz w:val="22"/>
          <w:szCs w:val="22"/>
        </w:rPr>
        <w:t>e</w:t>
      </w:r>
      <w:r w:rsidRPr="0034654F">
        <w:rPr>
          <w:sz w:val="22"/>
          <w:szCs w:val="22"/>
        </w:rPr>
        <w:t xml:space="preserve">rs Inc. became a wholly-owned subsidiary of the Company. The acquisition costs had been split evenly between these six cobalt </w:t>
      </w:r>
      <w:r w:rsidRPr="00566CC2">
        <w:rPr>
          <w:sz w:val="22"/>
          <w:szCs w:val="22"/>
        </w:rPr>
        <w:t xml:space="preserve">properties. </w:t>
      </w:r>
      <w:r w:rsidRPr="00EF0FE9">
        <w:rPr>
          <w:sz w:val="22"/>
          <w:szCs w:val="22"/>
        </w:rPr>
        <w:t>During the year ended July 31, 2019, the Company acquired the remaining 50% interest in the above four</w:t>
      </w:r>
      <w:r w:rsidRPr="00566CC2">
        <w:rPr>
          <w:sz w:val="22"/>
          <w:szCs w:val="22"/>
        </w:rPr>
        <w:t xml:space="preserve"> Ontario cobalt prospects from an arm's length vendor at no costs. As of </w:t>
      </w:r>
      <w:r>
        <w:rPr>
          <w:sz w:val="22"/>
          <w:szCs w:val="22"/>
        </w:rPr>
        <w:t>today</w:t>
      </w:r>
      <w:r w:rsidRPr="00566CC2">
        <w:rPr>
          <w:sz w:val="22"/>
          <w:szCs w:val="22"/>
        </w:rPr>
        <w:t>, the Company holds a 100% interest in the above four Ontario cobalt prospects.</w:t>
      </w:r>
    </w:p>
    <w:p w14:paraId="1A520EBF" w14:textId="77777777" w:rsidR="00554459" w:rsidRPr="00566CC2" w:rsidRDefault="00554459" w:rsidP="00554459">
      <w:pPr>
        <w:pStyle w:val="NormalWeb"/>
        <w:spacing w:before="0" w:after="0"/>
        <w:ind w:left="1080"/>
        <w:rPr>
          <w:sz w:val="22"/>
          <w:szCs w:val="22"/>
        </w:rPr>
      </w:pPr>
    </w:p>
    <w:p w14:paraId="590C65B7" w14:textId="77777777" w:rsidR="00554459" w:rsidRPr="0034654F" w:rsidRDefault="00554459" w:rsidP="00554459">
      <w:pPr>
        <w:pStyle w:val="NormalWeb"/>
        <w:spacing w:before="0" w:after="0"/>
        <w:ind w:left="1080"/>
        <w:rPr>
          <w:sz w:val="22"/>
          <w:szCs w:val="22"/>
        </w:rPr>
      </w:pPr>
      <w:r w:rsidRPr="0034654F">
        <w:rPr>
          <w:sz w:val="22"/>
          <w:szCs w:val="22"/>
        </w:rPr>
        <w:t xml:space="preserve">In September 2016, the Company acquired a 100% interest in certain mineral claims in Ontario to increase the holdings in its Johnson Cobalt Prospect, </w:t>
      </w:r>
      <w:proofErr w:type="spellStart"/>
      <w:r w:rsidRPr="0034654F">
        <w:rPr>
          <w:sz w:val="22"/>
          <w:szCs w:val="22"/>
        </w:rPr>
        <w:t>Bucke</w:t>
      </w:r>
      <w:proofErr w:type="spellEnd"/>
      <w:r w:rsidRPr="0034654F">
        <w:rPr>
          <w:sz w:val="22"/>
          <w:szCs w:val="22"/>
        </w:rPr>
        <w:t xml:space="preserve"> Cobalt Prospect and Hector Cobalt Prospect for staking costs of $19,500.</w:t>
      </w:r>
    </w:p>
    <w:p w14:paraId="1F3DFBAD" w14:textId="77777777" w:rsidR="00554459" w:rsidRDefault="00554459" w:rsidP="00554459">
      <w:pPr>
        <w:spacing w:after="200" w:line="276" w:lineRule="auto"/>
        <w:rPr>
          <w:sz w:val="22"/>
          <w:szCs w:val="22"/>
        </w:rPr>
        <w:sectPr w:rsidR="00554459" w:rsidSect="00554459">
          <w:headerReference w:type="even" r:id="rId15"/>
          <w:headerReference w:type="default" r:id="rId16"/>
          <w:footerReference w:type="default" r:id="rId17"/>
          <w:footerReference w:type="first" r:id="rId18"/>
          <w:pgSz w:w="12240" w:h="15840" w:code="1"/>
          <w:pgMar w:top="432" w:right="1152" w:bottom="432" w:left="1152" w:header="720" w:footer="720" w:gutter="0"/>
          <w:pgNumType w:start="1"/>
          <w:cols w:space="720"/>
          <w:docGrid w:linePitch="272"/>
        </w:sectPr>
      </w:pPr>
    </w:p>
    <w:p w14:paraId="6053ABFC" w14:textId="77777777" w:rsidR="00554459" w:rsidRDefault="00554459" w:rsidP="00367723">
      <w:pPr>
        <w:pStyle w:val="Header"/>
        <w:numPr>
          <w:ilvl w:val="0"/>
          <w:numId w:val="16"/>
        </w:numPr>
        <w:tabs>
          <w:tab w:val="clear" w:pos="4320"/>
          <w:tab w:val="clear" w:pos="8640"/>
          <w:tab w:val="left" w:pos="1100"/>
        </w:tabs>
        <w:ind w:left="1434" w:hanging="1077"/>
        <w:jc w:val="both"/>
        <w:rPr>
          <w:b/>
          <w:sz w:val="22"/>
          <w:lang w:val="en-CA"/>
        </w:rPr>
      </w:pPr>
      <w:r>
        <w:rPr>
          <w:b/>
          <w:sz w:val="22"/>
          <w:lang w:val="en-CA"/>
        </w:rPr>
        <w:lastRenderedPageBreak/>
        <w:t>EXPLORATION AND EVALUATION ASSETS (continued)</w:t>
      </w:r>
    </w:p>
    <w:p w14:paraId="04F9C767" w14:textId="77777777" w:rsidR="00554459" w:rsidRDefault="00554459" w:rsidP="00554459">
      <w:pPr>
        <w:pStyle w:val="BodyTextIndent2"/>
        <w:tabs>
          <w:tab w:val="left" w:pos="1080"/>
          <w:tab w:val="left" w:pos="1440"/>
          <w:tab w:val="left" w:pos="1800"/>
        </w:tabs>
        <w:rPr>
          <w:szCs w:val="22"/>
        </w:rPr>
      </w:pPr>
    </w:p>
    <w:p w14:paraId="7D63809F" w14:textId="77777777" w:rsidR="00554459" w:rsidRPr="00611402" w:rsidRDefault="00554459" w:rsidP="00554459">
      <w:pPr>
        <w:pStyle w:val="NormalWeb"/>
        <w:spacing w:before="0" w:after="0"/>
        <w:ind w:left="1080"/>
        <w:rPr>
          <w:sz w:val="22"/>
          <w:szCs w:val="22"/>
        </w:rPr>
      </w:pPr>
      <w:r>
        <w:rPr>
          <w:sz w:val="22"/>
          <w:szCs w:val="22"/>
          <w:u w:val="single"/>
        </w:rPr>
        <w:t>BC and ON Cobalt Prospects – Share Purchase Agreement and Staking</w:t>
      </w:r>
      <w:r>
        <w:rPr>
          <w:sz w:val="22"/>
          <w:szCs w:val="22"/>
        </w:rPr>
        <w:t xml:space="preserve"> (continued)</w:t>
      </w:r>
    </w:p>
    <w:p w14:paraId="6D4A5B88" w14:textId="77777777" w:rsidR="00554459" w:rsidRDefault="00554459" w:rsidP="00554459">
      <w:pPr>
        <w:pStyle w:val="NormalWeb"/>
        <w:spacing w:before="0" w:after="0"/>
        <w:ind w:left="1080"/>
        <w:rPr>
          <w:sz w:val="22"/>
          <w:szCs w:val="22"/>
        </w:rPr>
      </w:pPr>
    </w:p>
    <w:p w14:paraId="58A64F57" w14:textId="77777777" w:rsidR="00554459" w:rsidRDefault="00554459" w:rsidP="00554459">
      <w:pPr>
        <w:pStyle w:val="NormalWeb"/>
        <w:spacing w:before="0" w:after="0"/>
        <w:ind w:left="1080"/>
        <w:rPr>
          <w:sz w:val="22"/>
          <w:szCs w:val="22"/>
        </w:rPr>
      </w:pPr>
      <w:r w:rsidRPr="0034654F">
        <w:rPr>
          <w:sz w:val="22"/>
          <w:szCs w:val="22"/>
        </w:rPr>
        <w:t>In December 2016, the Company acquired a 100%</w:t>
      </w:r>
      <w:r>
        <w:rPr>
          <w:sz w:val="22"/>
          <w:szCs w:val="22"/>
        </w:rPr>
        <w:t xml:space="preserve"> interest</w:t>
      </w:r>
      <w:r w:rsidRPr="0034654F">
        <w:rPr>
          <w:sz w:val="22"/>
          <w:szCs w:val="22"/>
        </w:rPr>
        <w:t xml:space="preserve"> in certain mineral claims in Ontario to increase the holdings in its Coleman Cobalt Prospect for staking costs of $2,300.</w:t>
      </w:r>
      <w:r>
        <w:rPr>
          <w:sz w:val="22"/>
          <w:szCs w:val="22"/>
        </w:rPr>
        <w:t xml:space="preserve"> Subsequent to July 31, 2018, the Company decided to drop these claims. Prior acquisition costs of $2,300 were written off as of July 31, 2018.</w:t>
      </w:r>
    </w:p>
    <w:p w14:paraId="7F3E9BD6" w14:textId="77777777" w:rsidR="00554459" w:rsidRDefault="00554459" w:rsidP="00554459">
      <w:pPr>
        <w:pStyle w:val="NormalWeb"/>
        <w:spacing w:before="0" w:after="0"/>
        <w:ind w:left="1080"/>
        <w:rPr>
          <w:sz w:val="22"/>
          <w:szCs w:val="22"/>
        </w:rPr>
      </w:pPr>
    </w:p>
    <w:p w14:paraId="1FED5BC7" w14:textId="77777777" w:rsidR="00554459" w:rsidRDefault="00554459" w:rsidP="00554459">
      <w:pPr>
        <w:pStyle w:val="NormalWeb"/>
        <w:spacing w:before="0" w:after="0"/>
        <w:ind w:left="1080"/>
        <w:rPr>
          <w:sz w:val="22"/>
          <w:szCs w:val="22"/>
        </w:rPr>
      </w:pPr>
      <w:r w:rsidRPr="0034654F">
        <w:rPr>
          <w:sz w:val="22"/>
          <w:szCs w:val="22"/>
        </w:rPr>
        <w:t>In June 2017, the Company acquired a 100%</w:t>
      </w:r>
      <w:r>
        <w:rPr>
          <w:sz w:val="22"/>
          <w:szCs w:val="22"/>
        </w:rPr>
        <w:t xml:space="preserve"> interest</w:t>
      </w:r>
      <w:r w:rsidRPr="0034654F">
        <w:rPr>
          <w:sz w:val="22"/>
          <w:szCs w:val="22"/>
        </w:rPr>
        <w:t xml:space="preserve"> in certain mineral claims in Ontario to increase the holdings in its </w:t>
      </w:r>
      <w:r>
        <w:rPr>
          <w:sz w:val="22"/>
          <w:szCs w:val="22"/>
        </w:rPr>
        <w:t>Coleman</w:t>
      </w:r>
      <w:r w:rsidRPr="0034654F">
        <w:rPr>
          <w:sz w:val="22"/>
          <w:szCs w:val="22"/>
        </w:rPr>
        <w:t xml:space="preserve"> Cobalt Prospect for staking costs of $1,268.</w:t>
      </w:r>
    </w:p>
    <w:p w14:paraId="6FE69EA8" w14:textId="77777777" w:rsidR="00554459" w:rsidRDefault="00554459" w:rsidP="00554459">
      <w:pPr>
        <w:pStyle w:val="NormalWeb"/>
        <w:spacing w:before="0" w:after="0"/>
        <w:ind w:left="1080"/>
        <w:rPr>
          <w:sz w:val="22"/>
          <w:szCs w:val="22"/>
        </w:rPr>
      </w:pPr>
    </w:p>
    <w:p w14:paraId="7D618A2A" w14:textId="77777777" w:rsidR="00554459" w:rsidRDefault="00554459" w:rsidP="00554459">
      <w:pPr>
        <w:pStyle w:val="NormalWeb"/>
        <w:spacing w:before="0" w:after="0"/>
        <w:ind w:left="1080"/>
        <w:rPr>
          <w:sz w:val="22"/>
          <w:szCs w:val="22"/>
        </w:rPr>
      </w:pPr>
      <w:r>
        <w:rPr>
          <w:sz w:val="22"/>
          <w:szCs w:val="22"/>
        </w:rPr>
        <w:t xml:space="preserve">In December 2017, the Company acquired a </w:t>
      </w:r>
      <w:r w:rsidRPr="0034654F">
        <w:rPr>
          <w:sz w:val="22"/>
          <w:szCs w:val="22"/>
        </w:rPr>
        <w:t>100%</w:t>
      </w:r>
      <w:r>
        <w:rPr>
          <w:sz w:val="22"/>
          <w:szCs w:val="22"/>
        </w:rPr>
        <w:t xml:space="preserve"> interest</w:t>
      </w:r>
      <w:r w:rsidRPr="0034654F">
        <w:rPr>
          <w:sz w:val="22"/>
          <w:szCs w:val="22"/>
        </w:rPr>
        <w:t xml:space="preserve"> in certain mineral claims</w:t>
      </w:r>
      <w:r>
        <w:rPr>
          <w:sz w:val="22"/>
          <w:szCs w:val="22"/>
        </w:rPr>
        <w:t xml:space="preserve"> </w:t>
      </w:r>
      <w:r w:rsidRPr="0034654F">
        <w:rPr>
          <w:sz w:val="22"/>
          <w:szCs w:val="22"/>
        </w:rPr>
        <w:t xml:space="preserve">in Ontario </w:t>
      </w:r>
      <w:r>
        <w:rPr>
          <w:sz w:val="22"/>
          <w:szCs w:val="22"/>
        </w:rPr>
        <w:t>referred to as the Lorraine Cobalt Prospect</w:t>
      </w:r>
      <w:r w:rsidRPr="0034654F">
        <w:rPr>
          <w:sz w:val="22"/>
          <w:szCs w:val="22"/>
        </w:rPr>
        <w:t xml:space="preserve"> for staking costs of $</w:t>
      </w:r>
      <w:r>
        <w:rPr>
          <w:sz w:val="22"/>
          <w:szCs w:val="22"/>
        </w:rPr>
        <w:t>40,000</w:t>
      </w:r>
      <w:r w:rsidRPr="0034654F">
        <w:rPr>
          <w:sz w:val="22"/>
          <w:szCs w:val="22"/>
        </w:rPr>
        <w:t>.</w:t>
      </w:r>
      <w:r>
        <w:rPr>
          <w:sz w:val="22"/>
          <w:szCs w:val="22"/>
        </w:rPr>
        <w:t xml:space="preserve"> Subsequent to July 31, 2019, the Company decided to drop these claims and will allow them to lapse when they become due. Accordingly, prior staking costs of $40,000 were written off as of July 31, 2019.</w:t>
      </w:r>
    </w:p>
    <w:p w14:paraId="21FE6645" w14:textId="77777777" w:rsidR="00554459" w:rsidRDefault="00554459" w:rsidP="00554459">
      <w:pPr>
        <w:pStyle w:val="NormalWeb"/>
        <w:spacing w:before="0" w:after="0"/>
        <w:ind w:left="1080"/>
        <w:rPr>
          <w:sz w:val="22"/>
          <w:szCs w:val="22"/>
        </w:rPr>
      </w:pPr>
    </w:p>
    <w:p w14:paraId="37A62608" w14:textId="77777777" w:rsidR="00554459" w:rsidRDefault="00554459" w:rsidP="00554459">
      <w:pPr>
        <w:pStyle w:val="NormalWeb"/>
        <w:spacing w:before="0" w:after="0"/>
        <w:ind w:left="1080"/>
        <w:rPr>
          <w:sz w:val="22"/>
          <w:szCs w:val="22"/>
        </w:rPr>
      </w:pPr>
      <w:r>
        <w:rPr>
          <w:sz w:val="22"/>
          <w:szCs w:val="22"/>
        </w:rPr>
        <w:t xml:space="preserve">In January and April 2018, the Company acquired a </w:t>
      </w:r>
      <w:r w:rsidRPr="0034654F">
        <w:rPr>
          <w:sz w:val="22"/>
          <w:szCs w:val="22"/>
        </w:rPr>
        <w:t>100%</w:t>
      </w:r>
      <w:r>
        <w:rPr>
          <w:sz w:val="22"/>
          <w:szCs w:val="22"/>
        </w:rPr>
        <w:t xml:space="preserve"> interest</w:t>
      </w:r>
      <w:r w:rsidRPr="0034654F">
        <w:rPr>
          <w:sz w:val="22"/>
          <w:szCs w:val="22"/>
        </w:rPr>
        <w:t xml:space="preserve"> in certain mineral claims</w:t>
      </w:r>
      <w:r>
        <w:rPr>
          <w:sz w:val="22"/>
          <w:szCs w:val="22"/>
        </w:rPr>
        <w:t xml:space="preserve"> </w:t>
      </w:r>
      <w:r w:rsidRPr="0034654F">
        <w:rPr>
          <w:sz w:val="22"/>
          <w:szCs w:val="22"/>
        </w:rPr>
        <w:t xml:space="preserve">in Ontario </w:t>
      </w:r>
      <w:r w:rsidRPr="00046784">
        <w:rPr>
          <w:sz w:val="22"/>
          <w:szCs w:val="22"/>
        </w:rPr>
        <w:t>to increase the holdings in its</w:t>
      </w:r>
      <w:r w:rsidRPr="00046784">
        <w:rPr>
          <w:color w:val="FF0000"/>
          <w:sz w:val="22"/>
          <w:szCs w:val="22"/>
        </w:rPr>
        <w:t xml:space="preserve"> </w:t>
      </w:r>
      <w:r w:rsidRPr="00046784">
        <w:rPr>
          <w:color w:val="auto"/>
          <w:sz w:val="22"/>
          <w:szCs w:val="22"/>
        </w:rPr>
        <w:t>Lorraine Cobalt Prospect</w:t>
      </w:r>
      <w:r w:rsidRPr="0034654F">
        <w:rPr>
          <w:sz w:val="22"/>
          <w:szCs w:val="22"/>
        </w:rPr>
        <w:t xml:space="preserve"> for staking costs of $</w:t>
      </w:r>
      <w:r>
        <w:rPr>
          <w:sz w:val="22"/>
          <w:szCs w:val="22"/>
        </w:rPr>
        <w:t>20,890.</w:t>
      </w:r>
    </w:p>
    <w:p w14:paraId="7C0DC6E3" w14:textId="77777777" w:rsidR="00554459" w:rsidRDefault="00554459" w:rsidP="00554459">
      <w:pPr>
        <w:pStyle w:val="NormalWeb"/>
        <w:spacing w:before="0" w:after="0"/>
        <w:ind w:left="1080"/>
        <w:rPr>
          <w:sz w:val="22"/>
          <w:szCs w:val="22"/>
        </w:rPr>
      </w:pPr>
    </w:p>
    <w:p w14:paraId="3793E555" w14:textId="77777777" w:rsidR="00554459" w:rsidRDefault="00554459" w:rsidP="00554459">
      <w:pPr>
        <w:pStyle w:val="NormalWeb"/>
        <w:spacing w:before="0" w:after="0"/>
        <w:ind w:left="1080"/>
        <w:rPr>
          <w:sz w:val="22"/>
          <w:szCs w:val="22"/>
        </w:rPr>
      </w:pPr>
      <w:r w:rsidRPr="0050603B">
        <w:rPr>
          <w:sz w:val="22"/>
          <w:szCs w:val="22"/>
        </w:rPr>
        <w:t xml:space="preserve">As </w:t>
      </w:r>
      <w:r w:rsidRPr="00EF0FE9">
        <w:rPr>
          <w:sz w:val="22"/>
          <w:szCs w:val="22"/>
        </w:rPr>
        <w:t xml:space="preserve">at </w:t>
      </w:r>
      <w:r>
        <w:rPr>
          <w:sz w:val="22"/>
          <w:szCs w:val="22"/>
        </w:rPr>
        <w:t>October</w:t>
      </w:r>
      <w:r w:rsidRPr="00EF0FE9">
        <w:rPr>
          <w:sz w:val="22"/>
          <w:szCs w:val="22"/>
        </w:rPr>
        <w:t xml:space="preserve"> 31, 2019, the</w:t>
      </w:r>
      <w:r w:rsidRPr="0034654F">
        <w:rPr>
          <w:sz w:val="22"/>
          <w:szCs w:val="22"/>
        </w:rPr>
        <w:t xml:space="preserve"> Company had spent a total of $</w:t>
      </w:r>
      <w:r>
        <w:rPr>
          <w:sz w:val="22"/>
          <w:szCs w:val="22"/>
        </w:rPr>
        <w:t>589,515</w:t>
      </w:r>
      <w:r w:rsidRPr="0034654F">
        <w:rPr>
          <w:sz w:val="22"/>
          <w:szCs w:val="22"/>
        </w:rPr>
        <w:t xml:space="preserve"> in exploration expenditures on the ON Cobalt Prospects.</w:t>
      </w:r>
    </w:p>
    <w:p w14:paraId="3FD1B2E3" w14:textId="77777777" w:rsidR="00554459" w:rsidRDefault="00554459" w:rsidP="00554459">
      <w:pPr>
        <w:pStyle w:val="BodyTextIndent2"/>
        <w:tabs>
          <w:tab w:val="left" w:pos="1080"/>
          <w:tab w:val="left" w:pos="1440"/>
          <w:tab w:val="left" w:pos="1800"/>
        </w:tabs>
        <w:rPr>
          <w:szCs w:val="22"/>
        </w:rPr>
      </w:pPr>
    </w:p>
    <w:p w14:paraId="6AC89377" w14:textId="77777777" w:rsidR="00554459" w:rsidRPr="006F13CC" w:rsidRDefault="00554459" w:rsidP="00554459">
      <w:pPr>
        <w:pStyle w:val="NormalWeb"/>
        <w:spacing w:before="0" w:after="0"/>
        <w:ind w:left="1080"/>
        <w:rPr>
          <w:sz w:val="22"/>
          <w:szCs w:val="22"/>
          <w:u w:val="single"/>
        </w:rPr>
      </w:pPr>
      <w:r w:rsidRPr="006F13CC">
        <w:rPr>
          <w:sz w:val="22"/>
          <w:szCs w:val="22"/>
          <w:u w:val="single"/>
        </w:rPr>
        <w:t>Yukon Quartz Claims</w:t>
      </w:r>
      <w:r>
        <w:rPr>
          <w:sz w:val="22"/>
          <w:szCs w:val="22"/>
          <w:u w:val="single"/>
        </w:rPr>
        <w:t xml:space="preserve"> – Purchase Agreement</w:t>
      </w:r>
    </w:p>
    <w:p w14:paraId="2BCE36BD" w14:textId="77777777" w:rsidR="00554459" w:rsidRPr="006F13CC" w:rsidRDefault="00554459" w:rsidP="00554459">
      <w:pPr>
        <w:pStyle w:val="NormalWeb"/>
        <w:spacing w:before="0" w:after="0"/>
        <w:ind w:left="1080" w:hanging="1080"/>
        <w:rPr>
          <w:sz w:val="22"/>
          <w:szCs w:val="22"/>
          <w:u w:val="single"/>
        </w:rPr>
      </w:pPr>
    </w:p>
    <w:p w14:paraId="2116C9E7" w14:textId="77777777" w:rsidR="00554459" w:rsidRDefault="00554459" w:rsidP="00554459">
      <w:pPr>
        <w:pStyle w:val="NormalWeb"/>
        <w:spacing w:before="0" w:after="0"/>
        <w:ind w:left="1080"/>
        <w:rPr>
          <w:sz w:val="22"/>
          <w:szCs w:val="22"/>
        </w:rPr>
      </w:pPr>
      <w:r>
        <w:rPr>
          <w:sz w:val="22"/>
          <w:szCs w:val="22"/>
        </w:rPr>
        <w:t>During the year ended July 31, 2010</w:t>
      </w:r>
      <w:r w:rsidRPr="006F13CC">
        <w:rPr>
          <w:sz w:val="22"/>
          <w:szCs w:val="22"/>
        </w:rPr>
        <w:t>, the Company acquired a 100% interest</w:t>
      </w:r>
      <w:r>
        <w:rPr>
          <w:sz w:val="22"/>
          <w:szCs w:val="22"/>
        </w:rPr>
        <w:t xml:space="preserve"> in certain </w:t>
      </w:r>
      <w:r w:rsidRPr="006F13CC">
        <w:rPr>
          <w:sz w:val="22"/>
          <w:szCs w:val="22"/>
        </w:rPr>
        <w:t>quartz mineral</w:t>
      </w:r>
      <w:r>
        <w:rPr>
          <w:sz w:val="22"/>
          <w:szCs w:val="22"/>
        </w:rPr>
        <w:t xml:space="preserve"> </w:t>
      </w:r>
      <w:r w:rsidRPr="006F13CC">
        <w:rPr>
          <w:sz w:val="22"/>
          <w:szCs w:val="22"/>
        </w:rPr>
        <w:t xml:space="preserve">claims located in the Yukon Territory.  </w:t>
      </w:r>
    </w:p>
    <w:p w14:paraId="024C6336" w14:textId="77777777" w:rsidR="00554459" w:rsidRDefault="00554459" w:rsidP="00554459">
      <w:pPr>
        <w:pStyle w:val="NormalWeb"/>
        <w:spacing w:before="0" w:after="0"/>
        <w:ind w:left="1080"/>
        <w:rPr>
          <w:sz w:val="22"/>
          <w:szCs w:val="22"/>
        </w:rPr>
      </w:pPr>
    </w:p>
    <w:p w14:paraId="4786BC40" w14:textId="77777777" w:rsidR="00554459" w:rsidRPr="00B6496C" w:rsidRDefault="00554459" w:rsidP="00554459">
      <w:pPr>
        <w:pStyle w:val="NormalWeb"/>
        <w:spacing w:before="0" w:after="0"/>
        <w:ind w:left="1080"/>
        <w:rPr>
          <w:sz w:val="22"/>
          <w:szCs w:val="22"/>
        </w:rPr>
      </w:pPr>
      <w:r>
        <w:rPr>
          <w:sz w:val="22"/>
          <w:szCs w:val="22"/>
        </w:rPr>
        <w:t xml:space="preserve">During the years ended July 31, 2013, 2015 and 2016, the Company decided not to continue with certain claims and allowed these claims to lapse when they became due. </w:t>
      </w:r>
      <w:r w:rsidRPr="00B6496C">
        <w:rPr>
          <w:sz w:val="22"/>
          <w:szCs w:val="22"/>
        </w:rPr>
        <w:t xml:space="preserve">Accordingly, </w:t>
      </w:r>
      <w:r>
        <w:rPr>
          <w:sz w:val="22"/>
          <w:szCs w:val="22"/>
        </w:rPr>
        <w:t>prior acquisition costs of $670,862 and exploration costs of $34,838 associated with these lapsed claims were written off.</w:t>
      </w:r>
      <w:r w:rsidRPr="00B6496C">
        <w:rPr>
          <w:sz w:val="22"/>
          <w:szCs w:val="22"/>
        </w:rPr>
        <w:t xml:space="preserve"> </w:t>
      </w:r>
    </w:p>
    <w:p w14:paraId="16F0AE7C" w14:textId="77777777" w:rsidR="00554459" w:rsidRPr="00B6496C" w:rsidRDefault="00554459" w:rsidP="00554459">
      <w:pPr>
        <w:pStyle w:val="NormalWeb"/>
        <w:spacing w:before="0" w:after="0"/>
        <w:ind w:left="1080"/>
        <w:rPr>
          <w:sz w:val="22"/>
          <w:szCs w:val="22"/>
        </w:rPr>
      </w:pPr>
    </w:p>
    <w:p w14:paraId="2A627D40" w14:textId="77777777" w:rsidR="00554459" w:rsidRDefault="00554459" w:rsidP="00554459">
      <w:pPr>
        <w:pStyle w:val="NormalWeb"/>
        <w:spacing w:before="0" w:after="0"/>
        <w:ind w:left="1080"/>
        <w:rPr>
          <w:sz w:val="22"/>
          <w:szCs w:val="22"/>
        </w:rPr>
      </w:pPr>
      <w:r w:rsidRPr="003F2905">
        <w:rPr>
          <w:sz w:val="22"/>
          <w:szCs w:val="22"/>
        </w:rPr>
        <w:t xml:space="preserve">As </w:t>
      </w:r>
      <w:r w:rsidRPr="00EF0FE9">
        <w:rPr>
          <w:sz w:val="22"/>
          <w:szCs w:val="22"/>
        </w:rPr>
        <w:t xml:space="preserve">at </w:t>
      </w:r>
      <w:r>
        <w:rPr>
          <w:sz w:val="22"/>
          <w:szCs w:val="22"/>
        </w:rPr>
        <w:t>October</w:t>
      </w:r>
      <w:r w:rsidRPr="00EF0FE9">
        <w:rPr>
          <w:sz w:val="22"/>
          <w:szCs w:val="22"/>
        </w:rPr>
        <w:t xml:space="preserve"> 31, 2019</w:t>
      </w:r>
      <w:r w:rsidRPr="00D453A7">
        <w:rPr>
          <w:sz w:val="22"/>
          <w:szCs w:val="22"/>
        </w:rPr>
        <w:t>, the Company</w:t>
      </w:r>
      <w:r w:rsidRPr="0050603B">
        <w:rPr>
          <w:sz w:val="22"/>
          <w:szCs w:val="22"/>
        </w:rPr>
        <w:t xml:space="preserve"> had</w:t>
      </w:r>
      <w:r w:rsidRPr="00B6496C">
        <w:rPr>
          <w:sz w:val="22"/>
          <w:szCs w:val="22"/>
        </w:rPr>
        <w:t xml:space="preserve"> spent a total of $</w:t>
      </w:r>
      <w:r>
        <w:rPr>
          <w:sz w:val="22"/>
          <w:szCs w:val="22"/>
        </w:rPr>
        <w:t>2,127</w:t>
      </w:r>
      <w:r w:rsidRPr="00B6496C">
        <w:rPr>
          <w:sz w:val="22"/>
          <w:szCs w:val="22"/>
        </w:rPr>
        <w:t xml:space="preserve"> in exploration expenditures on the remaining Yukon Quartz claims.</w:t>
      </w:r>
    </w:p>
    <w:p w14:paraId="1F6BCE8D" w14:textId="77777777" w:rsidR="00554459" w:rsidRDefault="00554459" w:rsidP="00554459">
      <w:pPr>
        <w:pStyle w:val="NormalWeb"/>
        <w:spacing w:before="0" w:after="0"/>
        <w:ind w:left="1080"/>
        <w:rPr>
          <w:sz w:val="22"/>
          <w:szCs w:val="22"/>
        </w:rPr>
      </w:pPr>
    </w:p>
    <w:p w14:paraId="05DFC9F3" w14:textId="77777777" w:rsidR="00554459" w:rsidRPr="00316F7B" w:rsidRDefault="00554459" w:rsidP="00554459">
      <w:pPr>
        <w:pStyle w:val="NormalWeb"/>
        <w:spacing w:before="0" w:after="0"/>
        <w:ind w:left="1080"/>
        <w:rPr>
          <w:color w:val="FF0000"/>
          <w:sz w:val="22"/>
          <w:szCs w:val="22"/>
        </w:rPr>
      </w:pPr>
      <w:r>
        <w:rPr>
          <w:sz w:val="22"/>
          <w:szCs w:val="22"/>
          <w:u w:val="single"/>
        </w:rPr>
        <w:t>Idaho Star Cobalt Prospect – Staking</w:t>
      </w:r>
    </w:p>
    <w:p w14:paraId="755310C4" w14:textId="77777777" w:rsidR="00554459" w:rsidRDefault="00554459" w:rsidP="00554459">
      <w:pPr>
        <w:pStyle w:val="NormalWeb"/>
        <w:spacing w:before="0" w:after="0"/>
        <w:ind w:left="1080"/>
        <w:rPr>
          <w:sz w:val="22"/>
          <w:szCs w:val="22"/>
        </w:rPr>
      </w:pPr>
    </w:p>
    <w:p w14:paraId="0EB736D4" w14:textId="77777777" w:rsidR="00554459" w:rsidRDefault="00554459" w:rsidP="00554459">
      <w:pPr>
        <w:pStyle w:val="NormalWeb"/>
        <w:spacing w:before="0" w:after="0"/>
        <w:ind w:left="1080"/>
        <w:rPr>
          <w:sz w:val="22"/>
          <w:szCs w:val="22"/>
        </w:rPr>
      </w:pPr>
      <w:r w:rsidRPr="00767F06">
        <w:rPr>
          <w:sz w:val="22"/>
          <w:szCs w:val="22"/>
        </w:rPr>
        <w:t>In October</w:t>
      </w:r>
      <w:r>
        <w:rPr>
          <w:sz w:val="22"/>
          <w:szCs w:val="22"/>
        </w:rPr>
        <w:t xml:space="preserve"> 2016</w:t>
      </w:r>
      <w:r w:rsidRPr="00767F06">
        <w:rPr>
          <w:sz w:val="22"/>
          <w:szCs w:val="22"/>
        </w:rPr>
        <w:t xml:space="preserve">, the Company acquired a 100% interest in the Idaho Star Cobalt Prospect in Idaho, U.S.A. for staking costs of </w:t>
      </w:r>
      <w:r>
        <w:rPr>
          <w:sz w:val="22"/>
          <w:szCs w:val="22"/>
        </w:rPr>
        <w:t>$39,964.</w:t>
      </w:r>
    </w:p>
    <w:p w14:paraId="25BF0DCD" w14:textId="77777777" w:rsidR="00554459" w:rsidRDefault="00554459" w:rsidP="00554459">
      <w:pPr>
        <w:pStyle w:val="NormalWeb"/>
        <w:spacing w:before="0" w:after="0"/>
        <w:ind w:left="1080"/>
        <w:rPr>
          <w:sz w:val="22"/>
          <w:szCs w:val="22"/>
        </w:rPr>
      </w:pPr>
    </w:p>
    <w:p w14:paraId="2D814073" w14:textId="77777777" w:rsidR="00554459" w:rsidRDefault="00554459" w:rsidP="00554459">
      <w:pPr>
        <w:pStyle w:val="NormalWeb"/>
        <w:spacing w:before="0" w:after="0"/>
        <w:ind w:left="1080"/>
        <w:rPr>
          <w:sz w:val="22"/>
          <w:szCs w:val="22"/>
        </w:rPr>
      </w:pPr>
      <w:r>
        <w:rPr>
          <w:sz w:val="22"/>
          <w:szCs w:val="22"/>
        </w:rPr>
        <w:t>In August 2018, the Company decided to drop certain Idaho claims and allowed them to lapse when they became due. Prior acquisition costs of $36,330 and exploration costs of $32,122 were written down as of July 31, 2018.</w:t>
      </w:r>
    </w:p>
    <w:p w14:paraId="5292407C" w14:textId="77777777" w:rsidR="00554459" w:rsidRDefault="00554459" w:rsidP="00554459">
      <w:pPr>
        <w:pStyle w:val="NormalWeb"/>
        <w:spacing w:before="0" w:after="0"/>
        <w:ind w:left="1080"/>
        <w:rPr>
          <w:sz w:val="22"/>
          <w:szCs w:val="22"/>
        </w:rPr>
      </w:pPr>
    </w:p>
    <w:p w14:paraId="3140C6C3" w14:textId="3928694A" w:rsidR="00554459" w:rsidRDefault="00554459" w:rsidP="00F12BD7">
      <w:pPr>
        <w:pStyle w:val="NormalWeb"/>
        <w:spacing w:before="0" w:after="0"/>
        <w:ind w:left="1080"/>
        <w:rPr>
          <w:sz w:val="22"/>
          <w:szCs w:val="22"/>
        </w:rPr>
      </w:pPr>
      <w:r w:rsidRPr="00EF0FE9">
        <w:rPr>
          <w:sz w:val="22"/>
          <w:szCs w:val="22"/>
        </w:rPr>
        <w:t xml:space="preserve">As at </w:t>
      </w:r>
      <w:r>
        <w:rPr>
          <w:sz w:val="22"/>
          <w:szCs w:val="22"/>
        </w:rPr>
        <w:t>October</w:t>
      </w:r>
      <w:r w:rsidRPr="00EF0FE9">
        <w:rPr>
          <w:sz w:val="22"/>
          <w:szCs w:val="22"/>
        </w:rPr>
        <w:t xml:space="preserve"> 31, 2019</w:t>
      </w:r>
      <w:r w:rsidRPr="00D453A7">
        <w:rPr>
          <w:sz w:val="22"/>
          <w:szCs w:val="22"/>
        </w:rPr>
        <w:t>,</w:t>
      </w:r>
      <w:r w:rsidRPr="0003001D">
        <w:rPr>
          <w:sz w:val="22"/>
          <w:szCs w:val="22"/>
        </w:rPr>
        <w:t xml:space="preserve"> the Company</w:t>
      </w:r>
      <w:r w:rsidRPr="003F24EB">
        <w:rPr>
          <w:sz w:val="22"/>
          <w:szCs w:val="22"/>
        </w:rPr>
        <w:t xml:space="preserve"> had spent a total of $</w:t>
      </w:r>
      <w:r>
        <w:rPr>
          <w:sz w:val="22"/>
          <w:szCs w:val="22"/>
        </w:rPr>
        <w:t>4,948</w:t>
      </w:r>
      <w:r w:rsidRPr="003F24EB">
        <w:rPr>
          <w:sz w:val="22"/>
          <w:szCs w:val="22"/>
        </w:rPr>
        <w:t xml:space="preserve"> in exploration expenditures on this prospect.</w:t>
      </w:r>
      <w:r>
        <w:rPr>
          <w:sz w:val="22"/>
          <w:szCs w:val="22"/>
        </w:rPr>
        <w:br w:type="page"/>
      </w:r>
    </w:p>
    <w:p w14:paraId="4DED6C81" w14:textId="77777777" w:rsidR="00F12BD7" w:rsidRDefault="00F12BD7" w:rsidP="00F12BD7">
      <w:pPr>
        <w:pStyle w:val="Header"/>
        <w:tabs>
          <w:tab w:val="clear" w:pos="4320"/>
          <w:tab w:val="clear" w:pos="8640"/>
          <w:tab w:val="left" w:pos="1100"/>
        </w:tabs>
        <w:jc w:val="both"/>
        <w:rPr>
          <w:b/>
          <w:sz w:val="22"/>
          <w:lang w:val="en-CA"/>
        </w:rPr>
        <w:sectPr w:rsidR="00F12BD7" w:rsidSect="00F12BD7">
          <w:headerReference w:type="default" r:id="rId19"/>
          <w:pgSz w:w="12240" w:h="15840" w:code="1"/>
          <w:pgMar w:top="1440" w:right="1296" w:bottom="1440" w:left="1296" w:header="720" w:footer="936" w:gutter="0"/>
          <w:pgNumType w:start="1"/>
          <w:cols w:space="720"/>
        </w:sectPr>
      </w:pPr>
    </w:p>
    <w:p w14:paraId="1D15FE82" w14:textId="37D6FE7A" w:rsidR="00554459" w:rsidRPr="00B2421E" w:rsidRDefault="00554459" w:rsidP="00367723">
      <w:pPr>
        <w:pStyle w:val="Header"/>
        <w:numPr>
          <w:ilvl w:val="0"/>
          <w:numId w:val="17"/>
        </w:numPr>
        <w:tabs>
          <w:tab w:val="clear" w:pos="4320"/>
          <w:tab w:val="clear" w:pos="8640"/>
          <w:tab w:val="left" w:pos="1100"/>
        </w:tabs>
        <w:ind w:left="1440" w:hanging="1080"/>
        <w:jc w:val="both"/>
        <w:rPr>
          <w:b/>
          <w:sz w:val="22"/>
          <w:lang w:val="en-CA"/>
        </w:rPr>
      </w:pPr>
      <w:r w:rsidRPr="00B2421E">
        <w:rPr>
          <w:b/>
          <w:sz w:val="22"/>
          <w:lang w:val="en-CA"/>
        </w:rPr>
        <w:lastRenderedPageBreak/>
        <w:t>EXPLORATION AND EVALUATION ASSETS (continued)</w:t>
      </w:r>
    </w:p>
    <w:p w14:paraId="6FD188A1" w14:textId="77777777" w:rsidR="00554459" w:rsidRDefault="00554459" w:rsidP="00554459">
      <w:pPr>
        <w:pStyle w:val="NormalWeb"/>
        <w:spacing w:before="0" w:after="0"/>
        <w:ind w:left="1080"/>
        <w:rPr>
          <w:sz w:val="22"/>
          <w:szCs w:val="22"/>
          <w:u w:val="single"/>
        </w:rPr>
      </w:pPr>
    </w:p>
    <w:p w14:paraId="54738CA9" w14:textId="77777777" w:rsidR="00554459" w:rsidRPr="00D453A7" w:rsidRDefault="00554459" w:rsidP="00554459">
      <w:pPr>
        <w:pStyle w:val="Style1"/>
        <w:tabs>
          <w:tab w:val="left" w:pos="1080"/>
          <w:tab w:val="left" w:pos="1440"/>
          <w:tab w:val="left" w:pos="1800"/>
          <w:tab w:val="left" w:pos="2160"/>
        </w:tabs>
        <w:ind w:left="1080"/>
        <w:rPr>
          <w:szCs w:val="22"/>
          <w:u w:val="single"/>
        </w:rPr>
      </w:pPr>
      <w:r w:rsidRPr="00D453A7">
        <w:rPr>
          <w:szCs w:val="22"/>
          <w:u w:val="single"/>
        </w:rPr>
        <w:t>Nevada Clayton Valley West Lithium Prospect – Purchase Agreement</w:t>
      </w:r>
    </w:p>
    <w:p w14:paraId="6FE8191E" w14:textId="77777777" w:rsidR="00554459" w:rsidRPr="00D453A7" w:rsidRDefault="00554459" w:rsidP="00554459">
      <w:pPr>
        <w:pStyle w:val="Style1"/>
        <w:tabs>
          <w:tab w:val="left" w:pos="1080"/>
          <w:tab w:val="left" w:pos="1440"/>
          <w:tab w:val="left" w:pos="1800"/>
          <w:tab w:val="left" w:pos="2160"/>
        </w:tabs>
        <w:ind w:left="1080"/>
        <w:rPr>
          <w:szCs w:val="22"/>
          <w:u w:val="single"/>
        </w:rPr>
      </w:pPr>
    </w:p>
    <w:p w14:paraId="3618790D" w14:textId="77777777" w:rsidR="00554459" w:rsidRPr="00D453A7" w:rsidRDefault="00554459" w:rsidP="00554459">
      <w:pPr>
        <w:pStyle w:val="dr"/>
        <w:tabs>
          <w:tab w:val="left" w:pos="1080"/>
        </w:tabs>
        <w:ind w:left="1080"/>
        <w:rPr>
          <w:szCs w:val="22"/>
        </w:rPr>
      </w:pPr>
      <w:r w:rsidRPr="00D453A7">
        <w:rPr>
          <w:szCs w:val="22"/>
        </w:rPr>
        <w:t xml:space="preserve">On September 15, 2015, the Company entered into a purchase agreement with an arm’s length vendor (the “Vendor”) to acquire a 100% interest in certain mineral claims in the Clayton Valley in Nevada, U.S.A. In consideration, the Company was to issue 1,200,000 common shares to the Vendor. </w:t>
      </w:r>
    </w:p>
    <w:p w14:paraId="63E8C9F4" w14:textId="77777777" w:rsidR="00554459" w:rsidRPr="00D453A7" w:rsidRDefault="00554459" w:rsidP="00554459">
      <w:pPr>
        <w:pStyle w:val="dr"/>
        <w:tabs>
          <w:tab w:val="left" w:pos="1080"/>
        </w:tabs>
        <w:ind w:left="1080"/>
        <w:rPr>
          <w:szCs w:val="22"/>
        </w:rPr>
      </w:pPr>
    </w:p>
    <w:p w14:paraId="7498747F" w14:textId="77777777" w:rsidR="00554459" w:rsidRPr="00D453A7" w:rsidRDefault="00554459" w:rsidP="00554459">
      <w:pPr>
        <w:pStyle w:val="dr"/>
        <w:tabs>
          <w:tab w:val="left" w:pos="1080"/>
        </w:tabs>
        <w:ind w:left="1080"/>
        <w:rPr>
          <w:szCs w:val="22"/>
        </w:rPr>
      </w:pPr>
      <w:r w:rsidRPr="00D453A7">
        <w:rPr>
          <w:szCs w:val="22"/>
        </w:rPr>
        <w:t>On October 7, 2015, the Company amended the purchase agreement with the Vendor at no additional cost or share issuance, to acquire a 100% interest in additional mineral claims.</w:t>
      </w:r>
    </w:p>
    <w:p w14:paraId="17BA2AB2" w14:textId="77777777" w:rsidR="00554459" w:rsidRPr="00D453A7" w:rsidRDefault="00554459" w:rsidP="00554459">
      <w:pPr>
        <w:pStyle w:val="Style1"/>
        <w:tabs>
          <w:tab w:val="left" w:pos="1080"/>
          <w:tab w:val="left" w:pos="1440"/>
          <w:tab w:val="left" w:pos="1800"/>
          <w:tab w:val="left" w:pos="2160"/>
        </w:tabs>
        <w:rPr>
          <w:szCs w:val="22"/>
          <w:u w:val="single"/>
        </w:rPr>
      </w:pPr>
      <w:r w:rsidRPr="00D453A7">
        <w:rPr>
          <w:szCs w:val="22"/>
        </w:rPr>
        <w:tab/>
      </w:r>
    </w:p>
    <w:p w14:paraId="5C049A32" w14:textId="77777777" w:rsidR="00554459" w:rsidRPr="00D453A7" w:rsidRDefault="00554459" w:rsidP="00554459">
      <w:pPr>
        <w:pStyle w:val="dr"/>
        <w:tabs>
          <w:tab w:val="left" w:pos="1080"/>
        </w:tabs>
        <w:ind w:left="1080"/>
        <w:rPr>
          <w:szCs w:val="22"/>
        </w:rPr>
      </w:pPr>
      <w:r w:rsidRPr="00D453A7">
        <w:rPr>
          <w:szCs w:val="22"/>
        </w:rPr>
        <w:t>On October 21, 2015, the Company further amended the purchase agreement and the amendment dated October 7, 2015 with the Vender. The new terms are for the Company to issue 900,000 common shares to the Vendor. During the year ended July 31, 2016, these shares were issued to the Vendor valued at $30,000.</w:t>
      </w:r>
    </w:p>
    <w:p w14:paraId="379C5E76" w14:textId="77777777" w:rsidR="00554459" w:rsidRPr="00D453A7" w:rsidRDefault="00554459" w:rsidP="00554459">
      <w:pPr>
        <w:pStyle w:val="dr"/>
        <w:tabs>
          <w:tab w:val="left" w:pos="1080"/>
        </w:tabs>
        <w:ind w:left="1080"/>
        <w:rPr>
          <w:szCs w:val="22"/>
        </w:rPr>
      </w:pPr>
    </w:p>
    <w:p w14:paraId="04E096BC" w14:textId="77777777" w:rsidR="00554459" w:rsidRDefault="00554459" w:rsidP="00554459">
      <w:pPr>
        <w:pStyle w:val="dr"/>
        <w:tabs>
          <w:tab w:val="left" w:pos="1080"/>
        </w:tabs>
        <w:ind w:left="1080"/>
        <w:rPr>
          <w:szCs w:val="22"/>
        </w:rPr>
      </w:pPr>
      <w:r w:rsidRPr="00360022">
        <w:rPr>
          <w:szCs w:val="22"/>
        </w:rPr>
        <w:t xml:space="preserve">As of </w:t>
      </w:r>
      <w:r>
        <w:rPr>
          <w:szCs w:val="22"/>
        </w:rPr>
        <w:t>October</w:t>
      </w:r>
      <w:r w:rsidRPr="00360022">
        <w:rPr>
          <w:szCs w:val="22"/>
        </w:rPr>
        <w:t xml:space="preserve"> 31, 2019</w:t>
      </w:r>
      <w:r w:rsidRPr="00D453A7">
        <w:rPr>
          <w:szCs w:val="22"/>
        </w:rPr>
        <w:t>, the Company</w:t>
      </w:r>
      <w:r w:rsidRPr="0050603B">
        <w:rPr>
          <w:szCs w:val="22"/>
        </w:rPr>
        <w:t xml:space="preserve"> had incurred a total of $</w:t>
      </w:r>
      <w:r>
        <w:rPr>
          <w:szCs w:val="22"/>
        </w:rPr>
        <w:t>10,905</w:t>
      </w:r>
      <w:r w:rsidRPr="0050603B">
        <w:rPr>
          <w:szCs w:val="22"/>
        </w:rPr>
        <w:t xml:space="preserve"> in claim maintenance fees on this prospect.</w:t>
      </w:r>
    </w:p>
    <w:p w14:paraId="370350D0" w14:textId="77777777" w:rsidR="00554459" w:rsidRDefault="00554459" w:rsidP="00554459">
      <w:pPr>
        <w:pStyle w:val="dr"/>
        <w:tabs>
          <w:tab w:val="left" w:pos="1080"/>
        </w:tabs>
        <w:ind w:left="1080"/>
        <w:rPr>
          <w:szCs w:val="22"/>
        </w:rPr>
      </w:pPr>
    </w:p>
    <w:p w14:paraId="153FFCFA" w14:textId="77777777" w:rsidR="00554459" w:rsidRPr="0050603B" w:rsidRDefault="00554459" w:rsidP="00367723">
      <w:pPr>
        <w:pStyle w:val="Header"/>
        <w:numPr>
          <w:ilvl w:val="0"/>
          <w:numId w:val="17"/>
        </w:numPr>
        <w:tabs>
          <w:tab w:val="clear" w:pos="4320"/>
          <w:tab w:val="clear" w:pos="8640"/>
          <w:tab w:val="left" w:pos="1100"/>
        </w:tabs>
        <w:ind w:left="1440" w:hanging="1080"/>
        <w:jc w:val="both"/>
        <w:rPr>
          <w:b/>
          <w:sz w:val="22"/>
          <w:lang w:val="en-CA"/>
        </w:rPr>
      </w:pPr>
      <w:r w:rsidRPr="0050603B">
        <w:rPr>
          <w:b/>
          <w:sz w:val="22"/>
          <w:lang w:val="en-CA"/>
        </w:rPr>
        <w:t>ACCOUNTS PAYABLE AND ACCRUED LIABILITIES</w:t>
      </w:r>
    </w:p>
    <w:p w14:paraId="52D8CC40" w14:textId="77777777" w:rsidR="00554459" w:rsidRPr="0050603B" w:rsidRDefault="00554459" w:rsidP="00554459">
      <w:pPr>
        <w:pStyle w:val="Header"/>
        <w:tabs>
          <w:tab w:val="clear" w:pos="4320"/>
          <w:tab w:val="clear" w:pos="8640"/>
          <w:tab w:val="left" w:pos="1100"/>
        </w:tabs>
        <w:ind w:left="1134"/>
        <w:jc w:val="both"/>
        <w:rPr>
          <w:sz w:val="22"/>
          <w:lang w:val="en-CA"/>
        </w:rPr>
      </w:pPr>
    </w:p>
    <w:p w14:paraId="62208D63" w14:textId="77777777" w:rsidR="00554459" w:rsidRPr="0050603B" w:rsidRDefault="00554459" w:rsidP="00554459">
      <w:pPr>
        <w:pStyle w:val="Header"/>
        <w:tabs>
          <w:tab w:val="clear" w:pos="4320"/>
          <w:tab w:val="clear" w:pos="8640"/>
          <w:tab w:val="left" w:pos="1100"/>
        </w:tabs>
        <w:ind w:left="1100"/>
        <w:rPr>
          <w:sz w:val="22"/>
          <w:szCs w:val="22"/>
          <w:lang w:val="en-CA"/>
        </w:rPr>
      </w:pPr>
      <w:r w:rsidRPr="0050603B">
        <w:rPr>
          <w:sz w:val="22"/>
          <w:szCs w:val="22"/>
          <w:lang w:val="en-CA"/>
        </w:rPr>
        <w:t>Accounts payable and accrued liabilities recognized in the statement of financial position can be analyzed as follows:</w:t>
      </w:r>
    </w:p>
    <w:p w14:paraId="15DCFC83" w14:textId="77777777" w:rsidR="00554459" w:rsidRPr="0050603B" w:rsidRDefault="00554459" w:rsidP="00554459">
      <w:pPr>
        <w:pStyle w:val="Header"/>
        <w:tabs>
          <w:tab w:val="clear" w:pos="4320"/>
          <w:tab w:val="clear" w:pos="8640"/>
          <w:tab w:val="left" w:pos="1100"/>
        </w:tabs>
        <w:ind w:left="1100"/>
        <w:rPr>
          <w:sz w:val="22"/>
          <w:szCs w:val="22"/>
          <w:lang w:val="en-CA"/>
        </w:rPr>
      </w:pPr>
      <w:r w:rsidRPr="0050603B">
        <w:rPr>
          <w:sz w:val="22"/>
          <w:szCs w:val="22"/>
          <w:lang w:val="en-CA"/>
        </w:rPr>
        <w:tab/>
      </w:r>
    </w:p>
    <w:tbl>
      <w:tblPr>
        <w:tblW w:w="6858" w:type="dxa"/>
        <w:tblInd w:w="1242" w:type="dxa"/>
        <w:tblLayout w:type="fixed"/>
        <w:tblLook w:val="01E0" w:firstRow="1" w:lastRow="1" w:firstColumn="1" w:lastColumn="1" w:noHBand="0" w:noVBand="0"/>
      </w:tblPr>
      <w:tblGrid>
        <w:gridCol w:w="4446"/>
        <w:gridCol w:w="1260"/>
        <w:gridCol w:w="1152"/>
      </w:tblGrid>
      <w:tr w:rsidR="00554459" w:rsidRPr="009F17E3" w14:paraId="58E48D0F" w14:textId="77777777" w:rsidTr="00495559">
        <w:trPr>
          <w:trHeight w:val="255"/>
        </w:trPr>
        <w:tc>
          <w:tcPr>
            <w:tcW w:w="4446" w:type="dxa"/>
          </w:tcPr>
          <w:p w14:paraId="59CFF67E" w14:textId="77777777" w:rsidR="00554459" w:rsidRPr="0050603B" w:rsidRDefault="00554459" w:rsidP="00495559">
            <w:pPr>
              <w:tabs>
                <w:tab w:val="left" w:pos="1080"/>
              </w:tabs>
              <w:jc w:val="both"/>
              <w:rPr>
                <w:sz w:val="22"/>
              </w:rPr>
            </w:pPr>
          </w:p>
        </w:tc>
        <w:tc>
          <w:tcPr>
            <w:tcW w:w="1260" w:type="dxa"/>
          </w:tcPr>
          <w:p w14:paraId="1A3035DD" w14:textId="77777777" w:rsidR="00554459" w:rsidRPr="00D453A7" w:rsidRDefault="00554459" w:rsidP="00495559">
            <w:pPr>
              <w:tabs>
                <w:tab w:val="left" w:pos="1080"/>
              </w:tabs>
              <w:jc w:val="right"/>
              <w:rPr>
                <w:sz w:val="22"/>
              </w:rPr>
            </w:pPr>
            <w:r>
              <w:rPr>
                <w:sz w:val="22"/>
              </w:rPr>
              <w:t>October</w:t>
            </w:r>
            <w:r w:rsidRPr="00E354F1">
              <w:rPr>
                <w:sz w:val="22"/>
              </w:rPr>
              <w:t xml:space="preserve"> 31</w:t>
            </w:r>
            <w:r w:rsidRPr="00D453A7">
              <w:rPr>
                <w:sz w:val="22"/>
              </w:rPr>
              <w:t>,</w:t>
            </w:r>
          </w:p>
          <w:p w14:paraId="468F1CF3" w14:textId="77777777" w:rsidR="00554459" w:rsidRPr="00D453A7" w:rsidRDefault="00554459" w:rsidP="00495559">
            <w:pPr>
              <w:tabs>
                <w:tab w:val="left" w:pos="1080"/>
              </w:tabs>
              <w:jc w:val="right"/>
              <w:rPr>
                <w:sz w:val="22"/>
                <w:u w:val="single"/>
              </w:rPr>
            </w:pPr>
            <w:r w:rsidRPr="00D453A7">
              <w:rPr>
                <w:sz w:val="22"/>
                <w:u w:val="single"/>
              </w:rPr>
              <w:t>2019</w:t>
            </w:r>
          </w:p>
        </w:tc>
        <w:tc>
          <w:tcPr>
            <w:tcW w:w="1152" w:type="dxa"/>
          </w:tcPr>
          <w:p w14:paraId="7B5682EC" w14:textId="77777777" w:rsidR="00554459" w:rsidRPr="00D453A7" w:rsidRDefault="00554459" w:rsidP="00495559">
            <w:pPr>
              <w:tabs>
                <w:tab w:val="left" w:pos="1080"/>
              </w:tabs>
              <w:jc w:val="right"/>
              <w:rPr>
                <w:sz w:val="22"/>
              </w:rPr>
            </w:pPr>
            <w:r w:rsidRPr="00D453A7">
              <w:rPr>
                <w:sz w:val="22"/>
              </w:rPr>
              <w:t>July 31,</w:t>
            </w:r>
          </w:p>
          <w:p w14:paraId="40E9801C" w14:textId="77777777" w:rsidR="00554459" w:rsidRPr="00D453A7" w:rsidRDefault="00554459" w:rsidP="00495559">
            <w:pPr>
              <w:tabs>
                <w:tab w:val="left" w:pos="1080"/>
              </w:tabs>
              <w:jc w:val="right"/>
              <w:rPr>
                <w:sz w:val="22"/>
                <w:u w:val="single"/>
              </w:rPr>
            </w:pPr>
            <w:r w:rsidRPr="00D453A7">
              <w:rPr>
                <w:sz w:val="22"/>
                <w:u w:val="single"/>
              </w:rPr>
              <w:t>201</w:t>
            </w:r>
            <w:r>
              <w:rPr>
                <w:sz w:val="22"/>
                <w:u w:val="single"/>
              </w:rPr>
              <w:t>9</w:t>
            </w:r>
          </w:p>
        </w:tc>
      </w:tr>
      <w:tr w:rsidR="00554459" w14:paraId="4DEB9950" w14:textId="77777777" w:rsidTr="00495559">
        <w:trPr>
          <w:trHeight w:val="255"/>
        </w:trPr>
        <w:tc>
          <w:tcPr>
            <w:tcW w:w="4446" w:type="dxa"/>
          </w:tcPr>
          <w:p w14:paraId="53045EF3" w14:textId="77777777" w:rsidR="00554459" w:rsidRDefault="00554459" w:rsidP="00495559">
            <w:pPr>
              <w:autoSpaceDE w:val="0"/>
              <w:autoSpaceDN w:val="0"/>
              <w:adjustRightInd w:val="0"/>
              <w:jc w:val="both"/>
              <w:rPr>
                <w:bCs/>
                <w:iCs/>
                <w:sz w:val="22"/>
                <w:szCs w:val="22"/>
              </w:rPr>
            </w:pPr>
          </w:p>
        </w:tc>
        <w:tc>
          <w:tcPr>
            <w:tcW w:w="1260" w:type="dxa"/>
          </w:tcPr>
          <w:p w14:paraId="69BB7CB2" w14:textId="77777777" w:rsidR="00554459" w:rsidRDefault="00554459" w:rsidP="00495559">
            <w:pPr>
              <w:tabs>
                <w:tab w:val="left" w:pos="0"/>
                <w:tab w:val="decimal" w:pos="1242"/>
              </w:tabs>
              <w:jc w:val="right"/>
              <w:rPr>
                <w:sz w:val="22"/>
              </w:rPr>
            </w:pPr>
          </w:p>
        </w:tc>
        <w:tc>
          <w:tcPr>
            <w:tcW w:w="1152" w:type="dxa"/>
          </w:tcPr>
          <w:p w14:paraId="58ABB27F" w14:textId="77777777" w:rsidR="00554459" w:rsidRDefault="00554459" w:rsidP="00495559">
            <w:pPr>
              <w:tabs>
                <w:tab w:val="left" w:pos="0"/>
                <w:tab w:val="decimal" w:pos="1242"/>
              </w:tabs>
              <w:jc w:val="right"/>
              <w:rPr>
                <w:sz w:val="22"/>
              </w:rPr>
            </w:pPr>
          </w:p>
        </w:tc>
      </w:tr>
      <w:tr w:rsidR="00554459" w14:paraId="0B08EB7C" w14:textId="77777777" w:rsidTr="00495559">
        <w:trPr>
          <w:trHeight w:val="255"/>
        </w:trPr>
        <w:tc>
          <w:tcPr>
            <w:tcW w:w="4446" w:type="dxa"/>
          </w:tcPr>
          <w:p w14:paraId="62657078" w14:textId="77777777" w:rsidR="00554459" w:rsidRPr="00D21633" w:rsidRDefault="00554459" w:rsidP="00495559">
            <w:pPr>
              <w:autoSpaceDE w:val="0"/>
              <w:autoSpaceDN w:val="0"/>
              <w:adjustRightInd w:val="0"/>
              <w:jc w:val="both"/>
              <w:rPr>
                <w:bCs/>
                <w:iCs/>
                <w:sz w:val="22"/>
                <w:szCs w:val="22"/>
              </w:rPr>
            </w:pPr>
            <w:r>
              <w:rPr>
                <w:bCs/>
                <w:iCs/>
                <w:sz w:val="22"/>
                <w:szCs w:val="22"/>
              </w:rPr>
              <w:t>Trade payables</w:t>
            </w:r>
          </w:p>
        </w:tc>
        <w:tc>
          <w:tcPr>
            <w:tcW w:w="1260" w:type="dxa"/>
          </w:tcPr>
          <w:p w14:paraId="6898A6B3" w14:textId="77777777" w:rsidR="00554459" w:rsidRPr="001527BB" w:rsidRDefault="00554459" w:rsidP="00495559">
            <w:pPr>
              <w:tabs>
                <w:tab w:val="left" w:pos="0"/>
                <w:tab w:val="decimal" w:pos="1242"/>
              </w:tabs>
              <w:jc w:val="right"/>
              <w:rPr>
                <w:sz w:val="22"/>
              </w:rPr>
            </w:pPr>
            <w:r>
              <w:rPr>
                <w:sz w:val="22"/>
              </w:rPr>
              <w:t>$   15,390</w:t>
            </w:r>
          </w:p>
        </w:tc>
        <w:tc>
          <w:tcPr>
            <w:tcW w:w="1152" w:type="dxa"/>
          </w:tcPr>
          <w:p w14:paraId="43400B93" w14:textId="77777777" w:rsidR="00554459" w:rsidRPr="001527BB" w:rsidRDefault="00554459" w:rsidP="00495559">
            <w:pPr>
              <w:tabs>
                <w:tab w:val="left" w:pos="0"/>
                <w:tab w:val="decimal" w:pos="1242"/>
              </w:tabs>
              <w:jc w:val="right"/>
              <w:rPr>
                <w:sz w:val="22"/>
              </w:rPr>
            </w:pPr>
            <w:r>
              <w:rPr>
                <w:sz w:val="22"/>
              </w:rPr>
              <w:t>$   38,154</w:t>
            </w:r>
          </w:p>
        </w:tc>
      </w:tr>
      <w:tr w:rsidR="00554459" w14:paraId="0DCD648A" w14:textId="77777777" w:rsidTr="00495559">
        <w:trPr>
          <w:trHeight w:val="255"/>
        </w:trPr>
        <w:tc>
          <w:tcPr>
            <w:tcW w:w="4446" w:type="dxa"/>
          </w:tcPr>
          <w:p w14:paraId="703EA8CB" w14:textId="77777777" w:rsidR="00554459" w:rsidRPr="00D21633" w:rsidRDefault="00554459" w:rsidP="00495559">
            <w:pPr>
              <w:autoSpaceDE w:val="0"/>
              <w:autoSpaceDN w:val="0"/>
              <w:adjustRightInd w:val="0"/>
              <w:jc w:val="both"/>
              <w:rPr>
                <w:bCs/>
                <w:iCs/>
                <w:sz w:val="22"/>
                <w:szCs w:val="22"/>
              </w:rPr>
            </w:pPr>
            <w:r>
              <w:rPr>
                <w:bCs/>
                <w:iCs/>
                <w:sz w:val="22"/>
                <w:szCs w:val="22"/>
              </w:rPr>
              <w:t>Accrued liabilities</w:t>
            </w:r>
          </w:p>
        </w:tc>
        <w:tc>
          <w:tcPr>
            <w:tcW w:w="1260" w:type="dxa"/>
            <w:tcBorders>
              <w:bottom w:val="single" w:sz="4" w:space="0" w:color="auto"/>
            </w:tcBorders>
          </w:tcPr>
          <w:p w14:paraId="2EDE6F28" w14:textId="77777777" w:rsidR="00554459" w:rsidRPr="001527BB" w:rsidRDefault="00554459" w:rsidP="00495559">
            <w:pPr>
              <w:tabs>
                <w:tab w:val="left" w:pos="0"/>
                <w:tab w:val="decimal" w:pos="1242"/>
              </w:tabs>
              <w:jc w:val="right"/>
              <w:rPr>
                <w:sz w:val="22"/>
              </w:rPr>
            </w:pPr>
            <w:r>
              <w:rPr>
                <w:sz w:val="22"/>
              </w:rPr>
              <w:t>22,600</w:t>
            </w:r>
          </w:p>
        </w:tc>
        <w:tc>
          <w:tcPr>
            <w:tcW w:w="1152" w:type="dxa"/>
            <w:tcBorders>
              <w:bottom w:val="single" w:sz="4" w:space="0" w:color="auto"/>
            </w:tcBorders>
          </w:tcPr>
          <w:p w14:paraId="265B0B4E" w14:textId="77777777" w:rsidR="00554459" w:rsidRPr="001527BB" w:rsidRDefault="00554459" w:rsidP="00495559">
            <w:pPr>
              <w:tabs>
                <w:tab w:val="left" w:pos="0"/>
                <w:tab w:val="decimal" w:pos="1242"/>
              </w:tabs>
              <w:jc w:val="right"/>
              <w:rPr>
                <w:sz w:val="22"/>
              </w:rPr>
            </w:pPr>
            <w:r>
              <w:rPr>
                <w:sz w:val="22"/>
              </w:rPr>
              <w:t>22,600</w:t>
            </w:r>
          </w:p>
        </w:tc>
      </w:tr>
      <w:tr w:rsidR="00554459" w14:paraId="62370412" w14:textId="77777777" w:rsidTr="00495559">
        <w:trPr>
          <w:trHeight w:val="255"/>
        </w:trPr>
        <w:tc>
          <w:tcPr>
            <w:tcW w:w="4446" w:type="dxa"/>
          </w:tcPr>
          <w:p w14:paraId="1B96B443" w14:textId="77777777" w:rsidR="00554459" w:rsidRPr="009A0425" w:rsidRDefault="00554459" w:rsidP="00495559">
            <w:pPr>
              <w:tabs>
                <w:tab w:val="left" w:pos="1080"/>
              </w:tabs>
              <w:jc w:val="both"/>
              <w:rPr>
                <w:sz w:val="22"/>
              </w:rPr>
            </w:pPr>
            <w:r>
              <w:rPr>
                <w:sz w:val="22"/>
              </w:rPr>
              <w:t>Total accounts payable and accrued liabilities</w:t>
            </w:r>
          </w:p>
        </w:tc>
        <w:tc>
          <w:tcPr>
            <w:tcW w:w="1260" w:type="dxa"/>
            <w:tcBorders>
              <w:bottom w:val="double" w:sz="4" w:space="0" w:color="auto"/>
            </w:tcBorders>
          </w:tcPr>
          <w:p w14:paraId="7F8E35AB" w14:textId="77777777" w:rsidR="00554459" w:rsidRPr="001527BB" w:rsidRDefault="00554459" w:rsidP="00495559">
            <w:pPr>
              <w:tabs>
                <w:tab w:val="left" w:pos="0"/>
                <w:tab w:val="decimal" w:pos="1242"/>
              </w:tabs>
              <w:jc w:val="right"/>
              <w:rPr>
                <w:sz w:val="22"/>
              </w:rPr>
            </w:pPr>
            <w:r>
              <w:rPr>
                <w:sz w:val="22"/>
              </w:rPr>
              <w:t>$   37,990</w:t>
            </w:r>
          </w:p>
        </w:tc>
        <w:tc>
          <w:tcPr>
            <w:tcW w:w="1152" w:type="dxa"/>
            <w:tcBorders>
              <w:top w:val="single" w:sz="4" w:space="0" w:color="auto"/>
              <w:bottom w:val="double" w:sz="4" w:space="0" w:color="auto"/>
            </w:tcBorders>
          </w:tcPr>
          <w:p w14:paraId="0DADDE54" w14:textId="77777777" w:rsidR="00554459" w:rsidRPr="001527BB" w:rsidRDefault="00554459" w:rsidP="00495559">
            <w:pPr>
              <w:tabs>
                <w:tab w:val="left" w:pos="0"/>
                <w:tab w:val="decimal" w:pos="1242"/>
              </w:tabs>
              <w:jc w:val="right"/>
              <w:rPr>
                <w:sz w:val="22"/>
              </w:rPr>
            </w:pPr>
            <w:r>
              <w:rPr>
                <w:sz w:val="22"/>
              </w:rPr>
              <w:t>$   60,754</w:t>
            </w:r>
          </w:p>
        </w:tc>
      </w:tr>
    </w:tbl>
    <w:p w14:paraId="73A41248" w14:textId="77777777" w:rsidR="00554459" w:rsidRDefault="00554459" w:rsidP="00554459">
      <w:pPr>
        <w:pStyle w:val="Header"/>
        <w:tabs>
          <w:tab w:val="clear" w:pos="4320"/>
          <w:tab w:val="clear" w:pos="8640"/>
          <w:tab w:val="left" w:pos="1100"/>
        </w:tabs>
        <w:ind w:left="360"/>
        <w:rPr>
          <w:sz w:val="22"/>
          <w:szCs w:val="22"/>
          <w:lang w:val="en-CA"/>
        </w:rPr>
      </w:pPr>
    </w:p>
    <w:p w14:paraId="785E5C00" w14:textId="77777777" w:rsidR="00554459" w:rsidRDefault="00554459" w:rsidP="00554459">
      <w:pPr>
        <w:pStyle w:val="Header"/>
        <w:tabs>
          <w:tab w:val="clear" w:pos="4320"/>
          <w:tab w:val="clear" w:pos="8640"/>
          <w:tab w:val="left" w:pos="1100"/>
        </w:tabs>
        <w:ind w:left="1100"/>
        <w:jc w:val="both"/>
        <w:rPr>
          <w:sz w:val="22"/>
          <w:szCs w:val="22"/>
          <w:lang w:val="en-CA"/>
        </w:rPr>
      </w:pPr>
      <w:r>
        <w:rPr>
          <w:sz w:val="22"/>
          <w:szCs w:val="22"/>
          <w:lang w:val="en-CA"/>
        </w:rPr>
        <w:t>All amounts are short-term.  The carrying value of trade payables and accrued liabilities is considered a reasonable approximation of fair value due to the short-term nature of these instruments.</w:t>
      </w:r>
    </w:p>
    <w:p w14:paraId="56FC51FA" w14:textId="77777777" w:rsidR="00554459" w:rsidRPr="00E354F1" w:rsidRDefault="00554459" w:rsidP="00554459">
      <w:pPr>
        <w:pStyle w:val="Header"/>
        <w:tabs>
          <w:tab w:val="clear" w:pos="4320"/>
          <w:tab w:val="clear" w:pos="8640"/>
          <w:tab w:val="left" w:pos="1100"/>
        </w:tabs>
        <w:ind w:left="1094"/>
        <w:jc w:val="both"/>
        <w:rPr>
          <w:sz w:val="22"/>
          <w:szCs w:val="22"/>
        </w:rPr>
      </w:pPr>
    </w:p>
    <w:p w14:paraId="28E1C5E7" w14:textId="77777777" w:rsidR="00554459" w:rsidRPr="00E354F1" w:rsidRDefault="00554459" w:rsidP="00367723">
      <w:pPr>
        <w:pStyle w:val="Header"/>
        <w:numPr>
          <w:ilvl w:val="0"/>
          <w:numId w:val="17"/>
        </w:numPr>
        <w:tabs>
          <w:tab w:val="clear" w:pos="4320"/>
          <w:tab w:val="clear" w:pos="8640"/>
          <w:tab w:val="left" w:pos="1100"/>
        </w:tabs>
        <w:ind w:left="1440" w:hanging="1080"/>
        <w:jc w:val="both"/>
        <w:rPr>
          <w:b/>
          <w:sz w:val="22"/>
          <w:lang w:val="en-CA"/>
        </w:rPr>
      </w:pPr>
      <w:r w:rsidRPr="00E354F1">
        <w:rPr>
          <w:b/>
          <w:sz w:val="22"/>
          <w:lang w:val="en-CA"/>
        </w:rPr>
        <w:t>SHARE CAPITAL AND RESERVES</w:t>
      </w:r>
    </w:p>
    <w:p w14:paraId="7871FFD6" w14:textId="77777777" w:rsidR="00554459" w:rsidRPr="00E354F1" w:rsidRDefault="00554459" w:rsidP="00554459">
      <w:pPr>
        <w:pStyle w:val="Header"/>
        <w:tabs>
          <w:tab w:val="clear" w:pos="4320"/>
          <w:tab w:val="clear" w:pos="8640"/>
          <w:tab w:val="left" w:pos="1100"/>
        </w:tabs>
        <w:ind w:left="1134"/>
        <w:jc w:val="both"/>
        <w:rPr>
          <w:sz w:val="22"/>
          <w:lang w:val="en-CA"/>
        </w:rPr>
      </w:pPr>
    </w:p>
    <w:p w14:paraId="4870BB8A" w14:textId="77777777" w:rsidR="00554459" w:rsidRPr="00E354F1" w:rsidRDefault="00554459" w:rsidP="00554459">
      <w:pPr>
        <w:pStyle w:val="Header"/>
        <w:tabs>
          <w:tab w:val="clear" w:pos="4320"/>
          <w:tab w:val="clear" w:pos="8640"/>
          <w:tab w:val="left" w:pos="1100"/>
        </w:tabs>
        <w:ind w:left="1134"/>
        <w:jc w:val="both"/>
        <w:rPr>
          <w:sz w:val="22"/>
          <w:szCs w:val="22"/>
          <w:lang w:val="en-CA"/>
        </w:rPr>
      </w:pPr>
      <w:r w:rsidRPr="00E354F1">
        <w:rPr>
          <w:b/>
          <w:sz w:val="22"/>
          <w:szCs w:val="22"/>
          <w:lang w:val="en-CA"/>
        </w:rPr>
        <w:t xml:space="preserve">Authorized: </w:t>
      </w:r>
      <w:r w:rsidRPr="00E354F1">
        <w:rPr>
          <w:b/>
          <w:sz w:val="22"/>
          <w:szCs w:val="22"/>
          <w:lang w:val="en-CA"/>
        </w:rPr>
        <w:tab/>
      </w:r>
      <w:r w:rsidRPr="00E354F1">
        <w:rPr>
          <w:sz w:val="22"/>
          <w:szCs w:val="22"/>
          <w:lang w:val="en-CA"/>
        </w:rPr>
        <w:t>An unlimited number of common shares, without par value</w:t>
      </w:r>
    </w:p>
    <w:p w14:paraId="27D76E48" w14:textId="77777777" w:rsidR="00554459" w:rsidRPr="00E354F1" w:rsidRDefault="00554459" w:rsidP="00554459">
      <w:pPr>
        <w:pStyle w:val="Header"/>
        <w:tabs>
          <w:tab w:val="clear" w:pos="4320"/>
          <w:tab w:val="clear" w:pos="8640"/>
          <w:tab w:val="left" w:pos="1100"/>
        </w:tabs>
        <w:ind w:left="1460"/>
        <w:jc w:val="both"/>
        <w:rPr>
          <w:b/>
          <w:sz w:val="22"/>
          <w:szCs w:val="22"/>
          <w:lang w:val="en-CA"/>
        </w:rPr>
      </w:pPr>
    </w:p>
    <w:p w14:paraId="0EAE8F22" w14:textId="77777777" w:rsidR="00554459" w:rsidRPr="00E354F1" w:rsidRDefault="00554459" w:rsidP="00367723">
      <w:pPr>
        <w:pStyle w:val="Header"/>
        <w:numPr>
          <w:ilvl w:val="0"/>
          <w:numId w:val="11"/>
        </w:numPr>
        <w:tabs>
          <w:tab w:val="clear" w:pos="4320"/>
          <w:tab w:val="clear" w:pos="8640"/>
          <w:tab w:val="left" w:pos="1100"/>
        </w:tabs>
        <w:jc w:val="both"/>
        <w:rPr>
          <w:b/>
          <w:sz w:val="22"/>
          <w:szCs w:val="22"/>
          <w:lang w:val="en-CA"/>
        </w:rPr>
      </w:pPr>
      <w:r w:rsidRPr="00E354F1">
        <w:rPr>
          <w:b/>
          <w:sz w:val="22"/>
          <w:szCs w:val="22"/>
          <w:lang w:val="en-CA"/>
        </w:rPr>
        <w:t>Private placements</w:t>
      </w:r>
    </w:p>
    <w:p w14:paraId="59B5D00F" w14:textId="77777777" w:rsidR="00554459" w:rsidRPr="00E354F1" w:rsidRDefault="00554459" w:rsidP="00554459">
      <w:pPr>
        <w:pStyle w:val="Header"/>
        <w:tabs>
          <w:tab w:val="clear" w:pos="4320"/>
          <w:tab w:val="clear" w:pos="8640"/>
          <w:tab w:val="left" w:pos="1100"/>
        </w:tabs>
        <w:ind w:left="1460"/>
        <w:jc w:val="both"/>
        <w:rPr>
          <w:sz w:val="22"/>
          <w:szCs w:val="22"/>
          <w:lang w:val="en-CA"/>
        </w:rPr>
      </w:pPr>
    </w:p>
    <w:p w14:paraId="2EFBBEF2" w14:textId="77777777" w:rsidR="00554459" w:rsidRPr="00E354F1" w:rsidRDefault="00554459" w:rsidP="00554459">
      <w:pPr>
        <w:pStyle w:val="Header"/>
        <w:tabs>
          <w:tab w:val="clear" w:pos="4320"/>
          <w:tab w:val="clear" w:pos="8640"/>
          <w:tab w:val="left" w:pos="1100"/>
        </w:tabs>
        <w:ind w:left="1460"/>
        <w:jc w:val="both"/>
        <w:rPr>
          <w:sz w:val="22"/>
          <w:szCs w:val="22"/>
        </w:rPr>
      </w:pPr>
      <w:r w:rsidRPr="00E354F1">
        <w:rPr>
          <w:sz w:val="22"/>
          <w:szCs w:val="22"/>
          <w:lang w:val="en-CA"/>
        </w:rPr>
        <w:t xml:space="preserve">The Company did not close any private placements during the </w:t>
      </w:r>
      <w:r>
        <w:rPr>
          <w:sz w:val="22"/>
          <w:szCs w:val="22"/>
          <w:lang w:val="en-CA"/>
        </w:rPr>
        <w:t>th</w:t>
      </w:r>
      <w:r w:rsidRPr="00E354F1">
        <w:rPr>
          <w:sz w:val="22"/>
          <w:szCs w:val="22"/>
          <w:lang w:val="en-CA"/>
        </w:rPr>
        <w:t>r</w:t>
      </w:r>
      <w:r>
        <w:rPr>
          <w:sz w:val="22"/>
          <w:szCs w:val="22"/>
          <w:lang w:val="en-CA"/>
        </w:rPr>
        <w:t>ee months</w:t>
      </w:r>
      <w:r w:rsidRPr="00E354F1">
        <w:rPr>
          <w:sz w:val="22"/>
          <w:szCs w:val="22"/>
          <w:lang w:val="en-CA"/>
        </w:rPr>
        <w:t xml:space="preserve"> ended </w:t>
      </w:r>
      <w:r>
        <w:rPr>
          <w:sz w:val="22"/>
          <w:szCs w:val="22"/>
          <w:lang w:val="en-CA"/>
        </w:rPr>
        <w:t>October</w:t>
      </w:r>
      <w:r w:rsidRPr="00E354F1">
        <w:rPr>
          <w:sz w:val="22"/>
          <w:szCs w:val="22"/>
          <w:lang w:val="en-CA"/>
        </w:rPr>
        <w:t xml:space="preserve"> 31, 2019</w:t>
      </w:r>
      <w:r>
        <w:rPr>
          <w:sz w:val="22"/>
          <w:szCs w:val="22"/>
          <w:lang w:val="en-CA"/>
        </w:rPr>
        <w:t xml:space="preserve"> and 2018</w:t>
      </w:r>
      <w:r w:rsidRPr="00E354F1">
        <w:rPr>
          <w:sz w:val="22"/>
          <w:szCs w:val="22"/>
        </w:rPr>
        <w:t xml:space="preserve">. </w:t>
      </w:r>
    </w:p>
    <w:p w14:paraId="72285058" w14:textId="77777777" w:rsidR="00F12BD7" w:rsidRDefault="00F12BD7">
      <w:pPr>
        <w:rPr>
          <w:sz w:val="22"/>
          <w:szCs w:val="22"/>
        </w:rPr>
        <w:sectPr w:rsidR="00F12BD7">
          <w:headerReference w:type="default" r:id="rId20"/>
          <w:pgSz w:w="12240" w:h="15840" w:code="1"/>
          <w:pgMar w:top="1440" w:right="1440" w:bottom="1440" w:left="1440" w:header="720" w:footer="936" w:gutter="0"/>
          <w:pgNumType w:start="1"/>
          <w:cols w:space="720"/>
        </w:sectPr>
      </w:pPr>
      <w:r>
        <w:rPr>
          <w:sz w:val="22"/>
          <w:szCs w:val="22"/>
        </w:rPr>
        <w:br w:type="page"/>
      </w:r>
    </w:p>
    <w:p w14:paraId="431BA461" w14:textId="77777777" w:rsidR="00554459" w:rsidRDefault="00554459" w:rsidP="00367723">
      <w:pPr>
        <w:pStyle w:val="Header"/>
        <w:numPr>
          <w:ilvl w:val="0"/>
          <w:numId w:val="18"/>
        </w:numPr>
        <w:tabs>
          <w:tab w:val="clear" w:pos="4320"/>
          <w:tab w:val="clear" w:pos="8640"/>
          <w:tab w:val="left" w:pos="1100"/>
        </w:tabs>
        <w:ind w:left="1440" w:hanging="1080"/>
        <w:jc w:val="both"/>
        <w:rPr>
          <w:b/>
          <w:sz w:val="22"/>
          <w:lang w:val="en-CA"/>
        </w:rPr>
      </w:pPr>
      <w:r>
        <w:rPr>
          <w:b/>
          <w:sz w:val="22"/>
          <w:lang w:val="en-CA"/>
        </w:rPr>
        <w:lastRenderedPageBreak/>
        <w:t>SHARE CAPITAL AND RESERVES (continued)</w:t>
      </w:r>
    </w:p>
    <w:p w14:paraId="167DE4A6" w14:textId="77777777" w:rsidR="00554459" w:rsidRPr="00E354F1" w:rsidRDefault="00554459" w:rsidP="00554459">
      <w:pPr>
        <w:pStyle w:val="Header"/>
        <w:tabs>
          <w:tab w:val="clear" w:pos="4320"/>
          <w:tab w:val="clear" w:pos="8640"/>
          <w:tab w:val="left" w:pos="1100"/>
        </w:tabs>
        <w:ind w:left="1460"/>
        <w:jc w:val="both"/>
        <w:rPr>
          <w:b/>
          <w:sz w:val="22"/>
          <w:szCs w:val="22"/>
          <w:lang w:val="en-CA"/>
        </w:rPr>
      </w:pPr>
    </w:p>
    <w:p w14:paraId="76B96BC0" w14:textId="77777777" w:rsidR="00554459" w:rsidRDefault="00554459" w:rsidP="00367723">
      <w:pPr>
        <w:pStyle w:val="Header"/>
        <w:numPr>
          <w:ilvl w:val="0"/>
          <w:numId w:val="12"/>
        </w:numPr>
        <w:tabs>
          <w:tab w:val="clear" w:pos="4320"/>
          <w:tab w:val="clear" w:pos="8640"/>
          <w:tab w:val="left" w:pos="1100"/>
        </w:tabs>
        <w:jc w:val="both"/>
        <w:rPr>
          <w:b/>
          <w:sz w:val="22"/>
          <w:szCs w:val="22"/>
          <w:lang w:val="en-CA"/>
        </w:rPr>
      </w:pPr>
      <w:r>
        <w:rPr>
          <w:b/>
          <w:sz w:val="22"/>
          <w:szCs w:val="22"/>
          <w:lang w:val="en-CA"/>
        </w:rPr>
        <w:t>Share purchase warrants</w:t>
      </w:r>
    </w:p>
    <w:p w14:paraId="42678E79" w14:textId="77777777" w:rsidR="00554459" w:rsidRDefault="00554459" w:rsidP="00554459">
      <w:pPr>
        <w:pStyle w:val="Header"/>
        <w:tabs>
          <w:tab w:val="clear" w:pos="4320"/>
          <w:tab w:val="clear" w:pos="8640"/>
          <w:tab w:val="left" w:pos="1100"/>
        </w:tabs>
        <w:ind w:left="1440"/>
        <w:jc w:val="both"/>
        <w:rPr>
          <w:sz w:val="22"/>
          <w:szCs w:val="22"/>
          <w:lang w:val="en-CA"/>
        </w:rPr>
      </w:pPr>
    </w:p>
    <w:p w14:paraId="19D19D30" w14:textId="77777777" w:rsidR="00554459" w:rsidRPr="00F04282" w:rsidRDefault="00554459" w:rsidP="00554459">
      <w:pPr>
        <w:pStyle w:val="Header"/>
        <w:tabs>
          <w:tab w:val="clear" w:pos="4320"/>
          <w:tab w:val="clear" w:pos="8640"/>
          <w:tab w:val="left" w:pos="1100"/>
        </w:tabs>
        <w:ind w:left="1440"/>
        <w:jc w:val="both"/>
        <w:rPr>
          <w:sz w:val="22"/>
          <w:szCs w:val="22"/>
          <w:lang w:val="en-CA"/>
        </w:rPr>
      </w:pPr>
      <w:r w:rsidRPr="001F19B7">
        <w:rPr>
          <w:sz w:val="22"/>
          <w:szCs w:val="22"/>
          <w:lang w:val="en-CA"/>
        </w:rPr>
        <w:t>The following is a summary of changes in share purchase warrants from July 31, 201</w:t>
      </w:r>
      <w:r>
        <w:rPr>
          <w:sz w:val="22"/>
          <w:szCs w:val="22"/>
          <w:lang w:val="en-CA"/>
        </w:rPr>
        <w:t>8</w:t>
      </w:r>
      <w:r w:rsidRPr="001F19B7">
        <w:rPr>
          <w:sz w:val="22"/>
          <w:szCs w:val="22"/>
          <w:lang w:val="en-CA"/>
        </w:rPr>
        <w:t xml:space="preserve"> to </w:t>
      </w:r>
      <w:r>
        <w:rPr>
          <w:sz w:val="22"/>
          <w:szCs w:val="22"/>
        </w:rPr>
        <w:t>October</w:t>
      </w:r>
      <w:r w:rsidRPr="00F04282">
        <w:rPr>
          <w:sz w:val="22"/>
          <w:szCs w:val="22"/>
        </w:rPr>
        <w:t xml:space="preserve"> 31, 2019</w:t>
      </w:r>
      <w:r w:rsidRPr="00F04282">
        <w:rPr>
          <w:sz w:val="22"/>
          <w:szCs w:val="22"/>
          <w:lang w:val="en-CA"/>
        </w:rPr>
        <w:t>:</w:t>
      </w:r>
    </w:p>
    <w:tbl>
      <w:tblPr>
        <w:tblW w:w="8010" w:type="dxa"/>
        <w:tblInd w:w="1278" w:type="dxa"/>
        <w:tblLook w:val="00A0" w:firstRow="1" w:lastRow="0" w:firstColumn="1" w:lastColumn="0" w:noHBand="0" w:noVBand="0"/>
      </w:tblPr>
      <w:tblGrid>
        <w:gridCol w:w="4217"/>
        <w:gridCol w:w="1858"/>
        <w:gridCol w:w="1935"/>
      </w:tblGrid>
      <w:tr w:rsidR="00554459" w:rsidRPr="00F04282" w14:paraId="35154A55" w14:textId="77777777" w:rsidTr="00495559">
        <w:tc>
          <w:tcPr>
            <w:tcW w:w="4217" w:type="dxa"/>
          </w:tcPr>
          <w:p w14:paraId="1987FD20" w14:textId="77777777" w:rsidR="00554459" w:rsidRPr="00F04282" w:rsidRDefault="00554459" w:rsidP="00495559">
            <w:pPr>
              <w:tabs>
                <w:tab w:val="left" w:pos="1440"/>
              </w:tabs>
              <w:rPr>
                <w:sz w:val="22"/>
                <w:szCs w:val="22"/>
              </w:rPr>
            </w:pPr>
          </w:p>
        </w:tc>
        <w:tc>
          <w:tcPr>
            <w:tcW w:w="1858" w:type="dxa"/>
          </w:tcPr>
          <w:p w14:paraId="1106816E" w14:textId="77777777" w:rsidR="00554459" w:rsidRPr="00F04282" w:rsidRDefault="00554459" w:rsidP="00495559">
            <w:pPr>
              <w:pStyle w:val="Pages"/>
              <w:tabs>
                <w:tab w:val="left" w:pos="1440"/>
              </w:tabs>
              <w:spacing w:after="0"/>
              <w:jc w:val="right"/>
              <w:rPr>
                <w:rFonts w:ascii="Times New Roman" w:hAnsi="Times New Roman"/>
                <w:szCs w:val="22"/>
                <w:lang w:val="en-GB"/>
              </w:rPr>
            </w:pPr>
          </w:p>
        </w:tc>
        <w:tc>
          <w:tcPr>
            <w:tcW w:w="1935" w:type="dxa"/>
          </w:tcPr>
          <w:p w14:paraId="41A01368" w14:textId="77777777" w:rsidR="00554459" w:rsidRPr="00F04282" w:rsidRDefault="00554459" w:rsidP="00495559">
            <w:pPr>
              <w:tabs>
                <w:tab w:val="left" w:pos="1440"/>
              </w:tabs>
              <w:jc w:val="right"/>
              <w:rPr>
                <w:sz w:val="22"/>
                <w:szCs w:val="22"/>
              </w:rPr>
            </w:pPr>
            <w:r w:rsidRPr="00F04282">
              <w:rPr>
                <w:sz w:val="22"/>
                <w:szCs w:val="22"/>
              </w:rPr>
              <w:t>Weighted Average</w:t>
            </w:r>
          </w:p>
        </w:tc>
      </w:tr>
      <w:tr w:rsidR="00554459" w:rsidRPr="00F04282" w14:paraId="58F006FD" w14:textId="77777777" w:rsidTr="00495559">
        <w:tc>
          <w:tcPr>
            <w:tcW w:w="4217" w:type="dxa"/>
          </w:tcPr>
          <w:p w14:paraId="0CD178A5" w14:textId="77777777" w:rsidR="00554459" w:rsidRPr="00F04282" w:rsidRDefault="00554459" w:rsidP="00495559">
            <w:pPr>
              <w:tabs>
                <w:tab w:val="left" w:pos="1440"/>
              </w:tabs>
              <w:rPr>
                <w:sz w:val="22"/>
                <w:szCs w:val="22"/>
              </w:rPr>
            </w:pPr>
          </w:p>
        </w:tc>
        <w:tc>
          <w:tcPr>
            <w:tcW w:w="1858" w:type="dxa"/>
          </w:tcPr>
          <w:p w14:paraId="5B0E1CA5" w14:textId="77777777" w:rsidR="00554459" w:rsidRPr="00F04282" w:rsidRDefault="00554459" w:rsidP="00495559">
            <w:pPr>
              <w:tabs>
                <w:tab w:val="left" w:pos="1440"/>
              </w:tabs>
              <w:jc w:val="right"/>
              <w:rPr>
                <w:sz w:val="22"/>
                <w:szCs w:val="22"/>
                <w:u w:val="single"/>
              </w:rPr>
            </w:pPr>
            <w:r w:rsidRPr="00F04282">
              <w:rPr>
                <w:sz w:val="22"/>
                <w:szCs w:val="22"/>
                <w:u w:val="single"/>
              </w:rPr>
              <w:t>Number</w:t>
            </w:r>
          </w:p>
        </w:tc>
        <w:tc>
          <w:tcPr>
            <w:tcW w:w="1935" w:type="dxa"/>
          </w:tcPr>
          <w:p w14:paraId="476DC374" w14:textId="77777777" w:rsidR="00554459" w:rsidRPr="00F04282" w:rsidRDefault="00554459" w:rsidP="00495559">
            <w:pPr>
              <w:tabs>
                <w:tab w:val="left" w:pos="1440"/>
              </w:tabs>
              <w:jc w:val="right"/>
              <w:rPr>
                <w:sz w:val="22"/>
                <w:szCs w:val="22"/>
                <w:u w:val="single"/>
              </w:rPr>
            </w:pPr>
            <w:r w:rsidRPr="00F04282">
              <w:rPr>
                <w:sz w:val="22"/>
                <w:szCs w:val="22"/>
                <w:u w:val="single"/>
              </w:rPr>
              <w:t>Exercise Price</w:t>
            </w:r>
          </w:p>
        </w:tc>
      </w:tr>
      <w:tr w:rsidR="00554459" w:rsidRPr="00F04282" w14:paraId="14502F94" w14:textId="77777777" w:rsidTr="00495559">
        <w:tc>
          <w:tcPr>
            <w:tcW w:w="4217" w:type="dxa"/>
          </w:tcPr>
          <w:p w14:paraId="0B490D8D" w14:textId="77777777" w:rsidR="00554459" w:rsidRPr="00F04282" w:rsidRDefault="00554459" w:rsidP="00495559">
            <w:pPr>
              <w:tabs>
                <w:tab w:val="left" w:pos="1440"/>
              </w:tabs>
              <w:rPr>
                <w:sz w:val="22"/>
                <w:szCs w:val="22"/>
              </w:rPr>
            </w:pPr>
          </w:p>
        </w:tc>
        <w:tc>
          <w:tcPr>
            <w:tcW w:w="1858" w:type="dxa"/>
            <w:tcBorders>
              <w:right w:val="nil"/>
            </w:tcBorders>
          </w:tcPr>
          <w:p w14:paraId="0C999472" w14:textId="77777777" w:rsidR="00554459" w:rsidRPr="00F04282" w:rsidRDefault="00554459" w:rsidP="00495559">
            <w:pPr>
              <w:pStyle w:val="Pages"/>
              <w:tabs>
                <w:tab w:val="left" w:pos="-18"/>
                <w:tab w:val="decimal" w:pos="1512"/>
              </w:tabs>
              <w:spacing w:after="0"/>
              <w:jc w:val="right"/>
              <w:rPr>
                <w:rFonts w:ascii="Times New Roman" w:hAnsi="Times New Roman"/>
                <w:szCs w:val="22"/>
                <w:lang w:val="en-GB"/>
              </w:rPr>
            </w:pPr>
          </w:p>
        </w:tc>
        <w:tc>
          <w:tcPr>
            <w:tcW w:w="1935" w:type="dxa"/>
            <w:tcBorders>
              <w:top w:val="nil"/>
              <w:left w:val="nil"/>
              <w:bottom w:val="nil"/>
              <w:right w:val="nil"/>
            </w:tcBorders>
          </w:tcPr>
          <w:p w14:paraId="7AE0920E" w14:textId="77777777" w:rsidR="00554459" w:rsidRPr="00F04282" w:rsidRDefault="00554459" w:rsidP="00495559">
            <w:pPr>
              <w:jc w:val="right"/>
              <w:rPr>
                <w:sz w:val="22"/>
                <w:szCs w:val="22"/>
              </w:rPr>
            </w:pPr>
          </w:p>
        </w:tc>
      </w:tr>
      <w:tr w:rsidR="00554459" w:rsidRPr="00F04282" w14:paraId="348A2CD5" w14:textId="77777777" w:rsidTr="00495559">
        <w:tc>
          <w:tcPr>
            <w:tcW w:w="4217" w:type="dxa"/>
          </w:tcPr>
          <w:p w14:paraId="633E0A6B" w14:textId="77777777" w:rsidR="00554459" w:rsidRPr="00F04282" w:rsidRDefault="00554459" w:rsidP="00495559">
            <w:pPr>
              <w:tabs>
                <w:tab w:val="left" w:pos="1440"/>
              </w:tabs>
              <w:rPr>
                <w:sz w:val="22"/>
                <w:szCs w:val="22"/>
              </w:rPr>
            </w:pPr>
            <w:r w:rsidRPr="00F04282">
              <w:rPr>
                <w:sz w:val="22"/>
                <w:szCs w:val="22"/>
              </w:rPr>
              <w:t>Balance, July 31, 2018 and 2019</w:t>
            </w:r>
          </w:p>
        </w:tc>
        <w:tc>
          <w:tcPr>
            <w:tcW w:w="1858" w:type="dxa"/>
            <w:tcBorders>
              <w:right w:val="nil"/>
            </w:tcBorders>
          </w:tcPr>
          <w:p w14:paraId="5E2299EA" w14:textId="77777777" w:rsidR="00554459" w:rsidRPr="00F04282" w:rsidRDefault="00554459" w:rsidP="00495559">
            <w:pPr>
              <w:pStyle w:val="Pages"/>
              <w:tabs>
                <w:tab w:val="left" w:pos="-18"/>
                <w:tab w:val="decimal" w:pos="1512"/>
              </w:tabs>
              <w:spacing w:after="0"/>
              <w:jc w:val="right"/>
              <w:rPr>
                <w:rFonts w:ascii="Times New Roman" w:hAnsi="Times New Roman"/>
                <w:szCs w:val="22"/>
                <w:lang w:val="en-GB"/>
              </w:rPr>
            </w:pPr>
            <w:r w:rsidRPr="00F04282">
              <w:rPr>
                <w:rFonts w:ascii="Times New Roman" w:hAnsi="Times New Roman"/>
                <w:szCs w:val="22"/>
                <w:lang w:val="en-GB"/>
              </w:rPr>
              <w:tab/>
              <w:t>17,171,848</w:t>
            </w:r>
          </w:p>
        </w:tc>
        <w:tc>
          <w:tcPr>
            <w:tcW w:w="1935" w:type="dxa"/>
            <w:tcBorders>
              <w:top w:val="nil"/>
              <w:left w:val="nil"/>
              <w:bottom w:val="nil"/>
              <w:right w:val="nil"/>
            </w:tcBorders>
          </w:tcPr>
          <w:p w14:paraId="70778730" w14:textId="77777777" w:rsidR="00554459" w:rsidRPr="00F04282" w:rsidRDefault="00554459" w:rsidP="00495559">
            <w:pPr>
              <w:jc w:val="right"/>
              <w:rPr>
                <w:sz w:val="22"/>
                <w:szCs w:val="22"/>
              </w:rPr>
            </w:pPr>
            <w:r w:rsidRPr="00F04282">
              <w:rPr>
                <w:sz w:val="22"/>
                <w:szCs w:val="22"/>
              </w:rPr>
              <w:t>$0.20</w:t>
            </w:r>
          </w:p>
        </w:tc>
      </w:tr>
      <w:tr w:rsidR="00554459" w:rsidRPr="00F04282" w14:paraId="738449BA" w14:textId="77777777" w:rsidTr="00495559">
        <w:tc>
          <w:tcPr>
            <w:tcW w:w="4217" w:type="dxa"/>
          </w:tcPr>
          <w:p w14:paraId="33E6AC8A" w14:textId="77777777" w:rsidR="00554459" w:rsidRPr="00F04282" w:rsidRDefault="00554459" w:rsidP="00495559">
            <w:pPr>
              <w:tabs>
                <w:tab w:val="left" w:pos="1440"/>
              </w:tabs>
              <w:rPr>
                <w:sz w:val="22"/>
                <w:szCs w:val="22"/>
              </w:rPr>
            </w:pPr>
            <w:r w:rsidRPr="00F04282">
              <w:rPr>
                <w:sz w:val="22"/>
                <w:szCs w:val="22"/>
              </w:rPr>
              <w:t>Expired</w:t>
            </w:r>
          </w:p>
        </w:tc>
        <w:tc>
          <w:tcPr>
            <w:tcW w:w="1858" w:type="dxa"/>
            <w:tcBorders>
              <w:bottom w:val="single" w:sz="4" w:space="0" w:color="auto"/>
              <w:right w:val="nil"/>
            </w:tcBorders>
          </w:tcPr>
          <w:p w14:paraId="3375F6B6" w14:textId="77777777" w:rsidR="00554459" w:rsidRPr="00F04282" w:rsidRDefault="00554459" w:rsidP="00495559">
            <w:pPr>
              <w:pStyle w:val="Pages"/>
              <w:tabs>
                <w:tab w:val="left" w:pos="-18"/>
                <w:tab w:val="decimal" w:pos="1512"/>
              </w:tabs>
              <w:spacing w:after="0"/>
              <w:jc w:val="right"/>
              <w:rPr>
                <w:rFonts w:ascii="Times New Roman" w:hAnsi="Times New Roman"/>
                <w:szCs w:val="22"/>
                <w:lang w:val="en-GB"/>
              </w:rPr>
            </w:pPr>
            <w:r w:rsidRPr="00F04282">
              <w:rPr>
                <w:rFonts w:ascii="Times New Roman" w:hAnsi="Times New Roman"/>
                <w:szCs w:val="22"/>
                <w:lang w:val="en-GB"/>
              </w:rPr>
              <w:tab/>
              <w:t>(</w:t>
            </w:r>
            <w:r>
              <w:rPr>
                <w:rFonts w:ascii="Times New Roman" w:hAnsi="Times New Roman"/>
                <w:szCs w:val="22"/>
                <w:lang w:val="en-GB"/>
              </w:rPr>
              <w:t>4,793,265</w:t>
            </w:r>
            <w:r w:rsidRPr="00F04282">
              <w:rPr>
                <w:rFonts w:ascii="Times New Roman" w:hAnsi="Times New Roman"/>
                <w:szCs w:val="22"/>
                <w:lang w:val="en-GB"/>
              </w:rPr>
              <w:t>)</w:t>
            </w:r>
          </w:p>
        </w:tc>
        <w:tc>
          <w:tcPr>
            <w:tcW w:w="1935" w:type="dxa"/>
            <w:tcBorders>
              <w:top w:val="nil"/>
              <w:left w:val="nil"/>
              <w:bottom w:val="nil"/>
              <w:right w:val="nil"/>
            </w:tcBorders>
          </w:tcPr>
          <w:p w14:paraId="4F867005" w14:textId="77777777" w:rsidR="00554459" w:rsidRPr="00F04282" w:rsidRDefault="00554459" w:rsidP="00495559">
            <w:pPr>
              <w:jc w:val="right"/>
              <w:rPr>
                <w:sz w:val="22"/>
                <w:szCs w:val="22"/>
              </w:rPr>
            </w:pPr>
            <w:r w:rsidRPr="00F04282">
              <w:rPr>
                <w:sz w:val="22"/>
                <w:szCs w:val="22"/>
              </w:rPr>
              <w:t>$</w:t>
            </w:r>
            <w:r>
              <w:rPr>
                <w:sz w:val="22"/>
                <w:szCs w:val="22"/>
              </w:rPr>
              <w:t>0.15</w:t>
            </w:r>
          </w:p>
        </w:tc>
      </w:tr>
      <w:tr w:rsidR="00554459" w:rsidRPr="00F04282" w14:paraId="66DE4A1D" w14:textId="77777777" w:rsidTr="00495559">
        <w:tc>
          <w:tcPr>
            <w:tcW w:w="4217" w:type="dxa"/>
            <w:tcBorders>
              <w:top w:val="nil"/>
              <w:left w:val="nil"/>
              <w:bottom w:val="nil"/>
              <w:right w:val="nil"/>
            </w:tcBorders>
          </w:tcPr>
          <w:p w14:paraId="350D6393" w14:textId="77777777" w:rsidR="00554459" w:rsidRPr="00F04282" w:rsidRDefault="00554459" w:rsidP="00495559">
            <w:pPr>
              <w:tabs>
                <w:tab w:val="left" w:pos="1440"/>
              </w:tabs>
              <w:rPr>
                <w:sz w:val="16"/>
                <w:szCs w:val="16"/>
              </w:rPr>
            </w:pPr>
          </w:p>
        </w:tc>
        <w:tc>
          <w:tcPr>
            <w:tcW w:w="1858" w:type="dxa"/>
            <w:tcBorders>
              <w:top w:val="single" w:sz="4" w:space="0" w:color="auto"/>
              <w:left w:val="nil"/>
              <w:right w:val="nil"/>
            </w:tcBorders>
          </w:tcPr>
          <w:p w14:paraId="5DB1D3BF" w14:textId="77777777" w:rsidR="00554459" w:rsidRPr="00F04282" w:rsidRDefault="00554459" w:rsidP="00495559">
            <w:pPr>
              <w:pStyle w:val="Pages"/>
              <w:tabs>
                <w:tab w:val="left" w:pos="-18"/>
                <w:tab w:val="decimal" w:pos="1512"/>
              </w:tabs>
              <w:spacing w:after="0"/>
              <w:jc w:val="right"/>
              <w:rPr>
                <w:rFonts w:ascii="Times New Roman" w:hAnsi="Times New Roman"/>
                <w:sz w:val="16"/>
                <w:szCs w:val="16"/>
                <w:lang w:val="en-GB"/>
              </w:rPr>
            </w:pPr>
          </w:p>
        </w:tc>
        <w:tc>
          <w:tcPr>
            <w:tcW w:w="1935" w:type="dxa"/>
            <w:tcBorders>
              <w:top w:val="nil"/>
              <w:left w:val="nil"/>
              <w:bottom w:val="nil"/>
              <w:right w:val="nil"/>
            </w:tcBorders>
          </w:tcPr>
          <w:p w14:paraId="0A151BF5" w14:textId="77777777" w:rsidR="00554459" w:rsidRPr="00F04282" w:rsidRDefault="00554459" w:rsidP="00495559">
            <w:pPr>
              <w:jc w:val="right"/>
              <w:rPr>
                <w:sz w:val="16"/>
                <w:szCs w:val="16"/>
              </w:rPr>
            </w:pPr>
          </w:p>
        </w:tc>
      </w:tr>
      <w:tr w:rsidR="00554459" w:rsidRPr="00F04282" w14:paraId="393F5CE7" w14:textId="77777777" w:rsidTr="00495559">
        <w:tc>
          <w:tcPr>
            <w:tcW w:w="4217" w:type="dxa"/>
            <w:tcBorders>
              <w:top w:val="nil"/>
              <w:left w:val="nil"/>
              <w:bottom w:val="nil"/>
              <w:right w:val="nil"/>
            </w:tcBorders>
          </w:tcPr>
          <w:p w14:paraId="78CE18A4" w14:textId="77777777" w:rsidR="00554459" w:rsidRPr="00F04282" w:rsidRDefault="00554459" w:rsidP="00495559">
            <w:pPr>
              <w:tabs>
                <w:tab w:val="left" w:pos="1440"/>
              </w:tabs>
              <w:rPr>
                <w:sz w:val="22"/>
                <w:szCs w:val="22"/>
              </w:rPr>
            </w:pPr>
            <w:r w:rsidRPr="00F04282">
              <w:rPr>
                <w:sz w:val="22"/>
                <w:szCs w:val="22"/>
              </w:rPr>
              <w:t xml:space="preserve">Balance, </w:t>
            </w:r>
            <w:r>
              <w:rPr>
                <w:sz w:val="22"/>
                <w:szCs w:val="22"/>
              </w:rPr>
              <w:t>October</w:t>
            </w:r>
            <w:r w:rsidRPr="00F04282">
              <w:rPr>
                <w:sz w:val="22"/>
                <w:szCs w:val="22"/>
              </w:rPr>
              <w:t xml:space="preserve"> 31, 2019</w:t>
            </w:r>
          </w:p>
        </w:tc>
        <w:tc>
          <w:tcPr>
            <w:tcW w:w="1858" w:type="dxa"/>
            <w:tcBorders>
              <w:top w:val="nil"/>
              <w:left w:val="nil"/>
              <w:bottom w:val="double" w:sz="4" w:space="0" w:color="auto"/>
              <w:right w:val="nil"/>
            </w:tcBorders>
          </w:tcPr>
          <w:p w14:paraId="1594512E" w14:textId="77777777" w:rsidR="00554459" w:rsidRPr="00F04282" w:rsidRDefault="00554459" w:rsidP="00495559">
            <w:pPr>
              <w:pStyle w:val="Pages"/>
              <w:tabs>
                <w:tab w:val="left" w:pos="-18"/>
                <w:tab w:val="decimal" w:pos="1512"/>
              </w:tabs>
              <w:spacing w:after="0"/>
              <w:jc w:val="right"/>
              <w:rPr>
                <w:rFonts w:ascii="Times New Roman" w:hAnsi="Times New Roman"/>
                <w:szCs w:val="22"/>
                <w:lang w:val="en-GB"/>
              </w:rPr>
            </w:pPr>
            <w:r w:rsidRPr="00F04282">
              <w:rPr>
                <w:rFonts w:ascii="Times New Roman" w:hAnsi="Times New Roman"/>
                <w:szCs w:val="22"/>
                <w:lang w:val="en-GB"/>
              </w:rPr>
              <w:tab/>
            </w:r>
            <w:r>
              <w:rPr>
                <w:rFonts w:ascii="Times New Roman" w:hAnsi="Times New Roman"/>
                <w:szCs w:val="22"/>
                <w:lang w:val="en-GB"/>
              </w:rPr>
              <w:t>12,378,583</w:t>
            </w:r>
          </w:p>
        </w:tc>
        <w:tc>
          <w:tcPr>
            <w:tcW w:w="1935" w:type="dxa"/>
            <w:tcBorders>
              <w:top w:val="nil"/>
              <w:left w:val="nil"/>
              <w:bottom w:val="nil"/>
              <w:right w:val="nil"/>
            </w:tcBorders>
          </w:tcPr>
          <w:p w14:paraId="75FB0017" w14:textId="77777777" w:rsidR="00554459" w:rsidRPr="00F04282" w:rsidRDefault="00554459" w:rsidP="00495559">
            <w:pPr>
              <w:jc w:val="right"/>
              <w:rPr>
                <w:sz w:val="22"/>
                <w:szCs w:val="22"/>
              </w:rPr>
            </w:pPr>
            <w:r w:rsidRPr="00F04282">
              <w:rPr>
                <w:sz w:val="22"/>
                <w:szCs w:val="22"/>
              </w:rPr>
              <w:t>$0.2</w:t>
            </w:r>
            <w:r>
              <w:rPr>
                <w:sz w:val="22"/>
                <w:szCs w:val="22"/>
              </w:rPr>
              <w:t>2</w:t>
            </w:r>
          </w:p>
        </w:tc>
      </w:tr>
    </w:tbl>
    <w:p w14:paraId="4EDBEF25" w14:textId="77777777" w:rsidR="00554459" w:rsidRPr="00F04282" w:rsidRDefault="00554459" w:rsidP="00554459">
      <w:pPr>
        <w:pStyle w:val="Header"/>
        <w:tabs>
          <w:tab w:val="clear" w:pos="4320"/>
          <w:tab w:val="clear" w:pos="8640"/>
          <w:tab w:val="left" w:pos="1100"/>
        </w:tabs>
        <w:ind w:left="1440"/>
        <w:jc w:val="both"/>
        <w:rPr>
          <w:sz w:val="22"/>
          <w:szCs w:val="22"/>
          <w:lang w:val="en-CA"/>
        </w:rPr>
      </w:pPr>
    </w:p>
    <w:p w14:paraId="6672477D" w14:textId="77777777" w:rsidR="00554459" w:rsidRPr="007A7D87" w:rsidRDefault="00554459" w:rsidP="00554459">
      <w:pPr>
        <w:pStyle w:val="Header"/>
        <w:tabs>
          <w:tab w:val="clear" w:pos="4320"/>
          <w:tab w:val="clear" w:pos="8640"/>
          <w:tab w:val="left" w:pos="1100"/>
        </w:tabs>
        <w:ind w:left="1440"/>
        <w:jc w:val="both"/>
        <w:rPr>
          <w:sz w:val="22"/>
          <w:szCs w:val="22"/>
          <w:lang w:val="en-CA"/>
        </w:rPr>
      </w:pPr>
      <w:r w:rsidRPr="00F04282">
        <w:rPr>
          <w:sz w:val="22"/>
          <w:szCs w:val="22"/>
          <w:lang w:val="en-CA"/>
        </w:rPr>
        <w:t xml:space="preserve">At </w:t>
      </w:r>
      <w:r>
        <w:rPr>
          <w:sz w:val="22"/>
          <w:szCs w:val="22"/>
        </w:rPr>
        <w:t>October</w:t>
      </w:r>
      <w:r w:rsidRPr="00F04282">
        <w:rPr>
          <w:sz w:val="22"/>
          <w:szCs w:val="22"/>
        </w:rPr>
        <w:t xml:space="preserve"> 31, 2019</w:t>
      </w:r>
      <w:r w:rsidRPr="00F04282">
        <w:rPr>
          <w:sz w:val="22"/>
          <w:szCs w:val="22"/>
          <w:lang w:val="en-CA"/>
        </w:rPr>
        <w:t xml:space="preserve">, the Company had </w:t>
      </w:r>
      <w:r>
        <w:rPr>
          <w:sz w:val="22"/>
          <w:szCs w:val="22"/>
          <w:lang w:val="en-CA"/>
        </w:rPr>
        <w:t>12,378,583</w:t>
      </w:r>
      <w:r w:rsidRPr="00195BA3">
        <w:rPr>
          <w:sz w:val="22"/>
          <w:szCs w:val="22"/>
          <w:lang w:val="en-CA"/>
        </w:rPr>
        <w:t xml:space="preserve"> share purchase warrants outstanding.  Each warrant</w:t>
      </w:r>
      <w:r w:rsidRPr="0023780F">
        <w:rPr>
          <w:sz w:val="22"/>
          <w:szCs w:val="22"/>
          <w:lang w:val="en-CA"/>
        </w:rPr>
        <w:t xml:space="preserve"> entitles</w:t>
      </w:r>
      <w:r w:rsidRPr="007A7D87">
        <w:rPr>
          <w:sz w:val="22"/>
          <w:szCs w:val="22"/>
          <w:lang w:val="en-CA"/>
        </w:rPr>
        <w:t xml:space="preserve"> the holder the right to purchase one common share as follows:</w:t>
      </w:r>
    </w:p>
    <w:p w14:paraId="492D7993" w14:textId="77777777" w:rsidR="00554459" w:rsidRPr="007A7D87" w:rsidRDefault="00554459" w:rsidP="00554459">
      <w:pPr>
        <w:pStyle w:val="Header"/>
        <w:tabs>
          <w:tab w:val="clear" w:pos="4320"/>
          <w:tab w:val="clear" w:pos="8640"/>
          <w:tab w:val="left" w:pos="1100"/>
        </w:tabs>
        <w:ind w:left="1440"/>
        <w:jc w:val="both"/>
        <w:rPr>
          <w:sz w:val="22"/>
          <w:szCs w:val="22"/>
          <w:lang w:val="en-CA"/>
        </w:rPr>
      </w:pPr>
    </w:p>
    <w:tbl>
      <w:tblPr>
        <w:tblW w:w="8774" w:type="dxa"/>
        <w:tblInd w:w="1275" w:type="dxa"/>
        <w:tblLayout w:type="fixed"/>
        <w:tblCellMar>
          <w:left w:w="72" w:type="dxa"/>
          <w:right w:w="72" w:type="dxa"/>
        </w:tblCellMar>
        <w:tblLook w:val="0000" w:firstRow="0" w:lastRow="0" w:firstColumn="0" w:lastColumn="0" w:noHBand="0" w:noVBand="0"/>
      </w:tblPr>
      <w:tblGrid>
        <w:gridCol w:w="1980"/>
        <w:gridCol w:w="720"/>
        <w:gridCol w:w="1350"/>
        <w:gridCol w:w="180"/>
        <w:gridCol w:w="3004"/>
        <w:gridCol w:w="1540"/>
      </w:tblGrid>
      <w:tr w:rsidR="00554459" w:rsidRPr="00076A9A" w14:paraId="5FFC4A3C" w14:textId="77777777" w:rsidTr="00495559">
        <w:trPr>
          <w:cantSplit/>
        </w:trPr>
        <w:tc>
          <w:tcPr>
            <w:tcW w:w="1980" w:type="dxa"/>
          </w:tcPr>
          <w:p w14:paraId="709DDD35" w14:textId="77777777" w:rsidR="00554459" w:rsidRPr="00076A9A" w:rsidRDefault="00554459" w:rsidP="00495559">
            <w:pPr>
              <w:pStyle w:val="BodyText"/>
              <w:spacing w:before="0"/>
              <w:jc w:val="right"/>
              <w:rPr>
                <w:szCs w:val="22"/>
              </w:rPr>
            </w:pPr>
            <w:r>
              <w:rPr>
                <w:szCs w:val="22"/>
                <w:lang w:val="en-CA"/>
              </w:rPr>
              <w:tab/>
            </w:r>
            <w:r>
              <w:rPr>
                <w:szCs w:val="22"/>
                <w:lang w:val="en-CA"/>
              </w:rPr>
              <w:tab/>
            </w:r>
          </w:p>
        </w:tc>
        <w:tc>
          <w:tcPr>
            <w:tcW w:w="720" w:type="dxa"/>
          </w:tcPr>
          <w:p w14:paraId="733C2E2A" w14:textId="77777777" w:rsidR="00554459" w:rsidRPr="00076A9A" w:rsidRDefault="00554459" w:rsidP="00495559">
            <w:pPr>
              <w:pStyle w:val="BodyText"/>
              <w:spacing w:before="0"/>
              <w:jc w:val="right"/>
              <w:rPr>
                <w:szCs w:val="22"/>
              </w:rPr>
            </w:pPr>
          </w:p>
        </w:tc>
        <w:tc>
          <w:tcPr>
            <w:tcW w:w="1350" w:type="dxa"/>
          </w:tcPr>
          <w:p w14:paraId="66C40175" w14:textId="77777777" w:rsidR="00554459" w:rsidRPr="00076A9A" w:rsidRDefault="00554459" w:rsidP="00495559">
            <w:pPr>
              <w:pStyle w:val="BodyText"/>
              <w:spacing w:before="0"/>
              <w:jc w:val="right"/>
              <w:rPr>
                <w:szCs w:val="22"/>
              </w:rPr>
            </w:pPr>
            <w:r w:rsidRPr="00076A9A">
              <w:rPr>
                <w:szCs w:val="22"/>
              </w:rPr>
              <w:t>Exercise</w:t>
            </w:r>
          </w:p>
        </w:tc>
        <w:tc>
          <w:tcPr>
            <w:tcW w:w="180" w:type="dxa"/>
          </w:tcPr>
          <w:p w14:paraId="0878DD9E" w14:textId="77777777" w:rsidR="00554459" w:rsidRPr="00076A9A" w:rsidRDefault="00554459" w:rsidP="00495559">
            <w:pPr>
              <w:pStyle w:val="BodyText"/>
              <w:spacing w:before="0"/>
              <w:jc w:val="right"/>
              <w:rPr>
                <w:szCs w:val="22"/>
              </w:rPr>
            </w:pPr>
          </w:p>
        </w:tc>
        <w:tc>
          <w:tcPr>
            <w:tcW w:w="3004" w:type="dxa"/>
          </w:tcPr>
          <w:p w14:paraId="1FDAB065" w14:textId="77777777" w:rsidR="00554459" w:rsidRPr="00076A9A" w:rsidRDefault="00554459" w:rsidP="00495559">
            <w:pPr>
              <w:pStyle w:val="BodyText"/>
              <w:spacing w:before="0"/>
              <w:jc w:val="right"/>
              <w:rPr>
                <w:szCs w:val="22"/>
              </w:rPr>
            </w:pPr>
          </w:p>
        </w:tc>
        <w:tc>
          <w:tcPr>
            <w:tcW w:w="1540" w:type="dxa"/>
          </w:tcPr>
          <w:p w14:paraId="23ADDCCC" w14:textId="77777777" w:rsidR="00554459" w:rsidRPr="00076A9A" w:rsidRDefault="00554459" w:rsidP="00495559">
            <w:pPr>
              <w:pStyle w:val="BodyText"/>
              <w:spacing w:before="0"/>
              <w:jc w:val="right"/>
              <w:rPr>
                <w:szCs w:val="22"/>
              </w:rPr>
            </w:pPr>
          </w:p>
        </w:tc>
      </w:tr>
      <w:tr w:rsidR="00554459" w:rsidRPr="00076A9A" w14:paraId="62547326" w14:textId="77777777" w:rsidTr="00495559">
        <w:trPr>
          <w:cantSplit/>
        </w:trPr>
        <w:tc>
          <w:tcPr>
            <w:tcW w:w="1980" w:type="dxa"/>
          </w:tcPr>
          <w:p w14:paraId="6CB8CE9D" w14:textId="77777777" w:rsidR="00554459" w:rsidRPr="00076A9A" w:rsidRDefault="00554459" w:rsidP="00495559">
            <w:pPr>
              <w:pStyle w:val="BodyText"/>
              <w:spacing w:before="0"/>
              <w:jc w:val="right"/>
              <w:rPr>
                <w:szCs w:val="22"/>
              </w:rPr>
            </w:pPr>
            <w:r w:rsidRPr="00076A9A">
              <w:rPr>
                <w:szCs w:val="22"/>
                <w:u w:val="single"/>
              </w:rPr>
              <w:t>Number</w:t>
            </w:r>
          </w:p>
        </w:tc>
        <w:tc>
          <w:tcPr>
            <w:tcW w:w="720" w:type="dxa"/>
          </w:tcPr>
          <w:p w14:paraId="08DB4FAE" w14:textId="77777777" w:rsidR="00554459" w:rsidRPr="00076A9A" w:rsidRDefault="00554459" w:rsidP="00495559">
            <w:pPr>
              <w:pStyle w:val="BodyText"/>
              <w:spacing w:before="0"/>
              <w:jc w:val="right"/>
              <w:rPr>
                <w:szCs w:val="22"/>
                <w:u w:val="single"/>
              </w:rPr>
            </w:pPr>
          </w:p>
        </w:tc>
        <w:tc>
          <w:tcPr>
            <w:tcW w:w="1350" w:type="dxa"/>
          </w:tcPr>
          <w:p w14:paraId="608C7663" w14:textId="77777777" w:rsidR="00554459" w:rsidRPr="00076A9A" w:rsidRDefault="00554459" w:rsidP="00495559">
            <w:pPr>
              <w:pStyle w:val="BodyText"/>
              <w:spacing w:before="0"/>
              <w:jc w:val="right"/>
              <w:rPr>
                <w:szCs w:val="22"/>
                <w:u w:val="single"/>
              </w:rPr>
            </w:pPr>
            <w:r w:rsidRPr="00076A9A">
              <w:rPr>
                <w:szCs w:val="22"/>
                <w:u w:val="single"/>
              </w:rPr>
              <w:t>Price</w:t>
            </w:r>
          </w:p>
        </w:tc>
        <w:tc>
          <w:tcPr>
            <w:tcW w:w="180" w:type="dxa"/>
          </w:tcPr>
          <w:p w14:paraId="07A6AC4E" w14:textId="77777777" w:rsidR="00554459" w:rsidRPr="00076A9A" w:rsidRDefault="00554459" w:rsidP="00495559">
            <w:pPr>
              <w:pStyle w:val="BodyText"/>
              <w:spacing w:before="0"/>
              <w:jc w:val="right"/>
              <w:rPr>
                <w:szCs w:val="22"/>
                <w:u w:val="single"/>
              </w:rPr>
            </w:pPr>
          </w:p>
        </w:tc>
        <w:tc>
          <w:tcPr>
            <w:tcW w:w="3004" w:type="dxa"/>
          </w:tcPr>
          <w:p w14:paraId="202CD4E0" w14:textId="77777777" w:rsidR="00554459" w:rsidRPr="00076A9A" w:rsidRDefault="00554459" w:rsidP="00495559">
            <w:pPr>
              <w:pStyle w:val="BodyText"/>
              <w:spacing w:before="0"/>
              <w:jc w:val="right"/>
              <w:rPr>
                <w:szCs w:val="22"/>
                <w:u w:val="single"/>
              </w:rPr>
            </w:pPr>
            <w:r w:rsidRPr="00076A9A">
              <w:rPr>
                <w:szCs w:val="22"/>
                <w:u w:val="single"/>
              </w:rPr>
              <w:t>Expiry Date</w:t>
            </w:r>
          </w:p>
        </w:tc>
        <w:tc>
          <w:tcPr>
            <w:tcW w:w="1540" w:type="dxa"/>
          </w:tcPr>
          <w:p w14:paraId="72EF531D" w14:textId="77777777" w:rsidR="00554459" w:rsidRPr="00076A9A" w:rsidRDefault="00554459" w:rsidP="00495559">
            <w:pPr>
              <w:pStyle w:val="BodyText"/>
              <w:spacing w:before="0"/>
              <w:jc w:val="right"/>
              <w:rPr>
                <w:szCs w:val="22"/>
                <w:u w:val="single"/>
              </w:rPr>
            </w:pPr>
          </w:p>
        </w:tc>
      </w:tr>
      <w:tr w:rsidR="00554459" w:rsidRPr="00076A9A" w14:paraId="5A953FFB" w14:textId="77777777" w:rsidTr="00495559">
        <w:trPr>
          <w:cantSplit/>
        </w:trPr>
        <w:tc>
          <w:tcPr>
            <w:tcW w:w="1980" w:type="dxa"/>
            <w:vAlign w:val="center"/>
          </w:tcPr>
          <w:p w14:paraId="5CD25D22" w14:textId="77777777" w:rsidR="00554459" w:rsidRPr="00EA0B2E" w:rsidRDefault="00554459" w:rsidP="00495559">
            <w:pPr>
              <w:pStyle w:val="BodyText"/>
              <w:tabs>
                <w:tab w:val="left" w:pos="288"/>
                <w:tab w:val="decimal" w:pos="1458"/>
                <w:tab w:val="right" w:pos="3878"/>
              </w:tabs>
              <w:spacing w:before="0"/>
              <w:jc w:val="right"/>
              <w:rPr>
                <w:szCs w:val="22"/>
              </w:rPr>
            </w:pPr>
            <w:r w:rsidRPr="00EA0B2E">
              <w:rPr>
                <w:szCs w:val="22"/>
              </w:rPr>
              <w:tab/>
            </w:r>
            <w:r w:rsidRPr="00EA0B2E">
              <w:rPr>
                <w:szCs w:val="22"/>
              </w:rPr>
              <w:tab/>
            </w:r>
            <w:r>
              <w:rPr>
                <w:szCs w:val="22"/>
              </w:rPr>
              <w:t>5,69</w:t>
            </w:r>
            <w:r w:rsidRPr="00EA0B2E">
              <w:rPr>
                <w:szCs w:val="22"/>
              </w:rPr>
              <w:t>0</w:t>
            </w:r>
            <w:r>
              <w:rPr>
                <w:szCs w:val="22"/>
              </w:rPr>
              <w:t>,2</w:t>
            </w:r>
            <w:r w:rsidRPr="00EA0B2E">
              <w:rPr>
                <w:szCs w:val="22"/>
              </w:rPr>
              <w:t>50</w:t>
            </w:r>
          </w:p>
        </w:tc>
        <w:tc>
          <w:tcPr>
            <w:tcW w:w="720" w:type="dxa"/>
          </w:tcPr>
          <w:p w14:paraId="0D4BC383" w14:textId="77777777" w:rsidR="00554459" w:rsidRPr="00EA0B2E" w:rsidRDefault="00554459" w:rsidP="00495559">
            <w:pPr>
              <w:pStyle w:val="BodyText"/>
              <w:tabs>
                <w:tab w:val="left" w:pos="0"/>
                <w:tab w:val="decimal" w:pos="1138"/>
              </w:tabs>
              <w:spacing w:before="0"/>
              <w:jc w:val="right"/>
              <w:rPr>
                <w:szCs w:val="22"/>
              </w:rPr>
            </w:pPr>
          </w:p>
        </w:tc>
        <w:tc>
          <w:tcPr>
            <w:tcW w:w="1350" w:type="dxa"/>
            <w:vAlign w:val="center"/>
          </w:tcPr>
          <w:p w14:paraId="2E982A1E" w14:textId="77777777" w:rsidR="00554459" w:rsidRPr="00EA0B2E" w:rsidRDefault="00554459" w:rsidP="00495559">
            <w:pPr>
              <w:pStyle w:val="BodyText"/>
              <w:tabs>
                <w:tab w:val="left" w:pos="0"/>
                <w:tab w:val="decimal" w:pos="1138"/>
              </w:tabs>
              <w:spacing w:before="0"/>
              <w:jc w:val="right"/>
              <w:rPr>
                <w:szCs w:val="22"/>
              </w:rPr>
            </w:pPr>
            <w:r w:rsidRPr="00EA0B2E">
              <w:rPr>
                <w:szCs w:val="22"/>
              </w:rPr>
              <w:t>$</w:t>
            </w:r>
            <w:r>
              <w:rPr>
                <w:szCs w:val="22"/>
              </w:rPr>
              <w:t>0.33</w:t>
            </w:r>
          </w:p>
        </w:tc>
        <w:tc>
          <w:tcPr>
            <w:tcW w:w="180" w:type="dxa"/>
          </w:tcPr>
          <w:p w14:paraId="1E949D36" w14:textId="77777777" w:rsidR="00554459" w:rsidRPr="00EA0B2E" w:rsidRDefault="00554459" w:rsidP="00495559">
            <w:pPr>
              <w:pStyle w:val="BodyText"/>
              <w:tabs>
                <w:tab w:val="left" w:pos="0"/>
                <w:tab w:val="decimal" w:pos="1138"/>
              </w:tabs>
              <w:spacing w:before="0"/>
              <w:jc w:val="right"/>
              <w:rPr>
                <w:szCs w:val="22"/>
              </w:rPr>
            </w:pPr>
          </w:p>
        </w:tc>
        <w:tc>
          <w:tcPr>
            <w:tcW w:w="3004" w:type="dxa"/>
            <w:vAlign w:val="center"/>
          </w:tcPr>
          <w:p w14:paraId="465FF210" w14:textId="77777777" w:rsidR="00554459" w:rsidRPr="00EA0B2E" w:rsidRDefault="00554459" w:rsidP="00495559">
            <w:pPr>
              <w:pStyle w:val="BodyText"/>
              <w:tabs>
                <w:tab w:val="left" w:pos="0"/>
                <w:tab w:val="left" w:pos="738"/>
              </w:tabs>
              <w:spacing w:before="0"/>
              <w:jc w:val="right"/>
              <w:rPr>
                <w:szCs w:val="22"/>
              </w:rPr>
            </w:pPr>
            <w:r w:rsidRPr="00EA0B2E">
              <w:rPr>
                <w:szCs w:val="22"/>
              </w:rPr>
              <w:tab/>
              <w:t>December 18, 2019</w:t>
            </w:r>
          </w:p>
        </w:tc>
        <w:tc>
          <w:tcPr>
            <w:tcW w:w="1540" w:type="dxa"/>
          </w:tcPr>
          <w:p w14:paraId="69D63AA8" w14:textId="77777777" w:rsidR="00554459" w:rsidRPr="00EA0B2E" w:rsidRDefault="00554459" w:rsidP="00495559">
            <w:pPr>
              <w:pStyle w:val="BodyText"/>
              <w:tabs>
                <w:tab w:val="left" w:pos="0"/>
                <w:tab w:val="left" w:pos="738"/>
              </w:tabs>
              <w:spacing w:before="0"/>
              <w:jc w:val="right"/>
              <w:rPr>
                <w:szCs w:val="22"/>
              </w:rPr>
            </w:pPr>
          </w:p>
        </w:tc>
      </w:tr>
      <w:tr w:rsidR="00554459" w:rsidRPr="00076A9A" w14:paraId="7F4EA28E" w14:textId="77777777" w:rsidTr="00495559">
        <w:trPr>
          <w:cantSplit/>
        </w:trPr>
        <w:tc>
          <w:tcPr>
            <w:tcW w:w="1980" w:type="dxa"/>
            <w:vAlign w:val="center"/>
          </w:tcPr>
          <w:p w14:paraId="2AC4712D" w14:textId="77777777" w:rsidR="00554459" w:rsidRPr="00EA0B2E" w:rsidRDefault="00554459" w:rsidP="00495559">
            <w:pPr>
              <w:pStyle w:val="BodyText"/>
              <w:tabs>
                <w:tab w:val="left" w:pos="288"/>
                <w:tab w:val="decimal" w:pos="1458"/>
                <w:tab w:val="right" w:pos="3878"/>
              </w:tabs>
              <w:spacing w:before="0"/>
              <w:jc w:val="right"/>
              <w:rPr>
                <w:szCs w:val="22"/>
              </w:rPr>
            </w:pPr>
            <w:r w:rsidRPr="00EA0B2E">
              <w:rPr>
                <w:szCs w:val="22"/>
              </w:rPr>
              <w:tab/>
            </w:r>
            <w:r w:rsidRPr="00EA0B2E">
              <w:rPr>
                <w:szCs w:val="22"/>
              </w:rPr>
              <w:tab/>
            </w:r>
            <w:r>
              <w:rPr>
                <w:szCs w:val="22"/>
              </w:rPr>
              <w:t>2,000,000</w:t>
            </w:r>
          </w:p>
        </w:tc>
        <w:tc>
          <w:tcPr>
            <w:tcW w:w="720" w:type="dxa"/>
          </w:tcPr>
          <w:p w14:paraId="4D36A1E4" w14:textId="77777777" w:rsidR="00554459" w:rsidRPr="00EA0B2E" w:rsidRDefault="00554459" w:rsidP="00495559">
            <w:pPr>
              <w:pStyle w:val="BodyText"/>
              <w:tabs>
                <w:tab w:val="left" w:pos="0"/>
                <w:tab w:val="decimal" w:pos="1138"/>
              </w:tabs>
              <w:spacing w:before="0"/>
              <w:jc w:val="right"/>
              <w:rPr>
                <w:szCs w:val="22"/>
              </w:rPr>
            </w:pPr>
          </w:p>
        </w:tc>
        <w:tc>
          <w:tcPr>
            <w:tcW w:w="1350" w:type="dxa"/>
            <w:vAlign w:val="center"/>
          </w:tcPr>
          <w:p w14:paraId="43ED79CD" w14:textId="77777777" w:rsidR="00554459" w:rsidRPr="00EA0B2E" w:rsidRDefault="00554459" w:rsidP="00495559">
            <w:pPr>
              <w:pStyle w:val="BodyText"/>
              <w:tabs>
                <w:tab w:val="left" w:pos="0"/>
                <w:tab w:val="decimal" w:pos="1138"/>
              </w:tabs>
              <w:spacing w:before="0"/>
              <w:jc w:val="right"/>
              <w:rPr>
                <w:szCs w:val="22"/>
              </w:rPr>
            </w:pPr>
            <w:r w:rsidRPr="00EA0B2E">
              <w:rPr>
                <w:szCs w:val="22"/>
              </w:rPr>
              <w:t>$</w:t>
            </w:r>
            <w:r>
              <w:rPr>
                <w:szCs w:val="22"/>
              </w:rPr>
              <w:t>0.30</w:t>
            </w:r>
          </w:p>
        </w:tc>
        <w:tc>
          <w:tcPr>
            <w:tcW w:w="180" w:type="dxa"/>
          </w:tcPr>
          <w:p w14:paraId="08667C60" w14:textId="77777777" w:rsidR="00554459" w:rsidRPr="00EA0B2E" w:rsidRDefault="00554459" w:rsidP="00495559">
            <w:pPr>
              <w:pStyle w:val="BodyText"/>
              <w:tabs>
                <w:tab w:val="left" w:pos="0"/>
                <w:tab w:val="decimal" w:pos="1138"/>
              </w:tabs>
              <w:spacing w:before="0"/>
              <w:jc w:val="right"/>
              <w:rPr>
                <w:szCs w:val="22"/>
              </w:rPr>
            </w:pPr>
          </w:p>
        </w:tc>
        <w:tc>
          <w:tcPr>
            <w:tcW w:w="3004" w:type="dxa"/>
            <w:vAlign w:val="center"/>
          </w:tcPr>
          <w:p w14:paraId="5EBE2C9D" w14:textId="77777777" w:rsidR="00554459" w:rsidRPr="00EA0B2E" w:rsidRDefault="00554459" w:rsidP="00495559">
            <w:pPr>
              <w:pStyle w:val="BodyText"/>
              <w:tabs>
                <w:tab w:val="left" w:pos="0"/>
                <w:tab w:val="left" w:pos="738"/>
              </w:tabs>
              <w:spacing w:before="0"/>
              <w:jc w:val="right"/>
              <w:rPr>
                <w:szCs w:val="22"/>
              </w:rPr>
            </w:pPr>
            <w:r w:rsidRPr="00EA0B2E">
              <w:rPr>
                <w:szCs w:val="22"/>
              </w:rPr>
              <w:tab/>
              <w:t xml:space="preserve">December </w:t>
            </w:r>
            <w:r>
              <w:rPr>
                <w:szCs w:val="22"/>
              </w:rPr>
              <w:t>22</w:t>
            </w:r>
            <w:r w:rsidRPr="00EA0B2E">
              <w:rPr>
                <w:szCs w:val="22"/>
              </w:rPr>
              <w:t>, 2019</w:t>
            </w:r>
          </w:p>
        </w:tc>
        <w:tc>
          <w:tcPr>
            <w:tcW w:w="1540" w:type="dxa"/>
          </w:tcPr>
          <w:p w14:paraId="40C276A6" w14:textId="77777777" w:rsidR="00554459" w:rsidRPr="00EA0B2E" w:rsidRDefault="00554459" w:rsidP="00495559">
            <w:pPr>
              <w:pStyle w:val="BodyText"/>
              <w:tabs>
                <w:tab w:val="left" w:pos="0"/>
                <w:tab w:val="left" w:pos="738"/>
              </w:tabs>
              <w:spacing w:before="0"/>
              <w:jc w:val="right"/>
              <w:rPr>
                <w:szCs w:val="22"/>
              </w:rPr>
            </w:pPr>
          </w:p>
        </w:tc>
      </w:tr>
      <w:tr w:rsidR="00554459" w:rsidRPr="00076A9A" w14:paraId="15BF3AA9" w14:textId="77777777" w:rsidTr="00495559">
        <w:trPr>
          <w:cantSplit/>
        </w:trPr>
        <w:tc>
          <w:tcPr>
            <w:tcW w:w="1980" w:type="dxa"/>
            <w:vAlign w:val="center"/>
          </w:tcPr>
          <w:p w14:paraId="06BF2324" w14:textId="77777777" w:rsidR="00554459" w:rsidRPr="00EA0B2E" w:rsidRDefault="00554459" w:rsidP="00495559">
            <w:pPr>
              <w:pStyle w:val="BodyText"/>
              <w:tabs>
                <w:tab w:val="left" w:pos="288"/>
                <w:tab w:val="decimal" w:pos="1458"/>
                <w:tab w:val="right" w:pos="3878"/>
              </w:tabs>
              <w:spacing w:before="0"/>
              <w:jc w:val="right"/>
              <w:rPr>
                <w:szCs w:val="22"/>
              </w:rPr>
            </w:pPr>
            <w:r w:rsidRPr="00EA0B2E">
              <w:rPr>
                <w:szCs w:val="22"/>
              </w:rPr>
              <w:tab/>
            </w:r>
            <w:r w:rsidRPr="00EA0B2E">
              <w:rPr>
                <w:szCs w:val="22"/>
              </w:rPr>
              <w:tab/>
            </w:r>
            <w:r>
              <w:rPr>
                <w:szCs w:val="22"/>
              </w:rPr>
              <w:t>183,333</w:t>
            </w:r>
          </w:p>
        </w:tc>
        <w:tc>
          <w:tcPr>
            <w:tcW w:w="720" w:type="dxa"/>
          </w:tcPr>
          <w:p w14:paraId="6DB3D1CD" w14:textId="77777777" w:rsidR="00554459" w:rsidRPr="00EA0B2E" w:rsidRDefault="00554459" w:rsidP="00495559">
            <w:pPr>
              <w:pStyle w:val="BodyText"/>
              <w:tabs>
                <w:tab w:val="left" w:pos="0"/>
                <w:tab w:val="decimal" w:pos="1138"/>
              </w:tabs>
              <w:spacing w:before="0"/>
              <w:jc w:val="right"/>
              <w:rPr>
                <w:szCs w:val="22"/>
              </w:rPr>
            </w:pPr>
          </w:p>
        </w:tc>
        <w:tc>
          <w:tcPr>
            <w:tcW w:w="1350" w:type="dxa"/>
            <w:vAlign w:val="center"/>
          </w:tcPr>
          <w:p w14:paraId="26848861" w14:textId="77777777" w:rsidR="00554459" w:rsidRPr="00EA0B2E" w:rsidRDefault="00554459" w:rsidP="00495559">
            <w:pPr>
              <w:pStyle w:val="BodyText"/>
              <w:tabs>
                <w:tab w:val="left" w:pos="0"/>
                <w:tab w:val="decimal" w:pos="1138"/>
              </w:tabs>
              <w:spacing w:before="0"/>
              <w:jc w:val="right"/>
              <w:rPr>
                <w:szCs w:val="22"/>
              </w:rPr>
            </w:pPr>
            <w:r w:rsidRPr="00EA0B2E">
              <w:rPr>
                <w:szCs w:val="22"/>
              </w:rPr>
              <w:t>$</w:t>
            </w:r>
            <w:r>
              <w:rPr>
                <w:szCs w:val="22"/>
              </w:rPr>
              <w:t>0.21</w:t>
            </w:r>
          </w:p>
        </w:tc>
        <w:tc>
          <w:tcPr>
            <w:tcW w:w="180" w:type="dxa"/>
          </w:tcPr>
          <w:p w14:paraId="4570C216" w14:textId="77777777" w:rsidR="00554459" w:rsidRPr="00EA0B2E" w:rsidRDefault="00554459" w:rsidP="00495559">
            <w:pPr>
              <w:pStyle w:val="BodyText"/>
              <w:tabs>
                <w:tab w:val="left" w:pos="0"/>
                <w:tab w:val="decimal" w:pos="1138"/>
              </w:tabs>
              <w:spacing w:before="0"/>
              <w:jc w:val="right"/>
              <w:rPr>
                <w:szCs w:val="22"/>
              </w:rPr>
            </w:pPr>
          </w:p>
        </w:tc>
        <w:tc>
          <w:tcPr>
            <w:tcW w:w="3004" w:type="dxa"/>
            <w:vAlign w:val="center"/>
          </w:tcPr>
          <w:p w14:paraId="11D29F76" w14:textId="77777777" w:rsidR="00554459" w:rsidRPr="00EA0B2E" w:rsidRDefault="00554459" w:rsidP="00495559">
            <w:pPr>
              <w:pStyle w:val="BodyText"/>
              <w:tabs>
                <w:tab w:val="left" w:pos="0"/>
                <w:tab w:val="left" w:pos="738"/>
              </w:tabs>
              <w:spacing w:before="0"/>
              <w:jc w:val="right"/>
              <w:rPr>
                <w:szCs w:val="22"/>
              </w:rPr>
            </w:pPr>
            <w:r w:rsidRPr="00EA0B2E">
              <w:rPr>
                <w:szCs w:val="22"/>
              </w:rPr>
              <w:tab/>
            </w:r>
            <w:r>
              <w:rPr>
                <w:szCs w:val="22"/>
              </w:rPr>
              <w:t>August 11, 2020</w:t>
            </w:r>
          </w:p>
        </w:tc>
        <w:tc>
          <w:tcPr>
            <w:tcW w:w="1540" w:type="dxa"/>
          </w:tcPr>
          <w:p w14:paraId="583C20B2" w14:textId="77777777" w:rsidR="00554459" w:rsidRPr="00EA0B2E" w:rsidRDefault="00554459" w:rsidP="00495559">
            <w:pPr>
              <w:pStyle w:val="BodyText"/>
              <w:tabs>
                <w:tab w:val="left" w:pos="0"/>
                <w:tab w:val="left" w:pos="738"/>
              </w:tabs>
              <w:spacing w:before="0"/>
              <w:jc w:val="right"/>
              <w:rPr>
                <w:szCs w:val="22"/>
              </w:rPr>
            </w:pPr>
          </w:p>
        </w:tc>
      </w:tr>
      <w:tr w:rsidR="00554459" w:rsidRPr="00076A9A" w14:paraId="6878D94D" w14:textId="77777777" w:rsidTr="00495559">
        <w:trPr>
          <w:cantSplit/>
        </w:trPr>
        <w:tc>
          <w:tcPr>
            <w:tcW w:w="1980" w:type="dxa"/>
            <w:vAlign w:val="center"/>
          </w:tcPr>
          <w:p w14:paraId="643A31BF" w14:textId="77777777" w:rsidR="00554459" w:rsidRPr="005D4A62" w:rsidRDefault="00554459" w:rsidP="00495559">
            <w:pPr>
              <w:pStyle w:val="BodyText"/>
              <w:tabs>
                <w:tab w:val="left" w:pos="288"/>
                <w:tab w:val="decimal" w:pos="1458"/>
                <w:tab w:val="right" w:pos="3878"/>
              </w:tabs>
              <w:spacing w:before="0"/>
              <w:jc w:val="right"/>
              <w:rPr>
                <w:szCs w:val="22"/>
                <w:u w:val="single"/>
              </w:rPr>
            </w:pPr>
            <w:r w:rsidRPr="00076A9A">
              <w:rPr>
                <w:szCs w:val="22"/>
              </w:rPr>
              <w:tab/>
            </w:r>
            <w:r w:rsidRPr="005D4A62">
              <w:rPr>
                <w:szCs w:val="22"/>
                <w:u w:val="single"/>
              </w:rPr>
              <w:tab/>
            </w:r>
            <w:r>
              <w:rPr>
                <w:szCs w:val="22"/>
                <w:u w:val="single"/>
              </w:rPr>
              <w:t>4,505,000</w:t>
            </w:r>
          </w:p>
        </w:tc>
        <w:tc>
          <w:tcPr>
            <w:tcW w:w="720" w:type="dxa"/>
          </w:tcPr>
          <w:p w14:paraId="279349C0" w14:textId="77777777" w:rsidR="00554459" w:rsidRPr="00076A9A" w:rsidRDefault="00554459" w:rsidP="00495559">
            <w:pPr>
              <w:pStyle w:val="BodyText"/>
              <w:tabs>
                <w:tab w:val="left" w:pos="0"/>
                <w:tab w:val="decimal" w:pos="1138"/>
              </w:tabs>
              <w:spacing w:before="0"/>
              <w:jc w:val="right"/>
              <w:rPr>
                <w:szCs w:val="22"/>
              </w:rPr>
            </w:pPr>
          </w:p>
        </w:tc>
        <w:tc>
          <w:tcPr>
            <w:tcW w:w="1350" w:type="dxa"/>
            <w:vAlign w:val="center"/>
          </w:tcPr>
          <w:p w14:paraId="58810AAA" w14:textId="77777777" w:rsidR="00554459" w:rsidRPr="00076A9A" w:rsidRDefault="00554459" w:rsidP="00495559">
            <w:pPr>
              <w:pStyle w:val="BodyText"/>
              <w:tabs>
                <w:tab w:val="left" w:pos="0"/>
                <w:tab w:val="decimal" w:pos="1138"/>
              </w:tabs>
              <w:spacing w:before="0"/>
              <w:jc w:val="right"/>
              <w:rPr>
                <w:szCs w:val="22"/>
              </w:rPr>
            </w:pPr>
            <w:r>
              <w:rPr>
                <w:szCs w:val="22"/>
              </w:rPr>
              <w:t>$0.05</w:t>
            </w:r>
          </w:p>
        </w:tc>
        <w:tc>
          <w:tcPr>
            <w:tcW w:w="180" w:type="dxa"/>
          </w:tcPr>
          <w:p w14:paraId="6982F346" w14:textId="77777777" w:rsidR="00554459" w:rsidRPr="00076A9A" w:rsidRDefault="00554459" w:rsidP="00495559">
            <w:pPr>
              <w:pStyle w:val="BodyText"/>
              <w:tabs>
                <w:tab w:val="left" w:pos="0"/>
                <w:tab w:val="decimal" w:pos="1138"/>
              </w:tabs>
              <w:spacing w:before="0"/>
              <w:jc w:val="right"/>
              <w:rPr>
                <w:szCs w:val="22"/>
              </w:rPr>
            </w:pPr>
          </w:p>
        </w:tc>
        <w:tc>
          <w:tcPr>
            <w:tcW w:w="3004" w:type="dxa"/>
            <w:vAlign w:val="center"/>
          </w:tcPr>
          <w:p w14:paraId="5FBBA443" w14:textId="77777777" w:rsidR="00554459" w:rsidRPr="00076A9A" w:rsidRDefault="00554459" w:rsidP="00495559">
            <w:pPr>
              <w:pStyle w:val="BodyText"/>
              <w:tabs>
                <w:tab w:val="left" w:pos="0"/>
                <w:tab w:val="left" w:pos="738"/>
              </w:tabs>
              <w:spacing w:before="0"/>
              <w:jc w:val="right"/>
              <w:rPr>
                <w:szCs w:val="22"/>
              </w:rPr>
            </w:pPr>
            <w:r>
              <w:rPr>
                <w:szCs w:val="22"/>
              </w:rPr>
              <w:tab/>
              <w:t>June 13, 2021</w:t>
            </w:r>
          </w:p>
        </w:tc>
        <w:tc>
          <w:tcPr>
            <w:tcW w:w="1540" w:type="dxa"/>
          </w:tcPr>
          <w:p w14:paraId="3C998465" w14:textId="77777777" w:rsidR="00554459" w:rsidRDefault="00554459" w:rsidP="00495559">
            <w:pPr>
              <w:pStyle w:val="BodyText"/>
              <w:tabs>
                <w:tab w:val="left" w:pos="0"/>
                <w:tab w:val="left" w:pos="738"/>
              </w:tabs>
              <w:spacing w:before="0"/>
              <w:jc w:val="right"/>
              <w:rPr>
                <w:szCs w:val="22"/>
              </w:rPr>
            </w:pPr>
          </w:p>
        </w:tc>
      </w:tr>
      <w:tr w:rsidR="00554459" w:rsidRPr="00076A9A" w14:paraId="4848258D" w14:textId="77777777" w:rsidTr="00495559">
        <w:trPr>
          <w:cantSplit/>
        </w:trPr>
        <w:tc>
          <w:tcPr>
            <w:tcW w:w="1980" w:type="dxa"/>
            <w:vAlign w:val="center"/>
          </w:tcPr>
          <w:p w14:paraId="7F354B2A" w14:textId="77777777" w:rsidR="00554459" w:rsidRPr="00015210" w:rsidRDefault="00554459" w:rsidP="00495559">
            <w:pPr>
              <w:pStyle w:val="BodyText"/>
              <w:tabs>
                <w:tab w:val="left" w:pos="288"/>
                <w:tab w:val="decimal" w:pos="1458"/>
                <w:tab w:val="right" w:pos="3878"/>
              </w:tabs>
              <w:spacing w:before="0"/>
              <w:jc w:val="right"/>
              <w:rPr>
                <w:szCs w:val="22"/>
                <w:u w:val="double"/>
              </w:rPr>
            </w:pPr>
            <w:r w:rsidRPr="00076A9A">
              <w:rPr>
                <w:szCs w:val="22"/>
              </w:rPr>
              <w:tab/>
            </w:r>
            <w:r w:rsidRPr="00015210">
              <w:rPr>
                <w:szCs w:val="22"/>
                <w:u w:val="double"/>
              </w:rPr>
              <w:tab/>
            </w:r>
            <w:r>
              <w:rPr>
                <w:szCs w:val="22"/>
                <w:u w:val="double"/>
              </w:rPr>
              <w:t>12,378,583</w:t>
            </w:r>
          </w:p>
        </w:tc>
        <w:tc>
          <w:tcPr>
            <w:tcW w:w="720" w:type="dxa"/>
          </w:tcPr>
          <w:p w14:paraId="3A91958D" w14:textId="77777777" w:rsidR="00554459" w:rsidRPr="00076A9A" w:rsidRDefault="00554459" w:rsidP="00495559">
            <w:pPr>
              <w:pStyle w:val="BodyText"/>
              <w:tabs>
                <w:tab w:val="left" w:pos="0"/>
                <w:tab w:val="decimal" w:pos="1138"/>
              </w:tabs>
              <w:spacing w:before="0"/>
              <w:jc w:val="right"/>
              <w:rPr>
                <w:szCs w:val="22"/>
              </w:rPr>
            </w:pPr>
          </w:p>
        </w:tc>
        <w:tc>
          <w:tcPr>
            <w:tcW w:w="1350" w:type="dxa"/>
            <w:vAlign w:val="center"/>
          </w:tcPr>
          <w:p w14:paraId="7E230F78" w14:textId="77777777" w:rsidR="00554459" w:rsidRPr="00076A9A" w:rsidRDefault="00554459" w:rsidP="00495559">
            <w:pPr>
              <w:pStyle w:val="BodyText"/>
              <w:tabs>
                <w:tab w:val="left" w:pos="0"/>
                <w:tab w:val="decimal" w:pos="1138"/>
              </w:tabs>
              <w:spacing w:before="0"/>
              <w:jc w:val="right"/>
              <w:rPr>
                <w:szCs w:val="22"/>
              </w:rPr>
            </w:pPr>
          </w:p>
        </w:tc>
        <w:tc>
          <w:tcPr>
            <w:tcW w:w="180" w:type="dxa"/>
          </w:tcPr>
          <w:p w14:paraId="22157937" w14:textId="77777777" w:rsidR="00554459" w:rsidRPr="00076A9A" w:rsidRDefault="00554459" w:rsidP="00495559">
            <w:pPr>
              <w:pStyle w:val="BodyText"/>
              <w:tabs>
                <w:tab w:val="left" w:pos="0"/>
                <w:tab w:val="decimal" w:pos="1138"/>
              </w:tabs>
              <w:spacing w:before="0"/>
              <w:jc w:val="right"/>
              <w:rPr>
                <w:szCs w:val="22"/>
              </w:rPr>
            </w:pPr>
          </w:p>
        </w:tc>
        <w:tc>
          <w:tcPr>
            <w:tcW w:w="3004" w:type="dxa"/>
            <w:vAlign w:val="center"/>
          </w:tcPr>
          <w:p w14:paraId="2CD7E7F5" w14:textId="77777777" w:rsidR="00554459" w:rsidRPr="00076A9A" w:rsidRDefault="00554459" w:rsidP="00495559">
            <w:pPr>
              <w:pStyle w:val="BodyText"/>
              <w:tabs>
                <w:tab w:val="left" w:pos="0"/>
                <w:tab w:val="left" w:pos="738"/>
              </w:tabs>
              <w:spacing w:before="0"/>
              <w:jc w:val="right"/>
              <w:rPr>
                <w:szCs w:val="22"/>
              </w:rPr>
            </w:pPr>
            <w:r>
              <w:rPr>
                <w:szCs w:val="22"/>
              </w:rPr>
              <w:tab/>
            </w:r>
          </w:p>
        </w:tc>
        <w:tc>
          <w:tcPr>
            <w:tcW w:w="1540" w:type="dxa"/>
          </w:tcPr>
          <w:p w14:paraId="71EA6596" w14:textId="77777777" w:rsidR="00554459" w:rsidRDefault="00554459" w:rsidP="00495559">
            <w:pPr>
              <w:pStyle w:val="BodyText"/>
              <w:tabs>
                <w:tab w:val="left" w:pos="0"/>
                <w:tab w:val="left" w:pos="738"/>
              </w:tabs>
              <w:spacing w:before="0"/>
              <w:jc w:val="right"/>
              <w:rPr>
                <w:szCs w:val="22"/>
              </w:rPr>
            </w:pPr>
          </w:p>
        </w:tc>
      </w:tr>
    </w:tbl>
    <w:p w14:paraId="12D56805" w14:textId="77777777" w:rsidR="00554459" w:rsidRDefault="00554459" w:rsidP="00554459">
      <w:pPr>
        <w:pStyle w:val="Header"/>
        <w:tabs>
          <w:tab w:val="clear" w:pos="4320"/>
          <w:tab w:val="clear" w:pos="8640"/>
          <w:tab w:val="left" w:pos="1100"/>
        </w:tabs>
        <w:ind w:left="1440"/>
        <w:jc w:val="both"/>
        <w:rPr>
          <w:b/>
          <w:sz w:val="22"/>
          <w:szCs w:val="22"/>
          <w:lang w:val="en-CA"/>
        </w:rPr>
      </w:pPr>
    </w:p>
    <w:p w14:paraId="20043A78" w14:textId="77777777" w:rsidR="00554459" w:rsidRDefault="00554459" w:rsidP="00554459">
      <w:pPr>
        <w:pStyle w:val="Header"/>
        <w:tabs>
          <w:tab w:val="clear" w:pos="4320"/>
          <w:tab w:val="clear" w:pos="8640"/>
          <w:tab w:val="left" w:pos="1100"/>
        </w:tabs>
        <w:ind w:left="1100"/>
        <w:jc w:val="both"/>
        <w:rPr>
          <w:b/>
          <w:sz w:val="22"/>
          <w:szCs w:val="22"/>
          <w:lang w:val="en-CA"/>
        </w:rPr>
      </w:pPr>
      <w:r>
        <w:rPr>
          <w:b/>
          <w:sz w:val="22"/>
          <w:szCs w:val="22"/>
          <w:lang w:val="en-CA"/>
        </w:rPr>
        <w:t>(c)</w:t>
      </w:r>
      <w:r>
        <w:rPr>
          <w:b/>
          <w:sz w:val="22"/>
          <w:szCs w:val="22"/>
          <w:lang w:val="en-CA"/>
        </w:rPr>
        <w:tab/>
        <w:t>Share-based payments</w:t>
      </w:r>
    </w:p>
    <w:p w14:paraId="5D43DF57" w14:textId="77777777" w:rsidR="00554459" w:rsidRDefault="00554459" w:rsidP="00554459">
      <w:pPr>
        <w:pStyle w:val="Style1"/>
        <w:tabs>
          <w:tab w:val="left" w:pos="1080"/>
          <w:tab w:val="left" w:pos="1440"/>
          <w:tab w:val="left" w:pos="1800"/>
          <w:tab w:val="left" w:pos="2160"/>
        </w:tabs>
        <w:ind w:left="1440" w:hanging="1440"/>
        <w:rPr>
          <w:lang w:val="en-CA"/>
        </w:rPr>
      </w:pPr>
    </w:p>
    <w:p w14:paraId="0FDBECF7" w14:textId="77777777" w:rsidR="00554459" w:rsidRDefault="00554459" w:rsidP="00554459">
      <w:pPr>
        <w:pStyle w:val="Header"/>
        <w:tabs>
          <w:tab w:val="clear" w:pos="4320"/>
          <w:tab w:val="clear" w:pos="8640"/>
          <w:tab w:val="left" w:pos="1100"/>
        </w:tabs>
        <w:ind w:left="1440"/>
        <w:jc w:val="both"/>
        <w:rPr>
          <w:sz w:val="22"/>
          <w:szCs w:val="22"/>
          <w:lang w:val="en-CA"/>
        </w:rPr>
      </w:pPr>
      <w:r w:rsidRPr="006322B9">
        <w:rPr>
          <w:sz w:val="22"/>
          <w:szCs w:val="22"/>
        </w:rPr>
        <w:t>The Company has a stock option plan whereby the maximum number of shares reserved for issue under the plan shall not exceed 10% of the outstanding common shares of the</w:t>
      </w:r>
      <w:r>
        <w:rPr>
          <w:sz w:val="22"/>
          <w:szCs w:val="22"/>
        </w:rPr>
        <w:t xml:space="preserve"> Company, as at the date of </w:t>
      </w:r>
      <w:r w:rsidRPr="006322B9">
        <w:rPr>
          <w:sz w:val="22"/>
          <w:szCs w:val="22"/>
        </w:rPr>
        <w:t xml:space="preserve">grant.  </w:t>
      </w:r>
      <w:r w:rsidRPr="00610E74">
        <w:rPr>
          <w:sz w:val="22"/>
          <w:szCs w:val="22"/>
        </w:rPr>
        <w:t xml:space="preserve">The exercise price of each option granted under the plan may not be less than the </w:t>
      </w:r>
      <w:r>
        <w:rPr>
          <w:sz w:val="22"/>
          <w:szCs w:val="22"/>
        </w:rPr>
        <w:t>m</w:t>
      </w:r>
      <w:r w:rsidRPr="00610E74">
        <w:rPr>
          <w:sz w:val="22"/>
          <w:szCs w:val="22"/>
        </w:rPr>
        <w:t xml:space="preserve">arket </w:t>
      </w:r>
      <w:r>
        <w:rPr>
          <w:sz w:val="22"/>
          <w:szCs w:val="22"/>
        </w:rPr>
        <w:t>p</w:t>
      </w:r>
      <w:r w:rsidRPr="00610E74">
        <w:rPr>
          <w:sz w:val="22"/>
          <w:szCs w:val="22"/>
        </w:rPr>
        <w:t>rice</w:t>
      </w:r>
      <w:r>
        <w:rPr>
          <w:sz w:val="22"/>
          <w:szCs w:val="22"/>
        </w:rPr>
        <w:t xml:space="preserve"> of the Company's stock as calculated on the date of grant less the applicable discount, subject to a minimum exercise price of $0.05</w:t>
      </w:r>
      <w:r w:rsidRPr="006322B9">
        <w:rPr>
          <w:sz w:val="22"/>
          <w:szCs w:val="22"/>
        </w:rPr>
        <w:t xml:space="preserve">.  </w:t>
      </w:r>
      <w:r w:rsidRPr="00610E74">
        <w:rPr>
          <w:sz w:val="22"/>
          <w:szCs w:val="22"/>
        </w:rPr>
        <w:t xml:space="preserve">Options may be granted for a maximum term of </w:t>
      </w:r>
      <w:r>
        <w:rPr>
          <w:sz w:val="22"/>
          <w:szCs w:val="22"/>
        </w:rPr>
        <w:t>five</w:t>
      </w:r>
      <w:r w:rsidRPr="00610E74">
        <w:rPr>
          <w:sz w:val="22"/>
          <w:szCs w:val="22"/>
        </w:rPr>
        <w:t xml:space="preserve"> years </w:t>
      </w:r>
      <w:r>
        <w:rPr>
          <w:sz w:val="22"/>
          <w:szCs w:val="22"/>
        </w:rPr>
        <w:t>and vesting periods are determined by the Board of Directors.</w:t>
      </w:r>
      <w:r w:rsidRPr="00610E74">
        <w:rPr>
          <w:sz w:val="22"/>
          <w:szCs w:val="22"/>
        </w:rPr>
        <w:t xml:space="preserve"> </w:t>
      </w:r>
      <w:r>
        <w:rPr>
          <w:sz w:val="22"/>
          <w:szCs w:val="22"/>
        </w:rPr>
        <w:t>Pursuant to the regulations of the CSE, stock options may be granted outside of the stock option plan</w:t>
      </w:r>
      <w:r w:rsidRPr="006322B9">
        <w:rPr>
          <w:sz w:val="22"/>
          <w:szCs w:val="22"/>
        </w:rPr>
        <w:t xml:space="preserve">.  </w:t>
      </w:r>
    </w:p>
    <w:p w14:paraId="031E89D7" w14:textId="77777777" w:rsidR="00554459" w:rsidRDefault="00554459" w:rsidP="00554459">
      <w:pPr>
        <w:pStyle w:val="Header"/>
        <w:tabs>
          <w:tab w:val="clear" w:pos="4320"/>
          <w:tab w:val="clear" w:pos="8640"/>
          <w:tab w:val="left" w:pos="1100"/>
        </w:tabs>
        <w:ind w:left="1440"/>
        <w:jc w:val="both"/>
        <w:rPr>
          <w:sz w:val="22"/>
          <w:szCs w:val="22"/>
          <w:lang w:val="en-CA"/>
        </w:rPr>
      </w:pPr>
    </w:p>
    <w:p w14:paraId="459AA2DF" w14:textId="77777777" w:rsidR="00554459" w:rsidRDefault="00554459" w:rsidP="00554459">
      <w:pPr>
        <w:pStyle w:val="Header"/>
        <w:tabs>
          <w:tab w:val="clear" w:pos="4320"/>
          <w:tab w:val="clear" w:pos="8640"/>
          <w:tab w:val="left" w:pos="1100"/>
        </w:tabs>
        <w:ind w:left="1440"/>
        <w:jc w:val="both"/>
        <w:rPr>
          <w:sz w:val="22"/>
          <w:szCs w:val="22"/>
          <w:lang w:val="en-CA"/>
        </w:rPr>
      </w:pPr>
      <w:r w:rsidRPr="00195BA3">
        <w:rPr>
          <w:sz w:val="22"/>
          <w:szCs w:val="22"/>
          <w:lang w:val="en-CA"/>
        </w:rPr>
        <w:t>The following is a summary of changes in share purchase options from July 31, 201</w:t>
      </w:r>
      <w:r>
        <w:rPr>
          <w:sz w:val="22"/>
          <w:szCs w:val="22"/>
          <w:lang w:val="en-CA"/>
        </w:rPr>
        <w:t>8</w:t>
      </w:r>
      <w:r w:rsidRPr="00195BA3">
        <w:rPr>
          <w:sz w:val="22"/>
          <w:szCs w:val="22"/>
          <w:lang w:val="en-CA"/>
        </w:rPr>
        <w:t xml:space="preserve"> to </w:t>
      </w:r>
      <w:r>
        <w:rPr>
          <w:sz w:val="22"/>
        </w:rPr>
        <w:t>October</w:t>
      </w:r>
      <w:r w:rsidRPr="00F04282">
        <w:rPr>
          <w:sz w:val="22"/>
        </w:rPr>
        <w:t xml:space="preserve"> 31, 2019</w:t>
      </w:r>
      <w:r w:rsidRPr="00F04282">
        <w:rPr>
          <w:sz w:val="22"/>
          <w:szCs w:val="22"/>
          <w:lang w:val="en-CA"/>
        </w:rPr>
        <w:t>:</w:t>
      </w:r>
    </w:p>
    <w:p w14:paraId="58670D78" w14:textId="77777777" w:rsidR="00554459" w:rsidRPr="00F04282" w:rsidRDefault="00554459" w:rsidP="00554459">
      <w:pPr>
        <w:pStyle w:val="Header"/>
        <w:tabs>
          <w:tab w:val="clear" w:pos="4320"/>
          <w:tab w:val="clear" w:pos="8640"/>
          <w:tab w:val="left" w:pos="1100"/>
        </w:tabs>
        <w:ind w:left="1440"/>
        <w:jc w:val="both"/>
        <w:rPr>
          <w:sz w:val="22"/>
          <w:szCs w:val="22"/>
          <w:lang w:val="en-CA"/>
        </w:rPr>
      </w:pPr>
    </w:p>
    <w:tbl>
      <w:tblPr>
        <w:tblW w:w="8289" w:type="dxa"/>
        <w:tblInd w:w="1422" w:type="dxa"/>
        <w:tblLayout w:type="fixed"/>
        <w:tblCellMar>
          <w:left w:w="72" w:type="dxa"/>
          <w:right w:w="72" w:type="dxa"/>
        </w:tblCellMar>
        <w:tblLook w:val="0000" w:firstRow="0" w:lastRow="0" w:firstColumn="0" w:lastColumn="0" w:noHBand="0" w:noVBand="0"/>
      </w:tblPr>
      <w:tblGrid>
        <w:gridCol w:w="4950"/>
        <w:gridCol w:w="1530"/>
        <w:gridCol w:w="1809"/>
      </w:tblGrid>
      <w:tr w:rsidR="00554459" w:rsidRPr="00F04282" w14:paraId="74EF3550" w14:textId="77777777" w:rsidTr="00495559">
        <w:trPr>
          <w:trHeight w:val="255"/>
        </w:trPr>
        <w:tc>
          <w:tcPr>
            <w:tcW w:w="4950" w:type="dxa"/>
          </w:tcPr>
          <w:p w14:paraId="047C97E1" w14:textId="77777777" w:rsidR="00554459" w:rsidRPr="00F04282" w:rsidRDefault="00554459" w:rsidP="00495559">
            <w:pPr>
              <w:tabs>
                <w:tab w:val="left" w:pos="1080"/>
              </w:tabs>
              <w:rPr>
                <w:sz w:val="22"/>
                <w:szCs w:val="22"/>
              </w:rPr>
            </w:pPr>
          </w:p>
        </w:tc>
        <w:tc>
          <w:tcPr>
            <w:tcW w:w="1530" w:type="dxa"/>
          </w:tcPr>
          <w:p w14:paraId="3ADB39B4" w14:textId="77777777" w:rsidR="00554459" w:rsidRPr="00F04282" w:rsidRDefault="00554459" w:rsidP="00495559">
            <w:pPr>
              <w:tabs>
                <w:tab w:val="left" w:pos="1080"/>
              </w:tabs>
              <w:jc w:val="center"/>
              <w:rPr>
                <w:sz w:val="22"/>
                <w:szCs w:val="22"/>
              </w:rPr>
            </w:pPr>
          </w:p>
        </w:tc>
        <w:tc>
          <w:tcPr>
            <w:tcW w:w="1809" w:type="dxa"/>
          </w:tcPr>
          <w:p w14:paraId="07417341" w14:textId="77777777" w:rsidR="00554459" w:rsidRPr="00F04282" w:rsidRDefault="00554459" w:rsidP="00495559">
            <w:pPr>
              <w:tabs>
                <w:tab w:val="left" w:pos="1080"/>
              </w:tabs>
              <w:jc w:val="center"/>
              <w:rPr>
                <w:sz w:val="22"/>
                <w:szCs w:val="22"/>
              </w:rPr>
            </w:pPr>
            <w:r w:rsidRPr="00F04282">
              <w:rPr>
                <w:sz w:val="22"/>
                <w:szCs w:val="22"/>
              </w:rPr>
              <w:t>Weighted Average</w:t>
            </w:r>
          </w:p>
        </w:tc>
      </w:tr>
      <w:tr w:rsidR="00554459" w:rsidRPr="00F04282" w14:paraId="0699A3B8" w14:textId="77777777" w:rsidTr="00495559">
        <w:trPr>
          <w:trHeight w:val="255"/>
        </w:trPr>
        <w:tc>
          <w:tcPr>
            <w:tcW w:w="4950" w:type="dxa"/>
          </w:tcPr>
          <w:p w14:paraId="17DD40D1" w14:textId="77777777" w:rsidR="00554459" w:rsidRPr="00F04282" w:rsidRDefault="00554459" w:rsidP="00495559">
            <w:pPr>
              <w:tabs>
                <w:tab w:val="left" w:pos="1080"/>
              </w:tabs>
              <w:rPr>
                <w:sz w:val="22"/>
                <w:szCs w:val="22"/>
              </w:rPr>
            </w:pPr>
          </w:p>
        </w:tc>
        <w:tc>
          <w:tcPr>
            <w:tcW w:w="1530" w:type="dxa"/>
          </w:tcPr>
          <w:p w14:paraId="1E0C440E" w14:textId="77777777" w:rsidR="00554459" w:rsidRPr="00F04282" w:rsidRDefault="00554459" w:rsidP="00495559">
            <w:pPr>
              <w:tabs>
                <w:tab w:val="left" w:pos="1080"/>
              </w:tabs>
              <w:jc w:val="center"/>
              <w:rPr>
                <w:sz w:val="22"/>
                <w:szCs w:val="22"/>
                <w:u w:val="single"/>
              </w:rPr>
            </w:pPr>
            <w:r w:rsidRPr="00F04282">
              <w:rPr>
                <w:sz w:val="22"/>
                <w:szCs w:val="22"/>
                <w:u w:val="single"/>
              </w:rPr>
              <w:t>Number</w:t>
            </w:r>
          </w:p>
        </w:tc>
        <w:tc>
          <w:tcPr>
            <w:tcW w:w="1809" w:type="dxa"/>
          </w:tcPr>
          <w:p w14:paraId="579B946B" w14:textId="77777777" w:rsidR="00554459" w:rsidRPr="00F04282" w:rsidRDefault="00554459" w:rsidP="00495559">
            <w:pPr>
              <w:tabs>
                <w:tab w:val="left" w:pos="1080"/>
              </w:tabs>
              <w:jc w:val="center"/>
              <w:rPr>
                <w:sz w:val="22"/>
                <w:szCs w:val="22"/>
                <w:u w:val="single"/>
              </w:rPr>
            </w:pPr>
            <w:r w:rsidRPr="00F04282">
              <w:rPr>
                <w:sz w:val="22"/>
                <w:szCs w:val="22"/>
                <w:u w:val="single"/>
              </w:rPr>
              <w:t>Exercise Price</w:t>
            </w:r>
          </w:p>
        </w:tc>
      </w:tr>
      <w:tr w:rsidR="00554459" w:rsidRPr="00F04282" w14:paraId="0E76FC87" w14:textId="77777777" w:rsidTr="00495559">
        <w:tblPrEx>
          <w:tblCellMar>
            <w:left w:w="108" w:type="dxa"/>
            <w:right w:w="108" w:type="dxa"/>
          </w:tblCellMar>
        </w:tblPrEx>
        <w:trPr>
          <w:trHeight w:val="255"/>
        </w:trPr>
        <w:tc>
          <w:tcPr>
            <w:tcW w:w="4950" w:type="dxa"/>
          </w:tcPr>
          <w:p w14:paraId="4F2A6AF6" w14:textId="77777777" w:rsidR="00554459" w:rsidRPr="00F04282" w:rsidRDefault="00554459" w:rsidP="00495559">
            <w:pPr>
              <w:pStyle w:val="Style1"/>
              <w:tabs>
                <w:tab w:val="left" w:pos="-108"/>
                <w:tab w:val="decimal" w:pos="1332"/>
              </w:tabs>
              <w:ind w:left="-18"/>
              <w:rPr>
                <w:szCs w:val="22"/>
              </w:rPr>
            </w:pPr>
          </w:p>
        </w:tc>
        <w:tc>
          <w:tcPr>
            <w:tcW w:w="1530" w:type="dxa"/>
          </w:tcPr>
          <w:p w14:paraId="29564426" w14:textId="77777777" w:rsidR="00554459" w:rsidRPr="00F04282" w:rsidRDefault="00554459" w:rsidP="00495559">
            <w:pPr>
              <w:pStyle w:val="Style1"/>
              <w:tabs>
                <w:tab w:val="left" w:pos="-18"/>
                <w:tab w:val="decimal" w:pos="1242"/>
              </w:tabs>
              <w:ind w:right="-18"/>
              <w:rPr>
                <w:szCs w:val="22"/>
              </w:rPr>
            </w:pPr>
          </w:p>
        </w:tc>
        <w:tc>
          <w:tcPr>
            <w:tcW w:w="1809" w:type="dxa"/>
          </w:tcPr>
          <w:p w14:paraId="6D81250B" w14:textId="77777777" w:rsidR="00554459" w:rsidRPr="00F04282" w:rsidRDefault="00554459" w:rsidP="00495559">
            <w:pPr>
              <w:pStyle w:val="Style1"/>
              <w:tabs>
                <w:tab w:val="left" w:pos="-108"/>
                <w:tab w:val="decimal" w:pos="792"/>
              </w:tabs>
              <w:jc w:val="left"/>
              <w:rPr>
                <w:szCs w:val="22"/>
              </w:rPr>
            </w:pPr>
          </w:p>
        </w:tc>
      </w:tr>
      <w:tr w:rsidR="00554459" w:rsidRPr="00F04282" w14:paraId="6D64952C" w14:textId="77777777" w:rsidTr="00495559">
        <w:tblPrEx>
          <w:tblCellMar>
            <w:left w:w="108" w:type="dxa"/>
            <w:right w:w="108" w:type="dxa"/>
          </w:tblCellMar>
        </w:tblPrEx>
        <w:trPr>
          <w:trHeight w:val="100"/>
        </w:trPr>
        <w:tc>
          <w:tcPr>
            <w:tcW w:w="4950" w:type="dxa"/>
          </w:tcPr>
          <w:p w14:paraId="05C27F51" w14:textId="77777777" w:rsidR="00554459" w:rsidRPr="00F04282" w:rsidRDefault="00554459" w:rsidP="00495559">
            <w:pPr>
              <w:pStyle w:val="Style1"/>
              <w:tabs>
                <w:tab w:val="left" w:pos="-108"/>
                <w:tab w:val="decimal" w:pos="1332"/>
              </w:tabs>
              <w:ind w:left="-18"/>
              <w:rPr>
                <w:szCs w:val="22"/>
              </w:rPr>
            </w:pPr>
            <w:r w:rsidRPr="00F04282">
              <w:rPr>
                <w:szCs w:val="22"/>
              </w:rPr>
              <w:t>Outstanding and exercisable, July 31, 2018</w:t>
            </w:r>
          </w:p>
        </w:tc>
        <w:tc>
          <w:tcPr>
            <w:tcW w:w="1530" w:type="dxa"/>
          </w:tcPr>
          <w:p w14:paraId="119B09B7" w14:textId="77777777" w:rsidR="00554459" w:rsidRPr="00F04282" w:rsidRDefault="00554459" w:rsidP="00495559">
            <w:pPr>
              <w:pStyle w:val="Style1"/>
              <w:tabs>
                <w:tab w:val="left" w:pos="-18"/>
                <w:tab w:val="decimal" w:pos="1242"/>
              </w:tabs>
              <w:ind w:right="-18"/>
              <w:rPr>
                <w:szCs w:val="22"/>
              </w:rPr>
            </w:pPr>
            <w:r w:rsidRPr="00F04282">
              <w:rPr>
                <w:szCs w:val="22"/>
              </w:rPr>
              <w:tab/>
              <w:t>2,329,775</w:t>
            </w:r>
          </w:p>
        </w:tc>
        <w:tc>
          <w:tcPr>
            <w:tcW w:w="1809" w:type="dxa"/>
          </w:tcPr>
          <w:p w14:paraId="03D0694E" w14:textId="77777777" w:rsidR="00554459" w:rsidRPr="00F04282" w:rsidRDefault="00554459" w:rsidP="00495559">
            <w:pPr>
              <w:pStyle w:val="Style1"/>
              <w:tabs>
                <w:tab w:val="left" w:pos="-108"/>
                <w:tab w:val="decimal" w:pos="792"/>
              </w:tabs>
              <w:jc w:val="left"/>
              <w:rPr>
                <w:szCs w:val="22"/>
              </w:rPr>
            </w:pPr>
            <w:r w:rsidRPr="00F04282">
              <w:rPr>
                <w:szCs w:val="22"/>
              </w:rPr>
              <w:tab/>
              <w:t>$0.27</w:t>
            </w:r>
          </w:p>
        </w:tc>
      </w:tr>
      <w:tr w:rsidR="00554459" w:rsidRPr="00F04282" w14:paraId="1864EA4A" w14:textId="77777777" w:rsidTr="00495559">
        <w:tblPrEx>
          <w:tblCellMar>
            <w:left w:w="108" w:type="dxa"/>
            <w:right w:w="108" w:type="dxa"/>
          </w:tblCellMar>
        </w:tblPrEx>
        <w:trPr>
          <w:trHeight w:val="255"/>
        </w:trPr>
        <w:tc>
          <w:tcPr>
            <w:tcW w:w="4950" w:type="dxa"/>
          </w:tcPr>
          <w:p w14:paraId="46BBAFE5" w14:textId="77777777" w:rsidR="00554459" w:rsidRPr="00F04282" w:rsidRDefault="00554459" w:rsidP="00495559">
            <w:pPr>
              <w:pStyle w:val="Style1"/>
              <w:tabs>
                <w:tab w:val="left" w:pos="-108"/>
                <w:tab w:val="decimal" w:pos="1332"/>
              </w:tabs>
              <w:ind w:left="-18"/>
              <w:rPr>
                <w:szCs w:val="22"/>
              </w:rPr>
            </w:pPr>
            <w:r w:rsidRPr="00F04282">
              <w:rPr>
                <w:szCs w:val="22"/>
              </w:rPr>
              <w:t>Expired</w:t>
            </w:r>
          </w:p>
        </w:tc>
        <w:tc>
          <w:tcPr>
            <w:tcW w:w="1530" w:type="dxa"/>
            <w:tcBorders>
              <w:bottom w:val="single" w:sz="4" w:space="0" w:color="auto"/>
            </w:tcBorders>
          </w:tcPr>
          <w:p w14:paraId="2957C839" w14:textId="77777777" w:rsidR="00554459" w:rsidRPr="00F04282" w:rsidRDefault="00554459" w:rsidP="00495559">
            <w:pPr>
              <w:pStyle w:val="Style1"/>
              <w:tabs>
                <w:tab w:val="left" w:pos="-18"/>
                <w:tab w:val="decimal" w:pos="1242"/>
              </w:tabs>
              <w:ind w:right="-18"/>
              <w:rPr>
                <w:szCs w:val="22"/>
              </w:rPr>
            </w:pPr>
            <w:r w:rsidRPr="00F04282">
              <w:rPr>
                <w:szCs w:val="22"/>
              </w:rPr>
              <w:tab/>
              <w:t>(2,329,775)</w:t>
            </w:r>
          </w:p>
        </w:tc>
        <w:tc>
          <w:tcPr>
            <w:tcW w:w="1809" w:type="dxa"/>
          </w:tcPr>
          <w:p w14:paraId="27A8F8FE" w14:textId="77777777" w:rsidR="00554459" w:rsidRPr="00F04282" w:rsidRDefault="00554459" w:rsidP="00495559">
            <w:pPr>
              <w:pStyle w:val="Style1"/>
              <w:tabs>
                <w:tab w:val="left" w:pos="-108"/>
                <w:tab w:val="decimal" w:pos="792"/>
              </w:tabs>
              <w:jc w:val="left"/>
              <w:rPr>
                <w:szCs w:val="22"/>
              </w:rPr>
            </w:pPr>
            <w:r w:rsidRPr="00F04282">
              <w:rPr>
                <w:szCs w:val="22"/>
              </w:rPr>
              <w:tab/>
              <w:t>$0.27</w:t>
            </w:r>
          </w:p>
        </w:tc>
      </w:tr>
      <w:tr w:rsidR="00554459" w:rsidRPr="00F04282" w14:paraId="7CFC0BE6" w14:textId="77777777" w:rsidTr="00495559">
        <w:tblPrEx>
          <w:tblCellMar>
            <w:left w:w="108" w:type="dxa"/>
            <w:right w:w="108" w:type="dxa"/>
          </w:tblCellMar>
        </w:tblPrEx>
        <w:trPr>
          <w:trHeight w:val="255"/>
        </w:trPr>
        <w:tc>
          <w:tcPr>
            <w:tcW w:w="4950" w:type="dxa"/>
          </w:tcPr>
          <w:p w14:paraId="727CCD54" w14:textId="3FED8313" w:rsidR="00A7014C" w:rsidRPr="00F04282" w:rsidRDefault="00554459" w:rsidP="00A7014C">
            <w:pPr>
              <w:pStyle w:val="Style1"/>
              <w:tabs>
                <w:tab w:val="left" w:pos="-108"/>
                <w:tab w:val="decimal" w:pos="1332"/>
              </w:tabs>
              <w:ind w:left="-18"/>
              <w:rPr>
                <w:szCs w:val="22"/>
              </w:rPr>
            </w:pPr>
            <w:r w:rsidRPr="00F04282">
              <w:rPr>
                <w:szCs w:val="22"/>
              </w:rPr>
              <w:t>Outstanding and exercisable, July 31, 2019</w:t>
            </w:r>
            <w:r>
              <w:rPr>
                <w:szCs w:val="22"/>
              </w:rPr>
              <w:t xml:space="preserve"> and October 31, 2019</w:t>
            </w:r>
          </w:p>
        </w:tc>
        <w:tc>
          <w:tcPr>
            <w:tcW w:w="1530" w:type="dxa"/>
            <w:tcBorders>
              <w:top w:val="single" w:sz="4" w:space="0" w:color="auto"/>
              <w:bottom w:val="double" w:sz="4" w:space="0" w:color="auto"/>
            </w:tcBorders>
          </w:tcPr>
          <w:p w14:paraId="38DE156A" w14:textId="77777777" w:rsidR="00554459" w:rsidRPr="00F04282" w:rsidRDefault="00554459" w:rsidP="00495559">
            <w:pPr>
              <w:pStyle w:val="Style1"/>
              <w:tabs>
                <w:tab w:val="left" w:pos="-18"/>
                <w:tab w:val="decimal" w:pos="1242"/>
              </w:tabs>
              <w:ind w:right="-18"/>
              <w:rPr>
                <w:szCs w:val="22"/>
              </w:rPr>
            </w:pPr>
            <w:r w:rsidRPr="00F04282">
              <w:rPr>
                <w:szCs w:val="22"/>
              </w:rPr>
              <w:tab/>
              <w:t>-</w:t>
            </w:r>
          </w:p>
        </w:tc>
        <w:tc>
          <w:tcPr>
            <w:tcW w:w="1809" w:type="dxa"/>
          </w:tcPr>
          <w:p w14:paraId="3AE84DC3" w14:textId="57F1E7E0" w:rsidR="006679AF" w:rsidRPr="00F04282" w:rsidRDefault="00554459" w:rsidP="00A3128A">
            <w:pPr>
              <w:pStyle w:val="Style1"/>
              <w:tabs>
                <w:tab w:val="left" w:pos="-108"/>
                <w:tab w:val="decimal" w:pos="792"/>
              </w:tabs>
              <w:jc w:val="center"/>
              <w:rPr>
                <w:szCs w:val="22"/>
              </w:rPr>
            </w:pPr>
            <w:r w:rsidRPr="00F04282">
              <w:rPr>
                <w:szCs w:val="22"/>
              </w:rPr>
              <w:t>$Nil</w:t>
            </w:r>
          </w:p>
        </w:tc>
      </w:tr>
    </w:tbl>
    <w:p w14:paraId="67F368D4" w14:textId="77777777" w:rsidR="00A7014C" w:rsidRDefault="00A7014C" w:rsidP="00A7014C">
      <w:pPr>
        <w:pStyle w:val="Header"/>
        <w:tabs>
          <w:tab w:val="clear" w:pos="4320"/>
          <w:tab w:val="clear" w:pos="8640"/>
          <w:tab w:val="left" w:pos="1100"/>
        </w:tabs>
        <w:ind w:left="1440"/>
        <w:jc w:val="both"/>
        <w:rPr>
          <w:b/>
          <w:sz w:val="22"/>
          <w:lang w:val="en-CA"/>
        </w:rPr>
        <w:sectPr w:rsidR="00A7014C">
          <w:headerReference w:type="default" r:id="rId21"/>
          <w:pgSz w:w="12240" w:h="15840" w:code="1"/>
          <w:pgMar w:top="1440" w:right="1440" w:bottom="1440" w:left="1440" w:header="720" w:footer="936" w:gutter="0"/>
          <w:pgNumType w:start="1"/>
          <w:cols w:space="720"/>
        </w:sectPr>
      </w:pPr>
    </w:p>
    <w:p w14:paraId="15CA3B35" w14:textId="1A3E6D4A" w:rsidR="00A7014C" w:rsidRDefault="00A7014C" w:rsidP="00A7014C">
      <w:pPr>
        <w:pStyle w:val="Header"/>
        <w:tabs>
          <w:tab w:val="clear" w:pos="4320"/>
          <w:tab w:val="clear" w:pos="8640"/>
          <w:tab w:val="left" w:pos="1100"/>
        </w:tabs>
        <w:ind w:left="1440"/>
        <w:jc w:val="both"/>
        <w:rPr>
          <w:b/>
          <w:sz w:val="22"/>
          <w:lang w:val="en-CA"/>
        </w:rPr>
      </w:pPr>
    </w:p>
    <w:p w14:paraId="028B368E" w14:textId="77777777" w:rsidR="00554459" w:rsidRPr="00A7014C" w:rsidRDefault="00554459" w:rsidP="00367723">
      <w:pPr>
        <w:pStyle w:val="Header"/>
        <w:numPr>
          <w:ilvl w:val="0"/>
          <w:numId w:val="19"/>
        </w:numPr>
        <w:tabs>
          <w:tab w:val="clear" w:pos="4320"/>
          <w:tab w:val="clear" w:pos="8640"/>
          <w:tab w:val="left" w:pos="1100"/>
        </w:tabs>
        <w:ind w:left="1440" w:hanging="1080"/>
        <w:jc w:val="both"/>
        <w:rPr>
          <w:b/>
          <w:sz w:val="22"/>
          <w:lang w:val="en-CA"/>
        </w:rPr>
      </w:pPr>
      <w:r w:rsidRPr="00A7014C">
        <w:rPr>
          <w:b/>
          <w:sz w:val="22"/>
          <w:lang w:val="en-CA"/>
        </w:rPr>
        <w:t>LOSS PER SHARE</w:t>
      </w:r>
    </w:p>
    <w:p w14:paraId="31B8A9B2" w14:textId="77777777" w:rsidR="00554459" w:rsidRPr="00D453A7" w:rsidRDefault="00554459" w:rsidP="00554459">
      <w:pPr>
        <w:pStyle w:val="Header"/>
        <w:tabs>
          <w:tab w:val="clear" w:pos="4320"/>
          <w:tab w:val="clear" w:pos="8640"/>
          <w:tab w:val="left" w:pos="1100"/>
        </w:tabs>
        <w:ind w:left="1134"/>
        <w:jc w:val="both"/>
        <w:rPr>
          <w:sz w:val="22"/>
          <w:lang w:val="en-CA"/>
        </w:rPr>
      </w:pPr>
    </w:p>
    <w:p w14:paraId="1452EFC8" w14:textId="77777777" w:rsidR="00554459" w:rsidRPr="00D453A7" w:rsidRDefault="00554459" w:rsidP="00554459">
      <w:pPr>
        <w:pStyle w:val="Header"/>
        <w:tabs>
          <w:tab w:val="clear" w:pos="4320"/>
          <w:tab w:val="clear" w:pos="8640"/>
          <w:tab w:val="left" w:pos="1100"/>
        </w:tabs>
        <w:ind w:left="360"/>
        <w:rPr>
          <w:sz w:val="22"/>
          <w:szCs w:val="22"/>
          <w:lang w:val="en-CA"/>
        </w:rPr>
      </w:pPr>
      <w:r w:rsidRPr="00D453A7">
        <w:rPr>
          <w:sz w:val="22"/>
          <w:szCs w:val="22"/>
          <w:lang w:val="en-CA"/>
        </w:rPr>
        <w:tab/>
        <w:t>The calculation of basic and diluted loss per share was based on the following data:</w:t>
      </w:r>
      <w:r w:rsidRPr="00D453A7">
        <w:rPr>
          <w:sz w:val="22"/>
          <w:szCs w:val="22"/>
          <w:lang w:val="en-CA"/>
        </w:rPr>
        <w:tab/>
      </w:r>
    </w:p>
    <w:p w14:paraId="4CC5752B" w14:textId="77777777" w:rsidR="00554459" w:rsidRPr="00D453A7" w:rsidRDefault="00554459" w:rsidP="00554459">
      <w:pPr>
        <w:pStyle w:val="Header"/>
        <w:tabs>
          <w:tab w:val="clear" w:pos="4320"/>
          <w:tab w:val="clear" w:pos="8640"/>
          <w:tab w:val="left" w:pos="1100"/>
        </w:tabs>
        <w:ind w:left="360"/>
        <w:rPr>
          <w:sz w:val="22"/>
          <w:szCs w:val="22"/>
          <w:lang w:val="en-CA"/>
        </w:rPr>
      </w:pPr>
    </w:p>
    <w:tbl>
      <w:tblPr>
        <w:tblW w:w="8478" w:type="dxa"/>
        <w:tblInd w:w="1242" w:type="dxa"/>
        <w:tblLayout w:type="fixed"/>
        <w:tblLook w:val="01E0" w:firstRow="1" w:lastRow="1" w:firstColumn="1" w:lastColumn="1" w:noHBand="0" w:noVBand="0"/>
      </w:tblPr>
      <w:tblGrid>
        <w:gridCol w:w="5245"/>
        <w:gridCol w:w="1701"/>
        <w:gridCol w:w="1532"/>
      </w:tblGrid>
      <w:tr w:rsidR="00554459" w:rsidRPr="00606832" w14:paraId="4BBB9C4C" w14:textId="77777777" w:rsidTr="00495559">
        <w:trPr>
          <w:trHeight w:val="255"/>
        </w:trPr>
        <w:tc>
          <w:tcPr>
            <w:tcW w:w="5245" w:type="dxa"/>
          </w:tcPr>
          <w:p w14:paraId="4E2CBE39" w14:textId="77777777" w:rsidR="00554459" w:rsidRPr="00D453A7" w:rsidRDefault="00554459" w:rsidP="00495559">
            <w:pPr>
              <w:tabs>
                <w:tab w:val="left" w:pos="1080"/>
              </w:tabs>
              <w:jc w:val="both"/>
              <w:rPr>
                <w:sz w:val="22"/>
              </w:rPr>
            </w:pPr>
          </w:p>
        </w:tc>
        <w:tc>
          <w:tcPr>
            <w:tcW w:w="3233" w:type="dxa"/>
            <w:gridSpan w:val="2"/>
          </w:tcPr>
          <w:p w14:paraId="258A751D" w14:textId="77777777" w:rsidR="00554459" w:rsidRPr="00606832" w:rsidRDefault="00554459" w:rsidP="00495559">
            <w:pPr>
              <w:tabs>
                <w:tab w:val="left" w:pos="1080"/>
              </w:tabs>
              <w:jc w:val="right"/>
              <w:rPr>
                <w:sz w:val="22"/>
              </w:rPr>
            </w:pPr>
            <w:r>
              <w:rPr>
                <w:sz w:val="22"/>
                <w:szCs w:val="22"/>
                <w:lang w:val="en-CA"/>
              </w:rPr>
              <w:t>Th</w:t>
            </w:r>
            <w:r w:rsidRPr="00F04282">
              <w:rPr>
                <w:sz w:val="22"/>
                <w:szCs w:val="22"/>
                <w:lang w:val="en-CA"/>
              </w:rPr>
              <w:t>r</w:t>
            </w:r>
            <w:r>
              <w:rPr>
                <w:sz w:val="22"/>
                <w:szCs w:val="22"/>
                <w:lang w:val="en-CA"/>
              </w:rPr>
              <w:t>ee months</w:t>
            </w:r>
            <w:r w:rsidRPr="00F04282">
              <w:rPr>
                <w:sz w:val="22"/>
                <w:szCs w:val="22"/>
                <w:lang w:val="en-CA"/>
              </w:rPr>
              <w:t xml:space="preserve"> ended </w:t>
            </w:r>
            <w:r>
              <w:rPr>
                <w:sz w:val="22"/>
                <w:szCs w:val="22"/>
                <w:lang w:val="en-CA"/>
              </w:rPr>
              <w:t>October</w:t>
            </w:r>
            <w:r w:rsidRPr="00F04282">
              <w:rPr>
                <w:sz w:val="22"/>
                <w:szCs w:val="22"/>
                <w:lang w:val="en-CA"/>
              </w:rPr>
              <w:t xml:space="preserve"> 31</w:t>
            </w:r>
            <w:r w:rsidRPr="00F04282">
              <w:rPr>
                <w:sz w:val="22"/>
              </w:rPr>
              <w:t>,</w:t>
            </w:r>
            <w:r w:rsidRPr="00606832">
              <w:rPr>
                <w:sz w:val="22"/>
              </w:rPr>
              <w:t xml:space="preserve"> </w:t>
            </w:r>
          </w:p>
        </w:tc>
      </w:tr>
      <w:tr w:rsidR="00554459" w:rsidRPr="009F17E3" w14:paraId="1C3D224C" w14:textId="77777777" w:rsidTr="00495559">
        <w:trPr>
          <w:trHeight w:val="255"/>
        </w:trPr>
        <w:tc>
          <w:tcPr>
            <w:tcW w:w="5245" w:type="dxa"/>
          </w:tcPr>
          <w:p w14:paraId="7767E360" w14:textId="77777777" w:rsidR="00554459" w:rsidRPr="00D64661" w:rsidRDefault="00554459" w:rsidP="00495559">
            <w:pPr>
              <w:tabs>
                <w:tab w:val="left" w:pos="1080"/>
              </w:tabs>
              <w:jc w:val="both"/>
              <w:rPr>
                <w:sz w:val="22"/>
              </w:rPr>
            </w:pPr>
          </w:p>
        </w:tc>
        <w:tc>
          <w:tcPr>
            <w:tcW w:w="1701" w:type="dxa"/>
          </w:tcPr>
          <w:p w14:paraId="678ADCEC" w14:textId="77777777" w:rsidR="00554459" w:rsidRPr="00D64661" w:rsidRDefault="00554459" w:rsidP="00495559">
            <w:pPr>
              <w:tabs>
                <w:tab w:val="left" w:pos="1080"/>
              </w:tabs>
              <w:jc w:val="right"/>
              <w:rPr>
                <w:sz w:val="22"/>
                <w:u w:val="single"/>
              </w:rPr>
            </w:pPr>
            <w:r w:rsidRPr="00D64661">
              <w:rPr>
                <w:sz w:val="22"/>
                <w:u w:val="single"/>
              </w:rPr>
              <w:t>201</w:t>
            </w:r>
            <w:r>
              <w:rPr>
                <w:sz w:val="22"/>
                <w:u w:val="single"/>
              </w:rPr>
              <w:t>9</w:t>
            </w:r>
          </w:p>
        </w:tc>
        <w:tc>
          <w:tcPr>
            <w:tcW w:w="1532" w:type="dxa"/>
          </w:tcPr>
          <w:p w14:paraId="554A3E19" w14:textId="77777777" w:rsidR="00554459" w:rsidRPr="0069036B" w:rsidRDefault="00554459" w:rsidP="00495559">
            <w:pPr>
              <w:tabs>
                <w:tab w:val="left" w:pos="1080"/>
              </w:tabs>
              <w:jc w:val="right"/>
              <w:rPr>
                <w:sz w:val="22"/>
                <w:u w:val="single"/>
              </w:rPr>
            </w:pPr>
            <w:r w:rsidRPr="00D64661">
              <w:rPr>
                <w:sz w:val="22"/>
                <w:u w:val="single"/>
              </w:rPr>
              <w:t>201</w:t>
            </w:r>
            <w:r>
              <w:rPr>
                <w:sz w:val="22"/>
                <w:u w:val="single"/>
              </w:rPr>
              <w:t>8</w:t>
            </w:r>
          </w:p>
        </w:tc>
      </w:tr>
      <w:tr w:rsidR="00554459" w:rsidRPr="009A0425" w14:paraId="63771CB7" w14:textId="77777777" w:rsidTr="00495559">
        <w:trPr>
          <w:trHeight w:val="255"/>
        </w:trPr>
        <w:tc>
          <w:tcPr>
            <w:tcW w:w="5245" w:type="dxa"/>
          </w:tcPr>
          <w:p w14:paraId="70596F95" w14:textId="77777777" w:rsidR="00554459" w:rsidRPr="009A0425" w:rsidRDefault="00554459" w:rsidP="00495559">
            <w:pPr>
              <w:tabs>
                <w:tab w:val="left" w:pos="1080"/>
              </w:tabs>
              <w:jc w:val="both"/>
              <w:rPr>
                <w:sz w:val="22"/>
              </w:rPr>
            </w:pPr>
          </w:p>
        </w:tc>
        <w:tc>
          <w:tcPr>
            <w:tcW w:w="1701" w:type="dxa"/>
          </w:tcPr>
          <w:p w14:paraId="321AAD40" w14:textId="77777777" w:rsidR="00554459" w:rsidRPr="0069036B" w:rsidRDefault="00554459" w:rsidP="00495559">
            <w:pPr>
              <w:tabs>
                <w:tab w:val="left" w:pos="1080"/>
              </w:tabs>
              <w:jc w:val="right"/>
              <w:rPr>
                <w:sz w:val="22"/>
              </w:rPr>
            </w:pPr>
          </w:p>
        </w:tc>
        <w:tc>
          <w:tcPr>
            <w:tcW w:w="1532" w:type="dxa"/>
          </w:tcPr>
          <w:p w14:paraId="44754F7C" w14:textId="77777777" w:rsidR="00554459" w:rsidRPr="0069036B" w:rsidRDefault="00554459" w:rsidP="00495559">
            <w:pPr>
              <w:tabs>
                <w:tab w:val="left" w:pos="1080"/>
              </w:tabs>
              <w:jc w:val="right"/>
              <w:rPr>
                <w:sz w:val="22"/>
              </w:rPr>
            </w:pPr>
          </w:p>
        </w:tc>
      </w:tr>
      <w:tr w:rsidR="00554459" w14:paraId="6FBF418F" w14:textId="77777777" w:rsidTr="00495559">
        <w:trPr>
          <w:trHeight w:val="255"/>
        </w:trPr>
        <w:tc>
          <w:tcPr>
            <w:tcW w:w="5245" w:type="dxa"/>
          </w:tcPr>
          <w:p w14:paraId="6B957C0F" w14:textId="77777777" w:rsidR="00554459" w:rsidRPr="00D21633" w:rsidRDefault="00554459" w:rsidP="00495559">
            <w:pPr>
              <w:autoSpaceDE w:val="0"/>
              <w:autoSpaceDN w:val="0"/>
              <w:adjustRightInd w:val="0"/>
              <w:jc w:val="both"/>
              <w:rPr>
                <w:bCs/>
                <w:iCs/>
                <w:sz w:val="22"/>
                <w:szCs w:val="22"/>
              </w:rPr>
            </w:pPr>
            <w:r>
              <w:rPr>
                <w:bCs/>
                <w:iCs/>
                <w:sz w:val="22"/>
                <w:szCs w:val="22"/>
              </w:rPr>
              <w:t>Loss</w:t>
            </w:r>
          </w:p>
        </w:tc>
        <w:tc>
          <w:tcPr>
            <w:tcW w:w="1701" w:type="dxa"/>
            <w:tcBorders>
              <w:bottom w:val="double" w:sz="4" w:space="0" w:color="auto"/>
            </w:tcBorders>
          </w:tcPr>
          <w:p w14:paraId="60C534A6" w14:textId="77777777" w:rsidR="00554459" w:rsidRPr="0069036B" w:rsidRDefault="00554459" w:rsidP="00495559">
            <w:pPr>
              <w:tabs>
                <w:tab w:val="left" w:pos="0"/>
                <w:tab w:val="decimal" w:pos="1242"/>
              </w:tabs>
              <w:jc w:val="right"/>
              <w:rPr>
                <w:sz w:val="22"/>
              </w:rPr>
            </w:pPr>
            <w:r w:rsidRPr="0069036B">
              <w:rPr>
                <w:sz w:val="22"/>
              </w:rPr>
              <w:t>$</w:t>
            </w:r>
            <w:r w:rsidRPr="0069036B">
              <w:rPr>
                <w:sz w:val="22"/>
              </w:rPr>
              <w:tab/>
            </w:r>
            <w:r>
              <w:rPr>
                <w:sz w:val="22"/>
              </w:rPr>
              <w:t>(100,054)</w:t>
            </w:r>
          </w:p>
        </w:tc>
        <w:tc>
          <w:tcPr>
            <w:tcW w:w="1532" w:type="dxa"/>
            <w:tcBorders>
              <w:bottom w:val="double" w:sz="4" w:space="0" w:color="auto"/>
            </w:tcBorders>
          </w:tcPr>
          <w:p w14:paraId="08819F0C" w14:textId="77777777" w:rsidR="00554459" w:rsidRPr="0069036B" w:rsidRDefault="00554459" w:rsidP="00495559">
            <w:pPr>
              <w:tabs>
                <w:tab w:val="left" w:pos="0"/>
                <w:tab w:val="decimal" w:pos="1242"/>
              </w:tabs>
              <w:jc w:val="right"/>
              <w:rPr>
                <w:sz w:val="22"/>
              </w:rPr>
            </w:pPr>
            <w:r w:rsidRPr="0069036B">
              <w:rPr>
                <w:sz w:val="22"/>
              </w:rPr>
              <w:t>$</w:t>
            </w:r>
            <w:r w:rsidRPr="0069036B">
              <w:rPr>
                <w:sz w:val="22"/>
              </w:rPr>
              <w:tab/>
            </w:r>
            <w:r>
              <w:rPr>
                <w:sz w:val="22"/>
              </w:rPr>
              <w:t>(155,362)</w:t>
            </w:r>
          </w:p>
        </w:tc>
      </w:tr>
      <w:tr w:rsidR="00554459" w14:paraId="22B61608" w14:textId="77777777" w:rsidTr="00495559">
        <w:trPr>
          <w:trHeight w:val="255"/>
        </w:trPr>
        <w:tc>
          <w:tcPr>
            <w:tcW w:w="5245" w:type="dxa"/>
          </w:tcPr>
          <w:p w14:paraId="1742FF9E" w14:textId="77777777" w:rsidR="00554459" w:rsidRDefault="00554459" w:rsidP="00495559">
            <w:pPr>
              <w:autoSpaceDE w:val="0"/>
              <w:autoSpaceDN w:val="0"/>
              <w:adjustRightInd w:val="0"/>
              <w:jc w:val="both"/>
              <w:rPr>
                <w:bCs/>
                <w:iCs/>
                <w:sz w:val="22"/>
                <w:szCs w:val="22"/>
              </w:rPr>
            </w:pPr>
          </w:p>
        </w:tc>
        <w:tc>
          <w:tcPr>
            <w:tcW w:w="1701" w:type="dxa"/>
            <w:tcBorders>
              <w:top w:val="double" w:sz="4" w:space="0" w:color="auto"/>
            </w:tcBorders>
          </w:tcPr>
          <w:p w14:paraId="0054FCD6" w14:textId="77777777" w:rsidR="00554459" w:rsidRPr="0069036B" w:rsidRDefault="00554459" w:rsidP="00495559">
            <w:pPr>
              <w:tabs>
                <w:tab w:val="left" w:pos="0"/>
                <w:tab w:val="decimal" w:pos="1242"/>
              </w:tabs>
              <w:jc w:val="right"/>
              <w:rPr>
                <w:sz w:val="22"/>
              </w:rPr>
            </w:pPr>
          </w:p>
        </w:tc>
        <w:tc>
          <w:tcPr>
            <w:tcW w:w="1532" w:type="dxa"/>
            <w:tcBorders>
              <w:top w:val="double" w:sz="4" w:space="0" w:color="auto"/>
            </w:tcBorders>
          </w:tcPr>
          <w:p w14:paraId="57744634" w14:textId="77777777" w:rsidR="00554459" w:rsidRPr="0069036B" w:rsidRDefault="00554459" w:rsidP="00495559">
            <w:pPr>
              <w:tabs>
                <w:tab w:val="left" w:pos="0"/>
                <w:tab w:val="decimal" w:pos="1242"/>
              </w:tabs>
              <w:jc w:val="right"/>
              <w:rPr>
                <w:sz w:val="22"/>
              </w:rPr>
            </w:pPr>
          </w:p>
        </w:tc>
      </w:tr>
      <w:tr w:rsidR="00554459" w14:paraId="12440189" w14:textId="77777777" w:rsidTr="00495559">
        <w:trPr>
          <w:trHeight w:val="255"/>
        </w:trPr>
        <w:tc>
          <w:tcPr>
            <w:tcW w:w="5245" w:type="dxa"/>
          </w:tcPr>
          <w:p w14:paraId="3E77EA4D" w14:textId="77777777" w:rsidR="00554459" w:rsidRDefault="00554459" w:rsidP="00495559">
            <w:pPr>
              <w:autoSpaceDE w:val="0"/>
              <w:autoSpaceDN w:val="0"/>
              <w:adjustRightInd w:val="0"/>
              <w:jc w:val="both"/>
              <w:rPr>
                <w:bCs/>
                <w:iCs/>
                <w:sz w:val="22"/>
                <w:szCs w:val="22"/>
              </w:rPr>
            </w:pPr>
            <w:r>
              <w:rPr>
                <w:bCs/>
                <w:iCs/>
                <w:sz w:val="22"/>
                <w:szCs w:val="22"/>
              </w:rPr>
              <w:t xml:space="preserve">Weighted average number of common shares for the </w:t>
            </w:r>
          </w:p>
        </w:tc>
        <w:tc>
          <w:tcPr>
            <w:tcW w:w="1701" w:type="dxa"/>
          </w:tcPr>
          <w:p w14:paraId="19646B0F" w14:textId="77777777" w:rsidR="00554459" w:rsidRPr="0069036B" w:rsidRDefault="00554459" w:rsidP="00495559">
            <w:pPr>
              <w:tabs>
                <w:tab w:val="left" w:pos="0"/>
                <w:tab w:val="decimal" w:pos="1242"/>
              </w:tabs>
              <w:jc w:val="right"/>
              <w:rPr>
                <w:sz w:val="22"/>
              </w:rPr>
            </w:pPr>
          </w:p>
        </w:tc>
        <w:tc>
          <w:tcPr>
            <w:tcW w:w="1532" w:type="dxa"/>
          </w:tcPr>
          <w:p w14:paraId="3C6BE52F" w14:textId="77777777" w:rsidR="00554459" w:rsidRPr="0069036B" w:rsidRDefault="00554459" w:rsidP="00495559">
            <w:pPr>
              <w:tabs>
                <w:tab w:val="left" w:pos="0"/>
                <w:tab w:val="decimal" w:pos="1242"/>
              </w:tabs>
              <w:jc w:val="right"/>
              <w:rPr>
                <w:sz w:val="22"/>
              </w:rPr>
            </w:pPr>
          </w:p>
        </w:tc>
      </w:tr>
      <w:tr w:rsidR="00554459" w14:paraId="06168460" w14:textId="77777777" w:rsidTr="00495559">
        <w:trPr>
          <w:trHeight w:val="255"/>
        </w:trPr>
        <w:tc>
          <w:tcPr>
            <w:tcW w:w="5245" w:type="dxa"/>
          </w:tcPr>
          <w:p w14:paraId="55FBA6DB" w14:textId="77777777" w:rsidR="00554459" w:rsidRPr="00D21633" w:rsidRDefault="00554459" w:rsidP="00495559">
            <w:pPr>
              <w:autoSpaceDE w:val="0"/>
              <w:autoSpaceDN w:val="0"/>
              <w:adjustRightInd w:val="0"/>
              <w:jc w:val="both"/>
              <w:rPr>
                <w:bCs/>
                <w:iCs/>
                <w:sz w:val="22"/>
                <w:szCs w:val="22"/>
              </w:rPr>
            </w:pPr>
            <w:r>
              <w:rPr>
                <w:bCs/>
                <w:iCs/>
                <w:sz w:val="22"/>
                <w:szCs w:val="22"/>
              </w:rPr>
              <w:t>purpose of basic and diluted loss per share</w:t>
            </w:r>
          </w:p>
        </w:tc>
        <w:tc>
          <w:tcPr>
            <w:tcW w:w="1701" w:type="dxa"/>
            <w:tcBorders>
              <w:bottom w:val="double" w:sz="4" w:space="0" w:color="auto"/>
            </w:tcBorders>
          </w:tcPr>
          <w:p w14:paraId="323D0157" w14:textId="77777777" w:rsidR="00554459" w:rsidRPr="0069036B" w:rsidRDefault="00554459" w:rsidP="00495559">
            <w:pPr>
              <w:tabs>
                <w:tab w:val="left" w:pos="0"/>
                <w:tab w:val="decimal" w:pos="1242"/>
              </w:tabs>
              <w:jc w:val="right"/>
              <w:rPr>
                <w:sz w:val="22"/>
              </w:rPr>
            </w:pPr>
            <w:r w:rsidRPr="0069036B">
              <w:rPr>
                <w:sz w:val="22"/>
              </w:rPr>
              <w:tab/>
            </w:r>
            <w:r>
              <w:rPr>
                <w:sz w:val="22"/>
              </w:rPr>
              <w:t>78,646,890</w:t>
            </w:r>
          </w:p>
        </w:tc>
        <w:tc>
          <w:tcPr>
            <w:tcW w:w="1532" w:type="dxa"/>
            <w:tcBorders>
              <w:bottom w:val="double" w:sz="4" w:space="0" w:color="auto"/>
            </w:tcBorders>
          </w:tcPr>
          <w:p w14:paraId="69694204" w14:textId="77777777" w:rsidR="00554459" w:rsidRPr="0069036B" w:rsidRDefault="00554459" w:rsidP="00495559">
            <w:pPr>
              <w:tabs>
                <w:tab w:val="left" w:pos="0"/>
                <w:tab w:val="decimal" w:pos="1242"/>
              </w:tabs>
              <w:jc w:val="right"/>
              <w:rPr>
                <w:sz w:val="22"/>
              </w:rPr>
            </w:pPr>
            <w:r w:rsidRPr="0069036B">
              <w:rPr>
                <w:sz w:val="22"/>
              </w:rPr>
              <w:tab/>
            </w:r>
            <w:r>
              <w:rPr>
                <w:sz w:val="22"/>
              </w:rPr>
              <w:t>78,646,890</w:t>
            </w:r>
          </w:p>
        </w:tc>
      </w:tr>
    </w:tbl>
    <w:p w14:paraId="28E10016" w14:textId="77777777" w:rsidR="00554459" w:rsidRDefault="00554459" w:rsidP="00554459">
      <w:pPr>
        <w:pStyle w:val="Header"/>
        <w:tabs>
          <w:tab w:val="clear" w:pos="4320"/>
          <w:tab w:val="clear" w:pos="8640"/>
          <w:tab w:val="left" w:pos="1100"/>
        </w:tabs>
        <w:ind w:left="1100"/>
        <w:jc w:val="both"/>
        <w:rPr>
          <w:sz w:val="22"/>
          <w:szCs w:val="22"/>
          <w:lang w:val="en-CA"/>
        </w:rPr>
      </w:pPr>
    </w:p>
    <w:p w14:paraId="5ACD2215" w14:textId="77777777" w:rsidR="00554459" w:rsidRPr="00D453A7" w:rsidRDefault="00554459" w:rsidP="00554459">
      <w:pPr>
        <w:pStyle w:val="Header"/>
        <w:tabs>
          <w:tab w:val="clear" w:pos="4320"/>
          <w:tab w:val="clear" w:pos="8640"/>
          <w:tab w:val="left" w:pos="1100"/>
        </w:tabs>
        <w:ind w:left="1100"/>
        <w:jc w:val="both"/>
        <w:rPr>
          <w:sz w:val="22"/>
          <w:szCs w:val="22"/>
          <w:lang w:val="en-CA"/>
        </w:rPr>
      </w:pPr>
      <w:r>
        <w:rPr>
          <w:sz w:val="22"/>
          <w:szCs w:val="22"/>
          <w:lang w:val="en-CA"/>
        </w:rPr>
        <w:t xml:space="preserve">Basic loss per share is computed by dividing loss by the weighted average number of common shares </w:t>
      </w:r>
      <w:r w:rsidRPr="00661FE1">
        <w:rPr>
          <w:sz w:val="22"/>
          <w:szCs w:val="22"/>
          <w:lang w:val="en-CA"/>
        </w:rPr>
        <w:t xml:space="preserve">outstanding during the period.  </w:t>
      </w:r>
      <w:r>
        <w:rPr>
          <w:sz w:val="22"/>
          <w:szCs w:val="22"/>
          <w:lang w:val="en-CA"/>
        </w:rPr>
        <w:t>D</w:t>
      </w:r>
      <w:r w:rsidRPr="00661FE1">
        <w:rPr>
          <w:sz w:val="22"/>
          <w:szCs w:val="22"/>
          <w:lang w:val="en-CA"/>
        </w:rPr>
        <w:t xml:space="preserve">iluted loss per share reflects the potential dilution of common share equivalents, such as stock options and share purchase warrants, in the weighted average number of common shares outstanding during the period, if dilutive.  </w:t>
      </w:r>
      <w:r w:rsidRPr="00264A52">
        <w:rPr>
          <w:sz w:val="22"/>
          <w:szCs w:val="22"/>
          <w:lang w:val="en-CA"/>
        </w:rPr>
        <w:t xml:space="preserve">All of the stock options and </w:t>
      </w:r>
      <w:r w:rsidRPr="00AF7052">
        <w:rPr>
          <w:sz w:val="22"/>
          <w:szCs w:val="22"/>
          <w:lang w:val="en-CA"/>
        </w:rPr>
        <w:t xml:space="preserve">share purchase warrants currently issued (see Note </w:t>
      </w:r>
      <w:r>
        <w:rPr>
          <w:sz w:val="22"/>
          <w:szCs w:val="22"/>
          <w:lang w:val="en-CA"/>
        </w:rPr>
        <w:t>9</w:t>
      </w:r>
      <w:r w:rsidRPr="00AF7052">
        <w:rPr>
          <w:sz w:val="22"/>
          <w:szCs w:val="22"/>
          <w:lang w:val="en-CA"/>
        </w:rPr>
        <w:t xml:space="preserve">) were anti-dilutive for </w:t>
      </w:r>
      <w:r w:rsidRPr="00F04282">
        <w:rPr>
          <w:sz w:val="22"/>
          <w:szCs w:val="22"/>
          <w:lang w:val="en-CA"/>
        </w:rPr>
        <w:t xml:space="preserve">the </w:t>
      </w:r>
      <w:r>
        <w:rPr>
          <w:sz w:val="22"/>
          <w:szCs w:val="22"/>
          <w:lang w:val="en-CA"/>
        </w:rPr>
        <w:t>th</w:t>
      </w:r>
      <w:r w:rsidRPr="00F04282">
        <w:rPr>
          <w:sz w:val="22"/>
          <w:szCs w:val="22"/>
          <w:lang w:val="en-CA"/>
        </w:rPr>
        <w:t>r</w:t>
      </w:r>
      <w:r>
        <w:rPr>
          <w:sz w:val="22"/>
          <w:szCs w:val="22"/>
          <w:lang w:val="en-CA"/>
        </w:rPr>
        <w:t>ee months</w:t>
      </w:r>
      <w:r w:rsidRPr="00F04282">
        <w:rPr>
          <w:sz w:val="22"/>
          <w:szCs w:val="22"/>
          <w:lang w:val="en-CA"/>
        </w:rPr>
        <w:t xml:space="preserve"> ended </w:t>
      </w:r>
      <w:r>
        <w:rPr>
          <w:sz w:val="22"/>
          <w:szCs w:val="22"/>
          <w:lang w:val="en-CA"/>
        </w:rPr>
        <w:t>October</w:t>
      </w:r>
      <w:r w:rsidRPr="00F04282">
        <w:rPr>
          <w:sz w:val="22"/>
          <w:szCs w:val="22"/>
          <w:lang w:val="en-CA"/>
        </w:rPr>
        <w:t xml:space="preserve"> 31, 2019 and 2018.</w:t>
      </w:r>
    </w:p>
    <w:p w14:paraId="0AA17485" w14:textId="77777777" w:rsidR="00554459" w:rsidRPr="00D453A7" w:rsidRDefault="00554459" w:rsidP="00554459">
      <w:pPr>
        <w:pStyle w:val="Header"/>
        <w:tabs>
          <w:tab w:val="clear" w:pos="4320"/>
          <w:tab w:val="clear" w:pos="8640"/>
          <w:tab w:val="left" w:pos="1100"/>
        </w:tabs>
        <w:ind w:left="1100"/>
        <w:jc w:val="both"/>
        <w:rPr>
          <w:sz w:val="22"/>
          <w:szCs w:val="22"/>
          <w:lang w:val="en-CA"/>
        </w:rPr>
      </w:pPr>
    </w:p>
    <w:p w14:paraId="6EFFD394" w14:textId="77777777" w:rsidR="00554459" w:rsidRPr="00F04282" w:rsidRDefault="00554459" w:rsidP="00554459">
      <w:pPr>
        <w:pStyle w:val="Header"/>
        <w:tabs>
          <w:tab w:val="clear" w:pos="4320"/>
          <w:tab w:val="clear" w:pos="8640"/>
          <w:tab w:val="left" w:pos="1100"/>
        </w:tabs>
        <w:ind w:left="1100"/>
        <w:jc w:val="both"/>
        <w:rPr>
          <w:sz w:val="22"/>
          <w:szCs w:val="22"/>
          <w:lang w:val="en-CA"/>
        </w:rPr>
      </w:pPr>
      <w:r>
        <w:rPr>
          <w:sz w:val="22"/>
          <w:szCs w:val="22"/>
          <w:lang w:val="en-CA"/>
        </w:rPr>
        <w:t>Basic and diluted</w:t>
      </w:r>
      <w:r w:rsidRPr="00D453A7">
        <w:rPr>
          <w:sz w:val="22"/>
          <w:szCs w:val="22"/>
          <w:lang w:val="en-CA"/>
        </w:rPr>
        <w:t xml:space="preserve"> loss per share for </w:t>
      </w:r>
      <w:r w:rsidRPr="00F04282">
        <w:rPr>
          <w:sz w:val="22"/>
          <w:szCs w:val="22"/>
          <w:lang w:val="en-CA"/>
        </w:rPr>
        <w:t xml:space="preserve">the </w:t>
      </w:r>
      <w:r>
        <w:rPr>
          <w:sz w:val="22"/>
          <w:szCs w:val="22"/>
          <w:lang w:val="en-CA"/>
        </w:rPr>
        <w:t>th</w:t>
      </w:r>
      <w:r w:rsidRPr="00F04282">
        <w:rPr>
          <w:sz w:val="22"/>
          <w:szCs w:val="22"/>
          <w:lang w:val="en-CA"/>
        </w:rPr>
        <w:t>r</w:t>
      </w:r>
      <w:r>
        <w:rPr>
          <w:sz w:val="22"/>
          <w:szCs w:val="22"/>
          <w:lang w:val="en-CA"/>
        </w:rPr>
        <w:t>ee months</w:t>
      </w:r>
      <w:r w:rsidRPr="00F04282">
        <w:rPr>
          <w:sz w:val="22"/>
          <w:szCs w:val="22"/>
          <w:lang w:val="en-CA"/>
        </w:rPr>
        <w:t xml:space="preserve"> ended </w:t>
      </w:r>
      <w:r>
        <w:rPr>
          <w:sz w:val="22"/>
          <w:szCs w:val="22"/>
          <w:lang w:val="en-CA"/>
        </w:rPr>
        <w:t>October</w:t>
      </w:r>
      <w:r w:rsidRPr="00F04282">
        <w:rPr>
          <w:sz w:val="22"/>
          <w:szCs w:val="22"/>
          <w:lang w:val="en-CA"/>
        </w:rPr>
        <w:t xml:space="preserve"> 31, 2019 was $0.0</w:t>
      </w:r>
      <w:r>
        <w:rPr>
          <w:sz w:val="22"/>
          <w:szCs w:val="22"/>
          <w:lang w:val="en-CA"/>
        </w:rPr>
        <w:t>0</w:t>
      </w:r>
      <w:r w:rsidRPr="00F04282">
        <w:rPr>
          <w:sz w:val="22"/>
          <w:szCs w:val="22"/>
          <w:lang w:val="en-CA"/>
        </w:rPr>
        <w:t xml:space="preserve"> (</w:t>
      </w:r>
      <w:r>
        <w:rPr>
          <w:sz w:val="22"/>
          <w:szCs w:val="22"/>
          <w:lang w:val="en-CA"/>
        </w:rPr>
        <w:t>th</w:t>
      </w:r>
      <w:r w:rsidRPr="00F04282">
        <w:rPr>
          <w:sz w:val="22"/>
          <w:szCs w:val="22"/>
          <w:lang w:val="en-CA"/>
        </w:rPr>
        <w:t>r</w:t>
      </w:r>
      <w:r>
        <w:rPr>
          <w:sz w:val="22"/>
          <w:szCs w:val="22"/>
          <w:lang w:val="en-CA"/>
        </w:rPr>
        <w:t>ee months</w:t>
      </w:r>
      <w:r w:rsidRPr="00F04282">
        <w:rPr>
          <w:sz w:val="22"/>
          <w:szCs w:val="22"/>
          <w:lang w:val="en-CA"/>
        </w:rPr>
        <w:t xml:space="preserve"> ended </w:t>
      </w:r>
      <w:r>
        <w:rPr>
          <w:sz w:val="22"/>
          <w:szCs w:val="22"/>
          <w:lang w:val="en-CA"/>
        </w:rPr>
        <w:t>October</w:t>
      </w:r>
      <w:r w:rsidRPr="00F04282">
        <w:rPr>
          <w:sz w:val="22"/>
          <w:szCs w:val="22"/>
          <w:lang w:val="en-CA"/>
        </w:rPr>
        <w:t xml:space="preserve"> 31, 2018: $0.0</w:t>
      </w:r>
      <w:r>
        <w:rPr>
          <w:sz w:val="22"/>
          <w:szCs w:val="22"/>
          <w:lang w:val="en-CA"/>
        </w:rPr>
        <w:t>0</w:t>
      </w:r>
      <w:r w:rsidRPr="00F04282">
        <w:rPr>
          <w:sz w:val="22"/>
          <w:szCs w:val="22"/>
          <w:lang w:val="en-CA"/>
        </w:rPr>
        <w:t>).</w:t>
      </w:r>
    </w:p>
    <w:p w14:paraId="6764B69F" w14:textId="77777777" w:rsidR="00554459" w:rsidRPr="00F04282" w:rsidRDefault="00554459" w:rsidP="00554459">
      <w:pPr>
        <w:pStyle w:val="Header"/>
        <w:tabs>
          <w:tab w:val="clear" w:pos="4320"/>
          <w:tab w:val="clear" w:pos="8640"/>
          <w:tab w:val="left" w:pos="1100"/>
        </w:tabs>
        <w:ind w:left="1100"/>
        <w:jc w:val="both"/>
        <w:rPr>
          <w:sz w:val="22"/>
          <w:szCs w:val="22"/>
          <w:lang w:val="en-CA"/>
        </w:rPr>
      </w:pPr>
    </w:p>
    <w:p w14:paraId="1DBED44B" w14:textId="77777777" w:rsidR="00554459" w:rsidRPr="00F04282" w:rsidRDefault="00554459" w:rsidP="00367723">
      <w:pPr>
        <w:pStyle w:val="Header"/>
        <w:numPr>
          <w:ilvl w:val="0"/>
          <w:numId w:val="19"/>
        </w:numPr>
        <w:tabs>
          <w:tab w:val="clear" w:pos="4320"/>
          <w:tab w:val="clear" w:pos="8640"/>
          <w:tab w:val="left" w:pos="1100"/>
        </w:tabs>
        <w:ind w:left="1440" w:hanging="1080"/>
        <w:jc w:val="both"/>
        <w:rPr>
          <w:b/>
          <w:sz w:val="22"/>
          <w:szCs w:val="22"/>
          <w:lang w:val="en-CA"/>
        </w:rPr>
      </w:pPr>
      <w:r w:rsidRPr="00F04282">
        <w:rPr>
          <w:b/>
          <w:sz w:val="22"/>
          <w:szCs w:val="22"/>
          <w:lang w:val="en-CA"/>
        </w:rPr>
        <w:t>RELATED PARTY TRANSACTIONS</w:t>
      </w:r>
    </w:p>
    <w:p w14:paraId="3CE3159E" w14:textId="77777777" w:rsidR="00554459" w:rsidRPr="00F04282" w:rsidRDefault="00554459" w:rsidP="00554459">
      <w:pPr>
        <w:pStyle w:val="Header"/>
        <w:tabs>
          <w:tab w:val="clear" w:pos="4320"/>
          <w:tab w:val="clear" w:pos="8640"/>
          <w:tab w:val="left" w:pos="1100"/>
        </w:tabs>
        <w:ind w:left="780"/>
        <w:rPr>
          <w:sz w:val="22"/>
          <w:szCs w:val="22"/>
          <w:lang w:val="en-CA"/>
        </w:rPr>
      </w:pPr>
      <w:r w:rsidRPr="00F04282">
        <w:rPr>
          <w:sz w:val="22"/>
          <w:szCs w:val="22"/>
          <w:lang w:val="en-CA"/>
        </w:rPr>
        <w:tab/>
      </w:r>
    </w:p>
    <w:p w14:paraId="6EC1161A" w14:textId="77777777" w:rsidR="00554459" w:rsidRPr="00F04282" w:rsidRDefault="00554459" w:rsidP="00554459">
      <w:pPr>
        <w:pStyle w:val="Header"/>
        <w:tabs>
          <w:tab w:val="clear" w:pos="4320"/>
          <w:tab w:val="clear" w:pos="8640"/>
          <w:tab w:val="left" w:pos="1100"/>
        </w:tabs>
        <w:rPr>
          <w:sz w:val="22"/>
          <w:szCs w:val="22"/>
          <w:lang w:val="en-CA"/>
        </w:rPr>
      </w:pPr>
      <w:r w:rsidRPr="00F04282">
        <w:rPr>
          <w:sz w:val="22"/>
          <w:szCs w:val="22"/>
          <w:lang w:val="en-CA"/>
        </w:rPr>
        <w:tab/>
      </w:r>
      <w:r w:rsidRPr="00F04282">
        <w:rPr>
          <w:i/>
          <w:sz w:val="22"/>
          <w:szCs w:val="22"/>
          <w:lang w:val="en-CA"/>
        </w:rPr>
        <w:t>Key management personnel compensation</w:t>
      </w:r>
    </w:p>
    <w:p w14:paraId="0079DD22" w14:textId="77777777" w:rsidR="00554459" w:rsidRPr="00F04282" w:rsidRDefault="00554459" w:rsidP="00554459">
      <w:pPr>
        <w:pStyle w:val="Header"/>
        <w:tabs>
          <w:tab w:val="clear" w:pos="4320"/>
          <w:tab w:val="clear" w:pos="8640"/>
          <w:tab w:val="left" w:pos="1100"/>
        </w:tabs>
        <w:rPr>
          <w:sz w:val="22"/>
          <w:szCs w:val="22"/>
          <w:lang w:val="en-CA"/>
        </w:rPr>
      </w:pPr>
    </w:p>
    <w:p w14:paraId="5E25143A" w14:textId="77777777" w:rsidR="00554459" w:rsidRPr="00F04282" w:rsidRDefault="00554459" w:rsidP="00554459">
      <w:pPr>
        <w:pStyle w:val="Header"/>
        <w:tabs>
          <w:tab w:val="clear" w:pos="4320"/>
          <w:tab w:val="clear" w:pos="8640"/>
          <w:tab w:val="left" w:pos="1100"/>
        </w:tabs>
        <w:ind w:left="1100"/>
        <w:jc w:val="both"/>
        <w:rPr>
          <w:sz w:val="22"/>
          <w:szCs w:val="22"/>
          <w:lang w:val="en-CA"/>
        </w:rPr>
      </w:pPr>
      <w:r w:rsidRPr="00F04282">
        <w:rPr>
          <w:sz w:val="22"/>
          <w:szCs w:val="22"/>
          <w:lang w:val="en-CA"/>
        </w:rPr>
        <w:t>Key management of the Company are directors and officers of the Company and their remuneration includes the following:</w:t>
      </w:r>
    </w:p>
    <w:p w14:paraId="4F85DBB9" w14:textId="77777777" w:rsidR="00554459" w:rsidRPr="00F04282" w:rsidRDefault="00554459" w:rsidP="00554459">
      <w:pPr>
        <w:pStyle w:val="Header"/>
        <w:tabs>
          <w:tab w:val="clear" w:pos="4320"/>
          <w:tab w:val="clear" w:pos="8640"/>
          <w:tab w:val="left" w:pos="1100"/>
        </w:tabs>
        <w:ind w:left="1100"/>
        <w:jc w:val="both"/>
        <w:rPr>
          <w:sz w:val="22"/>
          <w:szCs w:val="22"/>
          <w:lang w:val="en-CA"/>
        </w:rPr>
      </w:pPr>
    </w:p>
    <w:tbl>
      <w:tblPr>
        <w:tblW w:w="6288" w:type="dxa"/>
        <w:tblInd w:w="1110" w:type="dxa"/>
        <w:tblLayout w:type="fixed"/>
        <w:tblLook w:val="0000" w:firstRow="0" w:lastRow="0" w:firstColumn="0" w:lastColumn="0" w:noHBand="0" w:noVBand="0"/>
      </w:tblPr>
      <w:tblGrid>
        <w:gridCol w:w="3099"/>
        <w:gridCol w:w="1530"/>
        <w:gridCol w:w="1659"/>
      </w:tblGrid>
      <w:tr w:rsidR="00554459" w:rsidRPr="00F04282" w14:paraId="7F8A2A18" w14:textId="77777777" w:rsidTr="00495559">
        <w:tc>
          <w:tcPr>
            <w:tcW w:w="3099" w:type="dxa"/>
          </w:tcPr>
          <w:p w14:paraId="5D4B27AA" w14:textId="77777777" w:rsidR="00554459" w:rsidRPr="00F04282" w:rsidRDefault="00554459" w:rsidP="00495559">
            <w:pPr>
              <w:tabs>
                <w:tab w:val="left" w:pos="1080"/>
              </w:tabs>
              <w:rPr>
                <w:sz w:val="22"/>
                <w:szCs w:val="22"/>
              </w:rPr>
            </w:pPr>
          </w:p>
        </w:tc>
        <w:tc>
          <w:tcPr>
            <w:tcW w:w="3189" w:type="dxa"/>
            <w:gridSpan w:val="2"/>
          </w:tcPr>
          <w:p w14:paraId="273D8E55" w14:textId="77777777" w:rsidR="00554459" w:rsidRPr="00F04282" w:rsidRDefault="00554459" w:rsidP="00495559">
            <w:pPr>
              <w:jc w:val="right"/>
              <w:rPr>
                <w:sz w:val="22"/>
                <w:szCs w:val="22"/>
              </w:rPr>
            </w:pPr>
            <w:r>
              <w:rPr>
                <w:sz w:val="22"/>
                <w:szCs w:val="22"/>
                <w:lang w:val="en-CA"/>
              </w:rPr>
              <w:t>Th</w:t>
            </w:r>
            <w:r w:rsidRPr="00F04282">
              <w:rPr>
                <w:sz w:val="22"/>
                <w:szCs w:val="22"/>
                <w:lang w:val="en-CA"/>
              </w:rPr>
              <w:t>r</w:t>
            </w:r>
            <w:r>
              <w:rPr>
                <w:sz w:val="22"/>
                <w:szCs w:val="22"/>
                <w:lang w:val="en-CA"/>
              </w:rPr>
              <w:t>ee months</w:t>
            </w:r>
            <w:r w:rsidRPr="00F04282">
              <w:rPr>
                <w:sz w:val="22"/>
                <w:szCs w:val="22"/>
                <w:lang w:val="en-CA"/>
              </w:rPr>
              <w:t xml:space="preserve"> ended </w:t>
            </w:r>
            <w:r>
              <w:rPr>
                <w:sz w:val="22"/>
                <w:szCs w:val="22"/>
                <w:lang w:val="en-CA"/>
              </w:rPr>
              <w:t>October</w:t>
            </w:r>
            <w:r w:rsidRPr="00F04282">
              <w:rPr>
                <w:sz w:val="22"/>
                <w:szCs w:val="22"/>
                <w:lang w:val="en-CA"/>
              </w:rPr>
              <w:t xml:space="preserve"> 31</w:t>
            </w:r>
            <w:r w:rsidRPr="00F04282">
              <w:rPr>
                <w:sz w:val="22"/>
                <w:szCs w:val="22"/>
              </w:rPr>
              <w:t>,</w:t>
            </w:r>
          </w:p>
        </w:tc>
      </w:tr>
      <w:tr w:rsidR="00554459" w:rsidRPr="00C9168A" w14:paraId="116CB0C4" w14:textId="77777777" w:rsidTr="00495559">
        <w:tc>
          <w:tcPr>
            <w:tcW w:w="3099" w:type="dxa"/>
          </w:tcPr>
          <w:p w14:paraId="727DC50A" w14:textId="77777777" w:rsidR="00554459" w:rsidRPr="00F04282" w:rsidRDefault="00554459" w:rsidP="00495559">
            <w:pPr>
              <w:tabs>
                <w:tab w:val="left" w:pos="1080"/>
              </w:tabs>
              <w:rPr>
                <w:sz w:val="22"/>
                <w:szCs w:val="22"/>
              </w:rPr>
            </w:pPr>
          </w:p>
        </w:tc>
        <w:tc>
          <w:tcPr>
            <w:tcW w:w="1530" w:type="dxa"/>
          </w:tcPr>
          <w:p w14:paraId="5DFD073E" w14:textId="77777777" w:rsidR="00554459" w:rsidRPr="00F04282" w:rsidRDefault="00554459" w:rsidP="00495559">
            <w:pPr>
              <w:jc w:val="right"/>
              <w:rPr>
                <w:sz w:val="22"/>
                <w:szCs w:val="22"/>
                <w:u w:val="single"/>
              </w:rPr>
            </w:pPr>
            <w:r w:rsidRPr="00F04282">
              <w:rPr>
                <w:sz w:val="22"/>
                <w:szCs w:val="22"/>
                <w:u w:val="single"/>
              </w:rPr>
              <w:t>2019</w:t>
            </w:r>
          </w:p>
        </w:tc>
        <w:tc>
          <w:tcPr>
            <w:tcW w:w="1659" w:type="dxa"/>
          </w:tcPr>
          <w:p w14:paraId="4F0BC40B" w14:textId="77777777" w:rsidR="00554459" w:rsidRPr="005C637F" w:rsidRDefault="00554459" w:rsidP="00495559">
            <w:pPr>
              <w:jc w:val="right"/>
              <w:rPr>
                <w:sz w:val="22"/>
                <w:szCs w:val="22"/>
                <w:u w:val="single"/>
              </w:rPr>
            </w:pPr>
            <w:r w:rsidRPr="00F04282">
              <w:rPr>
                <w:sz w:val="22"/>
                <w:szCs w:val="22"/>
                <w:u w:val="single"/>
              </w:rPr>
              <w:t>2018</w:t>
            </w:r>
          </w:p>
        </w:tc>
      </w:tr>
      <w:tr w:rsidR="00554459" w:rsidRPr="00327D9C" w14:paraId="7C6BBC5A" w14:textId="77777777" w:rsidTr="00495559">
        <w:tc>
          <w:tcPr>
            <w:tcW w:w="3099" w:type="dxa"/>
          </w:tcPr>
          <w:p w14:paraId="11C60FB8" w14:textId="77777777" w:rsidR="00554459" w:rsidRPr="00327D9C" w:rsidRDefault="00554459" w:rsidP="00495559">
            <w:pPr>
              <w:tabs>
                <w:tab w:val="left" w:pos="1080"/>
              </w:tabs>
              <w:rPr>
                <w:sz w:val="16"/>
                <w:szCs w:val="16"/>
              </w:rPr>
            </w:pPr>
          </w:p>
        </w:tc>
        <w:tc>
          <w:tcPr>
            <w:tcW w:w="1530" w:type="dxa"/>
          </w:tcPr>
          <w:p w14:paraId="7655C861" w14:textId="77777777" w:rsidR="00554459" w:rsidRPr="00327D9C" w:rsidRDefault="00554459" w:rsidP="00495559">
            <w:pPr>
              <w:pStyle w:val="dr"/>
              <w:tabs>
                <w:tab w:val="left" w:pos="162"/>
                <w:tab w:val="decimal" w:pos="1246"/>
              </w:tabs>
              <w:jc w:val="right"/>
              <w:rPr>
                <w:sz w:val="16"/>
                <w:szCs w:val="16"/>
              </w:rPr>
            </w:pPr>
          </w:p>
        </w:tc>
        <w:tc>
          <w:tcPr>
            <w:tcW w:w="1659" w:type="dxa"/>
          </w:tcPr>
          <w:p w14:paraId="53F51677" w14:textId="77777777" w:rsidR="00554459" w:rsidRPr="00327D9C" w:rsidRDefault="00554459" w:rsidP="00495559">
            <w:pPr>
              <w:pStyle w:val="dr"/>
              <w:tabs>
                <w:tab w:val="left" w:pos="162"/>
                <w:tab w:val="decimal" w:pos="1246"/>
              </w:tabs>
              <w:jc w:val="right"/>
              <w:rPr>
                <w:sz w:val="16"/>
                <w:szCs w:val="16"/>
              </w:rPr>
            </w:pPr>
          </w:p>
        </w:tc>
      </w:tr>
      <w:tr w:rsidR="00554459" w:rsidRPr="00C9168A" w14:paraId="06D74B74" w14:textId="77777777" w:rsidTr="00495559">
        <w:tc>
          <w:tcPr>
            <w:tcW w:w="3099" w:type="dxa"/>
          </w:tcPr>
          <w:p w14:paraId="4C25C2D4" w14:textId="77777777" w:rsidR="00554459" w:rsidRPr="00C13058" w:rsidRDefault="00554459" w:rsidP="00495559">
            <w:pPr>
              <w:tabs>
                <w:tab w:val="left" w:pos="1080"/>
              </w:tabs>
              <w:rPr>
                <w:sz w:val="22"/>
                <w:szCs w:val="22"/>
              </w:rPr>
            </w:pPr>
            <w:r>
              <w:rPr>
                <w:sz w:val="22"/>
                <w:szCs w:val="22"/>
              </w:rPr>
              <w:t>Management fees</w:t>
            </w:r>
          </w:p>
        </w:tc>
        <w:tc>
          <w:tcPr>
            <w:tcW w:w="1530" w:type="dxa"/>
          </w:tcPr>
          <w:p w14:paraId="5FB01BDA" w14:textId="77777777" w:rsidR="00554459" w:rsidRPr="00C9168A" w:rsidRDefault="00554459" w:rsidP="00495559">
            <w:pPr>
              <w:pStyle w:val="dr"/>
              <w:tabs>
                <w:tab w:val="left" w:pos="-34"/>
                <w:tab w:val="decimal" w:pos="1062"/>
              </w:tabs>
              <w:jc w:val="right"/>
              <w:rPr>
                <w:szCs w:val="22"/>
              </w:rPr>
            </w:pPr>
            <w:r w:rsidRPr="00C9168A">
              <w:rPr>
                <w:szCs w:val="22"/>
              </w:rPr>
              <w:t>$</w:t>
            </w:r>
            <w:r w:rsidRPr="00C9168A">
              <w:rPr>
                <w:szCs w:val="22"/>
              </w:rPr>
              <w:tab/>
            </w:r>
            <w:r>
              <w:rPr>
                <w:szCs w:val="22"/>
              </w:rPr>
              <w:t>26,400</w:t>
            </w:r>
          </w:p>
        </w:tc>
        <w:tc>
          <w:tcPr>
            <w:tcW w:w="1659" w:type="dxa"/>
          </w:tcPr>
          <w:p w14:paraId="02295610" w14:textId="77777777" w:rsidR="00554459" w:rsidRPr="00C9168A" w:rsidRDefault="00554459" w:rsidP="00495559">
            <w:pPr>
              <w:pStyle w:val="dr"/>
              <w:tabs>
                <w:tab w:val="left" w:pos="-34"/>
                <w:tab w:val="decimal" w:pos="1062"/>
              </w:tabs>
              <w:jc w:val="right"/>
              <w:rPr>
                <w:szCs w:val="22"/>
              </w:rPr>
            </w:pPr>
            <w:r w:rsidRPr="00C9168A">
              <w:rPr>
                <w:szCs w:val="22"/>
              </w:rPr>
              <w:t>$</w:t>
            </w:r>
            <w:r w:rsidRPr="00C9168A">
              <w:rPr>
                <w:szCs w:val="22"/>
              </w:rPr>
              <w:tab/>
            </w:r>
            <w:r>
              <w:rPr>
                <w:szCs w:val="22"/>
              </w:rPr>
              <w:t>24,000</w:t>
            </w:r>
          </w:p>
        </w:tc>
      </w:tr>
      <w:tr w:rsidR="00554459" w:rsidRPr="00C9168A" w14:paraId="71E49B04" w14:textId="77777777" w:rsidTr="00495559">
        <w:tc>
          <w:tcPr>
            <w:tcW w:w="3099" w:type="dxa"/>
          </w:tcPr>
          <w:p w14:paraId="0C7657FE" w14:textId="77777777" w:rsidR="00554459" w:rsidRPr="00C9168A" w:rsidRDefault="00554459" w:rsidP="00495559">
            <w:pPr>
              <w:tabs>
                <w:tab w:val="left" w:pos="1080"/>
              </w:tabs>
              <w:rPr>
                <w:sz w:val="22"/>
                <w:szCs w:val="22"/>
              </w:rPr>
            </w:pPr>
            <w:r w:rsidRPr="00777632">
              <w:rPr>
                <w:sz w:val="22"/>
                <w:szCs w:val="22"/>
              </w:rPr>
              <w:t>Professional fees</w:t>
            </w:r>
          </w:p>
        </w:tc>
        <w:tc>
          <w:tcPr>
            <w:tcW w:w="1530" w:type="dxa"/>
          </w:tcPr>
          <w:p w14:paraId="331A743F" w14:textId="77777777" w:rsidR="00554459" w:rsidRPr="00C9168A" w:rsidRDefault="00554459" w:rsidP="00495559">
            <w:pPr>
              <w:tabs>
                <w:tab w:val="left" w:pos="-34"/>
                <w:tab w:val="decimal" w:pos="1062"/>
              </w:tabs>
              <w:jc w:val="right"/>
              <w:rPr>
                <w:sz w:val="22"/>
                <w:szCs w:val="22"/>
                <w:u w:val="single"/>
              </w:rPr>
            </w:pPr>
            <w:r w:rsidRPr="00C9168A">
              <w:rPr>
                <w:sz w:val="22"/>
                <w:szCs w:val="22"/>
                <w:u w:val="single"/>
              </w:rPr>
              <w:tab/>
            </w:r>
            <w:r>
              <w:rPr>
                <w:sz w:val="22"/>
                <w:szCs w:val="22"/>
                <w:u w:val="single"/>
              </w:rPr>
              <w:t>14,700</w:t>
            </w:r>
          </w:p>
        </w:tc>
        <w:tc>
          <w:tcPr>
            <w:tcW w:w="1659" w:type="dxa"/>
          </w:tcPr>
          <w:p w14:paraId="18EA5C53" w14:textId="77777777" w:rsidR="00554459" w:rsidRPr="00C9168A" w:rsidRDefault="00554459" w:rsidP="00495559">
            <w:pPr>
              <w:tabs>
                <w:tab w:val="left" w:pos="-34"/>
                <w:tab w:val="decimal" w:pos="1062"/>
              </w:tabs>
              <w:jc w:val="right"/>
              <w:rPr>
                <w:sz w:val="22"/>
                <w:szCs w:val="22"/>
                <w:u w:val="single"/>
              </w:rPr>
            </w:pPr>
            <w:r w:rsidRPr="00C9168A">
              <w:rPr>
                <w:sz w:val="22"/>
                <w:szCs w:val="22"/>
                <w:u w:val="single"/>
              </w:rPr>
              <w:tab/>
            </w:r>
            <w:r>
              <w:rPr>
                <w:sz w:val="22"/>
                <w:szCs w:val="22"/>
                <w:u w:val="single"/>
              </w:rPr>
              <w:t>13,500</w:t>
            </w:r>
          </w:p>
        </w:tc>
      </w:tr>
      <w:tr w:rsidR="00554459" w:rsidRPr="00327D9C" w14:paraId="3A640C02" w14:textId="77777777" w:rsidTr="00495559">
        <w:tc>
          <w:tcPr>
            <w:tcW w:w="3099" w:type="dxa"/>
          </w:tcPr>
          <w:p w14:paraId="6A1BD180" w14:textId="77777777" w:rsidR="00554459" w:rsidRPr="00327D9C" w:rsidRDefault="00554459" w:rsidP="00495559">
            <w:pPr>
              <w:pStyle w:val="Style1"/>
              <w:tabs>
                <w:tab w:val="left" w:pos="1080"/>
              </w:tabs>
              <w:rPr>
                <w:sz w:val="16"/>
                <w:szCs w:val="16"/>
              </w:rPr>
            </w:pPr>
          </w:p>
        </w:tc>
        <w:tc>
          <w:tcPr>
            <w:tcW w:w="1530" w:type="dxa"/>
          </w:tcPr>
          <w:p w14:paraId="48410ED1" w14:textId="77777777" w:rsidR="00554459" w:rsidRPr="00327D9C" w:rsidRDefault="00554459" w:rsidP="00495559">
            <w:pPr>
              <w:tabs>
                <w:tab w:val="left" w:pos="-34"/>
                <w:tab w:val="decimal" w:pos="1062"/>
              </w:tabs>
              <w:jc w:val="right"/>
              <w:rPr>
                <w:sz w:val="16"/>
                <w:szCs w:val="16"/>
              </w:rPr>
            </w:pPr>
          </w:p>
        </w:tc>
        <w:tc>
          <w:tcPr>
            <w:tcW w:w="1659" w:type="dxa"/>
          </w:tcPr>
          <w:p w14:paraId="02E23050" w14:textId="77777777" w:rsidR="00554459" w:rsidRPr="00327D9C" w:rsidRDefault="00554459" w:rsidP="00495559">
            <w:pPr>
              <w:tabs>
                <w:tab w:val="left" w:pos="-34"/>
                <w:tab w:val="decimal" w:pos="1062"/>
              </w:tabs>
              <w:jc w:val="right"/>
              <w:rPr>
                <w:sz w:val="16"/>
                <w:szCs w:val="16"/>
              </w:rPr>
            </w:pPr>
          </w:p>
        </w:tc>
      </w:tr>
      <w:tr w:rsidR="00554459" w:rsidRPr="00C9168A" w14:paraId="01B4DEB2" w14:textId="77777777" w:rsidTr="00495559">
        <w:tc>
          <w:tcPr>
            <w:tcW w:w="3099" w:type="dxa"/>
          </w:tcPr>
          <w:p w14:paraId="2B2D833E" w14:textId="77777777" w:rsidR="00554459" w:rsidRPr="00C9168A" w:rsidRDefault="00554459" w:rsidP="00495559">
            <w:pPr>
              <w:pStyle w:val="Style1"/>
              <w:tabs>
                <w:tab w:val="left" w:pos="1080"/>
              </w:tabs>
              <w:rPr>
                <w:szCs w:val="22"/>
              </w:rPr>
            </w:pPr>
          </w:p>
        </w:tc>
        <w:tc>
          <w:tcPr>
            <w:tcW w:w="1530" w:type="dxa"/>
          </w:tcPr>
          <w:p w14:paraId="0C10BC31" w14:textId="77777777" w:rsidR="00554459" w:rsidRPr="00C9168A" w:rsidRDefault="00554459" w:rsidP="00495559">
            <w:pPr>
              <w:tabs>
                <w:tab w:val="left" w:pos="-34"/>
                <w:tab w:val="decimal" w:pos="1062"/>
              </w:tabs>
              <w:jc w:val="right"/>
              <w:rPr>
                <w:sz w:val="22"/>
                <w:szCs w:val="22"/>
                <w:u w:val="double"/>
              </w:rPr>
            </w:pPr>
            <w:r w:rsidRPr="00C9168A">
              <w:rPr>
                <w:sz w:val="22"/>
                <w:szCs w:val="22"/>
                <w:u w:val="double"/>
              </w:rPr>
              <w:t>$</w:t>
            </w:r>
            <w:r w:rsidRPr="00C9168A">
              <w:rPr>
                <w:sz w:val="22"/>
                <w:szCs w:val="22"/>
                <w:u w:val="double"/>
              </w:rPr>
              <w:tab/>
            </w:r>
            <w:r>
              <w:rPr>
                <w:sz w:val="22"/>
                <w:szCs w:val="22"/>
                <w:u w:val="double"/>
              </w:rPr>
              <w:t>41,100</w:t>
            </w:r>
          </w:p>
        </w:tc>
        <w:tc>
          <w:tcPr>
            <w:tcW w:w="1659" w:type="dxa"/>
          </w:tcPr>
          <w:p w14:paraId="79104F08" w14:textId="77777777" w:rsidR="00554459" w:rsidRPr="00C9168A" w:rsidRDefault="00554459" w:rsidP="00495559">
            <w:pPr>
              <w:tabs>
                <w:tab w:val="left" w:pos="-34"/>
                <w:tab w:val="decimal" w:pos="1062"/>
              </w:tabs>
              <w:jc w:val="right"/>
              <w:rPr>
                <w:sz w:val="22"/>
                <w:szCs w:val="22"/>
                <w:u w:val="double"/>
              </w:rPr>
            </w:pPr>
            <w:r w:rsidRPr="00C9168A">
              <w:rPr>
                <w:sz w:val="22"/>
                <w:szCs w:val="22"/>
                <w:u w:val="double"/>
              </w:rPr>
              <w:t>$</w:t>
            </w:r>
            <w:r w:rsidRPr="00C9168A">
              <w:rPr>
                <w:sz w:val="22"/>
                <w:szCs w:val="22"/>
                <w:u w:val="double"/>
              </w:rPr>
              <w:tab/>
            </w:r>
            <w:r>
              <w:rPr>
                <w:sz w:val="22"/>
                <w:szCs w:val="22"/>
                <w:u w:val="double"/>
              </w:rPr>
              <w:t>37,500</w:t>
            </w:r>
          </w:p>
        </w:tc>
      </w:tr>
    </w:tbl>
    <w:p w14:paraId="12CFFEA6" w14:textId="77777777" w:rsidR="00554459" w:rsidRDefault="00554459" w:rsidP="00554459">
      <w:pPr>
        <w:pStyle w:val="Header"/>
        <w:tabs>
          <w:tab w:val="clear" w:pos="4320"/>
          <w:tab w:val="clear" w:pos="8640"/>
          <w:tab w:val="left" w:pos="1100"/>
        </w:tabs>
        <w:ind w:left="720"/>
        <w:jc w:val="both"/>
        <w:rPr>
          <w:b/>
          <w:sz w:val="22"/>
          <w:lang w:val="en-CA"/>
        </w:rPr>
      </w:pPr>
    </w:p>
    <w:p w14:paraId="5068F1AF" w14:textId="77777777" w:rsidR="00554459" w:rsidRDefault="00554459" w:rsidP="00554459">
      <w:pPr>
        <w:pStyle w:val="Header"/>
        <w:tabs>
          <w:tab w:val="clear" w:pos="4320"/>
          <w:tab w:val="clear" w:pos="8640"/>
          <w:tab w:val="left" w:pos="1100"/>
        </w:tabs>
        <w:ind w:left="1440" w:hanging="1440"/>
        <w:jc w:val="both"/>
        <w:rPr>
          <w:sz w:val="22"/>
          <w:szCs w:val="22"/>
          <w:lang w:val="en-CA"/>
        </w:rPr>
      </w:pPr>
      <w:r>
        <w:rPr>
          <w:sz w:val="22"/>
          <w:szCs w:val="22"/>
        </w:rPr>
        <w:tab/>
      </w:r>
      <w:r>
        <w:rPr>
          <w:i/>
          <w:sz w:val="22"/>
          <w:szCs w:val="22"/>
          <w:lang w:val="en-CA"/>
        </w:rPr>
        <w:t>Related party balances</w:t>
      </w:r>
    </w:p>
    <w:p w14:paraId="650CAD13" w14:textId="77777777" w:rsidR="00554459" w:rsidRDefault="00554459" w:rsidP="00554459">
      <w:pPr>
        <w:pStyle w:val="Header"/>
        <w:tabs>
          <w:tab w:val="clear" w:pos="4320"/>
          <w:tab w:val="clear" w:pos="8640"/>
          <w:tab w:val="left" w:pos="1100"/>
        </w:tabs>
        <w:jc w:val="both"/>
        <w:rPr>
          <w:sz w:val="22"/>
          <w:szCs w:val="22"/>
          <w:lang w:val="en-CA"/>
        </w:rPr>
      </w:pPr>
    </w:p>
    <w:p w14:paraId="32589E53" w14:textId="77777777" w:rsidR="00554459" w:rsidRPr="00F04282" w:rsidRDefault="00554459" w:rsidP="00554459">
      <w:pPr>
        <w:pStyle w:val="Header"/>
        <w:tabs>
          <w:tab w:val="clear" w:pos="4320"/>
          <w:tab w:val="clear" w:pos="8640"/>
          <w:tab w:val="left" w:pos="1100"/>
        </w:tabs>
        <w:ind w:left="1100"/>
        <w:jc w:val="both"/>
        <w:rPr>
          <w:sz w:val="22"/>
          <w:szCs w:val="22"/>
          <w:lang w:val="en-CA"/>
        </w:rPr>
      </w:pPr>
      <w:r w:rsidRPr="00F04282">
        <w:rPr>
          <w:sz w:val="22"/>
          <w:szCs w:val="22"/>
          <w:lang w:val="en-CA"/>
        </w:rPr>
        <w:t xml:space="preserve">At </w:t>
      </w:r>
      <w:r>
        <w:rPr>
          <w:sz w:val="22"/>
          <w:szCs w:val="22"/>
        </w:rPr>
        <w:t>October</w:t>
      </w:r>
      <w:r w:rsidRPr="00F04282">
        <w:rPr>
          <w:sz w:val="22"/>
          <w:szCs w:val="22"/>
        </w:rPr>
        <w:t xml:space="preserve"> 31, 2019</w:t>
      </w:r>
      <w:r w:rsidRPr="00F04282">
        <w:rPr>
          <w:sz w:val="22"/>
          <w:szCs w:val="22"/>
          <w:lang w:val="en-CA"/>
        </w:rPr>
        <w:t>, accounts payable and accrued liabilities include $</w:t>
      </w:r>
      <w:r>
        <w:rPr>
          <w:sz w:val="22"/>
          <w:szCs w:val="22"/>
          <w:lang w:val="en-CA"/>
        </w:rPr>
        <w:t>7,500</w:t>
      </w:r>
      <w:r w:rsidRPr="00F04282">
        <w:rPr>
          <w:sz w:val="22"/>
          <w:szCs w:val="22"/>
          <w:lang w:val="en-CA"/>
        </w:rPr>
        <w:t xml:space="preserve"> (July 31, 201</w:t>
      </w:r>
      <w:r>
        <w:rPr>
          <w:sz w:val="22"/>
          <w:szCs w:val="22"/>
          <w:lang w:val="en-CA"/>
        </w:rPr>
        <w:t>9</w:t>
      </w:r>
      <w:r w:rsidRPr="00F04282">
        <w:rPr>
          <w:sz w:val="22"/>
          <w:szCs w:val="22"/>
          <w:lang w:val="en-CA"/>
        </w:rPr>
        <w:t>: $</w:t>
      </w:r>
      <w:r>
        <w:rPr>
          <w:sz w:val="22"/>
          <w:szCs w:val="22"/>
          <w:lang w:val="en-CA"/>
        </w:rPr>
        <w:t>8,167</w:t>
      </w:r>
      <w:r w:rsidRPr="00F04282">
        <w:rPr>
          <w:sz w:val="22"/>
          <w:szCs w:val="22"/>
          <w:lang w:val="en-CA"/>
        </w:rPr>
        <w:t xml:space="preserve">) payable to </w:t>
      </w:r>
      <w:r>
        <w:rPr>
          <w:sz w:val="22"/>
          <w:szCs w:val="22"/>
          <w:lang w:val="en-CA"/>
        </w:rPr>
        <w:t>three directors for unpaid directors' fees</w:t>
      </w:r>
      <w:r w:rsidRPr="00F04282">
        <w:rPr>
          <w:sz w:val="22"/>
          <w:szCs w:val="22"/>
          <w:lang w:val="en-CA"/>
        </w:rPr>
        <w:t>. These amounts are unsecured, non-interest bearing and payable on demand.</w:t>
      </w:r>
    </w:p>
    <w:p w14:paraId="0CBEA9A0" w14:textId="77777777" w:rsidR="00554459" w:rsidRPr="00F04282" w:rsidRDefault="00554459" w:rsidP="00554459">
      <w:pPr>
        <w:pStyle w:val="Header"/>
        <w:tabs>
          <w:tab w:val="clear" w:pos="4320"/>
          <w:tab w:val="clear" w:pos="8640"/>
          <w:tab w:val="left" w:pos="1100"/>
        </w:tabs>
        <w:ind w:left="1100"/>
        <w:jc w:val="both"/>
        <w:rPr>
          <w:sz w:val="22"/>
          <w:szCs w:val="22"/>
          <w:lang w:val="en-CA"/>
        </w:rPr>
      </w:pPr>
    </w:p>
    <w:p w14:paraId="17E552F2" w14:textId="77777777" w:rsidR="00B11351" w:rsidRDefault="00554459" w:rsidP="00554459">
      <w:pPr>
        <w:pStyle w:val="Header"/>
        <w:tabs>
          <w:tab w:val="clear" w:pos="4320"/>
          <w:tab w:val="clear" w:pos="8640"/>
          <w:tab w:val="left" w:pos="1100"/>
        </w:tabs>
        <w:ind w:left="1100"/>
        <w:jc w:val="both"/>
        <w:rPr>
          <w:sz w:val="22"/>
          <w:szCs w:val="22"/>
          <w:lang w:val="en-CA"/>
        </w:rPr>
        <w:sectPr w:rsidR="00B11351">
          <w:headerReference w:type="default" r:id="rId22"/>
          <w:pgSz w:w="12240" w:h="15840" w:code="1"/>
          <w:pgMar w:top="1440" w:right="1440" w:bottom="1440" w:left="1440" w:header="720" w:footer="936" w:gutter="0"/>
          <w:pgNumType w:start="1"/>
          <w:cols w:space="720"/>
        </w:sectPr>
      </w:pPr>
      <w:r w:rsidRPr="00F04282">
        <w:rPr>
          <w:sz w:val="22"/>
          <w:szCs w:val="22"/>
          <w:lang w:val="en-CA"/>
        </w:rPr>
        <w:t xml:space="preserve">At </w:t>
      </w:r>
      <w:r>
        <w:rPr>
          <w:sz w:val="22"/>
          <w:szCs w:val="22"/>
        </w:rPr>
        <w:t>October</w:t>
      </w:r>
      <w:r w:rsidRPr="00F04282">
        <w:rPr>
          <w:sz w:val="22"/>
          <w:szCs w:val="22"/>
        </w:rPr>
        <w:t xml:space="preserve"> 31, 2019</w:t>
      </w:r>
      <w:r w:rsidRPr="00F04282">
        <w:rPr>
          <w:sz w:val="22"/>
          <w:szCs w:val="22"/>
          <w:lang w:val="en-CA"/>
        </w:rPr>
        <w:t>, related party receivables include $</w:t>
      </w:r>
      <w:r>
        <w:rPr>
          <w:sz w:val="22"/>
          <w:szCs w:val="22"/>
          <w:lang w:val="en-CA"/>
        </w:rPr>
        <w:t>1,046</w:t>
      </w:r>
      <w:r w:rsidRPr="00F04282">
        <w:rPr>
          <w:sz w:val="22"/>
          <w:szCs w:val="22"/>
          <w:lang w:val="en-CA"/>
        </w:rPr>
        <w:t xml:space="preserve"> (July 31, 201</w:t>
      </w:r>
      <w:r>
        <w:rPr>
          <w:sz w:val="22"/>
          <w:szCs w:val="22"/>
          <w:lang w:val="en-CA"/>
        </w:rPr>
        <w:t>9</w:t>
      </w:r>
      <w:r w:rsidRPr="00F04282">
        <w:rPr>
          <w:sz w:val="22"/>
          <w:szCs w:val="22"/>
          <w:lang w:val="en-CA"/>
        </w:rPr>
        <w:t>: $</w:t>
      </w:r>
      <w:r>
        <w:rPr>
          <w:sz w:val="22"/>
          <w:szCs w:val="22"/>
          <w:lang w:val="en-CA"/>
        </w:rPr>
        <w:t>1,804</w:t>
      </w:r>
      <w:r w:rsidRPr="00F04282">
        <w:rPr>
          <w:sz w:val="22"/>
          <w:szCs w:val="22"/>
          <w:lang w:val="en-CA"/>
        </w:rPr>
        <w:t>)</w:t>
      </w:r>
      <w:r>
        <w:rPr>
          <w:sz w:val="22"/>
          <w:szCs w:val="22"/>
          <w:lang w:val="en-CA"/>
        </w:rPr>
        <w:t xml:space="preserve"> due from one public company with one common director for</w:t>
      </w:r>
      <w:r w:rsidRPr="00F04282">
        <w:rPr>
          <w:sz w:val="22"/>
          <w:szCs w:val="22"/>
          <w:lang w:val="en-CA"/>
        </w:rPr>
        <w:t xml:space="preserve"> recoverable office expenses.</w:t>
      </w:r>
    </w:p>
    <w:p w14:paraId="6D687A53" w14:textId="2473D653" w:rsidR="00554459" w:rsidRDefault="00554459" w:rsidP="00554459">
      <w:pPr>
        <w:spacing w:after="200" w:line="276" w:lineRule="auto"/>
        <w:rPr>
          <w:sz w:val="22"/>
          <w:szCs w:val="22"/>
          <w:lang w:val="en-CA"/>
        </w:rPr>
      </w:pPr>
    </w:p>
    <w:p w14:paraId="5C29ACB3" w14:textId="77777777" w:rsidR="00554459" w:rsidRDefault="00554459" w:rsidP="00367723">
      <w:pPr>
        <w:pStyle w:val="Header"/>
        <w:numPr>
          <w:ilvl w:val="0"/>
          <w:numId w:val="19"/>
        </w:numPr>
        <w:tabs>
          <w:tab w:val="clear" w:pos="4320"/>
          <w:tab w:val="clear" w:pos="8640"/>
          <w:tab w:val="left" w:pos="1100"/>
        </w:tabs>
        <w:ind w:left="1440" w:hanging="1080"/>
        <w:jc w:val="both"/>
        <w:rPr>
          <w:b/>
          <w:sz w:val="22"/>
          <w:lang w:val="en-CA"/>
        </w:rPr>
      </w:pPr>
      <w:r>
        <w:rPr>
          <w:b/>
          <w:sz w:val="22"/>
          <w:lang w:val="en-CA"/>
        </w:rPr>
        <w:t>SEGMENTAL REPORTING</w:t>
      </w:r>
    </w:p>
    <w:p w14:paraId="45D33441" w14:textId="77777777" w:rsidR="00554459" w:rsidRDefault="00554459" w:rsidP="00554459">
      <w:pPr>
        <w:pStyle w:val="Header"/>
        <w:tabs>
          <w:tab w:val="clear" w:pos="4320"/>
          <w:tab w:val="clear" w:pos="8640"/>
          <w:tab w:val="left" w:pos="1100"/>
        </w:tabs>
        <w:ind w:left="720"/>
        <w:jc w:val="both"/>
        <w:rPr>
          <w:sz w:val="22"/>
          <w:lang w:val="en-CA"/>
        </w:rPr>
      </w:pPr>
    </w:p>
    <w:p w14:paraId="52888AA9" w14:textId="77777777" w:rsidR="00554459" w:rsidRPr="0063259A" w:rsidRDefault="00554459" w:rsidP="00554459">
      <w:pPr>
        <w:pStyle w:val="Header"/>
        <w:tabs>
          <w:tab w:val="clear" w:pos="4320"/>
          <w:tab w:val="clear" w:pos="8640"/>
          <w:tab w:val="left" w:pos="1100"/>
        </w:tabs>
        <w:ind w:left="1100"/>
        <w:jc w:val="both"/>
        <w:rPr>
          <w:sz w:val="22"/>
          <w:szCs w:val="22"/>
          <w:lang w:val="en-CA"/>
        </w:rPr>
      </w:pPr>
      <w:r>
        <w:rPr>
          <w:sz w:val="22"/>
          <w:szCs w:val="22"/>
          <w:lang w:val="en-CA"/>
        </w:rPr>
        <w:t xml:space="preserve">The Company operates in one business segment, being the acquisition and exploration of mineral properties.  The Company’s exploration and evaluation assets are distributed by </w:t>
      </w:r>
      <w:r w:rsidRPr="0063259A">
        <w:rPr>
          <w:sz w:val="22"/>
          <w:szCs w:val="22"/>
          <w:lang w:val="en-CA"/>
        </w:rPr>
        <w:t>geographic location as follows:</w:t>
      </w:r>
    </w:p>
    <w:p w14:paraId="5B3C688F" w14:textId="77777777" w:rsidR="00554459" w:rsidRPr="0063259A" w:rsidRDefault="00554459" w:rsidP="00554459">
      <w:pPr>
        <w:pStyle w:val="Header"/>
        <w:tabs>
          <w:tab w:val="clear" w:pos="4320"/>
          <w:tab w:val="clear" w:pos="8640"/>
          <w:tab w:val="left" w:pos="1100"/>
        </w:tabs>
        <w:ind w:left="1100"/>
        <w:jc w:val="both"/>
        <w:rPr>
          <w:sz w:val="22"/>
          <w:szCs w:val="22"/>
          <w:lang w:val="en-CA"/>
        </w:rPr>
      </w:pPr>
    </w:p>
    <w:tbl>
      <w:tblPr>
        <w:tblW w:w="7425" w:type="dxa"/>
        <w:tblInd w:w="675" w:type="dxa"/>
        <w:tblLayout w:type="fixed"/>
        <w:tblLook w:val="01E0" w:firstRow="1" w:lastRow="1" w:firstColumn="1" w:lastColumn="1" w:noHBand="0" w:noVBand="0"/>
      </w:tblPr>
      <w:tblGrid>
        <w:gridCol w:w="4365"/>
        <w:gridCol w:w="1530"/>
        <w:gridCol w:w="1530"/>
      </w:tblGrid>
      <w:tr w:rsidR="00554459" w:rsidRPr="009F17E3" w14:paraId="10A93951" w14:textId="77777777" w:rsidTr="00495559">
        <w:trPr>
          <w:trHeight w:val="255"/>
        </w:trPr>
        <w:tc>
          <w:tcPr>
            <w:tcW w:w="4365" w:type="dxa"/>
          </w:tcPr>
          <w:p w14:paraId="378416C2" w14:textId="77777777" w:rsidR="00554459" w:rsidRPr="0063259A" w:rsidRDefault="00554459" w:rsidP="00495559">
            <w:pPr>
              <w:tabs>
                <w:tab w:val="left" w:pos="1080"/>
              </w:tabs>
              <w:jc w:val="both"/>
              <w:rPr>
                <w:sz w:val="22"/>
              </w:rPr>
            </w:pPr>
          </w:p>
        </w:tc>
        <w:tc>
          <w:tcPr>
            <w:tcW w:w="1530" w:type="dxa"/>
          </w:tcPr>
          <w:p w14:paraId="6169DE07" w14:textId="77777777" w:rsidR="00554459" w:rsidRPr="001B672C" w:rsidRDefault="00554459" w:rsidP="00495559">
            <w:pPr>
              <w:tabs>
                <w:tab w:val="left" w:pos="1080"/>
              </w:tabs>
              <w:jc w:val="center"/>
              <w:rPr>
                <w:sz w:val="22"/>
              </w:rPr>
            </w:pPr>
            <w:r>
              <w:rPr>
                <w:sz w:val="22"/>
              </w:rPr>
              <w:t>October</w:t>
            </w:r>
            <w:r w:rsidRPr="001B672C">
              <w:rPr>
                <w:sz w:val="22"/>
              </w:rPr>
              <w:t xml:space="preserve"> 31,</w:t>
            </w:r>
          </w:p>
          <w:p w14:paraId="35778C4F" w14:textId="77777777" w:rsidR="00554459" w:rsidRPr="00C97D99" w:rsidRDefault="00554459" w:rsidP="00495559">
            <w:pPr>
              <w:tabs>
                <w:tab w:val="left" w:pos="1080"/>
              </w:tabs>
              <w:jc w:val="center"/>
              <w:rPr>
                <w:sz w:val="22"/>
                <w:u w:val="single"/>
              </w:rPr>
            </w:pPr>
            <w:r w:rsidRPr="001B672C">
              <w:rPr>
                <w:sz w:val="22"/>
                <w:u w:val="single"/>
              </w:rPr>
              <w:t>2019</w:t>
            </w:r>
          </w:p>
        </w:tc>
        <w:tc>
          <w:tcPr>
            <w:tcW w:w="1530" w:type="dxa"/>
          </w:tcPr>
          <w:p w14:paraId="464E7D67" w14:textId="77777777" w:rsidR="00554459" w:rsidRPr="00C44B3E" w:rsidRDefault="00554459" w:rsidP="00495559">
            <w:pPr>
              <w:tabs>
                <w:tab w:val="left" w:pos="1080"/>
              </w:tabs>
              <w:jc w:val="center"/>
              <w:rPr>
                <w:sz w:val="22"/>
              </w:rPr>
            </w:pPr>
            <w:r w:rsidRPr="00C44B3E">
              <w:rPr>
                <w:sz w:val="22"/>
              </w:rPr>
              <w:t xml:space="preserve">July 31, </w:t>
            </w:r>
          </w:p>
          <w:p w14:paraId="4C2DB5EE" w14:textId="77777777" w:rsidR="00554459" w:rsidRPr="000C5C3D" w:rsidRDefault="00554459" w:rsidP="00495559">
            <w:pPr>
              <w:tabs>
                <w:tab w:val="left" w:pos="1080"/>
              </w:tabs>
              <w:jc w:val="center"/>
              <w:rPr>
                <w:sz w:val="22"/>
                <w:u w:val="single"/>
              </w:rPr>
            </w:pPr>
            <w:r w:rsidRPr="00C44B3E">
              <w:rPr>
                <w:sz w:val="22"/>
                <w:u w:val="single"/>
              </w:rPr>
              <w:t>201</w:t>
            </w:r>
            <w:r>
              <w:rPr>
                <w:sz w:val="22"/>
                <w:u w:val="single"/>
              </w:rPr>
              <w:t>9</w:t>
            </w:r>
          </w:p>
        </w:tc>
      </w:tr>
      <w:tr w:rsidR="00554459" w:rsidRPr="009A0425" w14:paraId="39014286" w14:textId="77777777" w:rsidTr="00495559">
        <w:trPr>
          <w:trHeight w:val="255"/>
        </w:trPr>
        <w:tc>
          <w:tcPr>
            <w:tcW w:w="4365" w:type="dxa"/>
          </w:tcPr>
          <w:p w14:paraId="47088156" w14:textId="77777777" w:rsidR="00554459" w:rsidRPr="00DD3B37" w:rsidRDefault="00554459" w:rsidP="00495559">
            <w:pPr>
              <w:rPr>
                <w:sz w:val="22"/>
              </w:rPr>
            </w:pPr>
          </w:p>
        </w:tc>
        <w:tc>
          <w:tcPr>
            <w:tcW w:w="1530" w:type="dxa"/>
          </w:tcPr>
          <w:p w14:paraId="2C56A0D4" w14:textId="77777777" w:rsidR="00554459" w:rsidRPr="000C5C3D" w:rsidRDefault="00554459" w:rsidP="00495559">
            <w:pPr>
              <w:tabs>
                <w:tab w:val="left" w:pos="0"/>
                <w:tab w:val="decimal" w:pos="1242"/>
              </w:tabs>
              <w:jc w:val="both"/>
              <w:rPr>
                <w:sz w:val="22"/>
              </w:rPr>
            </w:pPr>
          </w:p>
        </w:tc>
        <w:tc>
          <w:tcPr>
            <w:tcW w:w="1530" w:type="dxa"/>
          </w:tcPr>
          <w:p w14:paraId="12649DAA" w14:textId="77777777" w:rsidR="00554459" w:rsidRPr="000C5C3D" w:rsidRDefault="00554459" w:rsidP="00495559">
            <w:pPr>
              <w:tabs>
                <w:tab w:val="left" w:pos="0"/>
                <w:tab w:val="decimal" w:pos="1242"/>
              </w:tabs>
              <w:jc w:val="both"/>
              <w:rPr>
                <w:sz w:val="22"/>
              </w:rPr>
            </w:pPr>
          </w:p>
        </w:tc>
      </w:tr>
      <w:tr w:rsidR="00554459" w:rsidRPr="009A0425" w14:paraId="6BADC095" w14:textId="77777777" w:rsidTr="00495559">
        <w:trPr>
          <w:trHeight w:val="255"/>
        </w:trPr>
        <w:tc>
          <w:tcPr>
            <w:tcW w:w="4365" w:type="dxa"/>
          </w:tcPr>
          <w:p w14:paraId="0061D843" w14:textId="77777777" w:rsidR="00554459" w:rsidRDefault="00554459" w:rsidP="00495559">
            <w:r w:rsidRPr="00DD3B37">
              <w:rPr>
                <w:sz w:val="22"/>
              </w:rPr>
              <w:t xml:space="preserve">                    Canada</w:t>
            </w:r>
          </w:p>
        </w:tc>
        <w:tc>
          <w:tcPr>
            <w:tcW w:w="1530" w:type="dxa"/>
          </w:tcPr>
          <w:p w14:paraId="44B2440D" w14:textId="77777777" w:rsidR="00554459" w:rsidRDefault="00554459" w:rsidP="00495559">
            <w:pPr>
              <w:tabs>
                <w:tab w:val="left" w:pos="0"/>
                <w:tab w:val="decimal" w:pos="1242"/>
              </w:tabs>
              <w:jc w:val="both"/>
              <w:rPr>
                <w:sz w:val="22"/>
              </w:rPr>
            </w:pPr>
            <w:r w:rsidRPr="009A0425">
              <w:rPr>
                <w:sz w:val="22"/>
              </w:rPr>
              <w:t>$</w:t>
            </w:r>
            <w:r w:rsidRPr="009A0425">
              <w:rPr>
                <w:sz w:val="22"/>
              </w:rPr>
              <w:tab/>
            </w:r>
            <w:r>
              <w:rPr>
                <w:sz w:val="22"/>
              </w:rPr>
              <w:t>1,217,360</w:t>
            </w:r>
          </w:p>
        </w:tc>
        <w:tc>
          <w:tcPr>
            <w:tcW w:w="1530" w:type="dxa"/>
          </w:tcPr>
          <w:p w14:paraId="05E98C08" w14:textId="77777777" w:rsidR="00554459" w:rsidRDefault="00554459" w:rsidP="00495559">
            <w:pPr>
              <w:tabs>
                <w:tab w:val="left" w:pos="0"/>
                <w:tab w:val="decimal" w:pos="1242"/>
              </w:tabs>
              <w:jc w:val="both"/>
              <w:rPr>
                <w:sz w:val="22"/>
              </w:rPr>
            </w:pPr>
            <w:r w:rsidRPr="009A0425">
              <w:rPr>
                <w:sz w:val="22"/>
              </w:rPr>
              <w:t>$</w:t>
            </w:r>
            <w:r w:rsidRPr="009A0425">
              <w:rPr>
                <w:sz w:val="22"/>
              </w:rPr>
              <w:tab/>
            </w:r>
            <w:r>
              <w:rPr>
                <w:sz w:val="22"/>
              </w:rPr>
              <w:t>1,214,650</w:t>
            </w:r>
          </w:p>
        </w:tc>
      </w:tr>
      <w:tr w:rsidR="00554459" w:rsidRPr="009A0425" w14:paraId="5D1E11A1" w14:textId="77777777" w:rsidTr="00495559">
        <w:trPr>
          <w:trHeight w:val="255"/>
        </w:trPr>
        <w:tc>
          <w:tcPr>
            <w:tcW w:w="4365" w:type="dxa"/>
          </w:tcPr>
          <w:p w14:paraId="03C1FE62" w14:textId="77777777" w:rsidR="00554459" w:rsidRDefault="00554459" w:rsidP="00495559">
            <w:r w:rsidRPr="00DD3B37">
              <w:rPr>
                <w:sz w:val="22"/>
              </w:rPr>
              <w:t xml:space="preserve">                    </w:t>
            </w:r>
            <w:r>
              <w:rPr>
                <w:sz w:val="22"/>
              </w:rPr>
              <w:t>U.S.A.</w:t>
            </w:r>
          </w:p>
        </w:tc>
        <w:tc>
          <w:tcPr>
            <w:tcW w:w="1530" w:type="dxa"/>
            <w:tcBorders>
              <w:bottom w:val="single" w:sz="4" w:space="0" w:color="auto"/>
            </w:tcBorders>
          </w:tcPr>
          <w:p w14:paraId="44489898" w14:textId="77777777" w:rsidR="00554459" w:rsidRDefault="00554459" w:rsidP="00495559">
            <w:pPr>
              <w:tabs>
                <w:tab w:val="left" w:pos="0"/>
                <w:tab w:val="decimal" w:pos="1242"/>
              </w:tabs>
              <w:jc w:val="both"/>
              <w:rPr>
                <w:sz w:val="22"/>
              </w:rPr>
            </w:pPr>
            <w:r w:rsidRPr="009A0425">
              <w:rPr>
                <w:sz w:val="22"/>
              </w:rPr>
              <w:tab/>
            </w:r>
            <w:r>
              <w:rPr>
                <w:sz w:val="22"/>
              </w:rPr>
              <w:t>51,486</w:t>
            </w:r>
          </w:p>
        </w:tc>
        <w:tc>
          <w:tcPr>
            <w:tcW w:w="1530" w:type="dxa"/>
            <w:tcBorders>
              <w:bottom w:val="single" w:sz="4" w:space="0" w:color="auto"/>
            </w:tcBorders>
          </w:tcPr>
          <w:p w14:paraId="3012D264" w14:textId="77777777" w:rsidR="00554459" w:rsidRDefault="00554459" w:rsidP="00495559">
            <w:pPr>
              <w:tabs>
                <w:tab w:val="left" w:pos="0"/>
                <w:tab w:val="decimal" w:pos="1242"/>
              </w:tabs>
              <w:jc w:val="both"/>
              <w:rPr>
                <w:sz w:val="22"/>
              </w:rPr>
            </w:pPr>
            <w:r w:rsidRPr="009A0425">
              <w:rPr>
                <w:sz w:val="22"/>
              </w:rPr>
              <w:tab/>
            </w:r>
            <w:r>
              <w:rPr>
                <w:sz w:val="22"/>
              </w:rPr>
              <w:t>47,674</w:t>
            </w:r>
          </w:p>
        </w:tc>
      </w:tr>
      <w:tr w:rsidR="00554459" w:rsidRPr="009A0425" w14:paraId="61DAA95E" w14:textId="77777777" w:rsidTr="00495559">
        <w:trPr>
          <w:trHeight w:val="255"/>
        </w:trPr>
        <w:tc>
          <w:tcPr>
            <w:tcW w:w="4365" w:type="dxa"/>
          </w:tcPr>
          <w:p w14:paraId="65973C61" w14:textId="77777777" w:rsidR="00554459" w:rsidRPr="009A0425" w:rsidRDefault="00554459" w:rsidP="00495559">
            <w:pPr>
              <w:tabs>
                <w:tab w:val="left" w:pos="1080"/>
              </w:tabs>
              <w:jc w:val="both"/>
              <w:rPr>
                <w:sz w:val="22"/>
              </w:rPr>
            </w:pPr>
          </w:p>
        </w:tc>
        <w:tc>
          <w:tcPr>
            <w:tcW w:w="1530" w:type="dxa"/>
            <w:tcBorders>
              <w:top w:val="single" w:sz="4" w:space="0" w:color="auto"/>
            </w:tcBorders>
          </w:tcPr>
          <w:p w14:paraId="75F44ED8" w14:textId="77777777" w:rsidR="00554459" w:rsidRPr="009A0425" w:rsidRDefault="00554459" w:rsidP="00495559">
            <w:pPr>
              <w:tabs>
                <w:tab w:val="left" w:pos="1080"/>
              </w:tabs>
              <w:jc w:val="both"/>
              <w:rPr>
                <w:sz w:val="22"/>
              </w:rPr>
            </w:pPr>
          </w:p>
        </w:tc>
        <w:tc>
          <w:tcPr>
            <w:tcW w:w="1530" w:type="dxa"/>
            <w:tcBorders>
              <w:top w:val="single" w:sz="4" w:space="0" w:color="auto"/>
            </w:tcBorders>
          </w:tcPr>
          <w:p w14:paraId="3881AD1B" w14:textId="77777777" w:rsidR="00554459" w:rsidRPr="009A0425" w:rsidRDefault="00554459" w:rsidP="00495559">
            <w:pPr>
              <w:tabs>
                <w:tab w:val="left" w:pos="1080"/>
              </w:tabs>
              <w:jc w:val="both"/>
              <w:rPr>
                <w:sz w:val="22"/>
              </w:rPr>
            </w:pPr>
          </w:p>
        </w:tc>
      </w:tr>
      <w:tr w:rsidR="00554459" w14:paraId="63EFD16D" w14:textId="77777777" w:rsidTr="00495559">
        <w:trPr>
          <w:trHeight w:val="255"/>
        </w:trPr>
        <w:tc>
          <w:tcPr>
            <w:tcW w:w="4365" w:type="dxa"/>
          </w:tcPr>
          <w:p w14:paraId="1CA05CB5" w14:textId="77777777" w:rsidR="00554459" w:rsidRPr="009A0425" w:rsidRDefault="00554459" w:rsidP="00495559">
            <w:pPr>
              <w:tabs>
                <w:tab w:val="left" w:pos="1080"/>
              </w:tabs>
              <w:jc w:val="both"/>
              <w:rPr>
                <w:sz w:val="22"/>
              </w:rPr>
            </w:pPr>
            <w:r>
              <w:rPr>
                <w:sz w:val="22"/>
              </w:rPr>
              <w:t xml:space="preserve">                    </w:t>
            </w:r>
          </w:p>
        </w:tc>
        <w:tc>
          <w:tcPr>
            <w:tcW w:w="1530" w:type="dxa"/>
            <w:tcBorders>
              <w:bottom w:val="double" w:sz="4" w:space="0" w:color="auto"/>
            </w:tcBorders>
          </w:tcPr>
          <w:p w14:paraId="4F115243" w14:textId="77777777" w:rsidR="00554459" w:rsidRDefault="00554459" w:rsidP="00495559">
            <w:pPr>
              <w:tabs>
                <w:tab w:val="left" w:pos="0"/>
                <w:tab w:val="decimal" w:pos="1242"/>
              </w:tabs>
              <w:jc w:val="both"/>
              <w:rPr>
                <w:sz w:val="22"/>
              </w:rPr>
            </w:pPr>
            <w:r w:rsidRPr="009A0425">
              <w:rPr>
                <w:sz w:val="22"/>
              </w:rPr>
              <w:t>$</w:t>
            </w:r>
            <w:r w:rsidRPr="009A0425">
              <w:rPr>
                <w:sz w:val="22"/>
              </w:rPr>
              <w:tab/>
            </w:r>
            <w:r>
              <w:rPr>
                <w:sz w:val="22"/>
              </w:rPr>
              <w:t>1,268,846</w:t>
            </w:r>
          </w:p>
        </w:tc>
        <w:tc>
          <w:tcPr>
            <w:tcW w:w="1530" w:type="dxa"/>
            <w:tcBorders>
              <w:bottom w:val="double" w:sz="4" w:space="0" w:color="auto"/>
            </w:tcBorders>
          </w:tcPr>
          <w:p w14:paraId="668DAB41" w14:textId="77777777" w:rsidR="00554459" w:rsidRDefault="00554459" w:rsidP="00495559">
            <w:pPr>
              <w:tabs>
                <w:tab w:val="left" w:pos="0"/>
                <w:tab w:val="decimal" w:pos="1242"/>
              </w:tabs>
              <w:jc w:val="both"/>
              <w:rPr>
                <w:sz w:val="22"/>
              </w:rPr>
            </w:pPr>
            <w:r w:rsidRPr="009A0425">
              <w:rPr>
                <w:sz w:val="22"/>
              </w:rPr>
              <w:t>$</w:t>
            </w:r>
            <w:r w:rsidRPr="009A0425">
              <w:rPr>
                <w:sz w:val="22"/>
              </w:rPr>
              <w:tab/>
            </w:r>
            <w:r>
              <w:rPr>
                <w:sz w:val="22"/>
              </w:rPr>
              <w:t>1,262,324</w:t>
            </w:r>
          </w:p>
        </w:tc>
      </w:tr>
    </w:tbl>
    <w:p w14:paraId="02422342" w14:textId="77777777" w:rsidR="00554459" w:rsidRDefault="00554459" w:rsidP="00554459">
      <w:pPr>
        <w:pStyle w:val="Header"/>
        <w:tabs>
          <w:tab w:val="clear" w:pos="4320"/>
          <w:tab w:val="clear" w:pos="8640"/>
          <w:tab w:val="left" w:pos="1100"/>
        </w:tabs>
        <w:ind w:left="360"/>
        <w:jc w:val="both"/>
        <w:rPr>
          <w:sz w:val="22"/>
          <w:szCs w:val="22"/>
        </w:rPr>
      </w:pPr>
      <w:r w:rsidRPr="00F8520E">
        <w:rPr>
          <w:sz w:val="22"/>
          <w:lang w:val="en-CA"/>
        </w:rPr>
        <w:tab/>
      </w:r>
    </w:p>
    <w:p w14:paraId="3E4F5A97" w14:textId="77777777" w:rsidR="00554459" w:rsidRPr="009232C4" w:rsidRDefault="00554459" w:rsidP="00367723">
      <w:pPr>
        <w:pStyle w:val="Header"/>
        <w:numPr>
          <w:ilvl w:val="0"/>
          <w:numId w:val="19"/>
        </w:numPr>
        <w:tabs>
          <w:tab w:val="clear" w:pos="4320"/>
          <w:tab w:val="clear" w:pos="8640"/>
          <w:tab w:val="left" w:pos="1100"/>
        </w:tabs>
        <w:ind w:left="1440" w:hanging="1080"/>
        <w:jc w:val="both"/>
        <w:rPr>
          <w:b/>
          <w:sz w:val="22"/>
          <w:szCs w:val="22"/>
          <w:lang w:val="en-CA"/>
        </w:rPr>
      </w:pPr>
      <w:r w:rsidRPr="009232C4">
        <w:rPr>
          <w:b/>
          <w:sz w:val="22"/>
          <w:szCs w:val="22"/>
          <w:lang w:val="en-CA"/>
        </w:rPr>
        <w:t>SUPPLEMENTAL DISCLOSURE WITH RESPECT TO CASH FLOWS</w:t>
      </w:r>
    </w:p>
    <w:p w14:paraId="055334DE" w14:textId="77777777" w:rsidR="00554459" w:rsidRPr="009232C4" w:rsidRDefault="00554459" w:rsidP="00554459">
      <w:pPr>
        <w:pStyle w:val="Header"/>
        <w:tabs>
          <w:tab w:val="clear" w:pos="4320"/>
          <w:tab w:val="clear" w:pos="8640"/>
          <w:tab w:val="left" w:pos="1100"/>
        </w:tabs>
        <w:ind w:left="720"/>
        <w:jc w:val="both"/>
        <w:rPr>
          <w:sz w:val="22"/>
          <w:szCs w:val="22"/>
          <w:lang w:val="en-CA"/>
        </w:rPr>
      </w:pPr>
    </w:p>
    <w:p w14:paraId="641FE33E" w14:textId="77777777" w:rsidR="00554459" w:rsidRPr="00495D43" w:rsidRDefault="00554459" w:rsidP="00554459">
      <w:pPr>
        <w:pStyle w:val="dr"/>
        <w:tabs>
          <w:tab w:val="left" w:pos="1080"/>
        </w:tabs>
        <w:ind w:left="1080" w:hanging="1080"/>
        <w:rPr>
          <w:szCs w:val="22"/>
        </w:rPr>
      </w:pPr>
      <w:r w:rsidRPr="009232C4">
        <w:rPr>
          <w:szCs w:val="22"/>
        </w:rPr>
        <w:tab/>
        <w:t xml:space="preserve">Investing and financing activities that do not have a direct impact on cash flows are excluded </w:t>
      </w:r>
      <w:r w:rsidRPr="00495D43">
        <w:rPr>
          <w:szCs w:val="22"/>
        </w:rPr>
        <w:t>from the statement of cash flows.  The following transactions were excluded from the statements of cash flows:</w:t>
      </w:r>
    </w:p>
    <w:p w14:paraId="365D9D03" w14:textId="77777777" w:rsidR="00554459" w:rsidRPr="00495D43" w:rsidRDefault="00554459" w:rsidP="00554459">
      <w:pPr>
        <w:pStyle w:val="dr"/>
        <w:tabs>
          <w:tab w:val="left" w:pos="1080"/>
        </w:tabs>
        <w:ind w:left="1080"/>
        <w:rPr>
          <w:szCs w:val="22"/>
          <w:lang w:val="en-CA"/>
        </w:rPr>
      </w:pPr>
    </w:p>
    <w:p w14:paraId="405D4D9D" w14:textId="77777777" w:rsidR="00554459" w:rsidRPr="00632475" w:rsidRDefault="00554459" w:rsidP="00554459">
      <w:pPr>
        <w:pStyle w:val="dr"/>
        <w:tabs>
          <w:tab w:val="left" w:pos="1080"/>
        </w:tabs>
        <w:ind w:left="1080"/>
        <w:rPr>
          <w:szCs w:val="22"/>
        </w:rPr>
      </w:pPr>
      <w:r>
        <w:rPr>
          <w:i/>
          <w:szCs w:val="22"/>
          <w:lang w:val="en-CA"/>
        </w:rPr>
        <w:t>Th</w:t>
      </w:r>
      <w:r w:rsidRPr="00632475">
        <w:rPr>
          <w:i/>
          <w:szCs w:val="22"/>
          <w:lang w:val="en-CA"/>
        </w:rPr>
        <w:t>r</w:t>
      </w:r>
      <w:r>
        <w:rPr>
          <w:i/>
          <w:szCs w:val="22"/>
          <w:lang w:val="en-CA"/>
        </w:rPr>
        <w:t>ee months</w:t>
      </w:r>
      <w:r w:rsidRPr="00632475">
        <w:rPr>
          <w:i/>
          <w:szCs w:val="22"/>
          <w:lang w:val="en-CA"/>
        </w:rPr>
        <w:t xml:space="preserve"> ended </w:t>
      </w:r>
      <w:r>
        <w:rPr>
          <w:i/>
          <w:szCs w:val="22"/>
          <w:lang w:val="en-CA"/>
        </w:rPr>
        <w:t>October</w:t>
      </w:r>
      <w:r w:rsidRPr="00632475">
        <w:rPr>
          <w:i/>
          <w:szCs w:val="22"/>
          <w:lang w:val="en-CA"/>
        </w:rPr>
        <w:t xml:space="preserve"> 31, 2019</w:t>
      </w:r>
      <w:r w:rsidRPr="00632475">
        <w:rPr>
          <w:szCs w:val="22"/>
        </w:rPr>
        <w:t>:</w:t>
      </w:r>
    </w:p>
    <w:p w14:paraId="56774B7D" w14:textId="77777777" w:rsidR="00554459" w:rsidRPr="00632475" w:rsidRDefault="00554459" w:rsidP="00554459">
      <w:pPr>
        <w:pStyle w:val="dr"/>
        <w:tabs>
          <w:tab w:val="left" w:pos="1080"/>
        </w:tabs>
        <w:ind w:left="1440"/>
        <w:rPr>
          <w:szCs w:val="22"/>
        </w:rPr>
      </w:pPr>
    </w:p>
    <w:p w14:paraId="3997D0E1" w14:textId="77777777" w:rsidR="00554459" w:rsidRPr="00632475" w:rsidRDefault="00554459" w:rsidP="00554459">
      <w:pPr>
        <w:pStyle w:val="dr"/>
        <w:tabs>
          <w:tab w:val="left" w:pos="1080"/>
        </w:tabs>
        <w:ind w:left="1080"/>
        <w:rPr>
          <w:szCs w:val="22"/>
        </w:rPr>
      </w:pPr>
      <w:r w:rsidRPr="00632475">
        <w:rPr>
          <w:szCs w:val="22"/>
        </w:rPr>
        <w:t>a)</w:t>
      </w:r>
      <w:r w:rsidRPr="00632475">
        <w:rPr>
          <w:szCs w:val="22"/>
        </w:rPr>
        <w:tab/>
      </w:r>
      <w:r>
        <w:rPr>
          <w:szCs w:val="22"/>
        </w:rPr>
        <w:t>There were no significant non-cash investing and financing activities.</w:t>
      </w:r>
    </w:p>
    <w:p w14:paraId="103512BF" w14:textId="77777777" w:rsidR="00554459" w:rsidRPr="00632475" w:rsidRDefault="00554459" w:rsidP="00554459">
      <w:pPr>
        <w:pStyle w:val="dr"/>
        <w:tabs>
          <w:tab w:val="left" w:pos="1080"/>
        </w:tabs>
        <w:ind w:left="1080" w:hanging="1080"/>
        <w:rPr>
          <w:szCs w:val="22"/>
          <w:lang w:val="en-CA"/>
        </w:rPr>
      </w:pPr>
    </w:p>
    <w:p w14:paraId="5F1CD60B" w14:textId="77777777" w:rsidR="00554459" w:rsidRPr="00632475" w:rsidRDefault="00554459" w:rsidP="00554459">
      <w:pPr>
        <w:pStyle w:val="dr"/>
        <w:tabs>
          <w:tab w:val="left" w:pos="1080"/>
        </w:tabs>
        <w:ind w:left="1080"/>
        <w:rPr>
          <w:i/>
          <w:szCs w:val="22"/>
        </w:rPr>
      </w:pPr>
      <w:r>
        <w:rPr>
          <w:i/>
          <w:szCs w:val="22"/>
          <w:lang w:val="en-CA"/>
        </w:rPr>
        <w:t>Th</w:t>
      </w:r>
      <w:r w:rsidRPr="00632475">
        <w:rPr>
          <w:i/>
          <w:szCs w:val="22"/>
          <w:lang w:val="en-CA"/>
        </w:rPr>
        <w:t>r</w:t>
      </w:r>
      <w:r>
        <w:rPr>
          <w:i/>
          <w:szCs w:val="22"/>
          <w:lang w:val="en-CA"/>
        </w:rPr>
        <w:t>ee months</w:t>
      </w:r>
      <w:r w:rsidRPr="00632475">
        <w:rPr>
          <w:i/>
          <w:szCs w:val="22"/>
          <w:lang w:val="en-CA"/>
        </w:rPr>
        <w:t xml:space="preserve"> ended </w:t>
      </w:r>
      <w:r>
        <w:rPr>
          <w:i/>
          <w:szCs w:val="22"/>
          <w:lang w:val="en-CA"/>
        </w:rPr>
        <w:t>October</w:t>
      </w:r>
      <w:r w:rsidRPr="00632475">
        <w:rPr>
          <w:i/>
          <w:szCs w:val="22"/>
          <w:lang w:val="en-CA"/>
        </w:rPr>
        <w:t xml:space="preserve"> 31, 2018</w:t>
      </w:r>
      <w:r w:rsidRPr="00632475">
        <w:rPr>
          <w:i/>
          <w:szCs w:val="22"/>
        </w:rPr>
        <w:t>:</w:t>
      </w:r>
    </w:p>
    <w:p w14:paraId="704C47B9" w14:textId="77777777" w:rsidR="00554459" w:rsidRPr="00632475" w:rsidRDefault="00554459" w:rsidP="00554459">
      <w:pPr>
        <w:pStyle w:val="dr"/>
        <w:tabs>
          <w:tab w:val="left" w:pos="1080"/>
        </w:tabs>
        <w:ind w:left="1440"/>
        <w:rPr>
          <w:szCs w:val="22"/>
        </w:rPr>
      </w:pPr>
    </w:p>
    <w:p w14:paraId="39687B58" w14:textId="77777777" w:rsidR="00554459" w:rsidRPr="00632475" w:rsidRDefault="00554459" w:rsidP="00367723">
      <w:pPr>
        <w:pStyle w:val="dr"/>
        <w:numPr>
          <w:ilvl w:val="0"/>
          <w:numId w:val="13"/>
        </w:numPr>
        <w:tabs>
          <w:tab w:val="left" w:pos="1080"/>
        </w:tabs>
        <w:rPr>
          <w:szCs w:val="22"/>
        </w:rPr>
      </w:pPr>
      <w:r w:rsidRPr="00632475">
        <w:rPr>
          <w:szCs w:val="22"/>
        </w:rPr>
        <w:t xml:space="preserve">Included </w:t>
      </w:r>
      <w:r w:rsidRPr="00632475">
        <w:rPr>
          <w:szCs w:val="22"/>
          <w:lang w:val="en-CA"/>
        </w:rPr>
        <w:t>in accounts payable and accrued liabilities</w:t>
      </w:r>
      <w:r w:rsidRPr="00632475">
        <w:rPr>
          <w:szCs w:val="22"/>
        </w:rPr>
        <w:t xml:space="preserve"> was $1</w:t>
      </w:r>
      <w:r>
        <w:rPr>
          <w:szCs w:val="22"/>
        </w:rPr>
        <w:t>3,2</w:t>
      </w:r>
      <w:r w:rsidRPr="00632475">
        <w:rPr>
          <w:szCs w:val="22"/>
        </w:rPr>
        <w:t>1</w:t>
      </w:r>
      <w:r>
        <w:rPr>
          <w:szCs w:val="22"/>
        </w:rPr>
        <w:t>7</w:t>
      </w:r>
      <w:r w:rsidRPr="00632475">
        <w:rPr>
          <w:szCs w:val="22"/>
        </w:rPr>
        <w:t xml:space="preserve"> for</w:t>
      </w:r>
      <w:r w:rsidRPr="00632475">
        <w:rPr>
          <w:szCs w:val="22"/>
          <w:lang w:val="en-CA"/>
        </w:rPr>
        <w:t xml:space="preserve"> exploration and evaluation assets.</w:t>
      </w:r>
    </w:p>
    <w:p w14:paraId="0F67A649" w14:textId="6A2EED2D" w:rsidR="001B0095" w:rsidRDefault="001B0095">
      <w:pPr>
        <w:rPr>
          <w:rFonts w:ascii="Arial" w:hAnsi="Arial" w:cs="Arial"/>
          <w:szCs w:val="24"/>
          <w:u w:val="single"/>
        </w:rPr>
      </w:pPr>
      <w:r>
        <w:rPr>
          <w:rFonts w:ascii="Arial" w:hAnsi="Arial" w:cs="Arial"/>
          <w:szCs w:val="24"/>
          <w:u w:val="single"/>
        </w:rPr>
        <w:br w:type="page"/>
      </w:r>
    </w:p>
    <w:p w14:paraId="254DB649" w14:textId="77777777" w:rsidR="0018477D" w:rsidRDefault="0018477D">
      <w:pPr>
        <w:rPr>
          <w:rFonts w:ascii="Arial" w:hAnsi="Arial" w:cs="Arial"/>
          <w:szCs w:val="24"/>
          <w:u w:val="single"/>
        </w:rPr>
        <w:sectPr w:rsidR="0018477D">
          <w:headerReference w:type="default" r:id="rId23"/>
          <w:pgSz w:w="12240" w:h="15840" w:code="1"/>
          <w:pgMar w:top="1440" w:right="1440" w:bottom="1440" w:left="1440" w:header="720" w:footer="936" w:gutter="0"/>
          <w:pgNumType w:start="1"/>
          <w:cols w:space="720"/>
        </w:sectPr>
      </w:pPr>
    </w:p>
    <w:p w14:paraId="2912965E" w14:textId="77777777" w:rsidR="00FE6554" w:rsidRPr="00A31412" w:rsidRDefault="00FE6554" w:rsidP="00FE6554">
      <w:pPr>
        <w:jc w:val="both"/>
        <w:rPr>
          <w:b/>
          <w:bCs/>
          <w:sz w:val="28"/>
          <w:szCs w:val="28"/>
        </w:rPr>
      </w:pPr>
      <w:r>
        <w:rPr>
          <w:b/>
          <w:bCs/>
          <w:sz w:val="28"/>
          <w:szCs w:val="28"/>
        </w:rPr>
        <w:lastRenderedPageBreak/>
        <w:t>CRUZ COBALT CORP.</w:t>
      </w:r>
    </w:p>
    <w:p w14:paraId="491F63CC" w14:textId="77777777" w:rsidR="00FE6554" w:rsidRPr="00FE6554" w:rsidRDefault="00FE6554" w:rsidP="00FE6554">
      <w:pPr>
        <w:pBdr>
          <w:bottom w:val="single" w:sz="4" w:space="1" w:color="auto"/>
        </w:pBdr>
        <w:jc w:val="both"/>
        <w:rPr>
          <w:sz w:val="22"/>
          <w:szCs w:val="22"/>
        </w:rPr>
      </w:pPr>
      <w:r w:rsidRPr="00FE6554">
        <w:rPr>
          <w:sz w:val="22"/>
          <w:szCs w:val="22"/>
        </w:rPr>
        <w:t>For the three months ended October 31, 2019</w:t>
      </w:r>
    </w:p>
    <w:p w14:paraId="5444662B" w14:textId="77777777" w:rsidR="00FE6554" w:rsidRPr="00FE6554" w:rsidRDefault="00FE6554" w:rsidP="00FE6554">
      <w:pPr>
        <w:jc w:val="both"/>
        <w:rPr>
          <w:sz w:val="22"/>
          <w:szCs w:val="22"/>
        </w:rPr>
      </w:pPr>
    </w:p>
    <w:p w14:paraId="5F107063" w14:textId="77777777" w:rsidR="00FE6554" w:rsidRPr="00FE6554" w:rsidRDefault="00FE6554" w:rsidP="00FE6554">
      <w:pPr>
        <w:pStyle w:val="Style1"/>
        <w:tabs>
          <w:tab w:val="left" w:pos="1440"/>
        </w:tabs>
        <w:rPr>
          <w:szCs w:val="22"/>
        </w:rPr>
      </w:pPr>
      <w:r w:rsidRPr="00FE6554">
        <w:rPr>
          <w:szCs w:val="22"/>
        </w:rPr>
        <w:t>Management’s Discussion and Analysis ("MD&amp;A")</w:t>
      </w:r>
    </w:p>
    <w:p w14:paraId="14B46DF8" w14:textId="77777777" w:rsidR="00FE6554" w:rsidRPr="00FE6554" w:rsidRDefault="00FE6554" w:rsidP="00FE6554">
      <w:pPr>
        <w:jc w:val="both"/>
        <w:rPr>
          <w:sz w:val="22"/>
          <w:szCs w:val="22"/>
        </w:rPr>
      </w:pPr>
    </w:p>
    <w:p w14:paraId="68EB7B10" w14:textId="77777777" w:rsidR="00FE6554" w:rsidRPr="00FE6554" w:rsidRDefault="00FE6554" w:rsidP="00FE6554">
      <w:pPr>
        <w:pStyle w:val="Style1"/>
        <w:rPr>
          <w:szCs w:val="22"/>
        </w:rPr>
      </w:pPr>
      <w:r w:rsidRPr="00FE6554">
        <w:rPr>
          <w:szCs w:val="22"/>
        </w:rPr>
        <w:t>Date of Report: December 10, 2019</w:t>
      </w:r>
    </w:p>
    <w:p w14:paraId="2CDD08F4" w14:textId="77777777" w:rsidR="00FE6554" w:rsidRPr="00FE6554" w:rsidRDefault="00FE6554" w:rsidP="00FE6554">
      <w:pPr>
        <w:pStyle w:val="Style1"/>
        <w:rPr>
          <w:szCs w:val="22"/>
        </w:rPr>
      </w:pPr>
    </w:p>
    <w:p w14:paraId="36AD40F3" w14:textId="77777777" w:rsidR="00FE6554" w:rsidRPr="00FE6554" w:rsidRDefault="00FE6554" w:rsidP="00FE6554">
      <w:pPr>
        <w:autoSpaceDE w:val="0"/>
        <w:autoSpaceDN w:val="0"/>
        <w:adjustRightInd w:val="0"/>
        <w:jc w:val="both"/>
        <w:rPr>
          <w:sz w:val="22"/>
          <w:szCs w:val="22"/>
          <w:lang w:val="en-CA" w:eastAsia="en-CA"/>
        </w:rPr>
      </w:pPr>
      <w:r w:rsidRPr="00FE6554">
        <w:rPr>
          <w:sz w:val="22"/>
          <w:szCs w:val="22"/>
          <w:lang w:val="en-CA"/>
        </w:rPr>
        <w:t xml:space="preserve">The following discussion and analysis of the Company's financial condition and results of operations for the three months ended October 31, 2019 should be read in conjunction with its condensed consolidated interim financial statements and related notes. </w:t>
      </w:r>
      <w:r w:rsidRPr="00FE6554">
        <w:rPr>
          <w:sz w:val="22"/>
          <w:szCs w:val="22"/>
          <w:lang w:val="en-CA" w:eastAsia="en-CA"/>
        </w:rPr>
        <w:t>The requisite financial data presented for the relevant periods has been prepared in accordance with International Financial Reporting Standards (“IFRS”)</w:t>
      </w:r>
      <w:r w:rsidRPr="00FE6554">
        <w:rPr>
          <w:sz w:val="22"/>
          <w:szCs w:val="22"/>
        </w:rPr>
        <w:t xml:space="preserve"> as issued by the International Accounting Standards Board (“IASB”) and interpretations issued by the International Financial Reporting Interpretations Committee (“IFRIC”)</w:t>
      </w:r>
      <w:r w:rsidRPr="00FE6554">
        <w:rPr>
          <w:sz w:val="22"/>
          <w:szCs w:val="22"/>
          <w:lang w:val="en-CA" w:eastAsia="en-CA"/>
        </w:rPr>
        <w:t xml:space="preserve">. </w:t>
      </w:r>
    </w:p>
    <w:p w14:paraId="2FA1689E" w14:textId="77777777" w:rsidR="00FE6554" w:rsidRPr="00FE6554" w:rsidRDefault="00FE6554" w:rsidP="00FE6554">
      <w:pPr>
        <w:autoSpaceDE w:val="0"/>
        <w:autoSpaceDN w:val="0"/>
        <w:adjustRightInd w:val="0"/>
        <w:jc w:val="both"/>
        <w:rPr>
          <w:sz w:val="22"/>
          <w:szCs w:val="22"/>
          <w:lang w:val="en-CA"/>
        </w:rPr>
      </w:pPr>
    </w:p>
    <w:p w14:paraId="5E375408" w14:textId="77777777" w:rsidR="00FE6554" w:rsidRPr="00FE6554" w:rsidRDefault="00FE6554" w:rsidP="00FE6554">
      <w:pPr>
        <w:pStyle w:val="BodyText"/>
        <w:keepNext/>
        <w:spacing w:before="0"/>
        <w:jc w:val="both"/>
        <w:rPr>
          <w:sz w:val="22"/>
          <w:szCs w:val="22"/>
        </w:rPr>
      </w:pPr>
      <w:r w:rsidRPr="00FE6554">
        <w:rPr>
          <w:sz w:val="22"/>
          <w:szCs w:val="22"/>
          <w:lang w:val="en-CA" w:eastAsia="en-CA"/>
        </w:rPr>
        <w:t xml:space="preserve">All dollar figures included therein and in the following MD&amp;A are quoted in Canadian dollars. Additional information relevant to the Company’s activities can be found on SEDAR at </w:t>
      </w:r>
      <w:hyperlink r:id="rId24" w:history="1">
        <w:r w:rsidRPr="00FE6554">
          <w:rPr>
            <w:rStyle w:val="Hyperlink"/>
            <w:sz w:val="22"/>
            <w:szCs w:val="22"/>
            <w:lang w:val="en-CA" w:eastAsia="en-CA"/>
          </w:rPr>
          <w:t>www.sedar.com</w:t>
        </w:r>
      </w:hyperlink>
      <w:r w:rsidRPr="00FE6554">
        <w:rPr>
          <w:sz w:val="22"/>
          <w:szCs w:val="22"/>
        </w:rPr>
        <w:t>.</w:t>
      </w:r>
    </w:p>
    <w:p w14:paraId="0B9FA08F" w14:textId="77777777" w:rsidR="00FE6554" w:rsidRPr="00FE6554" w:rsidRDefault="00FE6554" w:rsidP="00FE6554">
      <w:pPr>
        <w:pStyle w:val="BodyText"/>
        <w:keepNext/>
        <w:spacing w:before="0"/>
        <w:jc w:val="both"/>
        <w:rPr>
          <w:b/>
          <w:bCs/>
          <w:sz w:val="22"/>
          <w:szCs w:val="22"/>
        </w:rPr>
      </w:pPr>
    </w:p>
    <w:p w14:paraId="05DF45C6" w14:textId="77777777" w:rsidR="00FE6554" w:rsidRPr="00FE6554" w:rsidRDefault="00FE6554" w:rsidP="00FE6554">
      <w:pPr>
        <w:pStyle w:val="BodyText"/>
        <w:keepNext/>
        <w:spacing w:before="0"/>
        <w:jc w:val="both"/>
        <w:rPr>
          <w:b/>
          <w:bCs/>
          <w:sz w:val="22"/>
          <w:szCs w:val="22"/>
        </w:rPr>
      </w:pPr>
      <w:r w:rsidRPr="00FE6554">
        <w:rPr>
          <w:b/>
          <w:bCs/>
          <w:sz w:val="22"/>
          <w:szCs w:val="22"/>
        </w:rPr>
        <w:t>Disclaimer for Forward-Looking Information</w:t>
      </w:r>
    </w:p>
    <w:p w14:paraId="61847CC4" w14:textId="77777777" w:rsidR="00FE6554" w:rsidRPr="00FE6554" w:rsidRDefault="00FE6554" w:rsidP="00FE6554">
      <w:pPr>
        <w:pStyle w:val="BodyText"/>
        <w:keepNext/>
        <w:spacing w:before="0"/>
        <w:jc w:val="both"/>
        <w:rPr>
          <w:b/>
          <w:bCs/>
          <w:sz w:val="22"/>
          <w:szCs w:val="22"/>
        </w:rPr>
      </w:pPr>
    </w:p>
    <w:p w14:paraId="32B3621E" w14:textId="77777777" w:rsidR="00FE6554" w:rsidRPr="00FE6554" w:rsidRDefault="00FE6554" w:rsidP="00FE6554">
      <w:pPr>
        <w:pStyle w:val="BodyText"/>
        <w:spacing w:before="0"/>
        <w:jc w:val="both"/>
        <w:rPr>
          <w:sz w:val="22"/>
          <w:szCs w:val="22"/>
          <w:lang w:val="en-CA"/>
        </w:rPr>
      </w:pPr>
      <w:bookmarkStart w:id="9" w:name="_DV_M13"/>
      <w:bookmarkEnd w:id="9"/>
      <w:r w:rsidRPr="00FE6554">
        <w:rPr>
          <w:sz w:val="22"/>
          <w:szCs w:val="22"/>
          <w:lang w:val="en-CA"/>
        </w:rPr>
        <w:t>Certain statements in this report are forward-looking statements, which reflect management’s expectations regarding the Company's future growth, results of operations, performance, business prospects and opportunities such as the intended work programs on its existing property interests, the ability to meet financial commitments and the ability to raise funds when required.  Forward-looking statements consist of statements that are not purely historical, including any statements regarding beliefs, plans, expectations or intentions regarding the future. Such statements are subject to risks and uncertainties that may cause actual results, performance or developments to differ materially from those contained in the statements.  No assurance can be given that any of the events anticipated by the forward-looking statements will occur or, if they do occur, what benefits the Company will obtain from them.  These forward-looking statements reflect management’s current views and are based on certain assumptions and speak only as of the date of this Management’s Discussion and Analysis.  These assumptions, which include management’s current expectations, estimates and assumptions about its current property interests, the global economic environment, the market price and demand for mineral commodities and its ability to manage the property interests and operating costs, may prove to be incorrect.  A number of risks and uncertainties could cause the actual results to differ materially from those expressed or implied by the forward-looking statements, including: (1) a downturn in general economic conditions, (2) a decreased demand or price for mineral commodities, (3) delays in the start of projects with respect to its property interests, (4) inability to locate and acquire additional property interests, (5) the uncertainty of government regulation and politics in North America regarding mineral exploration and mining, (6) potential negative financial impact from regulatory investigations, claims, lawsuits and other legal proceedings and challenges, and (7) other factors beyond its control.</w:t>
      </w:r>
    </w:p>
    <w:p w14:paraId="26C7D67E" w14:textId="77777777" w:rsidR="00FE6554" w:rsidRPr="00FE6554" w:rsidRDefault="00FE6554" w:rsidP="00FE6554">
      <w:pPr>
        <w:pStyle w:val="BodyText"/>
        <w:spacing w:before="0"/>
        <w:jc w:val="both"/>
        <w:rPr>
          <w:sz w:val="22"/>
          <w:szCs w:val="22"/>
          <w:lang w:val="en-CA"/>
        </w:rPr>
      </w:pPr>
    </w:p>
    <w:p w14:paraId="5B7C5F16" w14:textId="77777777" w:rsidR="00FE6554" w:rsidRPr="00FE6554" w:rsidRDefault="00FE6554" w:rsidP="00FE6554">
      <w:pPr>
        <w:pStyle w:val="BodyText"/>
        <w:spacing w:before="0"/>
        <w:jc w:val="both"/>
        <w:rPr>
          <w:sz w:val="22"/>
          <w:szCs w:val="22"/>
        </w:rPr>
      </w:pPr>
      <w:r w:rsidRPr="00FE6554">
        <w:rPr>
          <w:sz w:val="22"/>
          <w:szCs w:val="22"/>
        </w:rPr>
        <w:t>There is a significant risk that such forward-looking statements will not prove to be accurate.  Investors are cautioned not to place undue reliance on these forward-looking statements.  No forward-looking statement is a guarantee of future results.  Except as required by law, the Company disclaims any intention or obligation to update or revise any forward-looking statements.</w:t>
      </w:r>
      <w:bookmarkStart w:id="10" w:name="_DV_M15"/>
      <w:bookmarkEnd w:id="10"/>
      <w:r w:rsidRPr="00FE6554">
        <w:rPr>
          <w:sz w:val="22"/>
          <w:szCs w:val="22"/>
        </w:rPr>
        <w:t xml:space="preserve">  Additional information about these and other assumptions, risks and uncertainties are set out in the section entitled “Risk Factors” below.</w:t>
      </w:r>
    </w:p>
    <w:p w14:paraId="4D58BB7D" w14:textId="77777777" w:rsidR="00FE6554" w:rsidRPr="00FE6554" w:rsidRDefault="00FE6554" w:rsidP="00FE6554">
      <w:pPr>
        <w:pStyle w:val="BodyText"/>
        <w:spacing w:before="0"/>
        <w:jc w:val="both"/>
        <w:rPr>
          <w:sz w:val="22"/>
          <w:szCs w:val="22"/>
          <w:lang w:val="en-CA"/>
        </w:rPr>
      </w:pPr>
    </w:p>
    <w:p w14:paraId="601D84D9" w14:textId="77777777" w:rsidR="00FE6554" w:rsidRPr="00FE6554" w:rsidRDefault="00FE6554" w:rsidP="00FE6554">
      <w:pPr>
        <w:keepNext/>
        <w:keepLines/>
        <w:jc w:val="both"/>
        <w:rPr>
          <w:b/>
          <w:bCs/>
          <w:sz w:val="22"/>
          <w:szCs w:val="22"/>
        </w:rPr>
      </w:pPr>
      <w:r w:rsidRPr="00FE6554">
        <w:rPr>
          <w:b/>
          <w:bCs/>
          <w:sz w:val="22"/>
          <w:szCs w:val="22"/>
        </w:rPr>
        <w:t>Nature of Business</w:t>
      </w:r>
    </w:p>
    <w:p w14:paraId="677E5BE3" w14:textId="77777777" w:rsidR="00FE6554" w:rsidRPr="00FE6554" w:rsidRDefault="00FE6554" w:rsidP="00FE6554">
      <w:pPr>
        <w:keepNext/>
        <w:keepLines/>
        <w:jc w:val="both"/>
        <w:rPr>
          <w:sz w:val="22"/>
          <w:szCs w:val="22"/>
        </w:rPr>
      </w:pPr>
    </w:p>
    <w:p w14:paraId="7597F23F" w14:textId="77777777" w:rsidR="00FE6554" w:rsidRPr="00FE6554" w:rsidRDefault="00FE6554" w:rsidP="00FE6554">
      <w:pPr>
        <w:pStyle w:val="Style1"/>
        <w:rPr>
          <w:szCs w:val="22"/>
        </w:rPr>
      </w:pPr>
      <w:r w:rsidRPr="00FE6554">
        <w:rPr>
          <w:szCs w:val="22"/>
        </w:rPr>
        <w:t xml:space="preserve">Cruz Cobalt Corp. (the "Company") is involved in the identification, acquisition and exploration of mineral properties that management deems as potentially viable to assist in the growth of the Company.  At October 31, 2019, the Company had mineral property interests located in Canada and in the USA. </w:t>
      </w:r>
    </w:p>
    <w:p w14:paraId="455E2F7E" w14:textId="77777777" w:rsidR="00FE6554" w:rsidRPr="00FE6554" w:rsidRDefault="00FE6554" w:rsidP="00FE6554">
      <w:pPr>
        <w:pStyle w:val="Style1"/>
        <w:rPr>
          <w:szCs w:val="22"/>
        </w:rPr>
        <w:sectPr w:rsidR="00FE6554" w:rsidRPr="00FE6554" w:rsidSect="00FE6554">
          <w:headerReference w:type="default" r:id="rId25"/>
          <w:headerReference w:type="first" r:id="rId26"/>
          <w:pgSz w:w="12240" w:h="15840" w:code="1"/>
          <w:pgMar w:top="432" w:right="1440" w:bottom="432" w:left="1440" w:header="720" w:footer="720" w:gutter="0"/>
          <w:cols w:space="720"/>
          <w:titlePg/>
          <w:docGrid w:linePitch="360"/>
        </w:sectPr>
      </w:pPr>
    </w:p>
    <w:p w14:paraId="61355278" w14:textId="2518D989" w:rsidR="00FE6554" w:rsidRPr="00FE6554" w:rsidRDefault="00FE6554" w:rsidP="00FE6554">
      <w:pPr>
        <w:pStyle w:val="Style1"/>
        <w:rPr>
          <w:szCs w:val="22"/>
        </w:rPr>
      </w:pPr>
    </w:p>
    <w:p w14:paraId="55A9C1E6" w14:textId="620C83A9" w:rsidR="00FE6554" w:rsidRPr="00FE6554" w:rsidRDefault="00FE6554" w:rsidP="00FE6554">
      <w:pPr>
        <w:rPr>
          <w:b/>
          <w:bCs/>
          <w:i/>
          <w:iCs/>
          <w:sz w:val="22"/>
          <w:szCs w:val="22"/>
          <w:lang w:val="en-GB"/>
        </w:rPr>
      </w:pPr>
    </w:p>
    <w:p w14:paraId="6C807B81" w14:textId="77777777" w:rsidR="00FE6554" w:rsidRPr="00FE6554" w:rsidRDefault="00FE6554" w:rsidP="00FE6554">
      <w:pPr>
        <w:pStyle w:val="Style1"/>
        <w:tabs>
          <w:tab w:val="left" w:pos="-1440"/>
          <w:tab w:val="left" w:pos="0"/>
          <w:tab w:val="left" w:pos="1440"/>
          <w:tab w:val="left" w:pos="1800"/>
          <w:tab w:val="left" w:pos="2160"/>
        </w:tabs>
        <w:rPr>
          <w:b/>
          <w:bCs/>
          <w:i/>
          <w:iCs/>
          <w:szCs w:val="22"/>
        </w:rPr>
      </w:pPr>
      <w:r w:rsidRPr="00FE6554">
        <w:rPr>
          <w:b/>
          <w:bCs/>
          <w:i/>
          <w:iCs/>
          <w:szCs w:val="22"/>
        </w:rPr>
        <w:t>Mineral Properties</w:t>
      </w:r>
    </w:p>
    <w:p w14:paraId="180EF3BC" w14:textId="77777777" w:rsidR="00FE6554" w:rsidRPr="00FE6554" w:rsidRDefault="00FE6554" w:rsidP="00FE6554">
      <w:pPr>
        <w:pStyle w:val="NormalWeb"/>
        <w:spacing w:before="0" w:after="0"/>
        <w:rPr>
          <w:sz w:val="22"/>
          <w:szCs w:val="22"/>
        </w:rPr>
      </w:pPr>
    </w:p>
    <w:p w14:paraId="10A92E1E" w14:textId="77777777" w:rsidR="00FE6554" w:rsidRPr="00FE6554" w:rsidRDefault="00FE6554" w:rsidP="00FE6554">
      <w:pPr>
        <w:pStyle w:val="NormalWeb"/>
        <w:spacing w:before="0" w:after="0"/>
        <w:rPr>
          <w:i/>
          <w:sz w:val="22"/>
          <w:szCs w:val="22"/>
        </w:rPr>
      </w:pPr>
      <w:r w:rsidRPr="00FE6554">
        <w:rPr>
          <w:i/>
          <w:sz w:val="22"/>
          <w:szCs w:val="22"/>
          <w:u w:val="single"/>
        </w:rPr>
        <w:t>Ontario Cobalt Prospects</w:t>
      </w:r>
    </w:p>
    <w:p w14:paraId="455AFEED" w14:textId="77777777" w:rsidR="00FE6554" w:rsidRPr="00FE6554" w:rsidRDefault="00FE6554" w:rsidP="00FE6554">
      <w:pPr>
        <w:pStyle w:val="NormalWeb"/>
        <w:spacing w:before="0" w:after="0"/>
        <w:rPr>
          <w:sz w:val="22"/>
          <w:szCs w:val="22"/>
        </w:rPr>
      </w:pPr>
    </w:p>
    <w:p w14:paraId="4EF2B59F" w14:textId="77777777" w:rsidR="00FE6554" w:rsidRPr="00FE6554" w:rsidRDefault="00FE6554" w:rsidP="00FE6554">
      <w:pPr>
        <w:pStyle w:val="NormalWeb"/>
        <w:spacing w:before="0" w:after="0"/>
        <w:rPr>
          <w:sz w:val="22"/>
          <w:szCs w:val="22"/>
        </w:rPr>
      </w:pPr>
      <w:r w:rsidRPr="00FE6554">
        <w:rPr>
          <w:sz w:val="22"/>
          <w:szCs w:val="22"/>
        </w:rPr>
        <w:t xml:space="preserve">In July 2016, the Company entered into a share purchase agreement (the “Cobalt Locaters SPA”) with four arm’s length vendors to purchase all of the issued and outstanding shares of Cobalt Locaters Inc., which holds a 100% interest in two cobalt prospects in B.C. and a 50% interest in four cobalt prospects in Ontario consisting of the Coleman Cobalt Prospect, the </w:t>
      </w:r>
      <w:proofErr w:type="spellStart"/>
      <w:r w:rsidRPr="00FE6554">
        <w:rPr>
          <w:sz w:val="22"/>
          <w:szCs w:val="22"/>
        </w:rPr>
        <w:t>Bucke</w:t>
      </w:r>
      <w:proofErr w:type="spellEnd"/>
      <w:r w:rsidRPr="00FE6554">
        <w:rPr>
          <w:sz w:val="22"/>
          <w:szCs w:val="22"/>
        </w:rPr>
        <w:t xml:space="preserve"> Cobalt Prospect, the Hector Cobalt Prospect, and the Johnson Cobalt Prospect. In March 2019, the Company acquired the remaining 50% interest in the above four Ontario cobalt prospects from an arm's length vendor at no costs. As of today, the Company holds a 100% interest in the above four cobalt prospects in Ontario and two in B.C.</w:t>
      </w:r>
    </w:p>
    <w:p w14:paraId="502E6156" w14:textId="77777777" w:rsidR="00FE6554" w:rsidRPr="00FE6554" w:rsidRDefault="00FE6554" w:rsidP="00FE6554">
      <w:pPr>
        <w:pStyle w:val="NormalWeb"/>
        <w:spacing w:before="0" w:after="0"/>
        <w:rPr>
          <w:sz w:val="22"/>
          <w:szCs w:val="22"/>
        </w:rPr>
      </w:pPr>
    </w:p>
    <w:p w14:paraId="1E591283" w14:textId="77777777" w:rsidR="00FE6554" w:rsidRPr="00FE6554" w:rsidRDefault="00FE6554" w:rsidP="00FE6554">
      <w:pPr>
        <w:pStyle w:val="NormalWeb"/>
        <w:spacing w:before="0" w:after="0"/>
        <w:rPr>
          <w:sz w:val="22"/>
          <w:szCs w:val="22"/>
        </w:rPr>
      </w:pPr>
      <w:r w:rsidRPr="00FE6554">
        <w:rPr>
          <w:sz w:val="22"/>
          <w:szCs w:val="22"/>
        </w:rPr>
        <w:t xml:space="preserve">In September 2016, the Company acquired a 100% interest in: 22 additional claim units for staking costs of $2,200 to increase the acreage of the Johnson Cobalt Prospect to approximately 900 acres; 36 claim units for staking costs of $3,600 to increase the acreage of </w:t>
      </w:r>
      <w:proofErr w:type="spellStart"/>
      <w:r w:rsidRPr="00FE6554">
        <w:rPr>
          <w:sz w:val="22"/>
          <w:szCs w:val="22"/>
        </w:rPr>
        <w:t>Bucke</w:t>
      </w:r>
      <w:proofErr w:type="spellEnd"/>
      <w:r w:rsidRPr="00FE6554">
        <w:rPr>
          <w:sz w:val="22"/>
          <w:szCs w:val="22"/>
        </w:rPr>
        <w:t xml:space="preserve"> Cobalt Prospect to approximately 1,480 acres; and 137 claim units for staking costs of $13,700 to increase the acreage of the Hector Cobalt Prospect to approximately 5,500 acres.</w:t>
      </w:r>
    </w:p>
    <w:p w14:paraId="5A27DF24" w14:textId="77777777" w:rsidR="00FE6554" w:rsidRPr="00FE6554" w:rsidRDefault="00FE6554" w:rsidP="00FE6554">
      <w:pPr>
        <w:pStyle w:val="NormalWeb"/>
        <w:spacing w:before="0" w:after="0"/>
        <w:rPr>
          <w:sz w:val="22"/>
          <w:szCs w:val="22"/>
        </w:rPr>
      </w:pPr>
    </w:p>
    <w:p w14:paraId="46A840B8" w14:textId="77777777" w:rsidR="00FE6554" w:rsidRPr="00FE6554" w:rsidRDefault="00FE6554" w:rsidP="00FE6554">
      <w:pPr>
        <w:pStyle w:val="NormalWeb"/>
        <w:spacing w:before="0" w:after="0"/>
        <w:rPr>
          <w:sz w:val="22"/>
          <w:szCs w:val="22"/>
        </w:rPr>
      </w:pPr>
      <w:r w:rsidRPr="00FE6554">
        <w:rPr>
          <w:sz w:val="22"/>
          <w:szCs w:val="22"/>
        </w:rPr>
        <w:t>In December 2016, the Company acquired a 100% interest in 23 additional claim units for staking costs of $2,300 to increase the acreage of Coleman Cobalt Prospect to approximately 900 acres. In November 2018, the Company decided to drop these claim units. Prior acquisition costs of $2,300 were written off as of July 31, 2018.</w:t>
      </w:r>
    </w:p>
    <w:p w14:paraId="3FC7A81D" w14:textId="77777777" w:rsidR="00FE6554" w:rsidRPr="00FE6554" w:rsidRDefault="00FE6554" w:rsidP="00FE6554">
      <w:pPr>
        <w:pStyle w:val="NormalWeb"/>
        <w:spacing w:before="0" w:after="0"/>
        <w:rPr>
          <w:sz w:val="22"/>
          <w:szCs w:val="22"/>
        </w:rPr>
      </w:pPr>
    </w:p>
    <w:p w14:paraId="69892F22" w14:textId="77777777" w:rsidR="00FE6554" w:rsidRPr="00FE6554" w:rsidRDefault="00FE6554" w:rsidP="00FE6554">
      <w:pPr>
        <w:pStyle w:val="NormalWeb"/>
        <w:spacing w:before="0" w:after="0"/>
        <w:rPr>
          <w:sz w:val="22"/>
          <w:szCs w:val="22"/>
        </w:rPr>
      </w:pPr>
      <w:r w:rsidRPr="00FE6554">
        <w:rPr>
          <w:sz w:val="22"/>
          <w:szCs w:val="22"/>
        </w:rPr>
        <w:t>In June 2017, the Company acquired a 100% interest in additional mineral claims in Ontario to increase the holdings in its Coleman Cobalt Prospect to approximately 1,580 acres for staking costs of $1,268.</w:t>
      </w:r>
    </w:p>
    <w:p w14:paraId="4EE219F2" w14:textId="77777777" w:rsidR="00FE6554" w:rsidRPr="00FE6554" w:rsidRDefault="00FE6554" w:rsidP="00FE6554">
      <w:pPr>
        <w:pStyle w:val="NormalWeb"/>
        <w:spacing w:before="0" w:after="0"/>
        <w:rPr>
          <w:sz w:val="22"/>
          <w:szCs w:val="22"/>
        </w:rPr>
      </w:pPr>
    </w:p>
    <w:p w14:paraId="530A36A6" w14:textId="77777777" w:rsidR="00FE6554" w:rsidRPr="00FE6554" w:rsidRDefault="00FE6554" w:rsidP="00FE6554">
      <w:pPr>
        <w:pStyle w:val="NormalWeb"/>
        <w:spacing w:before="0" w:after="0"/>
        <w:rPr>
          <w:sz w:val="22"/>
          <w:szCs w:val="22"/>
        </w:rPr>
      </w:pPr>
      <w:r w:rsidRPr="00FE6554">
        <w:rPr>
          <w:sz w:val="22"/>
          <w:szCs w:val="22"/>
        </w:rPr>
        <w:t>In December 2017, the Company acquired a 100% interest in additional mineral claims in Ontario referred to as the Lorraine Cobalt Prospect that comprised approximately 8,935 acres for staking costs of $40,000. In August 2019, the Company decided to drop these claims and will allow them to lapse when they become due. Accordingly, prior staking costs of $40,000 were written off as of July 31, 2019.</w:t>
      </w:r>
    </w:p>
    <w:p w14:paraId="49DF610F" w14:textId="77777777" w:rsidR="00FE6554" w:rsidRPr="00FE6554" w:rsidRDefault="00FE6554" w:rsidP="00FE6554">
      <w:pPr>
        <w:pStyle w:val="NormalWeb"/>
        <w:spacing w:before="0" w:after="0"/>
        <w:rPr>
          <w:sz w:val="22"/>
          <w:szCs w:val="22"/>
        </w:rPr>
      </w:pPr>
    </w:p>
    <w:p w14:paraId="199B65BA" w14:textId="77777777" w:rsidR="00FE6554" w:rsidRPr="00FE6554" w:rsidRDefault="00FE6554" w:rsidP="00FE6554">
      <w:pPr>
        <w:pStyle w:val="NormalWeb"/>
        <w:spacing w:before="0" w:after="0"/>
        <w:rPr>
          <w:sz w:val="22"/>
          <w:szCs w:val="22"/>
        </w:rPr>
      </w:pPr>
      <w:r w:rsidRPr="00FE6554">
        <w:rPr>
          <w:sz w:val="22"/>
          <w:szCs w:val="22"/>
        </w:rPr>
        <w:t>In January 2018, the Company acquired a 100% interest in additional mineral claims in Ontario referred to as the Lorraine Cobalt Prospect that comprise approximately 1,621 acres for staking costs of $5,600.</w:t>
      </w:r>
    </w:p>
    <w:p w14:paraId="799A4BE9" w14:textId="77777777" w:rsidR="00FE6554" w:rsidRPr="00FE6554" w:rsidRDefault="00FE6554" w:rsidP="00FE6554">
      <w:pPr>
        <w:pStyle w:val="NormalWeb"/>
        <w:spacing w:before="0" w:after="0"/>
        <w:rPr>
          <w:sz w:val="22"/>
          <w:szCs w:val="22"/>
          <w:highlight w:val="yellow"/>
        </w:rPr>
      </w:pPr>
    </w:p>
    <w:p w14:paraId="2F5F2474" w14:textId="77777777" w:rsidR="00FE6554" w:rsidRPr="00FE6554" w:rsidRDefault="00FE6554" w:rsidP="00FE6554">
      <w:pPr>
        <w:pStyle w:val="NormalWeb"/>
        <w:spacing w:before="0" w:after="0"/>
        <w:rPr>
          <w:sz w:val="22"/>
          <w:szCs w:val="22"/>
        </w:rPr>
      </w:pPr>
      <w:r w:rsidRPr="00FE6554">
        <w:rPr>
          <w:sz w:val="22"/>
          <w:szCs w:val="22"/>
        </w:rPr>
        <w:t xml:space="preserve">In April 2018, the Company acquired a 100% interest in additional mineral claims in Ontario to increase the holdings in its </w:t>
      </w:r>
      <w:r w:rsidRPr="00FE6554">
        <w:rPr>
          <w:color w:val="auto"/>
          <w:sz w:val="22"/>
          <w:szCs w:val="22"/>
        </w:rPr>
        <w:t>Lorraine Cobalt Prospect</w:t>
      </w:r>
      <w:r w:rsidRPr="00FE6554">
        <w:rPr>
          <w:sz w:val="22"/>
          <w:szCs w:val="22"/>
        </w:rPr>
        <w:t xml:space="preserve"> consisting of 305 cell units for staking costs of $15,290. </w:t>
      </w:r>
    </w:p>
    <w:p w14:paraId="700644E3" w14:textId="77777777" w:rsidR="00FE6554" w:rsidRPr="00FE6554" w:rsidRDefault="00FE6554" w:rsidP="00FE6554">
      <w:pPr>
        <w:pStyle w:val="NormalWeb"/>
        <w:spacing w:before="0" w:after="0"/>
        <w:rPr>
          <w:sz w:val="22"/>
          <w:szCs w:val="22"/>
        </w:rPr>
      </w:pPr>
    </w:p>
    <w:p w14:paraId="3B8DB4FF" w14:textId="77777777" w:rsidR="00FE6554" w:rsidRPr="00FE6554" w:rsidRDefault="00FE6554" w:rsidP="00FE6554">
      <w:pPr>
        <w:pStyle w:val="NormalWeb"/>
        <w:spacing w:before="0" w:after="0"/>
        <w:rPr>
          <w:sz w:val="22"/>
          <w:szCs w:val="22"/>
        </w:rPr>
      </w:pPr>
      <w:r w:rsidRPr="00FE6554">
        <w:rPr>
          <w:sz w:val="22"/>
          <w:szCs w:val="22"/>
        </w:rPr>
        <w:t xml:space="preserve">As disclosed in news releases on July 17, 2017, July 25, 2017, and September 7, 2017, the Company has received drill permits for the </w:t>
      </w:r>
      <w:proofErr w:type="spellStart"/>
      <w:r w:rsidRPr="00FE6554">
        <w:rPr>
          <w:sz w:val="22"/>
          <w:szCs w:val="22"/>
        </w:rPr>
        <w:t>Bucke</w:t>
      </w:r>
      <w:proofErr w:type="spellEnd"/>
      <w:r w:rsidRPr="00FE6554">
        <w:rPr>
          <w:sz w:val="22"/>
          <w:szCs w:val="22"/>
        </w:rPr>
        <w:t xml:space="preserve"> Cobalt Prospect, the Johnson Cobalt Prospect and the Hector Cobalt Prospect, which have each been approved by the Ministry of Northern Development and Mines. </w:t>
      </w:r>
    </w:p>
    <w:p w14:paraId="46657048" w14:textId="77777777" w:rsidR="00FE6554" w:rsidRPr="00FE6554" w:rsidRDefault="00FE6554" w:rsidP="00FE6554">
      <w:pPr>
        <w:pStyle w:val="NormalWeb"/>
        <w:spacing w:before="0" w:after="0"/>
        <w:rPr>
          <w:sz w:val="22"/>
          <w:szCs w:val="22"/>
        </w:rPr>
      </w:pPr>
    </w:p>
    <w:p w14:paraId="3C91453C" w14:textId="77777777" w:rsidR="00FE6554" w:rsidRPr="00FE6554" w:rsidRDefault="00FE6554" w:rsidP="00FE6554">
      <w:pPr>
        <w:jc w:val="both"/>
        <w:rPr>
          <w:sz w:val="22"/>
          <w:szCs w:val="22"/>
        </w:rPr>
      </w:pPr>
      <w:r w:rsidRPr="00FE6554">
        <w:rPr>
          <w:sz w:val="22"/>
          <w:szCs w:val="22"/>
        </w:rPr>
        <w:t xml:space="preserve">As disclosed in news releases on August 15, 2018, the Company announced a magnetic geophysical survey was completed. </w:t>
      </w:r>
      <w:r w:rsidRPr="00FE6554">
        <w:rPr>
          <w:color w:val="000000" w:themeColor="text1"/>
          <w:sz w:val="22"/>
          <w:szCs w:val="22"/>
          <w:shd w:val="clear" w:color="auto" w:fill="FFFFFF"/>
        </w:rPr>
        <w:t xml:space="preserve">203 soils and 31 grab samples have been submitted to ALS in Sudbury. On September 18, 2018, the Company announced that </w:t>
      </w:r>
      <w:r w:rsidRPr="00FE6554">
        <w:rPr>
          <w:sz w:val="22"/>
          <w:szCs w:val="22"/>
        </w:rPr>
        <w:t>a total of 5 rock grab samples returned greater than 0.1% cobalt and up to 2.02% cobalt (2018BKP040) from the Gillies East anomaly, in addition to anomalous silver and gold values (Table 1). Mineralization in outcrop occurs as narrow diabase-hosted potassium feldspar-carbonate veins ranging in width from less than 5 and up to 25 cm in width.</w:t>
      </w:r>
    </w:p>
    <w:p w14:paraId="2C19E8CA" w14:textId="77777777" w:rsidR="00FE6554" w:rsidRPr="00FE6554" w:rsidRDefault="00FE6554" w:rsidP="00FE6554">
      <w:pPr>
        <w:rPr>
          <w:sz w:val="22"/>
          <w:szCs w:val="22"/>
        </w:rPr>
      </w:pPr>
      <w:r w:rsidRPr="00FE6554">
        <w:rPr>
          <w:sz w:val="22"/>
          <w:szCs w:val="22"/>
        </w:rPr>
        <w:br w:type="page"/>
      </w:r>
    </w:p>
    <w:p w14:paraId="790446A0" w14:textId="77777777" w:rsidR="00FE6554" w:rsidRPr="00FE6554" w:rsidRDefault="00FE6554" w:rsidP="00FE6554">
      <w:pPr>
        <w:jc w:val="center"/>
        <w:rPr>
          <w:b/>
          <w:sz w:val="22"/>
          <w:szCs w:val="22"/>
          <w:u w:val="single"/>
        </w:rPr>
      </w:pPr>
      <w:r w:rsidRPr="00FE6554">
        <w:rPr>
          <w:b/>
          <w:sz w:val="22"/>
          <w:szCs w:val="22"/>
          <w:u w:val="single"/>
        </w:rPr>
        <w:lastRenderedPageBreak/>
        <w:t>Table 1: 2018 Hector Cobalt Property Significant Rock Grab Sample Results</w:t>
      </w:r>
    </w:p>
    <w:p w14:paraId="34165FA3" w14:textId="77777777" w:rsidR="00FE6554" w:rsidRPr="00FE6554" w:rsidRDefault="00FE6554" w:rsidP="00FE6554">
      <w:pPr>
        <w:jc w:val="both"/>
        <w:rPr>
          <w:b/>
          <w:sz w:val="22"/>
          <w:szCs w:val="22"/>
          <w:u w:val="single"/>
        </w:rPr>
      </w:pPr>
    </w:p>
    <w:tbl>
      <w:tblPr>
        <w:tblW w:w="7190" w:type="dxa"/>
        <w:jc w:val="center"/>
        <w:tblLook w:val="04A0" w:firstRow="1" w:lastRow="0" w:firstColumn="1" w:lastColumn="0" w:noHBand="0" w:noVBand="1"/>
      </w:tblPr>
      <w:tblGrid>
        <w:gridCol w:w="1500"/>
        <w:gridCol w:w="1380"/>
        <w:gridCol w:w="1760"/>
        <w:gridCol w:w="782"/>
        <w:gridCol w:w="878"/>
        <w:gridCol w:w="890"/>
      </w:tblGrid>
      <w:tr w:rsidR="00FE6554" w:rsidRPr="00FE6554" w14:paraId="1FF30D60" w14:textId="77777777" w:rsidTr="00FE6554">
        <w:trPr>
          <w:trHeight w:val="300"/>
          <w:jc w:val="center"/>
        </w:trPr>
        <w:tc>
          <w:tcPr>
            <w:tcW w:w="1500"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14:paraId="595FBF43" w14:textId="77777777" w:rsidR="00FE6554" w:rsidRPr="00FE6554" w:rsidRDefault="00FE6554" w:rsidP="00FE6554">
            <w:pPr>
              <w:jc w:val="both"/>
              <w:rPr>
                <w:b/>
                <w:bCs/>
                <w:color w:val="000000"/>
                <w:lang w:eastAsia="en-CA"/>
              </w:rPr>
            </w:pPr>
            <w:r w:rsidRPr="00FE6554">
              <w:rPr>
                <w:b/>
                <w:bCs/>
                <w:color w:val="000000"/>
                <w:lang w:eastAsia="en-CA"/>
              </w:rPr>
              <w:t>Sample ID</w:t>
            </w:r>
          </w:p>
        </w:tc>
        <w:tc>
          <w:tcPr>
            <w:tcW w:w="138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49395F61" w14:textId="77777777" w:rsidR="00FE6554" w:rsidRPr="00FE6554" w:rsidRDefault="00FE6554" w:rsidP="00FE6554">
            <w:pPr>
              <w:jc w:val="both"/>
              <w:rPr>
                <w:b/>
                <w:bCs/>
                <w:color w:val="000000"/>
                <w:lang w:eastAsia="en-CA"/>
              </w:rPr>
            </w:pPr>
            <w:r w:rsidRPr="00FE6554">
              <w:rPr>
                <w:b/>
                <w:bCs/>
                <w:color w:val="000000"/>
                <w:lang w:eastAsia="en-CA"/>
              </w:rPr>
              <w:t>Prospect</w:t>
            </w:r>
          </w:p>
        </w:tc>
        <w:tc>
          <w:tcPr>
            <w:tcW w:w="1760"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390CF79C" w14:textId="77777777" w:rsidR="00FE6554" w:rsidRPr="00FE6554" w:rsidRDefault="00FE6554" w:rsidP="00FE6554">
            <w:pPr>
              <w:jc w:val="both"/>
              <w:rPr>
                <w:b/>
                <w:bCs/>
                <w:color w:val="000000"/>
                <w:lang w:eastAsia="en-CA"/>
              </w:rPr>
            </w:pPr>
            <w:r w:rsidRPr="00FE6554">
              <w:rPr>
                <w:b/>
                <w:bCs/>
                <w:color w:val="000000"/>
                <w:lang w:eastAsia="en-CA"/>
              </w:rPr>
              <w:t>Sample Type</w:t>
            </w:r>
          </w:p>
        </w:tc>
        <w:tc>
          <w:tcPr>
            <w:tcW w:w="782"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418400AD" w14:textId="77777777" w:rsidR="00FE6554" w:rsidRPr="00FE6554" w:rsidRDefault="00FE6554" w:rsidP="00FE6554">
            <w:pPr>
              <w:jc w:val="both"/>
              <w:rPr>
                <w:b/>
                <w:bCs/>
                <w:color w:val="000000"/>
                <w:lang w:eastAsia="en-CA"/>
              </w:rPr>
            </w:pPr>
            <w:r w:rsidRPr="00FE6554">
              <w:rPr>
                <w:b/>
                <w:bCs/>
                <w:color w:val="000000"/>
                <w:lang w:eastAsia="en-CA"/>
              </w:rPr>
              <w:t>Co (%)</w:t>
            </w:r>
          </w:p>
        </w:tc>
        <w:tc>
          <w:tcPr>
            <w:tcW w:w="878"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001AC0FF" w14:textId="77777777" w:rsidR="00FE6554" w:rsidRPr="00FE6554" w:rsidRDefault="00FE6554" w:rsidP="00FE6554">
            <w:pPr>
              <w:jc w:val="both"/>
              <w:rPr>
                <w:b/>
                <w:bCs/>
                <w:color w:val="000000"/>
                <w:lang w:eastAsia="en-CA"/>
              </w:rPr>
            </w:pPr>
            <w:r w:rsidRPr="00FE6554">
              <w:rPr>
                <w:b/>
                <w:bCs/>
                <w:color w:val="000000"/>
                <w:lang w:eastAsia="en-CA"/>
              </w:rPr>
              <w:t>Ag (g/t)</w:t>
            </w:r>
          </w:p>
        </w:tc>
        <w:tc>
          <w:tcPr>
            <w:tcW w:w="890"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14:paraId="1D6AA971" w14:textId="77777777" w:rsidR="00FE6554" w:rsidRPr="00FE6554" w:rsidRDefault="00FE6554" w:rsidP="00FE6554">
            <w:pPr>
              <w:jc w:val="both"/>
              <w:rPr>
                <w:b/>
                <w:bCs/>
                <w:color w:val="000000"/>
                <w:lang w:eastAsia="en-CA"/>
              </w:rPr>
            </w:pPr>
            <w:r w:rsidRPr="00FE6554">
              <w:rPr>
                <w:b/>
                <w:bCs/>
                <w:color w:val="000000"/>
                <w:lang w:eastAsia="en-CA"/>
              </w:rPr>
              <w:t>Au (g/t)</w:t>
            </w:r>
          </w:p>
        </w:tc>
      </w:tr>
      <w:tr w:rsidR="00FE6554" w:rsidRPr="00FE6554" w14:paraId="09094224" w14:textId="77777777" w:rsidTr="00FE6554">
        <w:trPr>
          <w:trHeight w:val="288"/>
          <w:jc w:val="center"/>
        </w:trPr>
        <w:tc>
          <w:tcPr>
            <w:tcW w:w="1500"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14:paraId="4A54DC03" w14:textId="77777777" w:rsidR="00FE6554" w:rsidRPr="00FE6554" w:rsidRDefault="00FE6554" w:rsidP="00FE6554">
            <w:pPr>
              <w:jc w:val="both"/>
              <w:rPr>
                <w:color w:val="000000"/>
                <w:lang w:eastAsia="en-CA"/>
              </w:rPr>
            </w:pPr>
            <w:r w:rsidRPr="00FE6554">
              <w:rPr>
                <w:color w:val="000000"/>
                <w:lang w:eastAsia="en-CA"/>
              </w:rPr>
              <w:t>2018KBP040</w:t>
            </w:r>
          </w:p>
        </w:tc>
        <w:tc>
          <w:tcPr>
            <w:tcW w:w="1380" w:type="dxa"/>
            <w:vMerge w:val="restar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34894B83" w14:textId="77777777" w:rsidR="00FE6554" w:rsidRPr="00FE6554" w:rsidRDefault="00FE6554" w:rsidP="00FE6554">
            <w:pPr>
              <w:jc w:val="both"/>
              <w:rPr>
                <w:color w:val="000000"/>
                <w:lang w:eastAsia="en-CA"/>
              </w:rPr>
            </w:pPr>
            <w:r w:rsidRPr="00FE6554">
              <w:rPr>
                <w:color w:val="000000"/>
                <w:lang w:eastAsia="en-CA"/>
              </w:rPr>
              <w:t>Gillies East</w:t>
            </w:r>
          </w:p>
        </w:tc>
        <w:tc>
          <w:tcPr>
            <w:tcW w:w="176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1222B410" w14:textId="77777777" w:rsidR="00FE6554" w:rsidRPr="00FE6554" w:rsidRDefault="00FE6554" w:rsidP="00FE6554">
            <w:pPr>
              <w:jc w:val="both"/>
              <w:rPr>
                <w:color w:val="000000"/>
                <w:lang w:eastAsia="en-CA"/>
              </w:rPr>
            </w:pPr>
            <w:r w:rsidRPr="00FE6554">
              <w:rPr>
                <w:color w:val="000000"/>
                <w:lang w:eastAsia="en-CA"/>
              </w:rPr>
              <w:t>Prospect Pit Float</w:t>
            </w:r>
          </w:p>
        </w:tc>
        <w:tc>
          <w:tcPr>
            <w:tcW w:w="782"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8628AA0" w14:textId="77777777" w:rsidR="00FE6554" w:rsidRPr="00FE6554" w:rsidRDefault="00FE6554" w:rsidP="00FE6554">
            <w:pPr>
              <w:jc w:val="both"/>
              <w:rPr>
                <w:b/>
                <w:bCs/>
                <w:color w:val="000000"/>
                <w:lang w:eastAsia="en-CA"/>
              </w:rPr>
            </w:pPr>
            <w:r w:rsidRPr="00FE6554">
              <w:rPr>
                <w:b/>
                <w:bCs/>
                <w:color w:val="000000"/>
                <w:lang w:eastAsia="en-CA"/>
              </w:rPr>
              <w:t>2.02</w:t>
            </w:r>
          </w:p>
        </w:tc>
        <w:tc>
          <w:tcPr>
            <w:tcW w:w="87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76CFA89" w14:textId="77777777" w:rsidR="00FE6554" w:rsidRPr="00FE6554" w:rsidRDefault="00FE6554" w:rsidP="00FE6554">
            <w:pPr>
              <w:jc w:val="both"/>
              <w:rPr>
                <w:b/>
                <w:bCs/>
                <w:color w:val="000000"/>
                <w:lang w:eastAsia="en-CA"/>
              </w:rPr>
            </w:pPr>
            <w:r w:rsidRPr="00FE6554">
              <w:rPr>
                <w:b/>
                <w:bCs/>
                <w:color w:val="000000"/>
                <w:lang w:eastAsia="en-CA"/>
              </w:rPr>
              <w:t>13.1</w:t>
            </w:r>
          </w:p>
        </w:tc>
        <w:tc>
          <w:tcPr>
            <w:tcW w:w="89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0AD42E84" w14:textId="77777777" w:rsidR="00FE6554" w:rsidRPr="00FE6554" w:rsidRDefault="00FE6554" w:rsidP="00FE6554">
            <w:pPr>
              <w:jc w:val="both"/>
              <w:rPr>
                <w:color w:val="000000"/>
                <w:lang w:eastAsia="en-CA"/>
              </w:rPr>
            </w:pPr>
            <w:r w:rsidRPr="00FE6554">
              <w:rPr>
                <w:color w:val="000000"/>
                <w:lang w:eastAsia="en-CA"/>
              </w:rPr>
              <w:t>-</w:t>
            </w:r>
          </w:p>
        </w:tc>
      </w:tr>
      <w:tr w:rsidR="00FE6554" w:rsidRPr="00FE6554" w14:paraId="0226A311" w14:textId="77777777" w:rsidTr="00FE6554">
        <w:trPr>
          <w:trHeight w:val="300"/>
          <w:jc w:val="center"/>
        </w:trPr>
        <w:tc>
          <w:tcPr>
            <w:tcW w:w="1500"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14:paraId="433B1DCB" w14:textId="77777777" w:rsidR="00FE6554" w:rsidRPr="00FE6554" w:rsidRDefault="00FE6554" w:rsidP="00FE6554">
            <w:pPr>
              <w:jc w:val="both"/>
              <w:rPr>
                <w:color w:val="000000"/>
                <w:lang w:eastAsia="en-CA"/>
              </w:rPr>
            </w:pPr>
            <w:r w:rsidRPr="00FE6554">
              <w:rPr>
                <w:color w:val="000000"/>
                <w:lang w:eastAsia="en-CA"/>
              </w:rPr>
              <w:t>2018KBP042</w:t>
            </w:r>
          </w:p>
        </w:tc>
        <w:tc>
          <w:tcPr>
            <w:tcW w:w="1380" w:type="dxa"/>
            <w:vMerge/>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4DF2CFDC" w14:textId="77777777" w:rsidR="00FE6554" w:rsidRPr="00FE6554" w:rsidRDefault="00FE6554" w:rsidP="00FE6554">
            <w:pPr>
              <w:jc w:val="both"/>
              <w:rPr>
                <w:color w:val="000000"/>
                <w:lang w:eastAsia="en-CA"/>
              </w:rPr>
            </w:pPr>
          </w:p>
        </w:tc>
        <w:tc>
          <w:tcPr>
            <w:tcW w:w="176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771CFFF6" w14:textId="77777777" w:rsidR="00FE6554" w:rsidRPr="00FE6554" w:rsidRDefault="00FE6554" w:rsidP="00FE6554">
            <w:pPr>
              <w:jc w:val="both"/>
              <w:rPr>
                <w:color w:val="000000"/>
                <w:lang w:eastAsia="en-CA"/>
              </w:rPr>
            </w:pPr>
            <w:r w:rsidRPr="00FE6554">
              <w:rPr>
                <w:color w:val="000000"/>
                <w:lang w:eastAsia="en-CA"/>
              </w:rPr>
              <w:t>Outcrop</w:t>
            </w:r>
          </w:p>
        </w:tc>
        <w:tc>
          <w:tcPr>
            <w:tcW w:w="78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2E9486CA" w14:textId="77777777" w:rsidR="00FE6554" w:rsidRPr="00FE6554" w:rsidRDefault="00FE6554" w:rsidP="00FE6554">
            <w:pPr>
              <w:jc w:val="both"/>
              <w:rPr>
                <w:b/>
                <w:bCs/>
                <w:color w:val="000000"/>
                <w:lang w:eastAsia="en-CA"/>
              </w:rPr>
            </w:pPr>
            <w:r w:rsidRPr="00FE6554">
              <w:rPr>
                <w:b/>
                <w:bCs/>
                <w:color w:val="000000"/>
                <w:lang w:eastAsia="en-CA"/>
              </w:rPr>
              <w:t>0.61</w:t>
            </w:r>
          </w:p>
        </w:tc>
        <w:tc>
          <w:tcPr>
            <w:tcW w:w="87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1303C821" w14:textId="77777777" w:rsidR="00FE6554" w:rsidRPr="00FE6554" w:rsidRDefault="00FE6554" w:rsidP="00FE6554">
            <w:pPr>
              <w:jc w:val="both"/>
              <w:rPr>
                <w:b/>
                <w:bCs/>
                <w:color w:val="000000"/>
                <w:lang w:eastAsia="en-CA"/>
              </w:rPr>
            </w:pPr>
            <w:r w:rsidRPr="00FE6554">
              <w:rPr>
                <w:b/>
                <w:bCs/>
                <w:color w:val="000000"/>
                <w:lang w:eastAsia="en-CA"/>
              </w:rPr>
              <w:t>4.1</w:t>
            </w:r>
          </w:p>
        </w:tc>
        <w:tc>
          <w:tcPr>
            <w:tcW w:w="89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13215E2D" w14:textId="77777777" w:rsidR="00FE6554" w:rsidRPr="00FE6554" w:rsidRDefault="00FE6554" w:rsidP="00FE6554">
            <w:pPr>
              <w:jc w:val="both"/>
              <w:rPr>
                <w:color w:val="000000"/>
                <w:lang w:eastAsia="en-CA"/>
              </w:rPr>
            </w:pPr>
            <w:r w:rsidRPr="00FE6554">
              <w:rPr>
                <w:color w:val="000000"/>
                <w:lang w:eastAsia="en-CA"/>
              </w:rPr>
              <w:t>-</w:t>
            </w:r>
          </w:p>
        </w:tc>
      </w:tr>
      <w:tr w:rsidR="00FE6554" w:rsidRPr="00FE6554" w14:paraId="351C93F7" w14:textId="77777777" w:rsidTr="00FE6554">
        <w:trPr>
          <w:trHeight w:val="288"/>
          <w:jc w:val="center"/>
        </w:trPr>
        <w:tc>
          <w:tcPr>
            <w:tcW w:w="1500"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14:paraId="1F4A77ED" w14:textId="77777777" w:rsidR="00FE6554" w:rsidRPr="00FE6554" w:rsidRDefault="00FE6554" w:rsidP="00FE6554">
            <w:pPr>
              <w:jc w:val="both"/>
              <w:rPr>
                <w:color w:val="000000"/>
                <w:lang w:eastAsia="en-CA"/>
              </w:rPr>
            </w:pPr>
            <w:r w:rsidRPr="00FE6554">
              <w:rPr>
                <w:color w:val="000000"/>
                <w:lang w:eastAsia="en-CA"/>
              </w:rPr>
              <w:t>2018KBP034</w:t>
            </w:r>
          </w:p>
        </w:tc>
        <w:tc>
          <w:tcPr>
            <w:tcW w:w="1380" w:type="dxa"/>
            <w:vMerge w:val="restar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6E79426" w14:textId="77777777" w:rsidR="00FE6554" w:rsidRPr="00FE6554" w:rsidRDefault="00FE6554" w:rsidP="00FE6554">
            <w:pPr>
              <w:jc w:val="both"/>
              <w:rPr>
                <w:color w:val="000000"/>
                <w:lang w:eastAsia="en-CA"/>
              </w:rPr>
            </w:pPr>
            <w:r w:rsidRPr="00FE6554">
              <w:rPr>
                <w:color w:val="000000"/>
                <w:lang w:eastAsia="en-CA"/>
              </w:rPr>
              <w:t>Gillies West</w:t>
            </w:r>
          </w:p>
          <w:p w14:paraId="7D2B2023" w14:textId="77777777" w:rsidR="00FE6554" w:rsidRPr="00FE6554" w:rsidRDefault="00FE6554" w:rsidP="00FE6554">
            <w:pPr>
              <w:jc w:val="both"/>
              <w:rPr>
                <w:color w:val="000000"/>
                <w:lang w:eastAsia="en-CA"/>
              </w:rPr>
            </w:pPr>
          </w:p>
        </w:tc>
        <w:tc>
          <w:tcPr>
            <w:tcW w:w="176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7A7CD09A" w14:textId="77777777" w:rsidR="00FE6554" w:rsidRPr="00FE6554" w:rsidRDefault="00FE6554" w:rsidP="00FE6554">
            <w:pPr>
              <w:jc w:val="both"/>
              <w:rPr>
                <w:color w:val="000000"/>
                <w:lang w:eastAsia="en-CA"/>
              </w:rPr>
            </w:pPr>
            <w:r w:rsidRPr="00FE6554">
              <w:rPr>
                <w:color w:val="000000"/>
                <w:lang w:eastAsia="en-CA"/>
              </w:rPr>
              <w:t>Outcrop</w:t>
            </w:r>
          </w:p>
        </w:tc>
        <w:tc>
          <w:tcPr>
            <w:tcW w:w="782"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215BA7BF" w14:textId="77777777" w:rsidR="00FE6554" w:rsidRPr="00FE6554" w:rsidRDefault="00FE6554" w:rsidP="00FE6554">
            <w:pPr>
              <w:jc w:val="both"/>
              <w:rPr>
                <w:b/>
                <w:bCs/>
                <w:color w:val="000000"/>
                <w:lang w:eastAsia="en-CA"/>
              </w:rPr>
            </w:pPr>
            <w:r w:rsidRPr="00FE6554">
              <w:rPr>
                <w:b/>
                <w:bCs/>
                <w:color w:val="000000"/>
                <w:lang w:eastAsia="en-CA"/>
              </w:rPr>
              <w:t>0.82</w:t>
            </w:r>
          </w:p>
        </w:tc>
        <w:tc>
          <w:tcPr>
            <w:tcW w:w="87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43F1158" w14:textId="77777777" w:rsidR="00FE6554" w:rsidRPr="00FE6554" w:rsidRDefault="00FE6554" w:rsidP="00FE6554">
            <w:pPr>
              <w:jc w:val="both"/>
              <w:rPr>
                <w:color w:val="000000"/>
                <w:lang w:eastAsia="en-CA"/>
              </w:rPr>
            </w:pPr>
            <w:r w:rsidRPr="00FE6554">
              <w:rPr>
                <w:color w:val="000000"/>
                <w:lang w:eastAsia="en-CA"/>
              </w:rPr>
              <w:t>-</w:t>
            </w:r>
          </w:p>
        </w:tc>
        <w:tc>
          <w:tcPr>
            <w:tcW w:w="89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12893756" w14:textId="77777777" w:rsidR="00FE6554" w:rsidRPr="00FE6554" w:rsidRDefault="00FE6554" w:rsidP="00FE6554">
            <w:pPr>
              <w:jc w:val="both"/>
              <w:rPr>
                <w:color w:val="000000"/>
                <w:lang w:eastAsia="en-CA"/>
              </w:rPr>
            </w:pPr>
            <w:r w:rsidRPr="00FE6554">
              <w:rPr>
                <w:color w:val="000000"/>
                <w:lang w:eastAsia="en-CA"/>
              </w:rPr>
              <w:t>-</w:t>
            </w:r>
          </w:p>
        </w:tc>
      </w:tr>
      <w:tr w:rsidR="00FE6554" w:rsidRPr="00FE6554" w14:paraId="26162D32" w14:textId="77777777" w:rsidTr="00FE6554">
        <w:trPr>
          <w:trHeight w:val="288"/>
          <w:jc w:val="center"/>
        </w:trPr>
        <w:tc>
          <w:tcPr>
            <w:tcW w:w="15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4654DA3" w14:textId="77777777" w:rsidR="00FE6554" w:rsidRPr="00FE6554" w:rsidRDefault="00FE6554" w:rsidP="00FE6554">
            <w:pPr>
              <w:jc w:val="both"/>
              <w:rPr>
                <w:color w:val="000000"/>
                <w:lang w:eastAsia="en-CA"/>
              </w:rPr>
            </w:pPr>
            <w:r w:rsidRPr="00FE6554">
              <w:rPr>
                <w:color w:val="000000"/>
                <w:lang w:eastAsia="en-CA"/>
              </w:rPr>
              <w:t>2018KBP033</w:t>
            </w:r>
          </w:p>
        </w:tc>
        <w:tc>
          <w:tcPr>
            <w:tcW w:w="1380" w:type="dxa"/>
            <w:vMerge/>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603710" w14:textId="77777777" w:rsidR="00FE6554" w:rsidRPr="00FE6554" w:rsidRDefault="00FE6554" w:rsidP="00FE6554">
            <w:pPr>
              <w:jc w:val="both"/>
              <w:rPr>
                <w:color w:val="000000"/>
                <w:lang w:eastAsia="en-CA"/>
              </w:rPr>
            </w:pP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2D3A47" w14:textId="77777777" w:rsidR="00FE6554" w:rsidRPr="00FE6554" w:rsidRDefault="00FE6554" w:rsidP="00FE6554">
            <w:pPr>
              <w:jc w:val="both"/>
              <w:rPr>
                <w:color w:val="000000"/>
                <w:lang w:eastAsia="en-CA"/>
              </w:rPr>
            </w:pPr>
            <w:r w:rsidRPr="00FE6554">
              <w:rPr>
                <w:color w:val="000000"/>
                <w:lang w:eastAsia="en-CA"/>
              </w:rPr>
              <w:t>Outcrop</w:t>
            </w:r>
          </w:p>
        </w:tc>
        <w:tc>
          <w:tcPr>
            <w:tcW w:w="7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218AFD" w14:textId="77777777" w:rsidR="00FE6554" w:rsidRPr="00FE6554" w:rsidRDefault="00FE6554" w:rsidP="00FE6554">
            <w:pPr>
              <w:jc w:val="both"/>
              <w:rPr>
                <w:b/>
                <w:bCs/>
                <w:color w:val="000000"/>
                <w:lang w:eastAsia="en-CA"/>
              </w:rPr>
            </w:pPr>
            <w:r w:rsidRPr="00FE6554">
              <w:rPr>
                <w:b/>
                <w:bCs/>
                <w:color w:val="000000"/>
                <w:lang w:eastAsia="en-CA"/>
              </w:rPr>
              <w:t>0.42</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DDD38B" w14:textId="77777777" w:rsidR="00FE6554" w:rsidRPr="00FE6554" w:rsidRDefault="00FE6554" w:rsidP="00FE6554">
            <w:pPr>
              <w:jc w:val="both"/>
              <w:rPr>
                <w:color w:val="000000"/>
                <w:lang w:eastAsia="en-CA"/>
              </w:rPr>
            </w:pPr>
            <w:r w:rsidRPr="00FE6554">
              <w:rPr>
                <w:color w:val="000000"/>
                <w:lang w:eastAsia="en-CA"/>
              </w:rPr>
              <w:t>-</w:t>
            </w:r>
          </w:p>
        </w:tc>
        <w:tc>
          <w:tcPr>
            <w:tcW w:w="89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30947D9" w14:textId="77777777" w:rsidR="00FE6554" w:rsidRPr="00FE6554" w:rsidRDefault="00FE6554" w:rsidP="00FE6554">
            <w:pPr>
              <w:jc w:val="both"/>
              <w:rPr>
                <w:color w:val="000000"/>
                <w:lang w:eastAsia="en-CA"/>
              </w:rPr>
            </w:pPr>
            <w:r w:rsidRPr="00FE6554">
              <w:rPr>
                <w:color w:val="000000"/>
                <w:lang w:eastAsia="en-CA"/>
              </w:rPr>
              <w:t>-</w:t>
            </w:r>
          </w:p>
        </w:tc>
      </w:tr>
      <w:tr w:rsidR="00FE6554" w:rsidRPr="00FE6554" w14:paraId="7A7E6BE6" w14:textId="77777777" w:rsidTr="00FE6554">
        <w:trPr>
          <w:trHeight w:val="288"/>
          <w:jc w:val="center"/>
        </w:trPr>
        <w:tc>
          <w:tcPr>
            <w:tcW w:w="150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BD09714" w14:textId="77777777" w:rsidR="00FE6554" w:rsidRPr="00FE6554" w:rsidRDefault="00FE6554" w:rsidP="00FE6554">
            <w:pPr>
              <w:jc w:val="both"/>
              <w:rPr>
                <w:color w:val="000000"/>
                <w:lang w:eastAsia="en-CA"/>
              </w:rPr>
            </w:pPr>
            <w:r w:rsidRPr="00FE6554">
              <w:rPr>
                <w:color w:val="000000"/>
                <w:lang w:eastAsia="en-CA"/>
              </w:rPr>
              <w:t>2018KBP037</w:t>
            </w:r>
          </w:p>
        </w:tc>
        <w:tc>
          <w:tcPr>
            <w:tcW w:w="1380" w:type="dxa"/>
            <w:vMerge/>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40B1C8" w14:textId="77777777" w:rsidR="00FE6554" w:rsidRPr="00FE6554" w:rsidRDefault="00FE6554" w:rsidP="00FE6554">
            <w:pPr>
              <w:jc w:val="both"/>
              <w:rPr>
                <w:color w:val="000000"/>
                <w:lang w:eastAsia="en-CA"/>
              </w:rPr>
            </w:pP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F1257D" w14:textId="77777777" w:rsidR="00FE6554" w:rsidRPr="00FE6554" w:rsidRDefault="00FE6554" w:rsidP="00FE6554">
            <w:pPr>
              <w:jc w:val="both"/>
              <w:rPr>
                <w:color w:val="000000"/>
                <w:lang w:eastAsia="en-CA"/>
              </w:rPr>
            </w:pPr>
            <w:r w:rsidRPr="00FE6554">
              <w:rPr>
                <w:color w:val="000000"/>
                <w:lang w:eastAsia="en-CA"/>
              </w:rPr>
              <w:t>Prospect Pit Float</w:t>
            </w:r>
          </w:p>
        </w:tc>
        <w:tc>
          <w:tcPr>
            <w:tcW w:w="78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381277" w14:textId="77777777" w:rsidR="00FE6554" w:rsidRPr="00FE6554" w:rsidRDefault="00FE6554" w:rsidP="00FE6554">
            <w:pPr>
              <w:jc w:val="both"/>
              <w:rPr>
                <w:b/>
                <w:bCs/>
                <w:color w:val="000000"/>
                <w:lang w:eastAsia="en-CA"/>
              </w:rPr>
            </w:pPr>
            <w:r w:rsidRPr="00FE6554">
              <w:rPr>
                <w:b/>
                <w:bCs/>
                <w:color w:val="000000"/>
                <w:lang w:eastAsia="en-CA"/>
              </w:rPr>
              <w:t>0.19</w:t>
            </w:r>
          </w:p>
        </w:tc>
        <w:tc>
          <w:tcPr>
            <w:tcW w:w="87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2921D8" w14:textId="77777777" w:rsidR="00FE6554" w:rsidRPr="00FE6554" w:rsidRDefault="00FE6554" w:rsidP="00FE6554">
            <w:pPr>
              <w:jc w:val="both"/>
              <w:rPr>
                <w:color w:val="000000"/>
                <w:lang w:eastAsia="en-CA"/>
              </w:rPr>
            </w:pPr>
            <w:r w:rsidRPr="00FE6554">
              <w:rPr>
                <w:color w:val="000000"/>
                <w:lang w:eastAsia="en-CA"/>
              </w:rPr>
              <w:t>-</w:t>
            </w:r>
          </w:p>
        </w:tc>
        <w:tc>
          <w:tcPr>
            <w:tcW w:w="89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504214E" w14:textId="77777777" w:rsidR="00FE6554" w:rsidRPr="00FE6554" w:rsidRDefault="00FE6554" w:rsidP="00FE6554">
            <w:pPr>
              <w:jc w:val="both"/>
              <w:rPr>
                <w:color w:val="000000"/>
                <w:lang w:eastAsia="en-CA"/>
              </w:rPr>
            </w:pPr>
            <w:r w:rsidRPr="00FE6554">
              <w:rPr>
                <w:color w:val="000000"/>
                <w:lang w:eastAsia="en-CA"/>
              </w:rPr>
              <w:t>-</w:t>
            </w:r>
          </w:p>
        </w:tc>
      </w:tr>
      <w:tr w:rsidR="00FE6554" w:rsidRPr="00FE6554" w14:paraId="140ACCE7" w14:textId="77777777" w:rsidTr="00FE6554">
        <w:trPr>
          <w:trHeight w:val="300"/>
          <w:jc w:val="center"/>
        </w:trPr>
        <w:tc>
          <w:tcPr>
            <w:tcW w:w="1500"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14:paraId="5EFE4A18" w14:textId="77777777" w:rsidR="00FE6554" w:rsidRPr="00FE6554" w:rsidRDefault="00FE6554" w:rsidP="00FE6554">
            <w:pPr>
              <w:jc w:val="both"/>
              <w:rPr>
                <w:color w:val="000000"/>
                <w:lang w:eastAsia="en-CA"/>
              </w:rPr>
            </w:pPr>
            <w:r w:rsidRPr="00FE6554">
              <w:rPr>
                <w:color w:val="000000"/>
                <w:lang w:eastAsia="en-CA"/>
              </w:rPr>
              <w:t>2018KBP061</w:t>
            </w:r>
          </w:p>
        </w:tc>
        <w:tc>
          <w:tcPr>
            <w:tcW w:w="1380" w:type="dxa"/>
            <w:vMerge/>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5C6D5827" w14:textId="77777777" w:rsidR="00FE6554" w:rsidRPr="00FE6554" w:rsidRDefault="00FE6554" w:rsidP="00FE6554">
            <w:pPr>
              <w:jc w:val="both"/>
              <w:rPr>
                <w:color w:val="000000"/>
                <w:lang w:eastAsia="en-CA"/>
              </w:rPr>
            </w:pPr>
          </w:p>
        </w:tc>
        <w:tc>
          <w:tcPr>
            <w:tcW w:w="176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9DBBD69" w14:textId="77777777" w:rsidR="00FE6554" w:rsidRPr="00FE6554" w:rsidRDefault="00FE6554" w:rsidP="00FE6554">
            <w:pPr>
              <w:jc w:val="both"/>
              <w:rPr>
                <w:color w:val="000000"/>
                <w:lang w:eastAsia="en-CA"/>
              </w:rPr>
            </w:pPr>
            <w:r w:rsidRPr="00FE6554">
              <w:rPr>
                <w:color w:val="000000"/>
                <w:lang w:eastAsia="en-CA"/>
              </w:rPr>
              <w:t>Outcrop</w:t>
            </w:r>
          </w:p>
        </w:tc>
        <w:tc>
          <w:tcPr>
            <w:tcW w:w="78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2DFE5EE8" w14:textId="77777777" w:rsidR="00FE6554" w:rsidRPr="00FE6554" w:rsidRDefault="00FE6554" w:rsidP="00FE6554">
            <w:pPr>
              <w:jc w:val="both"/>
              <w:rPr>
                <w:color w:val="000000"/>
                <w:lang w:eastAsia="en-CA"/>
              </w:rPr>
            </w:pPr>
            <w:r w:rsidRPr="00FE6554">
              <w:rPr>
                <w:color w:val="000000"/>
                <w:lang w:eastAsia="en-CA"/>
              </w:rPr>
              <w:t>-</w:t>
            </w:r>
          </w:p>
        </w:tc>
        <w:tc>
          <w:tcPr>
            <w:tcW w:w="87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128BA421" w14:textId="77777777" w:rsidR="00FE6554" w:rsidRPr="00FE6554" w:rsidRDefault="00FE6554" w:rsidP="00FE6554">
            <w:pPr>
              <w:jc w:val="both"/>
              <w:rPr>
                <w:color w:val="000000"/>
                <w:lang w:eastAsia="en-CA"/>
              </w:rPr>
            </w:pPr>
            <w:r w:rsidRPr="00FE6554">
              <w:rPr>
                <w:color w:val="000000"/>
                <w:lang w:eastAsia="en-CA"/>
              </w:rPr>
              <w:t>-</w:t>
            </w:r>
          </w:p>
        </w:tc>
        <w:tc>
          <w:tcPr>
            <w:tcW w:w="89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12244229" w14:textId="77777777" w:rsidR="00FE6554" w:rsidRPr="00FE6554" w:rsidRDefault="00FE6554" w:rsidP="00FE6554">
            <w:pPr>
              <w:jc w:val="both"/>
              <w:rPr>
                <w:b/>
                <w:bCs/>
                <w:color w:val="000000"/>
                <w:lang w:eastAsia="en-CA"/>
              </w:rPr>
            </w:pPr>
            <w:r w:rsidRPr="00FE6554">
              <w:rPr>
                <w:b/>
                <w:bCs/>
                <w:color w:val="000000"/>
                <w:lang w:eastAsia="en-CA"/>
              </w:rPr>
              <w:t>0.37</w:t>
            </w:r>
          </w:p>
        </w:tc>
      </w:tr>
    </w:tbl>
    <w:p w14:paraId="7D63819F" w14:textId="77777777" w:rsidR="00FE6554" w:rsidRPr="00FE6554" w:rsidRDefault="00FE6554" w:rsidP="00FE6554">
      <w:pPr>
        <w:jc w:val="both"/>
        <w:rPr>
          <w:b/>
          <w:sz w:val="22"/>
          <w:szCs w:val="22"/>
          <w:u w:val="single"/>
        </w:rPr>
      </w:pPr>
    </w:p>
    <w:p w14:paraId="6D70AA71" w14:textId="77777777" w:rsidR="00FE6554" w:rsidRPr="00FE6554" w:rsidRDefault="00FE6554" w:rsidP="00FE6554">
      <w:pPr>
        <w:jc w:val="both"/>
        <w:rPr>
          <w:sz w:val="22"/>
          <w:szCs w:val="22"/>
        </w:rPr>
      </w:pPr>
      <w:r w:rsidRPr="00FE6554">
        <w:rPr>
          <w:sz w:val="22"/>
          <w:szCs w:val="22"/>
        </w:rPr>
        <w:t xml:space="preserve">Of the 203 soil geochemical samples collected, a total of 22 samples returned greater than 10 parts-per-million (ppm) cobalt, and up to 98 ppm cobalt. Humus soil geochemical results define several north-northwest trending cobalt anomalies. A 200 x 200 meter cobalt soil anomaly </w:t>
      </w:r>
      <w:proofErr w:type="spellStart"/>
      <w:r w:rsidRPr="00FE6554">
        <w:rPr>
          <w:sz w:val="22"/>
          <w:szCs w:val="22"/>
        </w:rPr>
        <w:t>centred</w:t>
      </w:r>
      <w:proofErr w:type="spellEnd"/>
      <w:r w:rsidRPr="00FE6554">
        <w:rPr>
          <w:sz w:val="22"/>
          <w:szCs w:val="22"/>
        </w:rPr>
        <w:t xml:space="preserve"> on 3 samples returning greater than 20 ppm cobalt (Hector Anomaly) occurs a distance of 300 meters to the northwest of the historic Hector Silver Mine Shaft.  </w:t>
      </w:r>
    </w:p>
    <w:p w14:paraId="1647B0A8" w14:textId="77777777" w:rsidR="00FE6554" w:rsidRPr="00FE6554" w:rsidRDefault="00FE6554" w:rsidP="00FE6554">
      <w:pPr>
        <w:jc w:val="both"/>
        <w:rPr>
          <w:sz w:val="22"/>
          <w:szCs w:val="22"/>
        </w:rPr>
      </w:pPr>
    </w:p>
    <w:p w14:paraId="5750DD65" w14:textId="77777777" w:rsidR="00FE6554" w:rsidRPr="00FE6554" w:rsidRDefault="00FE6554" w:rsidP="00FE6554">
      <w:pPr>
        <w:jc w:val="both"/>
        <w:rPr>
          <w:sz w:val="22"/>
          <w:szCs w:val="22"/>
        </w:rPr>
      </w:pPr>
      <w:r w:rsidRPr="00FE6554">
        <w:rPr>
          <w:sz w:val="22"/>
          <w:szCs w:val="22"/>
        </w:rPr>
        <w:t xml:space="preserve">The Gillies East cobalt in soil anomaly lies a further 600 </w:t>
      </w:r>
      <w:proofErr w:type="spellStart"/>
      <w:r w:rsidRPr="00FE6554">
        <w:rPr>
          <w:sz w:val="22"/>
          <w:szCs w:val="22"/>
        </w:rPr>
        <w:t>metres</w:t>
      </w:r>
      <w:proofErr w:type="spellEnd"/>
      <w:r w:rsidRPr="00FE6554">
        <w:rPr>
          <w:sz w:val="22"/>
          <w:szCs w:val="22"/>
        </w:rPr>
        <w:t xml:space="preserve"> to the northwest, </w:t>
      </w:r>
      <w:proofErr w:type="spellStart"/>
      <w:r w:rsidRPr="00FE6554">
        <w:rPr>
          <w:sz w:val="22"/>
          <w:szCs w:val="22"/>
        </w:rPr>
        <w:t>centred</w:t>
      </w:r>
      <w:proofErr w:type="spellEnd"/>
      <w:r w:rsidRPr="00FE6554">
        <w:rPr>
          <w:sz w:val="22"/>
          <w:szCs w:val="22"/>
        </w:rPr>
        <w:t xml:space="preserve"> over an area of several historic prospect pits that returned cobalt in float and rock outcrop values of 2.02% and 0.61% cobalt. Along the western margin of the survey area, the northwest tending Gilles West anomaly returned the highest cobalt in soil results of 98 ppm cobalt, in addition to rock outcrop and float sample results of 0.82%, 0.42% and 0.19% cobalt, and 0.37 grams-per-</w:t>
      </w:r>
      <w:proofErr w:type="spellStart"/>
      <w:r w:rsidRPr="00FE6554">
        <w:rPr>
          <w:sz w:val="22"/>
          <w:szCs w:val="22"/>
        </w:rPr>
        <w:t>tonne</w:t>
      </w:r>
      <w:proofErr w:type="spellEnd"/>
      <w:r w:rsidRPr="00FE6554">
        <w:rPr>
          <w:sz w:val="22"/>
          <w:szCs w:val="22"/>
        </w:rPr>
        <w:t xml:space="preserve"> gold (2018KBP061).</w:t>
      </w:r>
    </w:p>
    <w:p w14:paraId="544A46A7" w14:textId="77777777" w:rsidR="00FE6554" w:rsidRPr="00FE6554" w:rsidRDefault="00FE6554" w:rsidP="00FE6554">
      <w:pPr>
        <w:jc w:val="both"/>
        <w:rPr>
          <w:sz w:val="22"/>
          <w:szCs w:val="22"/>
        </w:rPr>
      </w:pPr>
    </w:p>
    <w:p w14:paraId="40856223" w14:textId="77777777" w:rsidR="00FE6554" w:rsidRPr="00FE6554" w:rsidRDefault="00FE6554" w:rsidP="00FE6554">
      <w:pPr>
        <w:jc w:val="both"/>
        <w:rPr>
          <w:sz w:val="22"/>
          <w:szCs w:val="22"/>
        </w:rPr>
      </w:pPr>
      <w:r w:rsidRPr="00FE6554">
        <w:rPr>
          <w:sz w:val="22"/>
          <w:szCs w:val="22"/>
        </w:rPr>
        <w:t>The results of the geophysical survey define a 1.2 km northwest trending arcuate magnetic high anomaly interpreted to represent a strongly magnetic phase of a shallowly dipping Nipissing diabase sill that underlies much of the Hector Cobalt Property claims. The magnetic anomaly is coincident with the cobalt in soil anomalies and the location of numerous historic exploration pits targeting cobalt-silver mineralization; including the Historic Hector Silver Mine shaft that lies off the Property along eastern boundary.</w:t>
      </w:r>
    </w:p>
    <w:p w14:paraId="5812C104" w14:textId="77777777" w:rsidR="00FE6554" w:rsidRPr="00FE6554" w:rsidRDefault="00FE6554" w:rsidP="00FE6554">
      <w:pPr>
        <w:jc w:val="both"/>
        <w:rPr>
          <w:sz w:val="22"/>
          <w:szCs w:val="22"/>
        </w:rPr>
      </w:pPr>
    </w:p>
    <w:p w14:paraId="62838A4C" w14:textId="77777777" w:rsidR="00FE6554" w:rsidRPr="00FE6554" w:rsidRDefault="00FE6554" w:rsidP="00FE6554">
      <w:pPr>
        <w:jc w:val="both"/>
        <w:rPr>
          <w:sz w:val="22"/>
          <w:szCs w:val="22"/>
        </w:rPr>
      </w:pPr>
      <w:r w:rsidRPr="00FE6554">
        <w:rPr>
          <w:sz w:val="22"/>
          <w:szCs w:val="22"/>
        </w:rPr>
        <w:t xml:space="preserve">As disclosed in a news release on January 28, 2019, the Company completed an exploration diamond drill program at its 4,980-acre Hector Cobalt Property comprising 10 holes totaling 843 </w:t>
      </w:r>
      <w:proofErr w:type="spellStart"/>
      <w:r w:rsidRPr="00FE6554">
        <w:rPr>
          <w:sz w:val="22"/>
          <w:szCs w:val="22"/>
        </w:rPr>
        <w:t>metres</w:t>
      </w:r>
      <w:proofErr w:type="spellEnd"/>
      <w:r w:rsidRPr="00FE6554">
        <w:rPr>
          <w:sz w:val="22"/>
          <w:szCs w:val="22"/>
        </w:rPr>
        <w:t xml:space="preserve"> (m). </w:t>
      </w:r>
    </w:p>
    <w:p w14:paraId="6B5D6943" w14:textId="77777777" w:rsidR="00FE6554" w:rsidRPr="00FE6554" w:rsidRDefault="00FE6554" w:rsidP="00FE6554">
      <w:pPr>
        <w:jc w:val="both"/>
        <w:rPr>
          <w:sz w:val="22"/>
          <w:szCs w:val="22"/>
        </w:rPr>
      </w:pPr>
    </w:p>
    <w:p w14:paraId="799C1F81" w14:textId="77777777" w:rsidR="00FE6554" w:rsidRPr="00FE6554" w:rsidRDefault="00FE6554" w:rsidP="00FE6554">
      <w:pPr>
        <w:jc w:val="both"/>
        <w:rPr>
          <w:sz w:val="22"/>
          <w:szCs w:val="22"/>
        </w:rPr>
      </w:pPr>
      <w:r w:rsidRPr="00FE6554">
        <w:rPr>
          <w:sz w:val="22"/>
          <w:szCs w:val="22"/>
        </w:rPr>
        <w:t>The drilling was designed to test combined surface rock and soil geochemical and ground magnetic geophysical anomalies at the Hector and Gilles East targets, which were generated during the Company’s summer 2018 surface exploration programs that yielded surface rock grab samples up to 2.0% cobalt, in addition to anomalous silver and gold values.</w:t>
      </w:r>
    </w:p>
    <w:p w14:paraId="757194EA" w14:textId="77777777" w:rsidR="00FE6554" w:rsidRPr="00FE6554" w:rsidRDefault="00FE6554" w:rsidP="00FE6554">
      <w:pPr>
        <w:jc w:val="both"/>
        <w:rPr>
          <w:sz w:val="22"/>
          <w:szCs w:val="22"/>
        </w:rPr>
      </w:pPr>
    </w:p>
    <w:p w14:paraId="216ADB5B" w14:textId="77777777" w:rsidR="00FE6554" w:rsidRPr="00FE6554" w:rsidRDefault="00FE6554" w:rsidP="00FE6554">
      <w:pPr>
        <w:jc w:val="both"/>
        <w:rPr>
          <w:sz w:val="22"/>
          <w:szCs w:val="22"/>
        </w:rPr>
      </w:pPr>
      <w:r w:rsidRPr="00FE6554">
        <w:rPr>
          <w:sz w:val="22"/>
          <w:szCs w:val="22"/>
        </w:rPr>
        <w:t>A series of four closely spaced shallow drill holes totaling 395 m tested the Hector anomaly; three holes totaling 264 m targeted Gilles East 1; and three holes totaling 185 m at the targeting Gilles East 2 were completed (</w:t>
      </w:r>
      <w:r w:rsidRPr="00FE6554">
        <w:rPr>
          <w:b/>
          <w:sz w:val="22"/>
          <w:szCs w:val="22"/>
        </w:rPr>
        <w:t>Table 1</w:t>
      </w:r>
      <w:r w:rsidRPr="00FE6554">
        <w:rPr>
          <w:sz w:val="22"/>
          <w:szCs w:val="22"/>
        </w:rPr>
        <w:t xml:space="preserve">). </w:t>
      </w:r>
    </w:p>
    <w:p w14:paraId="2B16426F" w14:textId="77777777" w:rsidR="00FE6554" w:rsidRDefault="00FE6554" w:rsidP="00FE6554">
      <w:pPr>
        <w:rPr>
          <w:sz w:val="22"/>
          <w:szCs w:val="22"/>
        </w:rPr>
        <w:sectPr w:rsidR="00FE6554" w:rsidSect="00FE6554">
          <w:headerReference w:type="default" r:id="rId27"/>
          <w:headerReference w:type="first" r:id="rId28"/>
          <w:pgSz w:w="12240" w:h="15840" w:code="1"/>
          <w:pgMar w:top="1440" w:right="1440" w:bottom="432" w:left="1440" w:header="720" w:footer="720" w:gutter="0"/>
          <w:cols w:space="720"/>
          <w:titlePg/>
          <w:docGrid w:linePitch="360"/>
        </w:sectPr>
      </w:pPr>
      <w:r w:rsidRPr="00FE6554">
        <w:rPr>
          <w:sz w:val="22"/>
          <w:szCs w:val="22"/>
        </w:rPr>
        <w:br w:type="page"/>
      </w:r>
    </w:p>
    <w:p w14:paraId="65F99D2D" w14:textId="77777777" w:rsidR="00FE6554" w:rsidRPr="00FE6554" w:rsidRDefault="00FE6554" w:rsidP="00FE6554">
      <w:pPr>
        <w:jc w:val="center"/>
        <w:rPr>
          <w:b/>
          <w:sz w:val="22"/>
          <w:szCs w:val="22"/>
          <w:u w:val="single"/>
        </w:rPr>
      </w:pPr>
      <w:r w:rsidRPr="00FE6554">
        <w:rPr>
          <w:b/>
          <w:sz w:val="22"/>
          <w:szCs w:val="22"/>
          <w:u w:val="single"/>
        </w:rPr>
        <w:lastRenderedPageBreak/>
        <w:t>Table 1: Hector Cobalt Property Fall 2018 Diamond Drill Results</w:t>
      </w:r>
    </w:p>
    <w:p w14:paraId="340FB02C" w14:textId="77777777" w:rsidR="00FE6554" w:rsidRPr="00FE6554" w:rsidRDefault="00FE6554" w:rsidP="00FE6554">
      <w:pPr>
        <w:jc w:val="center"/>
        <w:rPr>
          <w:rFonts w:ascii="Times" w:hAnsi="Times" w:cs="Helvetica"/>
          <w:b/>
          <w:sz w:val="22"/>
          <w:szCs w:val="22"/>
          <w:u w:val="single"/>
        </w:rPr>
      </w:pPr>
    </w:p>
    <w:tbl>
      <w:tblPr>
        <w:tblW w:w="0" w:type="auto"/>
        <w:jc w:val="center"/>
        <w:tblLayout w:type="fixed"/>
        <w:tblLook w:val="04A0" w:firstRow="1" w:lastRow="0" w:firstColumn="1" w:lastColumn="0" w:noHBand="0" w:noVBand="1"/>
      </w:tblPr>
      <w:tblGrid>
        <w:gridCol w:w="1440"/>
        <w:gridCol w:w="1140"/>
        <w:gridCol w:w="1160"/>
        <w:gridCol w:w="940"/>
        <w:gridCol w:w="1160"/>
        <w:gridCol w:w="1100"/>
        <w:gridCol w:w="1060"/>
        <w:gridCol w:w="1100"/>
        <w:gridCol w:w="1213"/>
      </w:tblGrid>
      <w:tr w:rsidR="00FE6554" w:rsidRPr="00FE6554" w14:paraId="31AA80C1" w14:textId="77777777" w:rsidTr="00FE6554">
        <w:trPr>
          <w:trHeight w:val="300"/>
          <w:jc w:val="center"/>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E6663E" w14:textId="77777777" w:rsidR="00FE6554" w:rsidRPr="00FE6554" w:rsidRDefault="00FE6554" w:rsidP="00FE6554">
            <w:pPr>
              <w:jc w:val="center"/>
              <w:rPr>
                <w:b/>
                <w:bCs/>
                <w:color w:val="000000"/>
                <w:lang w:eastAsia="en-CA"/>
              </w:rPr>
            </w:pPr>
            <w:r w:rsidRPr="00FE6554">
              <w:rPr>
                <w:b/>
                <w:bCs/>
                <w:color w:val="000000"/>
                <w:lang w:eastAsia="en-CA"/>
              </w:rPr>
              <w:t>Target</w:t>
            </w:r>
          </w:p>
        </w:tc>
        <w:tc>
          <w:tcPr>
            <w:tcW w:w="1140" w:type="dxa"/>
            <w:tcBorders>
              <w:top w:val="single" w:sz="8" w:space="0" w:color="auto"/>
              <w:left w:val="nil"/>
              <w:bottom w:val="single" w:sz="8" w:space="0" w:color="auto"/>
              <w:right w:val="single" w:sz="4" w:space="0" w:color="auto"/>
            </w:tcBorders>
            <w:shd w:val="clear" w:color="auto" w:fill="auto"/>
            <w:noWrap/>
            <w:vAlign w:val="center"/>
            <w:hideMark/>
          </w:tcPr>
          <w:p w14:paraId="19ED45B2" w14:textId="77777777" w:rsidR="00FE6554" w:rsidRPr="00FE6554" w:rsidRDefault="00FE6554" w:rsidP="00FE6554">
            <w:pPr>
              <w:jc w:val="center"/>
              <w:rPr>
                <w:b/>
                <w:bCs/>
                <w:color w:val="000000"/>
                <w:lang w:eastAsia="en-CA"/>
              </w:rPr>
            </w:pPr>
            <w:r w:rsidRPr="00FE6554">
              <w:rPr>
                <w:b/>
                <w:bCs/>
                <w:color w:val="000000"/>
                <w:lang w:eastAsia="en-CA"/>
              </w:rPr>
              <w:t>Drill Hole</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14:paraId="3E978A17" w14:textId="77777777" w:rsidR="00FE6554" w:rsidRPr="00FE6554" w:rsidRDefault="00FE6554" w:rsidP="00FE6554">
            <w:pPr>
              <w:jc w:val="center"/>
              <w:rPr>
                <w:b/>
                <w:bCs/>
                <w:color w:val="000000"/>
                <w:lang w:eastAsia="en-CA"/>
              </w:rPr>
            </w:pPr>
            <w:r w:rsidRPr="00FE6554">
              <w:rPr>
                <w:b/>
                <w:bCs/>
                <w:color w:val="000000"/>
                <w:lang w:eastAsia="en-CA"/>
              </w:rPr>
              <w:t>From (m)</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14:paraId="569978AF" w14:textId="77777777" w:rsidR="00FE6554" w:rsidRPr="00FE6554" w:rsidRDefault="00FE6554" w:rsidP="00FE6554">
            <w:pPr>
              <w:jc w:val="center"/>
              <w:rPr>
                <w:b/>
                <w:bCs/>
                <w:color w:val="000000"/>
                <w:lang w:eastAsia="en-CA"/>
              </w:rPr>
            </w:pPr>
            <w:r w:rsidRPr="00FE6554">
              <w:rPr>
                <w:b/>
                <w:bCs/>
                <w:color w:val="000000"/>
                <w:lang w:eastAsia="en-CA"/>
              </w:rPr>
              <w:t>To (m)</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14:paraId="58B7B3BB" w14:textId="77777777" w:rsidR="00FE6554" w:rsidRPr="00FE6554" w:rsidRDefault="00FE6554" w:rsidP="00FE6554">
            <w:pPr>
              <w:jc w:val="center"/>
              <w:rPr>
                <w:b/>
                <w:bCs/>
                <w:color w:val="000000"/>
                <w:lang w:eastAsia="en-CA"/>
              </w:rPr>
            </w:pPr>
            <w:r w:rsidRPr="00FE6554">
              <w:rPr>
                <w:b/>
                <w:bCs/>
                <w:color w:val="000000"/>
                <w:lang w:eastAsia="en-CA"/>
              </w:rPr>
              <w:t>Interval (m)*</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1A76E4D4" w14:textId="77777777" w:rsidR="00FE6554" w:rsidRPr="00FE6554" w:rsidRDefault="00FE6554" w:rsidP="00FE6554">
            <w:pPr>
              <w:jc w:val="center"/>
              <w:rPr>
                <w:b/>
                <w:bCs/>
                <w:color w:val="000000"/>
                <w:lang w:eastAsia="en-CA"/>
              </w:rPr>
            </w:pPr>
            <w:r w:rsidRPr="00FE6554">
              <w:rPr>
                <w:b/>
                <w:bCs/>
                <w:color w:val="000000"/>
                <w:lang w:eastAsia="en-CA"/>
              </w:rPr>
              <w:t>Co (ppm)</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14:paraId="5E354EF6" w14:textId="77777777" w:rsidR="00FE6554" w:rsidRPr="00FE6554" w:rsidRDefault="00FE6554" w:rsidP="00FE6554">
            <w:pPr>
              <w:jc w:val="center"/>
              <w:rPr>
                <w:b/>
                <w:bCs/>
                <w:color w:val="000000"/>
                <w:lang w:eastAsia="en-CA"/>
              </w:rPr>
            </w:pPr>
            <w:r w:rsidRPr="00FE6554">
              <w:rPr>
                <w:b/>
                <w:bCs/>
                <w:color w:val="000000"/>
                <w:lang w:eastAsia="en-CA"/>
              </w:rPr>
              <w:t>Cu (ppm)</w:t>
            </w: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14:paraId="3E232B2E" w14:textId="77777777" w:rsidR="00FE6554" w:rsidRPr="00FE6554" w:rsidRDefault="00FE6554" w:rsidP="00FE6554">
            <w:pPr>
              <w:jc w:val="center"/>
              <w:rPr>
                <w:b/>
                <w:bCs/>
                <w:color w:val="000000"/>
                <w:lang w:eastAsia="en-CA"/>
              </w:rPr>
            </w:pPr>
            <w:r w:rsidRPr="00FE6554">
              <w:rPr>
                <w:b/>
                <w:bCs/>
                <w:color w:val="000000"/>
                <w:lang w:eastAsia="en-CA"/>
              </w:rPr>
              <w:t>Au (ppb)</w:t>
            </w:r>
          </w:p>
        </w:tc>
        <w:tc>
          <w:tcPr>
            <w:tcW w:w="1213" w:type="dxa"/>
            <w:tcBorders>
              <w:top w:val="single" w:sz="8" w:space="0" w:color="auto"/>
              <w:left w:val="nil"/>
              <w:bottom w:val="single" w:sz="8" w:space="0" w:color="auto"/>
              <w:right w:val="single" w:sz="8" w:space="0" w:color="auto"/>
            </w:tcBorders>
            <w:shd w:val="clear" w:color="auto" w:fill="auto"/>
            <w:noWrap/>
            <w:vAlign w:val="center"/>
            <w:hideMark/>
          </w:tcPr>
          <w:p w14:paraId="663C4832" w14:textId="77777777" w:rsidR="00FE6554" w:rsidRPr="00FE6554" w:rsidRDefault="00FE6554" w:rsidP="00FE6554">
            <w:pPr>
              <w:jc w:val="center"/>
              <w:rPr>
                <w:b/>
                <w:bCs/>
                <w:color w:val="000000"/>
                <w:lang w:eastAsia="en-CA"/>
              </w:rPr>
            </w:pPr>
            <w:r w:rsidRPr="00FE6554">
              <w:rPr>
                <w:b/>
                <w:bCs/>
                <w:color w:val="000000"/>
                <w:lang w:eastAsia="en-CA"/>
              </w:rPr>
              <w:t>Ag (ppm)</w:t>
            </w:r>
          </w:p>
        </w:tc>
      </w:tr>
      <w:tr w:rsidR="00FE6554" w:rsidRPr="00FE6554" w14:paraId="1DBBE53C" w14:textId="77777777" w:rsidTr="00FE6554">
        <w:trPr>
          <w:trHeight w:val="288"/>
          <w:jc w:val="center"/>
        </w:trPr>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1A36BD" w14:textId="77777777" w:rsidR="00FE6554" w:rsidRPr="00FE6554" w:rsidRDefault="00FE6554" w:rsidP="00FE6554">
            <w:pPr>
              <w:jc w:val="center"/>
              <w:rPr>
                <w:b/>
                <w:bCs/>
                <w:color w:val="000000"/>
                <w:lang w:eastAsia="en-CA"/>
              </w:rPr>
            </w:pPr>
            <w:r w:rsidRPr="00FE6554">
              <w:rPr>
                <w:b/>
                <w:bCs/>
                <w:color w:val="000000"/>
                <w:lang w:eastAsia="en-CA"/>
              </w:rPr>
              <w:t>Hector</w:t>
            </w:r>
          </w:p>
        </w:tc>
        <w:tc>
          <w:tcPr>
            <w:tcW w:w="1140" w:type="dxa"/>
            <w:tcBorders>
              <w:top w:val="nil"/>
              <w:left w:val="nil"/>
              <w:bottom w:val="single" w:sz="4" w:space="0" w:color="auto"/>
              <w:right w:val="single" w:sz="4" w:space="0" w:color="auto"/>
            </w:tcBorders>
            <w:shd w:val="clear" w:color="auto" w:fill="auto"/>
            <w:noWrap/>
            <w:vAlign w:val="center"/>
            <w:hideMark/>
          </w:tcPr>
          <w:p w14:paraId="09B2ED92" w14:textId="77777777" w:rsidR="00FE6554" w:rsidRPr="00FE6554" w:rsidRDefault="00FE6554" w:rsidP="00FE6554">
            <w:pPr>
              <w:rPr>
                <w:b/>
                <w:bCs/>
                <w:color w:val="000000"/>
                <w:lang w:eastAsia="en-CA"/>
              </w:rPr>
            </w:pPr>
            <w:r w:rsidRPr="00FE6554">
              <w:rPr>
                <w:b/>
                <w:bCs/>
                <w:color w:val="000000"/>
                <w:lang w:eastAsia="en-CA"/>
              </w:rPr>
              <w:t>18HC01</w:t>
            </w:r>
          </w:p>
        </w:tc>
        <w:tc>
          <w:tcPr>
            <w:tcW w:w="1160" w:type="dxa"/>
            <w:tcBorders>
              <w:top w:val="nil"/>
              <w:left w:val="nil"/>
              <w:bottom w:val="single" w:sz="4" w:space="0" w:color="auto"/>
              <w:right w:val="single" w:sz="4" w:space="0" w:color="auto"/>
            </w:tcBorders>
            <w:shd w:val="clear" w:color="auto" w:fill="auto"/>
            <w:noWrap/>
            <w:vAlign w:val="center"/>
            <w:hideMark/>
          </w:tcPr>
          <w:p w14:paraId="3050A5B9" w14:textId="77777777" w:rsidR="00FE6554" w:rsidRPr="00FE6554" w:rsidRDefault="00FE6554" w:rsidP="00FE6554">
            <w:pPr>
              <w:jc w:val="center"/>
              <w:rPr>
                <w:color w:val="000000"/>
                <w:lang w:eastAsia="en-CA"/>
              </w:rPr>
            </w:pPr>
            <w:r w:rsidRPr="00FE6554">
              <w:rPr>
                <w:color w:val="000000"/>
                <w:lang w:eastAsia="en-CA"/>
              </w:rPr>
              <w:t>5.12</w:t>
            </w:r>
          </w:p>
        </w:tc>
        <w:tc>
          <w:tcPr>
            <w:tcW w:w="940" w:type="dxa"/>
            <w:tcBorders>
              <w:top w:val="nil"/>
              <w:left w:val="nil"/>
              <w:bottom w:val="single" w:sz="4" w:space="0" w:color="auto"/>
              <w:right w:val="single" w:sz="4" w:space="0" w:color="auto"/>
            </w:tcBorders>
            <w:shd w:val="clear" w:color="auto" w:fill="auto"/>
            <w:noWrap/>
            <w:vAlign w:val="center"/>
            <w:hideMark/>
          </w:tcPr>
          <w:p w14:paraId="20F28014" w14:textId="77777777" w:rsidR="00FE6554" w:rsidRPr="00FE6554" w:rsidRDefault="00FE6554" w:rsidP="00FE6554">
            <w:pPr>
              <w:jc w:val="center"/>
              <w:rPr>
                <w:color w:val="000000"/>
                <w:lang w:eastAsia="en-CA"/>
              </w:rPr>
            </w:pPr>
            <w:r w:rsidRPr="00FE6554">
              <w:rPr>
                <w:color w:val="000000"/>
                <w:lang w:eastAsia="en-CA"/>
              </w:rPr>
              <w:t>16.00</w:t>
            </w:r>
          </w:p>
        </w:tc>
        <w:tc>
          <w:tcPr>
            <w:tcW w:w="1160" w:type="dxa"/>
            <w:tcBorders>
              <w:top w:val="nil"/>
              <w:left w:val="nil"/>
              <w:bottom w:val="single" w:sz="4" w:space="0" w:color="auto"/>
              <w:right w:val="single" w:sz="4" w:space="0" w:color="auto"/>
            </w:tcBorders>
            <w:shd w:val="clear" w:color="auto" w:fill="auto"/>
            <w:noWrap/>
            <w:vAlign w:val="center"/>
            <w:hideMark/>
          </w:tcPr>
          <w:p w14:paraId="122838E3" w14:textId="77777777" w:rsidR="00FE6554" w:rsidRPr="00FE6554" w:rsidRDefault="00FE6554" w:rsidP="00FE6554">
            <w:pPr>
              <w:jc w:val="center"/>
              <w:rPr>
                <w:color w:val="000000"/>
                <w:lang w:eastAsia="en-CA"/>
              </w:rPr>
            </w:pPr>
            <w:r w:rsidRPr="00FE6554">
              <w:rPr>
                <w:color w:val="000000"/>
                <w:lang w:eastAsia="en-CA"/>
              </w:rPr>
              <w:t>10.88</w:t>
            </w:r>
          </w:p>
        </w:tc>
        <w:tc>
          <w:tcPr>
            <w:tcW w:w="1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C1B2A18" w14:textId="77777777" w:rsidR="00FE6554" w:rsidRPr="00FE6554" w:rsidRDefault="00FE6554" w:rsidP="00FE6554">
            <w:pPr>
              <w:jc w:val="center"/>
              <w:rPr>
                <w:color w:val="000000"/>
                <w:lang w:eastAsia="en-CA"/>
              </w:rPr>
            </w:pPr>
            <w:r w:rsidRPr="00FE6554">
              <w:rPr>
                <w:color w:val="000000"/>
                <w:lang w:eastAsia="en-CA"/>
              </w:rPr>
              <w:t>66</w:t>
            </w:r>
          </w:p>
        </w:tc>
        <w:tc>
          <w:tcPr>
            <w:tcW w:w="10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92A9517" w14:textId="77777777" w:rsidR="00FE6554" w:rsidRPr="00FE6554" w:rsidRDefault="00FE6554" w:rsidP="00FE6554">
            <w:pPr>
              <w:jc w:val="center"/>
              <w:rPr>
                <w:color w:val="000000"/>
                <w:lang w:eastAsia="en-CA"/>
              </w:rPr>
            </w:pPr>
            <w:r w:rsidRPr="00FE6554">
              <w:rPr>
                <w:color w:val="000000"/>
                <w:lang w:eastAsia="en-CA"/>
              </w:rPr>
              <w:t>132</w:t>
            </w:r>
          </w:p>
        </w:tc>
        <w:tc>
          <w:tcPr>
            <w:tcW w:w="1100" w:type="dxa"/>
            <w:tcBorders>
              <w:top w:val="single" w:sz="8" w:space="0" w:color="auto"/>
              <w:left w:val="nil"/>
              <w:bottom w:val="single" w:sz="4" w:space="0" w:color="auto"/>
              <w:right w:val="single" w:sz="4" w:space="0" w:color="auto"/>
            </w:tcBorders>
            <w:shd w:val="clear" w:color="auto" w:fill="auto"/>
            <w:noWrap/>
            <w:vAlign w:val="center"/>
            <w:hideMark/>
          </w:tcPr>
          <w:p w14:paraId="61A659F0"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single" w:sz="4" w:space="0" w:color="auto"/>
              <w:right w:val="single" w:sz="8" w:space="0" w:color="auto"/>
            </w:tcBorders>
            <w:shd w:val="clear" w:color="auto" w:fill="auto"/>
            <w:noWrap/>
            <w:vAlign w:val="center"/>
            <w:hideMark/>
          </w:tcPr>
          <w:p w14:paraId="45D52A13"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72433610" w14:textId="77777777" w:rsidTr="00FE6554">
        <w:trPr>
          <w:trHeight w:val="300"/>
          <w:jc w:val="center"/>
        </w:trPr>
        <w:tc>
          <w:tcPr>
            <w:tcW w:w="1440" w:type="dxa"/>
            <w:vMerge/>
            <w:tcBorders>
              <w:top w:val="nil"/>
              <w:left w:val="single" w:sz="8" w:space="0" w:color="auto"/>
              <w:bottom w:val="single" w:sz="8" w:space="0" w:color="000000"/>
              <w:right w:val="single" w:sz="8" w:space="0" w:color="auto"/>
            </w:tcBorders>
            <w:vAlign w:val="center"/>
            <w:hideMark/>
          </w:tcPr>
          <w:p w14:paraId="4C55E977" w14:textId="77777777" w:rsidR="00FE6554" w:rsidRPr="00FE6554" w:rsidRDefault="00FE6554" w:rsidP="00FE6554">
            <w:pPr>
              <w:rPr>
                <w:b/>
                <w:bCs/>
                <w:color w:val="000000"/>
                <w:lang w:eastAsia="en-CA"/>
              </w:rPr>
            </w:pPr>
          </w:p>
        </w:tc>
        <w:tc>
          <w:tcPr>
            <w:tcW w:w="1140" w:type="dxa"/>
            <w:tcBorders>
              <w:top w:val="nil"/>
              <w:left w:val="nil"/>
              <w:bottom w:val="single" w:sz="8" w:space="0" w:color="auto"/>
              <w:right w:val="single" w:sz="4" w:space="0" w:color="auto"/>
            </w:tcBorders>
            <w:shd w:val="clear" w:color="auto" w:fill="auto"/>
            <w:noWrap/>
            <w:vAlign w:val="bottom"/>
            <w:hideMark/>
          </w:tcPr>
          <w:p w14:paraId="16EA5CB0" w14:textId="77777777" w:rsidR="00FE6554" w:rsidRPr="00FE6554" w:rsidRDefault="00FE6554" w:rsidP="00FE6554">
            <w:pPr>
              <w:jc w:val="right"/>
              <w:rPr>
                <w:i/>
                <w:iCs/>
                <w:color w:val="000000"/>
                <w:lang w:eastAsia="en-CA"/>
              </w:rPr>
            </w:pPr>
            <w:r w:rsidRPr="00FE6554">
              <w:rPr>
                <w:i/>
                <w:iCs/>
                <w:color w:val="000000"/>
                <w:lang w:eastAsia="en-CA"/>
              </w:rPr>
              <w:t>and</w:t>
            </w:r>
          </w:p>
        </w:tc>
        <w:tc>
          <w:tcPr>
            <w:tcW w:w="1160" w:type="dxa"/>
            <w:tcBorders>
              <w:top w:val="nil"/>
              <w:left w:val="nil"/>
              <w:bottom w:val="single" w:sz="8" w:space="0" w:color="auto"/>
              <w:right w:val="single" w:sz="4" w:space="0" w:color="auto"/>
            </w:tcBorders>
            <w:shd w:val="clear" w:color="auto" w:fill="auto"/>
            <w:noWrap/>
            <w:vAlign w:val="center"/>
            <w:hideMark/>
          </w:tcPr>
          <w:p w14:paraId="37F29957" w14:textId="77777777" w:rsidR="00FE6554" w:rsidRPr="00FE6554" w:rsidRDefault="00FE6554" w:rsidP="00FE6554">
            <w:pPr>
              <w:jc w:val="center"/>
              <w:rPr>
                <w:color w:val="000000"/>
                <w:lang w:eastAsia="en-CA"/>
              </w:rPr>
            </w:pPr>
            <w:r w:rsidRPr="00FE6554">
              <w:rPr>
                <w:color w:val="000000"/>
                <w:lang w:eastAsia="en-CA"/>
              </w:rPr>
              <w:t>24.00</w:t>
            </w:r>
          </w:p>
        </w:tc>
        <w:tc>
          <w:tcPr>
            <w:tcW w:w="940" w:type="dxa"/>
            <w:tcBorders>
              <w:top w:val="nil"/>
              <w:left w:val="nil"/>
              <w:bottom w:val="single" w:sz="8" w:space="0" w:color="auto"/>
              <w:right w:val="single" w:sz="4" w:space="0" w:color="auto"/>
            </w:tcBorders>
            <w:shd w:val="clear" w:color="auto" w:fill="auto"/>
            <w:noWrap/>
            <w:vAlign w:val="center"/>
            <w:hideMark/>
          </w:tcPr>
          <w:p w14:paraId="70F16A6E" w14:textId="77777777" w:rsidR="00FE6554" w:rsidRPr="00FE6554" w:rsidRDefault="00FE6554" w:rsidP="00FE6554">
            <w:pPr>
              <w:jc w:val="center"/>
              <w:rPr>
                <w:color w:val="000000"/>
                <w:lang w:eastAsia="en-CA"/>
              </w:rPr>
            </w:pPr>
            <w:r w:rsidRPr="00FE6554">
              <w:rPr>
                <w:color w:val="000000"/>
                <w:lang w:eastAsia="en-CA"/>
              </w:rPr>
              <w:t>25.00</w:t>
            </w:r>
          </w:p>
        </w:tc>
        <w:tc>
          <w:tcPr>
            <w:tcW w:w="1160" w:type="dxa"/>
            <w:tcBorders>
              <w:top w:val="nil"/>
              <w:left w:val="nil"/>
              <w:bottom w:val="single" w:sz="8" w:space="0" w:color="auto"/>
              <w:right w:val="single" w:sz="4" w:space="0" w:color="auto"/>
            </w:tcBorders>
            <w:shd w:val="clear" w:color="auto" w:fill="auto"/>
            <w:noWrap/>
            <w:vAlign w:val="center"/>
            <w:hideMark/>
          </w:tcPr>
          <w:p w14:paraId="788CF744" w14:textId="77777777" w:rsidR="00FE6554" w:rsidRPr="00FE6554" w:rsidRDefault="00FE6554" w:rsidP="00FE6554">
            <w:pPr>
              <w:jc w:val="center"/>
              <w:rPr>
                <w:color w:val="000000"/>
                <w:lang w:eastAsia="en-CA"/>
              </w:rPr>
            </w:pPr>
            <w:r w:rsidRPr="00FE6554">
              <w:rPr>
                <w:color w:val="000000"/>
                <w:lang w:eastAsia="en-CA"/>
              </w:rPr>
              <w:t>1.00</w:t>
            </w:r>
          </w:p>
        </w:tc>
        <w:tc>
          <w:tcPr>
            <w:tcW w:w="11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2F6EEE7" w14:textId="77777777" w:rsidR="00FE6554" w:rsidRPr="00FE6554" w:rsidRDefault="00FE6554" w:rsidP="00FE6554">
            <w:pPr>
              <w:jc w:val="center"/>
              <w:rPr>
                <w:color w:val="000000"/>
                <w:lang w:eastAsia="en-CA"/>
              </w:rPr>
            </w:pPr>
            <w:r w:rsidRPr="00FE6554">
              <w:rPr>
                <w:color w:val="000000"/>
                <w:lang w:eastAsia="en-CA"/>
              </w:rPr>
              <w:t>110</w:t>
            </w:r>
          </w:p>
        </w:tc>
        <w:tc>
          <w:tcPr>
            <w:tcW w:w="1060" w:type="dxa"/>
            <w:tcBorders>
              <w:top w:val="nil"/>
              <w:left w:val="nil"/>
              <w:bottom w:val="single" w:sz="8" w:space="0" w:color="auto"/>
              <w:right w:val="single" w:sz="4" w:space="0" w:color="auto"/>
            </w:tcBorders>
            <w:shd w:val="clear" w:color="auto" w:fill="auto"/>
            <w:noWrap/>
            <w:vAlign w:val="center"/>
            <w:hideMark/>
          </w:tcPr>
          <w:p w14:paraId="6637EFDA" w14:textId="77777777" w:rsidR="00FE6554" w:rsidRPr="00FE6554" w:rsidRDefault="00FE6554" w:rsidP="00FE6554">
            <w:pPr>
              <w:jc w:val="center"/>
              <w:rPr>
                <w:color w:val="000000"/>
                <w:lang w:eastAsia="en-CA"/>
              </w:rPr>
            </w:pPr>
            <w:r w:rsidRPr="00FE6554">
              <w:rPr>
                <w:color w:val="000000"/>
                <w:lang w:eastAsia="en-CA"/>
              </w:rPr>
              <w:t>-</w:t>
            </w:r>
          </w:p>
        </w:tc>
        <w:tc>
          <w:tcPr>
            <w:tcW w:w="1100" w:type="dxa"/>
            <w:tcBorders>
              <w:top w:val="nil"/>
              <w:left w:val="nil"/>
              <w:bottom w:val="single" w:sz="8" w:space="0" w:color="auto"/>
              <w:right w:val="single" w:sz="4" w:space="0" w:color="auto"/>
            </w:tcBorders>
            <w:shd w:val="clear" w:color="auto" w:fill="auto"/>
            <w:noWrap/>
            <w:vAlign w:val="center"/>
            <w:hideMark/>
          </w:tcPr>
          <w:p w14:paraId="0AF97988"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single" w:sz="8" w:space="0" w:color="auto"/>
              <w:right w:val="single" w:sz="8" w:space="0" w:color="auto"/>
            </w:tcBorders>
            <w:shd w:val="clear" w:color="auto" w:fill="auto"/>
            <w:noWrap/>
            <w:vAlign w:val="center"/>
            <w:hideMark/>
          </w:tcPr>
          <w:p w14:paraId="1FB80923"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7C97F36B" w14:textId="77777777" w:rsidTr="00FE6554">
        <w:trPr>
          <w:trHeight w:val="288"/>
          <w:jc w:val="center"/>
        </w:trPr>
        <w:tc>
          <w:tcPr>
            <w:tcW w:w="1440" w:type="dxa"/>
            <w:vMerge/>
            <w:tcBorders>
              <w:top w:val="nil"/>
              <w:left w:val="single" w:sz="8" w:space="0" w:color="auto"/>
              <w:bottom w:val="single" w:sz="8" w:space="0" w:color="000000"/>
              <w:right w:val="single" w:sz="8" w:space="0" w:color="auto"/>
            </w:tcBorders>
            <w:vAlign w:val="center"/>
            <w:hideMark/>
          </w:tcPr>
          <w:p w14:paraId="177E066A" w14:textId="77777777" w:rsidR="00FE6554" w:rsidRPr="00FE6554" w:rsidRDefault="00FE6554" w:rsidP="00FE6554">
            <w:pPr>
              <w:rPr>
                <w:b/>
                <w:bCs/>
                <w:color w:val="000000"/>
                <w:lang w:eastAsia="en-CA"/>
              </w:rPr>
            </w:pPr>
          </w:p>
        </w:tc>
        <w:tc>
          <w:tcPr>
            <w:tcW w:w="1140" w:type="dxa"/>
            <w:tcBorders>
              <w:top w:val="nil"/>
              <w:left w:val="nil"/>
              <w:bottom w:val="single" w:sz="4" w:space="0" w:color="auto"/>
              <w:right w:val="single" w:sz="4" w:space="0" w:color="auto"/>
            </w:tcBorders>
            <w:shd w:val="clear" w:color="auto" w:fill="auto"/>
            <w:noWrap/>
            <w:vAlign w:val="center"/>
            <w:hideMark/>
          </w:tcPr>
          <w:p w14:paraId="58C8DB0F" w14:textId="77777777" w:rsidR="00FE6554" w:rsidRPr="00FE6554" w:rsidRDefault="00FE6554" w:rsidP="00FE6554">
            <w:pPr>
              <w:rPr>
                <w:b/>
                <w:bCs/>
                <w:color w:val="000000"/>
                <w:lang w:eastAsia="en-CA"/>
              </w:rPr>
            </w:pPr>
            <w:r w:rsidRPr="00FE6554">
              <w:rPr>
                <w:b/>
                <w:bCs/>
                <w:color w:val="000000"/>
                <w:lang w:eastAsia="en-CA"/>
              </w:rPr>
              <w:t>18HC02</w:t>
            </w:r>
          </w:p>
        </w:tc>
        <w:tc>
          <w:tcPr>
            <w:tcW w:w="1160" w:type="dxa"/>
            <w:tcBorders>
              <w:top w:val="nil"/>
              <w:left w:val="nil"/>
              <w:bottom w:val="single" w:sz="4" w:space="0" w:color="auto"/>
              <w:right w:val="single" w:sz="4" w:space="0" w:color="auto"/>
            </w:tcBorders>
            <w:shd w:val="clear" w:color="auto" w:fill="auto"/>
            <w:noWrap/>
            <w:vAlign w:val="center"/>
            <w:hideMark/>
          </w:tcPr>
          <w:p w14:paraId="2C88C463" w14:textId="77777777" w:rsidR="00FE6554" w:rsidRPr="00FE6554" w:rsidRDefault="00FE6554" w:rsidP="00FE6554">
            <w:pPr>
              <w:jc w:val="center"/>
              <w:rPr>
                <w:color w:val="000000"/>
                <w:lang w:eastAsia="en-CA"/>
              </w:rPr>
            </w:pPr>
            <w:r w:rsidRPr="00FE6554">
              <w:rPr>
                <w:color w:val="000000"/>
                <w:lang w:eastAsia="en-CA"/>
              </w:rPr>
              <w:t>83.45</w:t>
            </w:r>
          </w:p>
        </w:tc>
        <w:tc>
          <w:tcPr>
            <w:tcW w:w="940" w:type="dxa"/>
            <w:tcBorders>
              <w:top w:val="nil"/>
              <w:left w:val="nil"/>
              <w:bottom w:val="single" w:sz="4" w:space="0" w:color="auto"/>
              <w:right w:val="single" w:sz="4" w:space="0" w:color="auto"/>
            </w:tcBorders>
            <w:shd w:val="clear" w:color="auto" w:fill="auto"/>
            <w:noWrap/>
            <w:vAlign w:val="center"/>
            <w:hideMark/>
          </w:tcPr>
          <w:p w14:paraId="15E2E00F" w14:textId="77777777" w:rsidR="00FE6554" w:rsidRPr="00FE6554" w:rsidRDefault="00FE6554" w:rsidP="00FE6554">
            <w:pPr>
              <w:jc w:val="center"/>
              <w:rPr>
                <w:color w:val="000000"/>
                <w:lang w:eastAsia="en-CA"/>
              </w:rPr>
            </w:pPr>
            <w:r w:rsidRPr="00FE6554">
              <w:rPr>
                <w:color w:val="000000"/>
                <w:lang w:eastAsia="en-CA"/>
              </w:rPr>
              <w:t>84.45</w:t>
            </w:r>
          </w:p>
        </w:tc>
        <w:tc>
          <w:tcPr>
            <w:tcW w:w="1160" w:type="dxa"/>
            <w:tcBorders>
              <w:top w:val="nil"/>
              <w:left w:val="nil"/>
              <w:bottom w:val="single" w:sz="4" w:space="0" w:color="auto"/>
              <w:right w:val="single" w:sz="4" w:space="0" w:color="auto"/>
            </w:tcBorders>
            <w:shd w:val="clear" w:color="auto" w:fill="auto"/>
            <w:noWrap/>
            <w:vAlign w:val="center"/>
            <w:hideMark/>
          </w:tcPr>
          <w:p w14:paraId="3BBA6DFA" w14:textId="77777777" w:rsidR="00FE6554" w:rsidRPr="00FE6554" w:rsidRDefault="00FE6554" w:rsidP="00FE6554">
            <w:pPr>
              <w:jc w:val="center"/>
              <w:rPr>
                <w:color w:val="000000"/>
                <w:lang w:eastAsia="en-CA"/>
              </w:rPr>
            </w:pPr>
            <w:r w:rsidRPr="00FE6554">
              <w:rPr>
                <w:color w:val="000000"/>
                <w:lang w:eastAsia="en-CA"/>
              </w:rPr>
              <w:t>1.00</w:t>
            </w:r>
          </w:p>
        </w:tc>
        <w:tc>
          <w:tcPr>
            <w:tcW w:w="1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A19D114" w14:textId="77777777" w:rsidR="00FE6554" w:rsidRPr="00FE6554" w:rsidRDefault="00FE6554" w:rsidP="00FE6554">
            <w:pPr>
              <w:jc w:val="center"/>
              <w:rPr>
                <w:color w:val="000000"/>
                <w:lang w:eastAsia="en-CA"/>
              </w:rPr>
            </w:pPr>
            <w:r w:rsidRPr="00FE6554">
              <w:rPr>
                <w:color w:val="000000"/>
                <w:lang w:eastAsia="en-CA"/>
              </w:rPr>
              <w:t>310</w:t>
            </w:r>
          </w:p>
        </w:tc>
        <w:tc>
          <w:tcPr>
            <w:tcW w:w="10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B76F47C" w14:textId="77777777" w:rsidR="00FE6554" w:rsidRPr="00FE6554" w:rsidRDefault="00FE6554" w:rsidP="00FE6554">
            <w:pPr>
              <w:jc w:val="center"/>
              <w:rPr>
                <w:color w:val="000000"/>
                <w:lang w:eastAsia="en-CA"/>
              </w:rPr>
            </w:pPr>
            <w:r w:rsidRPr="00FE6554">
              <w:rPr>
                <w:color w:val="000000"/>
                <w:lang w:eastAsia="en-CA"/>
              </w:rPr>
              <w:t>60</w:t>
            </w:r>
          </w:p>
        </w:tc>
        <w:tc>
          <w:tcPr>
            <w:tcW w:w="1100" w:type="dxa"/>
            <w:tcBorders>
              <w:top w:val="nil"/>
              <w:left w:val="nil"/>
              <w:bottom w:val="single" w:sz="4" w:space="0" w:color="auto"/>
              <w:right w:val="single" w:sz="4" w:space="0" w:color="auto"/>
            </w:tcBorders>
            <w:shd w:val="clear" w:color="auto" w:fill="auto"/>
            <w:noWrap/>
            <w:vAlign w:val="center"/>
            <w:hideMark/>
          </w:tcPr>
          <w:p w14:paraId="2D8E1B94"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single" w:sz="4" w:space="0" w:color="auto"/>
              <w:right w:val="single" w:sz="8" w:space="0" w:color="auto"/>
            </w:tcBorders>
            <w:shd w:val="clear" w:color="auto" w:fill="auto"/>
            <w:noWrap/>
            <w:vAlign w:val="center"/>
            <w:hideMark/>
          </w:tcPr>
          <w:p w14:paraId="3FC4D123"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4F18E597" w14:textId="77777777" w:rsidTr="00FE6554">
        <w:trPr>
          <w:trHeight w:val="288"/>
          <w:jc w:val="center"/>
        </w:trPr>
        <w:tc>
          <w:tcPr>
            <w:tcW w:w="1440" w:type="dxa"/>
            <w:vMerge/>
            <w:tcBorders>
              <w:top w:val="nil"/>
              <w:left w:val="single" w:sz="8" w:space="0" w:color="auto"/>
              <w:bottom w:val="single" w:sz="8" w:space="0" w:color="000000"/>
              <w:right w:val="single" w:sz="8" w:space="0" w:color="auto"/>
            </w:tcBorders>
            <w:vAlign w:val="center"/>
            <w:hideMark/>
          </w:tcPr>
          <w:p w14:paraId="6C62498D" w14:textId="77777777" w:rsidR="00FE6554" w:rsidRPr="00FE6554" w:rsidRDefault="00FE6554" w:rsidP="00FE6554">
            <w:pPr>
              <w:rPr>
                <w:b/>
                <w:bCs/>
                <w:color w:val="000000"/>
                <w:lang w:eastAsia="en-CA"/>
              </w:rPr>
            </w:pPr>
          </w:p>
        </w:tc>
        <w:tc>
          <w:tcPr>
            <w:tcW w:w="1140" w:type="dxa"/>
            <w:tcBorders>
              <w:top w:val="nil"/>
              <w:left w:val="nil"/>
              <w:bottom w:val="single" w:sz="4" w:space="0" w:color="auto"/>
              <w:right w:val="single" w:sz="4" w:space="0" w:color="auto"/>
            </w:tcBorders>
            <w:shd w:val="clear" w:color="auto" w:fill="auto"/>
            <w:noWrap/>
            <w:vAlign w:val="bottom"/>
            <w:hideMark/>
          </w:tcPr>
          <w:p w14:paraId="11ACA5D4" w14:textId="77777777" w:rsidR="00FE6554" w:rsidRPr="00FE6554" w:rsidRDefault="00FE6554" w:rsidP="00FE6554">
            <w:pPr>
              <w:jc w:val="right"/>
              <w:rPr>
                <w:i/>
                <w:iCs/>
                <w:color w:val="000000"/>
                <w:lang w:eastAsia="en-CA"/>
              </w:rPr>
            </w:pPr>
            <w:r w:rsidRPr="00FE6554">
              <w:rPr>
                <w:i/>
                <w:iCs/>
                <w:color w:val="000000"/>
                <w:lang w:eastAsia="en-CA"/>
              </w:rPr>
              <w:t>and</w:t>
            </w:r>
          </w:p>
        </w:tc>
        <w:tc>
          <w:tcPr>
            <w:tcW w:w="1160" w:type="dxa"/>
            <w:tcBorders>
              <w:top w:val="nil"/>
              <w:left w:val="nil"/>
              <w:bottom w:val="single" w:sz="4" w:space="0" w:color="auto"/>
              <w:right w:val="single" w:sz="4" w:space="0" w:color="auto"/>
            </w:tcBorders>
            <w:shd w:val="clear" w:color="auto" w:fill="auto"/>
            <w:noWrap/>
            <w:vAlign w:val="center"/>
            <w:hideMark/>
          </w:tcPr>
          <w:p w14:paraId="27627661" w14:textId="77777777" w:rsidR="00FE6554" w:rsidRPr="00FE6554" w:rsidRDefault="00FE6554" w:rsidP="00FE6554">
            <w:pPr>
              <w:jc w:val="center"/>
              <w:rPr>
                <w:color w:val="000000"/>
                <w:lang w:eastAsia="en-CA"/>
              </w:rPr>
            </w:pPr>
            <w:r w:rsidRPr="00FE6554">
              <w:rPr>
                <w:color w:val="000000"/>
                <w:lang w:eastAsia="en-CA"/>
              </w:rPr>
              <w:t>89.45</w:t>
            </w:r>
          </w:p>
        </w:tc>
        <w:tc>
          <w:tcPr>
            <w:tcW w:w="940" w:type="dxa"/>
            <w:tcBorders>
              <w:top w:val="nil"/>
              <w:left w:val="nil"/>
              <w:bottom w:val="single" w:sz="4" w:space="0" w:color="auto"/>
              <w:right w:val="single" w:sz="4" w:space="0" w:color="auto"/>
            </w:tcBorders>
            <w:shd w:val="clear" w:color="auto" w:fill="auto"/>
            <w:noWrap/>
            <w:vAlign w:val="center"/>
            <w:hideMark/>
          </w:tcPr>
          <w:p w14:paraId="07644234" w14:textId="77777777" w:rsidR="00FE6554" w:rsidRPr="00FE6554" w:rsidRDefault="00FE6554" w:rsidP="00FE6554">
            <w:pPr>
              <w:jc w:val="center"/>
              <w:rPr>
                <w:color w:val="000000"/>
                <w:lang w:eastAsia="en-CA"/>
              </w:rPr>
            </w:pPr>
            <w:r w:rsidRPr="00FE6554">
              <w:rPr>
                <w:color w:val="000000"/>
                <w:lang w:eastAsia="en-CA"/>
              </w:rPr>
              <w:t>91.45</w:t>
            </w:r>
          </w:p>
        </w:tc>
        <w:tc>
          <w:tcPr>
            <w:tcW w:w="1160" w:type="dxa"/>
            <w:tcBorders>
              <w:top w:val="nil"/>
              <w:left w:val="nil"/>
              <w:bottom w:val="single" w:sz="4" w:space="0" w:color="auto"/>
              <w:right w:val="single" w:sz="4" w:space="0" w:color="auto"/>
            </w:tcBorders>
            <w:shd w:val="clear" w:color="auto" w:fill="auto"/>
            <w:noWrap/>
            <w:vAlign w:val="center"/>
            <w:hideMark/>
          </w:tcPr>
          <w:p w14:paraId="2C4C8C00" w14:textId="77777777" w:rsidR="00FE6554" w:rsidRPr="00FE6554" w:rsidRDefault="00FE6554" w:rsidP="00FE6554">
            <w:pPr>
              <w:jc w:val="center"/>
              <w:rPr>
                <w:color w:val="000000"/>
                <w:lang w:eastAsia="en-CA"/>
              </w:rPr>
            </w:pPr>
            <w:r w:rsidRPr="00FE6554">
              <w:rPr>
                <w:color w:val="000000"/>
                <w:lang w:eastAsia="en-CA"/>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39DF1" w14:textId="77777777" w:rsidR="00FE6554" w:rsidRPr="00FE6554" w:rsidRDefault="00FE6554" w:rsidP="00FE6554">
            <w:pPr>
              <w:jc w:val="center"/>
              <w:rPr>
                <w:color w:val="000000"/>
                <w:lang w:eastAsia="en-CA"/>
              </w:rPr>
            </w:pPr>
            <w:r w:rsidRPr="00FE6554">
              <w:rPr>
                <w:color w:val="000000"/>
                <w:lang w:eastAsia="en-CA"/>
              </w:rPr>
              <w:t>110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ED409" w14:textId="77777777" w:rsidR="00FE6554" w:rsidRPr="00FE6554" w:rsidRDefault="00FE6554" w:rsidP="00FE6554">
            <w:pPr>
              <w:jc w:val="center"/>
              <w:rPr>
                <w:color w:val="000000"/>
                <w:lang w:eastAsia="en-CA"/>
              </w:rPr>
            </w:pPr>
            <w:r w:rsidRPr="00FE6554">
              <w:rPr>
                <w:color w:val="000000"/>
                <w:lang w:eastAsia="en-CA"/>
              </w:rPr>
              <w:t>110</w:t>
            </w:r>
          </w:p>
        </w:tc>
        <w:tc>
          <w:tcPr>
            <w:tcW w:w="1100" w:type="dxa"/>
            <w:tcBorders>
              <w:top w:val="nil"/>
              <w:left w:val="nil"/>
              <w:bottom w:val="single" w:sz="4" w:space="0" w:color="auto"/>
              <w:right w:val="single" w:sz="4" w:space="0" w:color="auto"/>
            </w:tcBorders>
            <w:shd w:val="clear" w:color="auto" w:fill="auto"/>
            <w:noWrap/>
            <w:vAlign w:val="center"/>
            <w:hideMark/>
          </w:tcPr>
          <w:p w14:paraId="6F491A8F"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single" w:sz="4" w:space="0" w:color="auto"/>
              <w:right w:val="single" w:sz="8" w:space="0" w:color="auto"/>
            </w:tcBorders>
            <w:shd w:val="clear" w:color="auto" w:fill="auto"/>
            <w:noWrap/>
            <w:vAlign w:val="center"/>
            <w:hideMark/>
          </w:tcPr>
          <w:p w14:paraId="628CD01D"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063E39E7" w14:textId="77777777" w:rsidTr="00FE6554">
        <w:trPr>
          <w:trHeight w:val="300"/>
          <w:jc w:val="center"/>
        </w:trPr>
        <w:tc>
          <w:tcPr>
            <w:tcW w:w="1440" w:type="dxa"/>
            <w:vMerge/>
            <w:tcBorders>
              <w:top w:val="nil"/>
              <w:left w:val="single" w:sz="8" w:space="0" w:color="auto"/>
              <w:bottom w:val="single" w:sz="8" w:space="0" w:color="000000"/>
              <w:right w:val="single" w:sz="8" w:space="0" w:color="auto"/>
            </w:tcBorders>
            <w:vAlign w:val="center"/>
            <w:hideMark/>
          </w:tcPr>
          <w:p w14:paraId="092CB1C4" w14:textId="77777777" w:rsidR="00FE6554" w:rsidRPr="00FE6554" w:rsidRDefault="00FE6554" w:rsidP="00FE6554">
            <w:pPr>
              <w:rPr>
                <w:b/>
                <w:bCs/>
                <w:color w:val="000000"/>
                <w:lang w:eastAsia="en-CA"/>
              </w:rPr>
            </w:pPr>
          </w:p>
        </w:tc>
        <w:tc>
          <w:tcPr>
            <w:tcW w:w="1140" w:type="dxa"/>
            <w:tcBorders>
              <w:top w:val="nil"/>
              <w:left w:val="nil"/>
              <w:bottom w:val="single" w:sz="8" w:space="0" w:color="auto"/>
              <w:right w:val="single" w:sz="4" w:space="0" w:color="auto"/>
            </w:tcBorders>
            <w:shd w:val="clear" w:color="auto" w:fill="auto"/>
            <w:noWrap/>
            <w:vAlign w:val="bottom"/>
            <w:hideMark/>
          </w:tcPr>
          <w:p w14:paraId="12AC72DD" w14:textId="77777777" w:rsidR="00FE6554" w:rsidRPr="00FE6554" w:rsidRDefault="00FE6554" w:rsidP="00FE6554">
            <w:pPr>
              <w:jc w:val="right"/>
              <w:rPr>
                <w:i/>
                <w:iCs/>
                <w:color w:val="000000"/>
                <w:lang w:eastAsia="en-CA"/>
              </w:rPr>
            </w:pPr>
            <w:r w:rsidRPr="00FE6554">
              <w:rPr>
                <w:i/>
                <w:iCs/>
                <w:color w:val="000000"/>
                <w:lang w:eastAsia="en-CA"/>
              </w:rPr>
              <w:t>and</w:t>
            </w:r>
          </w:p>
        </w:tc>
        <w:tc>
          <w:tcPr>
            <w:tcW w:w="1160" w:type="dxa"/>
            <w:tcBorders>
              <w:top w:val="nil"/>
              <w:left w:val="nil"/>
              <w:bottom w:val="single" w:sz="8" w:space="0" w:color="auto"/>
              <w:right w:val="single" w:sz="4" w:space="0" w:color="auto"/>
            </w:tcBorders>
            <w:shd w:val="clear" w:color="auto" w:fill="auto"/>
            <w:noWrap/>
            <w:vAlign w:val="center"/>
            <w:hideMark/>
          </w:tcPr>
          <w:p w14:paraId="7CBF46C6" w14:textId="77777777" w:rsidR="00FE6554" w:rsidRPr="00FE6554" w:rsidRDefault="00FE6554" w:rsidP="00FE6554">
            <w:pPr>
              <w:jc w:val="center"/>
              <w:rPr>
                <w:color w:val="000000"/>
                <w:lang w:eastAsia="en-CA"/>
              </w:rPr>
            </w:pPr>
            <w:r w:rsidRPr="00FE6554">
              <w:rPr>
                <w:color w:val="000000"/>
                <w:lang w:eastAsia="en-CA"/>
              </w:rPr>
              <w:t>94.33</w:t>
            </w:r>
          </w:p>
        </w:tc>
        <w:tc>
          <w:tcPr>
            <w:tcW w:w="940" w:type="dxa"/>
            <w:tcBorders>
              <w:top w:val="nil"/>
              <w:left w:val="nil"/>
              <w:bottom w:val="single" w:sz="8" w:space="0" w:color="auto"/>
              <w:right w:val="single" w:sz="4" w:space="0" w:color="auto"/>
            </w:tcBorders>
            <w:shd w:val="clear" w:color="auto" w:fill="auto"/>
            <w:noWrap/>
            <w:vAlign w:val="center"/>
            <w:hideMark/>
          </w:tcPr>
          <w:p w14:paraId="510B0680" w14:textId="77777777" w:rsidR="00FE6554" w:rsidRPr="00FE6554" w:rsidRDefault="00FE6554" w:rsidP="00FE6554">
            <w:pPr>
              <w:jc w:val="center"/>
              <w:rPr>
                <w:color w:val="000000"/>
                <w:lang w:eastAsia="en-CA"/>
              </w:rPr>
            </w:pPr>
            <w:r w:rsidRPr="00FE6554">
              <w:rPr>
                <w:color w:val="000000"/>
                <w:lang w:eastAsia="en-CA"/>
              </w:rPr>
              <w:t>95.02</w:t>
            </w:r>
          </w:p>
        </w:tc>
        <w:tc>
          <w:tcPr>
            <w:tcW w:w="1160" w:type="dxa"/>
            <w:tcBorders>
              <w:top w:val="nil"/>
              <w:left w:val="nil"/>
              <w:bottom w:val="single" w:sz="8" w:space="0" w:color="auto"/>
              <w:right w:val="single" w:sz="4" w:space="0" w:color="auto"/>
            </w:tcBorders>
            <w:shd w:val="clear" w:color="auto" w:fill="auto"/>
            <w:noWrap/>
            <w:vAlign w:val="center"/>
            <w:hideMark/>
          </w:tcPr>
          <w:p w14:paraId="2F053DFC" w14:textId="77777777" w:rsidR="00FE6554" w:rsidRPr="00FE6554" w:rsidRDefault="00FE6554" w:rsidP="00FE6554">
            <w:pPr>
              <w:jc w:val="center"/>
              <w:rPr>
                <w:color w:val="000000"/>
                <w:lang w:eastAsia="en-CA"/>
              </w:rPr>
            </w:pPr>
            <w:r w:rsidRPr="00FE6554">
              <w:rPr>
                <w:color w:val="000000"/>
                <w:lang w:eastAsia="en-CA"/>
              </w:rPr>
              <w:t>0.69</w:t>
            </w:r>
          </w:p>
        </w:tc>
        <w:tc>
          <w:tcPr>
            <w:tcW w:w="11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727AC15" w14:textId="77777777" w:rsidR="00FE6554" w:rsidRPr="00FE6554" w:rsidRDefault="00FE6554" w:rsidP="00FE6554">
            <w:pPr>
              <w:jc w:val="center"/>
              <w:rPr>
                <w:color w:val="000000"/>
                <w:lang w:eastAsia="en-CA"/>
              </w:rPr>
            </w:pPr>
            <w:r w:rsidRPr="00FE6554">
              <w:rPr>
                <w:color w:val="000000"/>
                <w:lang w:eastAsia="en-CA"/>
              </w:rPr>
              <w:t>130</w:t>
            </w:r>
          </w:p>
        </w:tc>
        <w:tc>
          <w:tcPr>
            <w:tcW w:w="10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801A308" w14:textId="77777777" w:rsidR="00FE6554" w:rsidRPr="00FE6554" w:rsidRDefault="00FE6554" w:rsidP="00FE6554">
            <w:pPr>
              <w:jc w:val="center"/>
              <w:rPr>
                <w:color w:val="000000"/>
                <w:lang w:eastAsia="en-CA"/>
              </w:rPr>
            </w:pPr>
            <w:r w:rsidRPr="00FE6554">
              <w:rPr>
                <w:color w:val="000000"/>
                <w:lang w:eastAsia="en-CA"/>
              </w:rPr>
              <w:t>150</w:t>
            </w:r>
          </w:p>
        </w:tc>
        <w:tc>
          <w:tcPr>
            <w:tcW w:w="1100" w:type="dxa"/>
            <w:tcBorders>
              <w:top w:val="nil"/>
              <w:left w:val="nil"/>
              <w:bottom w:val="single" w:sz="8" w:space="0" w:color="auto"/>
              <w:right w:val="single" w:sz="4" w:space="0" w:color="auto"/>
            </w:tcBorders>
            <w:shd w:val="clear" w:color="auto" w:fill="auto"/>
            <w:noWrap/>
            <w:vAlign w:val="center"/>
            <w:hideMark/>
          </w:tcPr>
          <w:p w14:paraId="01D83810"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single" w:sz="8" w:space="0" w:color="auto"/>
              <w:right w:val="single" w:sz="8" w:space="0" w:color="auto"/>
            </w:tcBorders>
            <w:shd w:val="clear" w:color="auto" w:fill="auto"/>
            <w:noWrap/>
            <w:vAlign w:val="center"/>
            <w:hideMark/>
          </w:tcPr>
          <w:p w14:paraId="5EEB5C3B"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534F7C15" w14:textId="77777777" w:rsidTr="00FE6554">
        <w:trPr>
          <w:trHeight w:val="288"/>
          <w:jc w:val="center"/>
        </w:trPr>
        <w:tc>
          <w:tcPr>
            <w:tcW w:w="1440" w:type="dxa"/>
            <w:vMerge/>
            <w:tcBorders>
              <w:top w:val="nil"/>
              <w:left w:val="single" w:sz="8" w:space="0" w:color="auto"/>
              <w:bottom w:val="single" w:sz="8" w:space="0" w:color="000000"/>
              <w:right w:val="single" w:sz="8" w:space="0" w:color="auto"/>
            </w:tcBorders>
            <w:vAlign w:val="center"/>
            <w:hideMark/>
          </w:tcPr>
          <w:p w14:paraId="1C3FFDB4" w14:textId="77777777" w:rsidR="00FE6554" w:rsidRPr="00FE6554" w:rsidRDefault="00FE6554" w:rsidP="00FE6554">
            <w:pPr>
              <w:rPr>
                <w:b/>
                <w:bCs/>
                <w:color w:val="000000"/>
                <w:lang w:eastAsia="en-CA"/>
              </w:rPr>
            </w:pPr>
          </w:p>
        </w:tc>
        <w:tc>
          <w:tcPr>
            <w:tcW w:w="1140" w:type="dxa"/>
            <w:tcBorders>
              <w:top w:val="nil"/>
              <w:left w:val="nil"/>
              <w:bottom w:val="single" w:sz="4" w:space="0" w:color="auto"/>
              <w:right w:val="single" w:sz="4" w:space="0" w:color="auto"/>
            </w:tcBorders>
            <w:shd w:val="clear" w:color="auto" w:fill="auto"/>
            <w:noWrap/>
            <w:vAlign w:val="center"/>
            <w:hideMark/>
          </w:tcPr>
          <w:p w14:paraId="5DF4B15D" w14:textId="77777777" w:rsidR="00FE6554" w:rsidRPr="00FE6554" w:rsidRDefault="00FE6554" w:rsidP="00FE6554">
            <w:pPr>
              <w:rPr>
                <w:b/>
                <w:bCs/>
                <w:color w:val="000000"/>
                <w:lang w:eastAsia="en-CA"/>
              </w:rPr>
            </w:pPr>
            <w:r w:rsidRPr="00FE6554">
              <w:rPr>
                <w:b/>
                <w:bCs/>
                <w:color w:val="000000"/>
                <w:lang w:eastAsia="en-CA"/>
              </w:rPr>
              <w:t>18HC03</w:t>
            </w:r>
          </w:p>
        </w:tc>
        <w:tc>
          <w:tcPr>
            <w:tcW w:w="1160" w:type="dxa"/>
            <w:tcBorders>
              <w:top w:val="nil"/>
              <w:left w:val="nil"/>
              <w:bottom w:val="single" w:sz="4" w:space="0" w:color="auto"/>
              <w:right w:val="single" w:sz="4" w:space="0" w:color="auto"/>
            </w:tcBorders>
            <w:shd w:val="clear" w:color="auto" w:fill="auto"/>
            <w:noWrap/>
            <w:vAlign w:val="center"/>
            <w:hideMark/>
          </w:tcPr>
          <w:p w14:paraId="0F4527DC" w14:textId="77777777" w:rsidR="00FE6554" w:rsidRPr="00FE6554" w:rsidRDefault="00FE6554" w:rsidP="00FE6554">
            <w:pPr>
              <w:jc w:val="center"/>
              <w:rPr>
                <w:color w:val="000000"/>
                <w:lang w:eastAsia="en-CA"/>
              </w:rPr>
            </w:pPr>
            <w:r w:rsidRPr="00FE6554">
              <w:rPr>
                <w:color w:val="000000"/>
                <w:lang w:eastAsia="en-CA"/>
              </w:rPr>
              <w:t>11.80</w:t>
            </w:r>
          </w:p>
        </w:tc>
        <w:tc>
          <w:tcPr>
            <w:tcW w:w="940" w:type="dxa"/>
            <w:tcBorders>
              <w:top w:val="nil"/>
              <w:left w:val="nil"/>
              <w:bottom w:val="single" w:sz="4" w:space="0" w:color="auto"/>
              <w:right w:val="single" w:sz="4" w:space="0" w:color="auto"/>
            </w:tcBorders>
            <w:shd w:val="clear" w:color="auto" w:fill="auto"/>
            <w:noWrap/>
            <w:vAlign w:val="center"/>
            <w:hideMark/>
          </w:tcPr>
          <w:p w14:paraId="6B16EC0D" w14:textId="77777777" w:rsidR="00FE6554" w:rsidRPr="00FE6554" w:rsidRDefault="00FE6554" w:rsidP="00FE6554">
            <w:pPr>
              <w:jc w:val="center"/>
              <w:rPr>
                <w:color w:val="000000"/>
                <w:lang w:eastAsia="en-CA"/>
              </w:rPr>
            </w:pPr>
            <w:r w:rsidRPr="00FE6554">
              <w:rPr>
                <w:color w:val="000000"/>
                <w:lang w:eastAsia="en-CA"/>
              </w:rPr>
              <w:t>17.00</w:t>
            </w:r>
          </w:p>
        </w:tc>
        <w:tc>
          <w:tcPr>
            <w:tcW w:w="1160" w:type="dxa"/>
            <w:tcBorders>
              <w:top w:val="nil"/>
              <w:left w:val="nil"/>
              <w:bottom w:val="single" w:sz="4" w:space="0" w:color="auto"/>
              <w:right w:val="single" w:sz="4" w:space="0" w:color="auto"/>
            </w:tcBorders>
            <w:shd w:val="clear" w:color="auto" w:fill="auto"/>
            <w:noWrap/>
            <w:vAlign w:val="center"/>
            <w:hideMark/>
          </w:tcPr>
          <w:p w14:paraId="696A9359" w14:textId="77777777" w:rsidR="00FE6554" w:rsidRPr="00FE6554" w:rsidRDefault="00FE6554" w:rsidP="00FE6554">
            <w:pPr>
              <w:jc w:val="center"/>
              <w:rPr>
                <w:color w:val="000000"/>
                <w:lang w:eastAsia="en-CA"/>
              </w:rPr>
            </w:pPr>
            <w:r w:rsidRPr="00FE6554">
              <w:rPr>
                <w:color w:val="000000"/>
                <w:lang w:eastAsia="en-CA"/>
              </w:rPr>
              <w:t>5.20</w:t>
            </w:r>
          </w:p>
        </w:tc>
        <w:tc>
          <w:tcPr>
            <w:tcW w:w="1100" w:type="dxa"/>
            <w:tcBorders>
              <w:top w:val="nil"/>
              <w:left w:val="nil"/>
              <w:bottom w:val="single" w:sz="4" w:space="0" w:color="auto"/>
              <w:right w:val="single" w:sz="4" w:space="0" w:color="auto"/>
            </w:tcBorders>
            <w:shd w:val="clear" w:color="auto" w:fill="auto"/>
            <w:noWrap/>
            <w:vAlign w:val="center"/>
            <w:hideMark/>
          </w:tcPr>
          <w:p w14:paraId="38A3BB70" w14:textId="77777777" w:rsidR="00FE6554" w:rsidRPr="00FE6554" w:rsidRDefault="00FE6554" w:rsidP="00FE6554">
            <w:pPr>
              <w:jc w:val="center"/>
              <w:rPr>
                <w:color w:val="000000"/>
                <w:lang w:eastAsia="en-CA"/>
              </w:rPr>
            </w:pPr>
            <w:r w:rsidRPr="00FE6554">
              <w:rPr>
                <w:color w:val="000000"/>
                <w:lang w:eastAsia="en-CA"/>
              </w:rPr>
              <w:t>-</w:t>
            </w:r>
          </w:p>
        </w:tc>
        <w:tc>
          <w:tcPr>
            <w:tcW w:w="10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C5A860F" w14:textId="77777777" w:rsidR="00FE6554" w:rsidRPr="00FE6554" w:rsidRDefault="00FE6554" w:rsidP="00FE6554">
            <w:pPr>
              <w:jc w:val="center"/>
              <w:rPr>
                <w:color w:val="000000"/>
                <w:lang w:eastAsia="en-CA"/>
              </w:rPr>
            </w:pPr>
            <w:r w:rsidRPr="00FE6554">
              <w:rPr>
                <w:color w:val="000000"/>
                <w:lang w:eastAsia="en-CA"/>
              </w:rPr>
              <w:t>127</w:t>
            </w:r>
          </w:p>
        </w:tc>
        <w:tc>
          <w:tcPr>
            <w:tcW w:w="1100" w:type="dxa"/>
            <w:tcBorders>
              <w:top w:val="nil"/>
              <w:left w:val="nil"/>
              <w:bottom w:val="single" w:sz="4" w:space="0" w:color="auto"/>
              <w:right w:val="single" w:sz="4" w:space="0" w:color="auto"/>
            </w:tcBorders>
            <w:shd w:val="clear" w:color="auto" w:fill="auto"/>
            <w:noWrap/>
            <w:vAlign w:val="center"/>
            <w:hideMark/>
          </w:tcPr>
          <w:p w14:paraId="37D5ED81"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single" w:sz="4" w:space="0" w:color="auto"/>
              <w:right w:val="single" w:sz="8" w:space="0" w:color="auto"/>
            </w:tcBorders>
            <w:shd w:val="clear" w:color="auto" w:fill="auto"/>
            <w:noWrap/>
            <w:vAlign w:val="center"/>
            <w:hideMark/>
          </w:tcPr>
          <w:p w14:paraId="250531AD"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2D6CDCE6" w14:textId="77777777" w:rsidTr="00FE6554">
        <w:trPr>
          <w:trHeight w:val="288"/>
          <w:jc w:val="center"/>
        </w:trPr>
        <w:tc>
          <w:tcPr>
            <w:tcW w:w="1440" w:type="dxa"/>
            <w:vMerge/>
            <w:tcBorders>
              <w:top w:val="nil"/>
              <w:left w:val="single" w:sz="8" w:space="0" w:color="auto"/>
              <w:bottom w:val="single" w:sz="8" w:space="0" w:color="000000"/>
              <w:right w:val="single" w:sz="8" w:space="0" w:color="auto"/>
            </w:tcBorders>
            <w:vAlign w:val="center"/>
            <w:hideMark/>
          </w:tcPr>
          <w:p w14:paraId="2B582159" w14:textId="77777777" w:rsidR="00FE6554" w:rsidRPr="00FE6554" w:rsidRDefault="00FE6554" w:rsidP="00FE6554">
            <w:pPr>
              <w:rPr>
                <w:b/>
                <w:bCs/>
                <w:color w:val="000000"/>
                <w:lang w:eastAsia="en-CA"/>
              </w:rPr>
            </w:pPr>
          </w:p>
        </w:tc>
        <w:tc>
          <w:tcPr>
            <w:tcW w:w="1140" w:type="dxa"/>
            <w:tcBorders>
              <w:top w:val="nil"/>
              <w:left w:val="nil"/>
              <w:bottom w:val="single" w:sz="4" w:space="0" w:color="auto"/>
              <w:right w:val="single" w:sz="4" w:space="0" w:color="auto"/>
            </w:tcBorders>
            <w:shd w:val="clear" w:color="auto" w:fill="auto"/>
            <w:noWrap/>
            <w:vAlign w:val="bottom"/>
            <w:hideMark/>
          </w:tcPr>
          <w:p w14:paraId="6F042680" w14:textId="77777777" w:rsidR="00FE6554" w:rsidRPr="00FE6554" w:rsidRDefault="00FE6554" w:rsidP="00FE6554">
            <w:pPr>
              <w:jc w:val="right"/>
              <w:rPr>
                <w:i/>
                <w:iCs/>
                <w:color w:val="000000"/>
                <w:lang w:eastAsia="en-CA"/>
              </w:rPr>
            </w:pPr>
            <w:r w:rsidRPr="00FE6554">
              <w:rPr>
                <w:i/>
                <w:iCs/>
                <w:color w:val="000000"/>
                <w:lang w:eastAsia="en-CA"/>
              </w:rPr>
              <w:t>and</w:t>
            </w:r>
          </w:p>
        </w:tc>
        <w:tc>
          <w:tcPr>
            <w:tcW w:w="1160" w:type="dxa"/>
            <w:tcBorders>
              <w:top w:val="nil"/>
              <w:left w:val="nil"/>
              <w:bottom w:val="single" w:sz="4" w:space="0" w:color="auto"/>
              <w:right w:val="single" w:sz="4" w:space="0" w:color="auto"/>
            </w:tcBorders>
            <w:shd w:val="clear" w:color="auto" w:fill="auto"/>
            <w:noWrap/>
            <w:vAlign w:val="center"/>
            <w:hideMark/>
          </w:tcPr>
          <w:p w14:paraId="0D45EE2B" w14:textId="77777777" w:rsidR="00FE6554" w:rsidRPr="00FE6554" w:rsidRDefault="00FE6554" w:rsidP="00FE6554">
            <w:pPr>
              <w:jc w:val="center"/>
              <w:rPr>
                <w:color w:val="000000"/>
                <w:lang w:eastAsia="en-CA"/>
              </w:rPr>
            </w:pPr>
            <w:r w:rsidRPr="00FE6554">
              <w:rPr>
                <w:color w:val="000000"/>
                <w:lang w:eastAsia="en-CA"/>
              </w:rPr>
              <w:t>89.10</w:t>
            </w:r>
          </w:p>
        </w:tc>
        <w:tc>
          <w:tcPr>
            <w:tcW w:w="940" w:type="dxa"/>
            <w:tcBorders>
              <w:top w:val="nil"/>
              <w:left w:val="nil"/>
              <w:bottom w:val="single" w:sz="4" w:space="0" w:color="auto"/>
              <w:right w:val="single" w:sz="4" w:space="0" w:color="auto"/>
            </w:tcBorders>
            <w:shd w:val="clear" w:color="auto" w:fill="auto"/>
            <w:noWrap/>
            <w:vAlign w:val="center"/>
            <w:hideMark/>
          </w:tcPr>
          <w:p w14:paraId="4ECEB03A" w14:textId="77777777" w:rsidR="00FE6554" w:rsidRPr="00FE6554" w:rsidRDefault="00FE6554" w:rsidP="00FE6554">
            <w:pPr>
              <w:jc w:val="center"/>
              <w:rPr>
                <w:color w:val="000000"/>
                <w:lang w:eastAsia="en-CA"/>
              </w:rPr>
            </w:pPr>
            <w:r w:rsidRPr="00FE6554">
              <w:rPr>
                <w:color w:val="000000"/>
                <w:lang w:eastAsia="en-CA"/>
              </w:rPr>
              <w:t>89.60</w:t>
            </w:r>
          </w:p>
        </w:tc>
        <w:tc>
          <w:tcPr>
            <w:tcW w:w="1160" w:type="dxa"/>
            <w:tcBorders>
              <w:top w:val="nil"/>
              <w:left w:val="nil"/>
              <w:bottom w:val="single" w:sz="4" w:space="0" w:color="auto"/>
              <w:right w:val="single" w:sz="4" w:space="0" w:color="auto"/>
            </w:tcBorders>
            <w:shd w:val="clear" w:color="auto" w:fill="auto"/>
            <w:noWrap/>
            <w:vAlign w:val="center"/>
            <w:hideMark/>
          </w:tcPr>
          <w:p w14:paraId="6A4B7B48" w14:textId="77777777" w:rsidR="00FE6554" w:rsidRPr="00FE6554" w:rsidRDefault="00FE6554" w:rsidP="00FE6554">
            <w:pPr>
              <w:jc w:val="center"/>
              <w:rPr>
                <w:color w:val="000000"/>
                <w:lang w:eastAsia="en-CA"/>
              </w:rPr>
            </w:pPr>
            <w:r w:rsidRPr="00FE6554">
              <w:rPr>
                <w:color w:val="000000"/>
                <w:lang w:eastAsia="en-CA"/>
              </w:rPr>
              <w:t>0.50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56DAB" w14:textId="77777777" w:rsidR="00FE6554" w:rsidRPr="00FE6554" w:rsidRDefault="00FE6554" w:rsidP="00FE6554">
            <w:pPr>
              <w:jc w:val="center"/>
              <w:rPr>
                <w:color w:val="000000"/>
                <w:lang w:eastAsia="en-CA"/>
              </w:rPr>
            </w:pPr>
            <w:r w:rsidRPr="00FE6554">
              <w:rPr>
                <w:color w:val="000000"/>
                <w:lang w:eastAsia="en-CA"/>
              </w:rPr>
              <w:t>130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D2444" w14:textId="77777777" w:rsidR="00FE6554" w:rsidRPr="00FE6554" w:rsidRDefault="00FE6554" w:rsidP="00FE6554">
            <w:pPr>
              <w:jc w:val="center"/>
              <w:rPr>
                <w:color w:val="000000"/>
                <w:lang w:eastAsia="en-CA"/>
              </w:rPr>
            </w:pPr>
            <w:r w:rsidRPr="00FE6554">
              <w:rPr>
                <w:color w:val="000000"/>
                <w:lang w:eastAsia="en-CA"/>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2C353B51"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single" w:sz="4" w:space="0" w:color="auto"/>
              <w:right w:val="single" w:sz="8" w:space="0" w:color="auto"/>
            </w:tcBorders>
            <w:shd w:val="clear" w:color="auto" w:fill="auto"/>
            <w:noWrap/>
            <w:vAlign w:val="center"/>
            <w:hideMark/>
          </w:tcPr>
          <w:p w14:paraId="11315A96"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6A4F7485" w14:textId="77777777" w:rsidTr="00FE6554">
        <w:trPr>
          <w:trHeight w:val="300"/>
          <w:jc w:val="center"/>
        </w:trPr>
        <w:tc>
          <w:tcPr>
            <w:tcW w:w="1440" w:type="dxa"/>
            <w:vMerge/>
            <w:tcBorders>
              <w:top w:val="nil"/>
              <w:left w:val="single" w:sz="8" w:space="0" w:color="auto"/>
              <w:bottom w:val="single" w:sz="8" w:space="0" w:color="000000"/>
              <w:right w:val="single" w:sz="8" w:space="0" w:color="auto"/>
            </w:tcBorders>
            <w:vAlign w:val="center"/>
            <w:hideMark/>
          </w:tcPr>
          <w:p w14:paraId="44632411" w14:textId="77777777" w:rsidR="00FE6554" w:rsidRPr="00FE6554" w:rsidRDefault="00FE6554" w:rsidP="00FE6554">
            <w:pPr>
              <w:rPr>
                <w:b/>
                <w:bCs/>
                <w:color w:val="000000"/>
                <w:lang w:eastAsia="en-CA"/>
              </w:rPr>
            </w:pPr>
          </w:p>
        </w:tc>
        <w:tc>
          <w:tcPr>
            <w:tcW w:w="1140" w:type="dxa"/>
            <w:tcBorders>
              <w:top w:val="nil"/>
              <w:left w:val="nil"/>
              <w:bottom w:val="single" w:sz="8" w:space="0" w:color="auto"/>
              <w:right w:val="single" w:sz="4" w:space="0" w:color="auto"/>
            </w:tcBorders>
            <w:shd w:val="clear" w:color="auto" w:fill="auto"/>
            <w:noWrap/>
            <w:vAlign w:val="bottom"/>
            <w:hideMark/>
          </w:tcPr>
          <w:p w14:paraId="2A6B8914" w14:textId="77777777" w:rsidR="00FE6554" w:rsidRPr="00FE6554" w:rsidRDefault="00FE6554" w:rsidP="00FE6554">
            <w:pPr>
              <w:jc w:val="right"/>
              <w:rPr>
                <w:i/>
                <w:iCs/>
                <w:color w:val="000000"/>
                <w:lang w:eastAsia="en-CA"/>
              </w:rPr>
            </w:pPr>
            <w:r w:rsidRPr="00FE6554">
              <w:rPr>
                <w:i/>
                <w:iCs/>
                <w:color w:val="000000"/>
                <w:lang w:eastAsia="en-CA"/>
              </w:rPr>
              <w:t>and</w:t>
            </w:r>
          </w:p>
        </w:tc>
        <w:tc>
          <w:tcPr>
            <w:tcW w:w="1160" w:type="dxa"/>
            <w:tcBorders>
              <w:top w:val="nil"/>
              <w:left w:val="nil"/>
              <w:bottom w:val="single" w:sz="8" w:space="0" w:color="auto"/>
              <w:right w:val="single" w:sz="4" w:space="0" w:color="auto"/>
            </w:tcBorders>
            <w:shd w:val="clear" w:color="auto" w:fill="auto"/>
            <w:noWrap/>
            <w:vAlign w:val="center"/>
            <w:hideMark/>
          </w:tcPr>
          <w:p w14:paraId="7A768321" w14:textId="77777777" w:rsidR="00FE6554" w:rsidRPr="00FE6554" w:rsidRDefault="00FE6554" w:rsidP="00FE6554">
            <w:pPr>
              <w:jc w:val="center"/>
              <w:rPr>
                <w:color w:val="000000"/>
                <w:lang w:eastAsia="en-CA"/>
              </w:rPr>
            </w:pPr>
            <w:r w:rsidRPr="00FE6554">
              <w:rPr>
                <w:color w:val="000000"/>
                <w:lang w:eastAsia="en-CA"/>
              </w:rPr>
              <w:t>93.40</w:t>
            </w:r>
          </w:p>
        </w:tc>
        <w:tc>
          <w:tcPr>
            <w:tcW w:w="940" w:type="dxa"/>
            <w:tcBorders>
              <w:top w:val="nil"/>
              <w:left w:val="nil"/>
              <w:bottom w:val="single" w:sz="8" w:space="0" w:color="auto"/>
              <w:right w:val="single" w:sz="4" w:space="0" w:color="auto"/>
            </w:tcBorders>
            <w:shd w:val="clear" w:color="auto" w:fill="auto"/>
            <w:noWrap/>
            <w:vAlign w:val="center"/>
            <w:hideMark/>
          </w:tcPr>
          <w:p w14:paraId="2F91720A" w14:textId="77777777" w:rsidR="00FE6554" w:rsidRPr="00FE6554" w:rsidRDefault="00FE6554" w:rsidP="00FE6554">
            <w:pPr>
              <w:jc w:val="center"/>
              <w:rPr>
                <w:color w:val="000000"/>
                <w:lang w:eastAsia="en-CA"/>
              </w:rPr>
            </w:pPr>
            <w:r w:rsidRPr="00FE6554">
              <w:rPr>
                <w:color w:val="000000"/>
                <w:lang w:eastAsia="en-CA"/>
              </w:rPr>
              <w:t>95.50</w:t>
            </w:r>
          </w:p>
        </w:tc>
        <w:tc>
          <w:tcPr>
            <w:tcW w:w="1160" w:type="dxa"/>
            <w:tcBorders>
              <w:top w:val="nil"/>
              <w:left w:val="nil"/>
              <w:bottom w:val="single" w:sz="8" w:space="0" w:color="auto"/>
              <w:right w:val="single" w:sz="4" w:space="0" w:color="auto"/>
            </w:tcBorders>
            <w:shd w:val="clear" w:color="auto" w:fill="auto"/>
            <w:noWrap/>
            <w:vAlign w:val="center"/>
            <w:hideMark/>
          </w:tcPr>
          <w:p w14:paraId="79D0B695" w14:textId="77777777" w:rsidR="00FE6554" w:rsidRPr="00FE6554" w:rsidRDefault="00FE6554" w:rsidP="00FE6554">
            <w:pPr>
              <w:jc w:val="center"/>
              <w:rPr>
                <w:color w:val="000000"/>
                <w:lang w:eastAsia="en-CA"/>
              </w:rPr>
            </w:pPr>
            <w:r w:rsidRPr="00FE6554">
              <w:rPr>
                <w:color w:val="000000"/>
                <w:lang w:eastAsia="en-CA"/>
              </w:rPr>
              <w:t>2.10</w:t>
            </w:r>
          </w:p>
        </w:tc>
        <w:tc>
          <w:tcPr>
            <w:tcW w:w="11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6F960DF" w14:textId="77777777" w:rsidR="00FE6554" w:rsidRPr="00FE6554" w:rsidRDefault="00FE6554" w:rsidP="00FE6554">
            <w:pPr>
              <w:jc w:val="center"/>
              <w:rPr>
                <w:color w:val="000000"/>
                <w:lang w:eastAsia="en-CA"/>
              </w:rPr>
            </w:pPr>
            <w:r w:rsidRPr="00FE6554">
              <w:rPr>
                <w:color w:val="000000"/>
                <w:lang w:eastAsia="en-CA"/>
              </w:rPr>
              <w:t>90</w:t>
            </w:r>
          </w:p>
        </w:tc>
        <w:tc>
          <w:tcPr>
            <w:tcW w:w="10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80636D6" w14:textId="77777777" w:rsidR="00FE6554" w:rsidRPr="00FE6554" w:rsidRDefault="00FE6554" w:rsidP="00FE6554">
            <w:pPr>
              <w:jc w:val="center"/>
              <w:rPr>
                <w:color w:val="000000"/>
                <w:lang w:eastAsia="en-CA"/>
              </w:rPr>
            </w:pPr>
            <w:r w:rsidRPr="00FE6554">
              <w:rPr>
                <w:color w:val="000000"/>
                <w:lang w:eastAsia="en-CA"/>
              </w:rPr>
              <w:t>300</w:t>
            </w:r>
          </w:p>
        </w:tc>
        <w:tc>
          <w:tcPr>
            <w:tcW w:w="1100" w:type="dxa"/>
            <w:tcBorders>
              <w:top w:val="nil"/>
              <w:left w:val="nil"/>
              <w:bottom w:val="single" w:sz="8" w:space="0" w:color="auto"/>
              <w:right w:val="single" w:sz="4" w:space="0" w:color="auto"/>
            </w:tcBorders>
            <w:shd w:val="clear" w:color="auto" w:fill="auto"/>
            <w:noWrap/>
            <w:vAlign w:val="center"/>
            <w:hideMark/>
          </w:tcPr>
          <w:p w14:paraId="617271D4"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single" w:sz="8" w:space="0" w:color="auto"/>
              <w:right w:val="single" w:sz="8" w:space="0" w:color="auto"/>
            </w:tcBorders>
            <w:shd w:val="clear" w:color="auto" w:fill="auto"/>
            <w:noWrap/>
            <w:vAlign w:val="center"/>
            <w:hideMark/>
          </w:tcPr>
          <w:p w14:paraId="7E85B3CB"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0DD466A3" w14:textId="77777777" w:rsidTr="00FE6554">
        <w:trPr>
          <w:trHeight w:val="300"/>
          <w:jc w:val="center"/>
        </w:trPr>
        <w:tc>
          <w:tcPr>
            <w:tcW w:w="1440" w:type="dxa"/>
            <w:vMerge/>
            <w:tcBorders>
              <w:top w:val="nil"/>
              <w:left w:val="single" w:sz="8" w:space="0" w:color="auto"/>
              <w:bottom w:val="single" w:sz="8" w:space="0" w:color="000000"/>
              <w:right w:val="single" w:sz="8" w:space="0" w:color="auto"/>
            </w:tcBorders>
            <w:vAlign w:val="center"/>
            <w:hideMark/>
          </w:tcPr>
          <w:p w14:paraId="0536033D" w14:textId="77777777" w:rsidR="00FE6554" w:rsidRPr="00FE6554" w:rsidRDefault="00FE6554" w:rsidP="00FE6554">
            <w:pPr>
              <w:rPr>
                <w:b/>
                <w:bCs/>
                <w:color w:val="000000"/>
                <w:lang w:eastAsia="en-CA"/>
              </w:rPr>
            </w:pPr>
          </w:p>
        </w:tc>
        <w:tc>
          <w:tcPr>
            <w:tcW w:w="1140" w:type="dxa"/>
            <w:tcBorders>
              <w:top w:val="nil"/>
              <w:left w:val="nil"/>
              <w:bottom w:val="single" w:sz="8" w:space="0" w:color="auto"/>
              <w:right w:val="single" w:sz="4" w:space="0" w:color="auto"/>
            </w:tcBorders>
            <w:shd w:val="clear" w:color="auto" w:fill="auto"/>
            <w:noWrap/>
            <w:vAlign w:val="bottom"/>
            <w:hideMark/>
          </w:tcPr>
          <w:p w14:paraId="0426E460" w14:textId="77777777" w:rsidR="00FE6554" w:rsidRPr="00FE6554" w:rsidRDefault="00FE6554" w:rsidP="00FE6554">
            <w:pPr>
              <w:rPr>
                <w:b/>
                <w:bCs/>
                <w:color w:val="000000"/>
                <w:lang w:eastAsia="en-CA"/>
              </w:rPr>
            </w:pPr>
            <w:r w:rsidRPr="00FE6554">
              <w:rPr>
                <w:b/>
                <w:bCs/>
                <w:color w:val="000000"/>
                <w:lang w:eastAsia="en-CA"/>
              </w:rPr>
              <w:t>18HC04</w:t>
            </w:r>
          </w:p>
        </w:tc>
        <w:tc>
          <w:tcPr>
            <w:tcW w:w="1160" w:type="dxa"/>
            <w:tcBorders>
              <w:top w:val="nil"/>
              <w:left w:val="nil"/>
              <w:bottom w:val="single" w:sz="8" w:space="0" w:color="auto"/>
              <w:right w:val="single" w:sz="4" w:space="0" w:color="auto"/>
            </w:tcBorders>
            <w:shd w:val="clear" w:color="auto" w:fill="auto"/>
            <w:noWrap/>
            <w:vAlign w:val="center"/>
            <w:hideMark/>
          </w:tcPr>
          <w:p w14:paraId="6313E69A" w14:textId="77777777" w:rsidR="00FE6554" w:rsidRPr="00FE6554" w:rsidRDefault="00FE6554" w:rsidP="00FE6554">
            <w:pPr>
              <w:jc w:val="center"/>
              <w:rPr>
                <w:color w:val="000000"/>
                <w:lang w:eastAsia="en-CA"/>
              </w:rPr>
            </w:pPr>
            <w:r w:rsidRPr="00FE6554">
              <w:rPr>
                <w:color w:val="000000"/>
                <w:lang w:eastAsia="en-CA"/>
              </w:rPr>
              <w:t>92.00</w:t>
            </w:r>
          </w:p>
        </w:tc>
        <w:tc>
          <w:tcPr>
            <w:tcW w:w="940" w:type="dxa"/>
            <w:tcBorders>
              <w:top w:val="nil"/>
              <w:left w:val="nil"/>
              <w:bottom w:val="single" w:sz="8" w:space="0" w:color="auto"/>
              <w:right w:val="single" w:sz="4" w:space="0" w:color="auto"/>
            </w:tcBorders>
            <w:shd w:val="clear" w:color="auto" w:fill="auto"/>
            <w:noWrap/>
            <w:vAlign w:val="center"/>
            <w:hideMark/>
          </w:tcPr>
          <w:p w14:paraId="0D8296D6" w14:textId="77777777" w:rsidR="00FE6554" w:rsidRPr="00FE6554" w:rsidRDefault="00FE6554" w:rsidP="00FE6554">
            <w:pPr>
              <w:jc w:val="center"/>
              <w:rPr>
                <w:color w:val="000000"/>
                <w:lang w:eastAsia="en-CA"/>
              </w:rPr>
            </w:pPr>
            <w:r w:rsidRPr="00FE6554">
              <w:rPr>
                <w:color w:val="000000"/>
                <w:lang w:eastAsia="en-CA"/>
              </w:rPr>
              <w:t>93.00</w:t>
            </w:r>
          </w:p>
        </w:tc>
        <w:tc>
          <w:tcPr>
            <w:tcW w:w="1160" w:type="dxa"/>
            <w:tcBorders>
              <w:top w:val="nil"/>
              <w:left w:val="nil"/>
              <w:bottom w:val="single" w:sz="8" w:space="0" w:color="auto"/>
              <w:right w:val="single" w:sz="4" w:space="0" w:color="auto"/>
            </w:tcBorders>
            <w:shd w:val="clear" w:color="auto" w:fill="auto"/>
            <w:noWrap/>
            <w:vAlign w:val="center"/>
            <w:hideMark/>
          </w:tcPr>
          <w:p w14:paraId="65E15101" w14:textId="77777777" w:rsidR="00FE6554" w:rsidRPr="00FE6554" w:rsidRDefault="00FE6554" w:rsidP="00FE6554">
            <w:pPr>
              <w:jc w:val="center"/>
              <w:rPr>
                <w:color w:val="000000"/>
                <w:lang w:eastAsia="en-CA"/>
              </w:rPr>
            </w:pPr>
            <w:r w:rsidRPr="00FE6554">
              <w:rPr>
                <w:color w:val="000000"/>
                <w:lang w:eastAsia="en-CA"/>
              </w:rPr>
              <w:t>1.00</w:t>
            </w:r>
          </w:p>
        </w:tc>
        <w:tc>
          <w:tcPr>
            <w:tcW w:w="11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FED7539" w14:textId="77777777" w:rsidR="00FE6554" w:rsidRPr="00FE6554" w:rsidRDefault="00FE6554" w:rsidP="00FE6554">
            <w:pPr>
              <w:jc w:val="center"/>
              <w:rPr>
                <w:color w:val="000000"/>
                <w:lang w:eastAsia="en-CA"/>
              </w:rPr>
            </w:pPr>
            <w:r w:rsidRPr="00FE6554">
              <w:rPr>
                <w:color w:val="000000"/>
                <w:lang w:eastAsia="en-CA"/>
              </w:rPr>
              <w:t>80</w:t>
            </w:r>
          </w:p>
        </w:tc>
        <w:tc>
          <w:tcPr>
            <w:tcW w:w="10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3B6C7BA" w14:textId="77777777" w:rsidR="00FE6554" w:rsidRPr="00FE6554" w:rsidRDefault="00FE6554" w:rsidP="00FE6554">
            <w:pPr>
              <w:jc w:val="center"/>
              <w:rPr>
                <w:color w:val="000000"/>
                <w:lang w:eastAsia="en-CA"/>
              </w:rPr>
            </w:pPr>
            <w:r w:rsidRPr="00FE6554">
              <w:rPr>
                <w:color w:val="000000"/>
                <w:lang w:eastAsia="en-CA"/>
              </w:rPr>
              <w:t>410</w:t>
            </w:r>
          </w:p>
        </w:tc>
        <w:tc>
          <w:tcPr>
            <w:tcW w:w="1100" w:type="dxa"/>
            <w:tcBorders>
              <w:top w:val="nil"/>
              <w:left w:val="nil"/>
              <w:bottom w:val="single" w:sz="8" w:space="0" w:color="auto"/>
              <w:right w:val="single" w:sz="4" w:space="0" w:color="auto"/>
            </w:tcBorders>
            <w:shd w:val="clear" w:color="auto" w:fill="auto"/>
            <w:noWrap/>
            <w:vAlign w:val="center"/>
            <w:hideMark/>
          </w:tcPr>
          <w:p w14:paraId="3618F101"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single" w:sz="8" w:space="0" w:color="auto"/>
              <w:right w:val="single" w:sz="8" w:space="0" w:color="auto"/>
            </w:tcBorders>
            <w:shd w:val="clear" w:color="auto" w:fill="auto"/>
            <w:noWrap/>
            <w:vAlign w:val="center"/>
            <w:hideMark/>
          </w:tcPr>
          <w:p w14:paraId="75E2834F"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7C8199F0" w14:textId="77777777" w:rsidTr="00FE6554">
        <w:trPr>
          <w:trHeight w:val="263"/>
          <w:jc w:val="center"/>
        </w:trPr>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723549" w14:textId="77777777" w:rsidR="00FE6554" w:rsidRPr="00FE6554" w:rsidRDefault="00FE6554" w:rsidP="00FE6554">
            <w:pPr>
              <w:jc w:val="center"/>
              <w:rPr>
                <w:b/>
                <w:bCs/>
                <w:color w:val="000000"/>
                <w:lang w:eastAsia="en-CA"/>
              </w:rPr>
            </w:pPr>
            <w:r w:rsidRPr="00FE6554">
              <w:rPr>
                <w:b/>
                <w:bCs/>
                <w:color w:val="000000"/>
                <w:lang w:eastAsia="en-CA"/>
              </w:rPr>
              <w:t>Gilles East 1</w:t>
            </w:r>
          </w:p>
        </w:tc>
        <w:tc>
          <w:tcPr>
            <w:tcW w:w="1140" w:type="dxa"/>
            <w:tcBorders>
              <w:top w:val="nil"/>
              <w:left w:val="nil"/>
              <w:bottom w:val="single" w:sz="4" w:space="0" w:color="auto"/>
              <w:right w:val="single" w:sz="4" w:space="0" w:color="auto"/>
            </w:tcBorders>
            <w:shd w:val="clear" w:color="auto" w:fill="auto"/>
            <w:noWrap/>
            <w:vAlign w:val="center"/>
            <w:hideMark/>
          </w:tcPr>
          <w:p w14:paraId="40730298" w14:textId="77777777" w:rsidR="00FE6554" w:rsidRPr="00FE6554" w:rsidRDefault="00FE6554" w:rsidP="00FE6554">
            <w:pPr>
              <w:rPr>
                <w:b/>
                <w:bCs/>
                <w:color w:val="000000"/>
                <w:lang w:eastAsia="en-CA"/>
              </w:rPr>
            </w:pPr>
            <w:r w:rsidRPr="00FE6554">
              <w:rPr>
                <w:b/>
                <w:bCs/>
                <w:color w:val="000000"/>
                <w:lang w:eastAsia="en-CA"/>
              </w:rPr>
              <w:t>18HC06</w:t>
            </w:r>
          </w:p>
        </w:tc>
        <w:tc>
          <w:tcPr>
            <w:tcW w:w="1160" w:type="dxa"/>
            <w:tcBorders>
              <w:top w:val="nil"/>
              <w:left w:val="nil"/>
              <w:bottom w:val="single" w:sz="4" w:space="0" w:color="auto"/>
              <w:right w:val="single" w:sz="4" w:space="0" w:color="auto"/>
            </w:tcBorders>
            <w:shd w:val="clear" w:color="auto" w:fill="auto"/>
            <w:noWrap/>
            <w:vAlign w:val="center"/>
            <w:hideMark/>
          </w:tcPr>
          <w:p w14:paraId="1737493A" w14:textId="77777777" w:rsidR="00FE6554" w:rsidRPr="00FE6554" w:rsidRDefault="00FE6554" w:rsidP="00FE6554">
            <w:pPr>
              <w:jc w:val="center"/>
              <w:rPr>
                <w:color w:val="000000"/>
                <w:lang w:eastAsia="en-CA"/>
              </w:rPr>
            </w:pPr>
            <w:r w:rsidRPr="00FE6554">
              <w:rPr>
                <w:color w:val="000000"/>
                <w:lang w:eastAsia="en-CA"/>
              </w:rPr>
              <w:t>10.50</w:t>
            </w:r>
          </w:p>
        </w:tc>
        <w:tc>
          <w:tcPr>
            <w:tcW w:w="940" w:type="dxa"/>
            <w:tcBorders>
              <w:top w:val="nil"/>
              <w:left w:val="nil"/>
              <w:bottom w:val="single" w:sz="4" w:space="0" w:color="auto"/>
              <w:right w:val="single" w:sz="4" w:space="0" w:color="auto"/>
            </w:tcBorders>
            <w:shd w:val="clear" w:color="auto" w:fill="auto"/>
            <w:noWrap/>
            <w:vAlign w:val="center"/>
            <w:hideMark/>
          </w:tcPr>
          <w:p w14:paraId="3F00FEE7" w14:textId="77777777" w:rsidR="00FE6554" w:rsidRPr="00FE6554" w:rsidRDefault="00FE6554" w:rsidP="00FE6554">
            <w:pPr>
              <w:jc w:val="center"/>
              <w:rPr>
                <w:color w:val="000000"/>
                <w:lang w:eastAsia="en-CA"/>
              </w:rPr>
            </w:pPr>
            <w:r w:rsidRPr="00FE6554">
              <w:rPr>
                <w:color w:val="000000"/>
                <w:lang w:eastAsia="en-CA"/>
              </w:rPr>
              <w:t>15.50</w:t>
            </w:r>
          </w:p>
        </w:tc>
        <w:tc>
          <w:tcPr>
            <w:tcW w:w="1160" w:type="dxa"/>
            <w:tcBorders>
              <w:top w:val="nil"/>
              <w:left w:val="nil"/>
              <w:bottom w:val="single" w:sz="4" w:space="0" w:color="auto"/>
              <w:right w:val="single" w:sz="4" w:space="0" w:color="auto"/>
            </w:tcBorders>
            <w:shd w:val="clear" w:color="auto" w:fill="auto"/>
            <w:noWrap/>
            <w:vAlign w:val="center"/>
            <w:hideMark/>
          </w:tcPr>
          <w:p w14:paraId="243FACAD" w14:textId="77777777" w:rsidR="00FE6554" w:rsidRPr="00FE6554" w:rsidRDefault="00FE6554" w:rsidP="00FE6554">
            <w:pPr>
              <w:jc w:val="center"/>
              <w:rPr>
                <w:color w:val="000000"/>
                <w:lang w:eastAsia="en-CA"/>
              </w:rPr>
            </w:pPr>
            <w:r w:rsidRPr="00FE6554">
              <w:rPr>
                <w:color w:val="000000"/>
                <w:lang w:eastAsia="en-CA"/>
              </w:rPr>
              <w:t>5.00</w:t>
            </w:r>
          </w:p>
        </w:tc>
        <w:tc>
          <w:tcPr>
            <w:tcW w:w="1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9D02AA3" w14:textId="77777777" w:rsidR="00FE6554" w:rsidRPr="00FE6554" w:rsidRDefault="00FE6554" w:rsidP="00FE6554">
            <w:pPr>
              <w:jc w:val="center"/>
              <w:rPr>
                <w:color w:val="000000"/>
                <w:lang w:eastAsia="en-CA"/>
              </w:rPr>
            </w:pPr>
            <w:r w:rsidRPr="00FE6554">
              <w:rPr>
                <w:color w:val="000000"/>
                <w:lang w:eastAsia="en-CA"/>
              </w:rPr>
              <w:t>42</w:t>
            </w:r>
          </w:p>
        </w:tc>
        <w:tc>
          <w:tcPr>
            <w:tcW w:w="10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2007521" w14:textId="77777777" w:rsidR="00FE6554" w:rsidRPr="00FE6554" w:rsidRDefault="00FE6554" w:rsidP="00FE6554">
            <w:pPr>
              <w:jc w:val="center"/>
              <w:rPr>
                <w:color w:val="000000"/>
                <w:lang w:eastAsia="en-CA"/>
              </w:rPr>
            </w:pPr>
            <w:r w:rsidRPr="00FE6554">
              <w:rPr>
                <w:color w:val="000000"/>
                <w:lang w:eastAsia="en-CA"/>
              </w:rPr>
              <w:t>162</w:t>
            </w:r>
          </w:p>
        </w:tc>
        <w:tc>
          <w:tcPr>
            <w:tcW w:w="1100" w:type="dxa"/>
            <w:tcBorders>
              <w:top w:val="nil"/>
              <w:left w:val="nil"/>
              <w:bottom w:val="single" w:sz="4" w:space="0" w:color="auto"/>
              <w:right w:val="single" w:sz="4" w:space="0" w:color="auto"/>
            </w:tcBorders>
            <w:shd w:val="clear" w:color="auto" w:fill="auto"/>
            <w:noWrap/>
            <w:vAlign w:val="center"/>
            <w:hideMark/>
          </w:tcPr>
          <w:p w14:paraId="669A1228"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single" w:sz="4" w:space="0" w:color="auto"/>
              <w:right w:val="single" w:sz="8" w:space="0" w:color="auto"/>
            </w:tcBorders>
            <w:shd w:val="clear" w:color="auto" w:fill="auto"/>
            <w:noWrap/>
            <w:vAlign w:val="center"/>
            <w:hideMark/>
          </w:tcPr>
          <w:p w14:paraId="3FB777F4"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1A54B08C" w14:textId="77777777" w:rsidTr="00FE6554">
        <w:trPr>
          <w:trHeight w:val="253"/>
          <w:jc w:val="center"/>
        </w:trPr>
        <w:tc>
          <w:tcPr>
            <w:tcW w:w="1440" w:type="dxa"/>
            <w:vMerge/>
            <w:tcBorders>
              <w:top w:val="nil"/>
              <w:left w:val="single" w:sz="8" w:space="0" w:color="auto"/>
              <w:bottom w:val="single" w:sz="8" w:space="0" w:color="000000"/>
              <w:right w:val="single" w:sz="8" w:space="0" w:color="auto"/>
            </w:tcBorders>
            <w:vAlign w:val="center"/>
            <w:hideMark/>
          </w:tcPr>
          <w:p w14:paraId="12FB8546" w14:textId="77777777" w:rsidR="00FE6554" w:rsidRPr="00FE6554" w:rsidRDefault="00FE6554" w:rsidP="00FE6554">
            <w:pPr>
              <w:rPr>
                <w:b/>
                <w:bCs/>
                <w:color w:val="000000"/>
                <w:lang w:eastAsia="en-CA"/>
              </w:rPr>
            </w:pPr>
          </w:p>
        </w:tc>
        <w:tc>
          <w:tcPr>
            <w:tcW w:w="1140" w:type="dxa"/>
            <w:tcBorders>
              <w:top w:val="nil"/>
              <w:left w:val="nil"/>
              <w:bottom w:val="single" w:sz="8" w:space="0" w:color="auto"/>
              <w:right w:val="single" w:sz="4" w:space="0" w:color="auto"/>
            </w:tcBorders>
            <w:shd w:val="clear" w:color="auto" w:fill="auto"/>
            <w:noWrap/>
            <w:vAlign w:val="center"/>
            <w:hideMark/>
          </w:tcPr>
          <w:p w14:paraId="56349649" w14:textId="77777777" w:rsidR="00FE6554" w:rsidRPr="00FE6554" w:rsidRDefault="00FE6554" w:rsidP="00FE6554">
            <w:pPr>
              <w:jc w:val="right"/>
              <w:rPr>
                <w:i/>
                <w:iCs/>
                <w:color w:val="000000"/>
                <w:lang w:eastAsia="en-CA"/>
              </w:rPr>
            </w:pPr>
            <w:r w:rsidRPr="00FE6554">
              <w:rPr>
                <w:i/>
                <w:iCs/>
                <w:color w:val="000000"/>
                <w:lang w:eastAsia="en-CA"/>
              </w:rPr>
              <w:t>and</w:t>
            </w:r>
          </w:p>
        </w:tc>
        <w:tc>
          <w:tcPr>
            <w:tcW w:w="1160" w:type="dxa"/>
            <w:tcBorders>
              <w:top w:val="nil"/>
              <w:left w:val="nil"/>
              <w:bottom w:val="single" w:sz="8" w:space="0" w:color="auto"/>
              <w:right w:val="single" w:sz="4" w:space="0" w:color="auto"/>
            </w:tcBorders>
            <w:shd w:val="clear" w:color="auto" w:fill="auto"/>
            <w:noWrap/>
            <w:vAlign w:val="center"/>
            <w:hideMark/>
          </w:tcPr>
          <w:p w14:paraId="3A764FC7" w14:textId="77777777" w:rsidR="00FE6554" w:rsidRPr="00FE6554" w:rsidRDefault="00FE6554" w:rsidP="00FE6554">
            <w:pPr>
              <w:jc w:val="center"/>
              <w:rPr>
                <w:color w:val="000000"/>
                <w:lang w:eastAsia="en-CA"/>
              </w:rPr>
            </w:pPr>
            <w:r w:rsidRPr="00FE6554">
              <w:rPr>
                <w:color w:val="000000"/>
                <w:lang w:eastAsia="en-CA"/>
              </w:rPr>
              <w:t>50.00</w:t>
            </w:r>
          </w:p>
        </w:tc>
        <w:tc>
          <w:tcPr>
            <w:tcW w:w="940" w:type="dxa"/>
            <w:tcBorders>
              <w:top w:val="nil"/>
              <w:left w:val="nil"/>
              <w:bottom w:val="single" w:sz="8" w:space="0" w:color="auto"/>
              <w:right w:val="single" w:sz="4" w:space="0" w:color="auto"/>
            </w:tcBorders>
            <w:shd w:val="clear" w:color="auto" w:fill="auto"/>
            <w:noWrap/>
            <w:vAlign w:val="center"/>
            <w:hideMark/>
          </w:tcPr>
          <w:p w14:paraId="67DF564A" w14:textId="77777777" w:rsidR="00FE6554" w:rsidRPr="00FE6554" w:rsidRDefault="00FE6554" w:rsidP="00FE6554">
            <w:pPr>
              <w:jc w:val="center"/>
              <w:rPr>
                <w:color w:val="000000"/>
                <w:lang w:eastAsia="en-CA"/>
              </w:rPr>
            </w:pPr>
            <w:r w:rsidRPr="00FE6554">
              <w:rPr>
                <w:color w:val="000000"/>
                <w:lang w:eastAsia="en-CA"/>
              </w:rPr>
              <w:t>51.00</w:t>
            </w:r>
          </w:p>
        </w:tc>
        <w:tc>
          <w:tcPr>
            <w:tcW w:w="1160" w:type="dxa"/>
            <w:tcBorders>
              <w:top w:val="nil"/>
              <w:left w:val="nil"/>
              <w:bottom w:val="single" w:sz="8" w:space="0" w:color="auto"/>
              <w:right w:val="single" w:sz="4" w:space="0" w:color="auto"/>
            </w:tcBorders>
            <w:shd w:val="clear" w:color="auto" w:fill="auto"/>
            <w:noWrap/>
            <w:vAlign w:val="center"/>
            <w:hideMark/>
          </w:tcPr>
          <w:p w14:paraId="7DFE3C48" w14:textId="77777777" w:rsidR="00FE6554" w:rsidRPr="00FE6554" w:rsidRDefault="00FE6554" w:rsidP="00FE6554">
            <w:pPr>
              <w:jc w:val="center"/>
              <w:rPr>
                <w:color w:val="000000"/>
                <w:lang w:eastAsia="en-CA"/>
              </w:rPr>
            </w:pPr>
            <w:r w:rsidRPr="00FE6554">
              <w:rPr>
                <w:color w:val="000000"/>
                <w:lang w:eastAsia="en-CA"/>
              </w:rPr>
              <w:t>1.00</w:t>
            </w:r>
          </w:p>
        </w:tc>
        <w:tc>
          <w:tcPr>
            <w:tcW w:w="11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D5B8979" w14:textId="77777777" w:rsidR="00FE6554" w:rsidRPr="00FE6554" w:rsidRDefault="00FE6554" w:rsidP="00FE6554">
            <w:pPr>
              <w:jc w:val="center"/>
              <w:rPr>
                <w:color w:val="000000"/>
                <w:lang w:eastAsia="en-CA"/>
              </w:rPr>
            </w:pPr>
            <w:r w:rsidRPr="00FE6554">
              <w:rPr>
                <w:color w:val="000000"/>
                <w:lang w:eastAsia="en-CA"/>
              </w:rPr>
              <w:t>50</w:t>
            </w:r>
          </w:p>
        </w:tc>
        <w:tc>
          <w:tcPr>
            <w:tcW w:w="10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BB5AF69" w14:textId="77777777" w:rsidR="00FE6554" w:rsidRPr="00FE6554" w:rsidRDefault="00FE6554" w:rsidP="00FE6554">
            <w:pPr>
              <w:jc w:val="center"/>
              <w:rPr>
                <w:color w:val="000000"/>
                <w:lang w:eastAsia="en-CA"/>
              </w:rPr>
            </w:pPr>
            <w:r w:rsidRPr="00FE6554">
              <w:rPr>
                <w:color w:val="000000"/>
                <w:lang w:eastAsia="en-CA"/>
              </w:rPr>
              <w:t>650</w:t>
            </w:r>
          </w:p>
        </w:tc>
        <w:tc>
          <w:tcPr>
            <w:tcW w:w="1100" w:type="dxa"/>
            <w:tcBorders>
              <w:top w:val="nil"/>
              <w:left w:val="nil"/>
              <w:bottom w:val="single" w:sz="8" w:space="0" w:color="auto"/>
              <w:right w:val="single" w:sz="4" w:space="0" w:color="auto"/>
            </w:tcBorders>
            <w:shd w:val="clear" w:color="auto" w:fill="auto"/>
            <w:noWrap/>
            <w:vAlign w:val="center"/>
            <w:hideMark/>
          </w:tcPr>
          <w:p w14:paraId="641741C8"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single" w:sz="8" w:space="0" w:color="auto"/>
              <w:right w:val="single" w:sz="8" w:space="0" w:color="auto"/>
            </w:tcBorders>
            <w:shd w:val="clear" w:color="auto" w:fill="auto"/>
            <w:noWrap/>
            <w:vAlign w:val="center"/>
            <w:hideMark/>
          </w:tcPr>
          <w:p w14:paraId="6B439269"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2E2824DD" w14:textId="77777777" w:rsidTr="00FE6554">
        <w:trPr>
          <w:trHeight w:val="288"/>
          <w:jc w:val="center"/>
        </w:trPr>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059BA3" w14:textId="77777777" w:rsidR="00FE6554" w:rsidRPr="00FE6554" w:rsidRDefault="00FE6554" w:rsidP="00FE6554">
            <w:pPr>
              <w:jc w:val="center"/>
              <w:rPr>
                <w:b/>
                <w:bCs/>
                <w:color w:val="000000"/>
                <w:lang w:eastAsia="en-CA"/>
              </w:rPr>
            </w:pPr>
            <w:r w:rsidRPr="00FE6554">
              <w:rPr>
                <w:b/>
                <w:bCs/>
                <w:color w:val="000000"/>
                <w:lang w:eastAsia="en-CA"/>
              </w:rPr>
              <w:t>Gillies East 2</w:t>
            </w:r>
          </w:p>
        </w:tc>
        <w:tc>
          <w:tcPr>
            <w:tcW w:w="1140" w:type="dxa"/>
            <w:tcBorders>
              <w:top w:val="nil"/>
              <w:left w:val="nil"/>
              <w:bottom w:val="single" w:sz="4" w:space="0" w:color="auto"/>
              <w:right w:val="single" w:sz="4" w:space="0" w:color="auto"/>
            </w:tcBorders>
            <w:shd w:val="clear" w:color="auto" w:fill="auto"/>
            <w:noWrap/>
            <w:vAlign w:val="bottom"/>
            <w:hideMark/>
          </w:tcPr>
          <w:p w14:paraId="78309F91" w14:textId="77777777" w:rsidR="00FE6554" w:rsidRPr="00FE6554" w:rsidRDefault="00FE6554" w:rsidP="00FE6554">
            <w:pPr>
              <w:rPr>
                <w:b/>
                <w:bCs/>
                <w:color w:val="000000"/>
                <w:lang w:eastAsia="en-CA"/>
              </w:rPr>
            </w:pPr>
            <w:r w:rsidRPr="00FE6554">
              <w:rPr>
                <w:b/>
                <w:bCs/>
                <w:color w:val="000000"/>
                <w:lang w:eastAsia="en-CA"/>
              </w:rPr>
              <w:t>18HC08</w:t>
            </w:r>
          </w:p>
        </w:tc>
        <w:tc>
          <w:tcPr>
            <w:tcW w:w="1160" w:type="dxa"/>
            <w:tcBorders>
              <w:top w:val="nil"/>
              <w:left w:val="nil"/>
              <w:bottom w:val="single" w:sz="4" w:space="0" w:color="auto"/>
              <w:right w:val="single" w:sz="4" w:space="0" w:color="auto"/>
            </w:tcBorders>
            <w:shd w:val="clear" w:color="auto" w:fill="auto"/>
            <w:noWrap/>
            <w:vAlign w:val="center"/>
            <w:hideMark/>
          </w:tcPr>
          <w:p w14:paraId="7C667854" w14:textId="77777777" w:rsidR="00FE6554" w:rsidRPr="00FE6554" w:rsidRDefault="00FE6554" w:rsidP="00FE6554">
            <w:pPr>
              <w:jc w:val="center"/>
              <w:rPr>
                <w:color w:val="000000"/>
                <w:lang w:eastAsia="en-CA"/>
              </w:rPr>
            </w:pPr>
            <w:r w:rsidRPr="00FE6554">
              <w:rPr>
                <w:color w:val="000000"/>
                <w:lang w:eastAsia="en-CA"/>
              </w:rPr>
              <w:t>8.00</w:t>
            </w:r>
          </w:p>
        </w:tc>
        <w:tc>
          <w:tcPr>
            <w:tcW w:w="940" w:type="dxa"/>
            <w:tcBorders>
              <w:top w:val="nil"/>
              <w:left w:val="nil"/>
              <w:bottom w:val="single" w:sz="4" w:space="0" w:color="auto"/>
              <w:right w:val="single" w:sz="4" w:space="0" w:color="auto"/>
            </w:tcBorders>
            <w:shd w:val="clear" w:color="auto" w:fill="auto"/>
            <w:noWrap/>
            <w:vAlign w:val="center"/>
            <w:hideMark/>
          </w:tcPr>
          <w:p w14:paraId="02233C0F" w14:textId="77777777" w:rsidR="00FE6554" w:rsidRPr="00FE6554" w:rsidRDefault="00FE6554" w:rsidP="00FE6554">
            <w:pPr>
              <w:jc w:val="center"/>
              <w:rPr>
                <w:color w:val="000000"/>
                <w:lang w:eastAsia="en-CA"/>
              </w:rPr>
            </w:pPr>
            <w:r w:rsidRPr="00FE6554">
              <w:rPr>
                <w:color w:val="000000"/>
                <w:lang w:eastAsia="en-CA"/>
              </w:rPr>
              <w:t>9.00</w:t>
            </w:r>
          </w:p>
        </w:tc>
        <w:tc>
          <w:tcPr>
            <w:tcW w:w="1160" w:type="dxa"/>
            <w:tcBorders>
              <w:top w:val="nil"/>
              <w:left w:val="nil"/>
              <w:bottom w:val="single" w:sz="4" w:space="0" w:color="auto"/>
              <w:right w:val="single" w:sz="4" w:space="0" w:color="auto"/>
            </w:tcBorders>
            <w:shd w:val="clear" w:color="auto" w:fill="auto"/>
            <w:noWrap/>
            <w:vAlign w:val="center"/>
            <w:hideMark/>
          </w:tcPr>
          <w:p w14:paraId="1CC3C393" w14:textId="77777777" w:rsidR="00FE6554" w:rsidRPr="00FE6554" w:rsidRDefault="00FE6554" w:rsidP="00FE6554">
            <w:pPr>
              <w:jc w:val="center"/>
              <w:rPr>
                <w:color w:val="000000"/>
                <w:lang w:eastAsia="en-CA"/>
              </w:rPr>
            </w:pPr>
            <w:r w:rsidRPr="00FE6554">
              <w:rPr>
                <w:color w:val="000000"/>
                <w:lang w:eastAsia="en-CA"/>
              </w:rPr>
              <w:t>1.00</w:t>
            </w:r>
          </w:p>
        </w:tc>
        <w:tc>
          <w:tcPr>
            <w:tcW w:w="1100" w:type="dxa"/>
            <w:tcBorders>
              <w:top w:val="nil"/>
              <w:left w:val="nil"/>
              <w:bottom w:val="single" w:sz="4" w:space="0" w:color="auto"/>
              <w:right w:val="single" w:sz="4" w:space="0" w:color="auto"/>
            </w:tcBorders>
            <w:shd w:val="clear" w:color="auto" w:fill="auto"/>
            <w:noWrap/>
            <w:vAlign w:val="center"/>
            <w:hideMark/>
          </w:tcPr>
          <w:p w14:paraId="1D3293C2" w14:textId="77777777" w:rsidR="00FE6554" w:rsidRPr="00FE6554" w:rsidRDefault="00FE6554" w:rsidP="00FE6554">
            <w:pPr>
              <w:jc w:val="center"/>
              <w:rPr>
                <w:color w:val="000000"/>
                <w:lang w:eastAsia="en-CA"/>
              </w:rPr>
            </w:pPr>
            <w:r w:rsidRPr="00FE6554">
              <w:rPr>
                <w:color w:val="000000"/>
                <w:lang w:eastAsia="en-CA"/>
              </w:rPr>
              <w:t>-</w:t>
            </w:r>
          </w:p>
        </w:tc>
        <w:tc>
          <w:tcPr>
            <w:tcW w:w="1060" w:type="dxa"/>
            <w:tcBorders>
              <w:top w:val="nil"/>
              <w:left w:val="nil"/>
              <w:bottom w:val="single" w:sz="4" w:space="0" w:color="auto"/>
              <w:right w:val="single" w:sz="4" w:space="0" w:color="auto"/>
            </w:tcBorders>
            <w:shd w:val="clear" w:color="auto" w:fill="auto"/>
            <w:noWrap/>
            <w:vAlign w:val="center"/>
            <w:hideMark/>
          </w:tcPr>
          <w:p w14:paraId="385B2A2E" w14:textId="77777777" w:rsidR="00FE6554" w:rsidRPr="00FE6554" w:rsidRDefault="00FE6554" w:rsidP="00FE6554">
            <w:pPr>
              <w:jc w:val="center"/>
              <w:rPr>
                <w:color w:val="000000"/>
                <w:lang w:eastAsia="en-CA"/>
              </w:rPr>
            </w:pPr>
            <w:r w:rsidRPr="00FE6554">
              <w:rPr>
                <w:color w:val="000000"/>
                <w:lang w:eastAsia="en-CA"/>
              </w:rPr>
              <w:t>-</w:t>
            </w:r>
          </w:p>
        </w:tc>
        <w:tc>
          <w:tcPr>
            <w:tcW w:w="1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C6E031A" w14:textId="77777777" w:rsidR="00FE6554" w:rsidRPr="00FE6554" w:rsidRDefault="00FE6554" w:rsidP="00FE6554">
            <w:pPr>
              <w:jc w:val="center"/>
              <w:rPr>
                <w:color w:val="000000"/>
                <w:lang w:eastAsia="en-CA"/>
              </w:rPr>
            </w:pPr>
            <w:r w:rsidRPr="00FE6554">
              <w:rPr>
                <w:color w:val="000000"/>
                <w:lang w:eastAsia="en-CA"/>
              </w:rPr>
              <w:t>37</w:t>
            </w:r>
          </w:p>
        </w:tc>
        <w:tc>
          <w:tcPr>
            <w:tcW w:w="1213" w:type="dxa"/>
            <w:tcBorders>
              <w:top w:val="single" w:sz="8" w:space="0" w:color="auto"/>
              <w:left w:val="single" w:sz="4" w:space="0" w:color="auto"/>
              <w:bottom w:val="single" w:sz="4" w:space="0" w:color="auto"/>
              <w:right w:val="single" w:sz="8" w:space="0" w:color="auto"/>
            </w:tcBorders>
            <w:shd w:val="clear" w:color="000000" w:fill="auto"/>
            <w:noWrap/>
            <w:vAlign w:val="center"/>
            <w:hideMark/>
          </w:tcPr>
          <w:p w14:paraId="4379AE7F" w14:textId="77777777" w:rsidR="00FE6554" w:rsidRPr="00FE6554" w:rsidRDefault="00FE6554" w:rsidP="00FE6554">
            <w:pPr>
              <w:jc w:val="center"/>
              <w:rPr>
                <w:color w:val="000000"/>
                <w:lang w:eastAsia="en-CA"/>
              </w:rPr>
            </w:pPr>
            <w:r w:rsidRPr="00FE6554">
              <w:rPr>
                <w:color w:val="000000"/>
                <w:lang w:eastAsia="en-CA"/>
              </w:rPr>
              <w:t>1.3</w:t>
            </w:r>
          </w:p>
        </w:tc>
      </w:tr>
      <w:tr w:rsidR="00FE6554" w:rsidRPr="00FE6554" w14:paraId="26138BA3" w14:textId="77777777" w:rsidTr="00FE6554">
        <w:trPr>
          <w:trHeight w:val="327"/>
          <w:jc w:val="center"/>
        </w:trPr>
        <w:tc>
          <w:tcPr>
            <w:tcW w:w="1440" w:type="dxa"/>
            <w:vMerge/>
            <w:tcBorders>
              <w:top w:val="nil"/>
              <w:left w:val="single" w:sz="8" w:space="0" w:color="auto"/>
              <w:bottom w:val="single" w:sz="8" w:space="0" w:color="000000"/>
              <w:right w:val="single" w:sz="8" w:space="0" w:color="auto"/>
            </w:tcBorders>
            <w:vAlign w:val="center"/>
            <w:hideMark/>
          </w:tcPr>
          <w:p w14:paraId="551B0D3F" w14:textId="77777777" w:rsidR="00FE6554" w:rsidRPr="00FE6554" w:rsidRDefault="00FE6554" w:rsidP="00FE6554">
            <w:pPr>
              <w:rPr>
                <w:b/>
                <w:bCs/>
                <w:color w:val="000000"/>
                <w:lang w:eastAsia="en-CA"/>
              </w:rPr>
            </w:pPr>
          </w:p>
        </w:tc>
        <w:tc>
          <w:tcPr>
            <w:tcW w:w="1140" w:type="dxa"/>
            <w:tcBorders>
              <w:top w:val="nil"/>
              <w:left w:val="nil"/>
              <w:bottom w:val="single" w:sz="8" w:space="0" w:color="auto"/>
              <w:right w:val="single" w:sz="4" w:space="0" w:color="auto"/>
            </w:tcBorders>
            <w:shd w:val="clear" w:color="auto" w:fill="auto"/>
            <w:noWrap/>
            <w:vAlign w:val="center"/>
            <w:hideMark/>
          </w:tcPr>
          <w:p w14:paraId="09D8175C" w14:textId="77777777" w:rsidR="00FE6554" w:rsidRPr="00FE6554" w:rsidRDefault="00FE6554" w:rsidP="00FE6554">
            <w:pPr>
              <w:jc w:val="right"/>
              <w:rPr>
                <w:i/>
                <w:iCs/>
                <w:color w:val="000000"/>
                <w:lang w:eastAsia="en-CA"/>
              </w:rPr>
            </w:pPr>
            <w:r w:rsidRPr="00FE6554">
              <w:rPr>
                <w:i/>
                <w:iCs/>
                <w:color w:val="000000"/>
                <w:lang w:eastAsia="en-CA"/>
              </w:rPr>
              <w:t>and</w:t>
            </w:r>
          </w:p>
        </w:tc>
        <w:tc>
          <w:tcPr>
            <w:tcW w:w="1160" w:type="dxa"/>
            <w:tcBorders>
              <w:top w:val="nil"/>
              <w:left w:val="nil"/>
              <w:bottom w:val="single" w:sz="8" w:space="0" w:color="auto"/>
              <w:right w:val="single" w:sz="4" w:space="0" w:color="auto"/>
            </w:tcBorders>
            <w:shd w:val="clear" w:color="auto" w:fill="auto"/>
            <w:noWrap/>
            <w:vAlign w:val="center"/>
            <w:hideMark/>
          </w:tcPr>
          <w:p w14:paraId="4204E65C" w14:textId="77777777" w:rsidR="00FE6554" w:rsidRPr="00FE6554" w:rsidRDefault="00FE6554" w:rsidP="00FE6554">
            <w:pPr>
              <w:jc w:val="center"/>
              <w:rPr>
                <w:color w:val="000000"/>
                <w:lang w:eastAsia="en-CA"/>
              </w:rPr>
            </w:pPr>
            <w:r w:rsidRPr="00FE6554">
              <w:rPr>
                <w:color w:val="000000"/>
                <w:lang w:eastAsia="en-CA"/>
              </w:rPr>
              <w:t>18.00</w:t>
            </w:r>
          </w:p>
        </w:tc>
        <w:tc>
          <w:tcPr>
            <w:tcW w:w="940" w:type="dxa"/>
            <w:tcBorders>
              <w:top w:val="nil"/>
              <w:left w:val="nil"/>
              <w:bottom w:val="single" w:sz="8" w:space="0" w:color="auto"/>
              <w:right w:val="single" w:sz="4" w:space="0" w:color="auto"/>
            </w:tcBorders>
            <w:shd w:val="clear" w:color="auto" w:fill="auto"/>
            <w:noWrap/>
            <w:vAlign w:val="center"/>
            <w:hideMark/>
          </w:tcPr>
          <w:p w14:paraId="51062B44" w14:textId="77777777" w:rsidR="00FE6554" w:rsidRPr="00FE6554" w:rsidRDefault="00FE6554" w:rsidP="00FE6554">
            <w:pPr>
              <w:jc w:val="center"/>
              <w:rPr>
                <w:color w:val="000000"/>
                <w:lang w:eastAsia="en-CA"/>
              </w:rPr>
            </w:pPr>
            <w:r w:rsidRPr="00FE6554">
              <w:rPr>
                <w:color w:val="000000"/>
                <w:lang w:eastAsia="en-CA"/>
              </w:rPr>
              <w:t>21.00</w:t>
            </w:r>
          </w:p>
        </w:tc>
        <w:tc>
          <w:tcPr>
            <w:tcW w:w="1160" w:type="dxa"/>
            <w:tcBorders>
              <w:top w:val="nil"/>
              <w:left w:val="nil"/>
              <w:bottom w:val="single" w:sz="8" w:space="0" w:color="auto"/>
              <w:right w:val="single" w:sz="4" w:space="0" w:color="auto"/>
            </w:tcBorders>
            <w:shd w:val="clear" w:color="auto" w:fill="auto"/>
            <w:noWrap/>
            <w:vAlign w:val="center"/>
            <w:hideMark/>
          </w:tcPr>
          <w:p w14:paraId="74B6B35B" w14:textId="77777777" w:rsidR="00FE6554" w:rsidRPr="00FE6554" w:rsidRDefault="00FE6554" w:rsidP="00FE6554">
            <w:pPr>
              <w:jc w:val="center"/>
              <w:rPr>
                <w:color w:val="000000"/>
                <w:lang w:eastAsia="en-CA"/>
              </w:rPr>
            </w:pPr>
            <w:r w:rsidRPr="00FE6554">
              <w:rPr>
                <w:color w:val="000000"/>
                <w:lang w:eastAsia="en-CA"/>
              </w:rPr>
              <w:t>3.00</w:t>
            </w:r>
          </w:p>
        </w:tc>
        <w:tc>
          <w:tcPr>
            <w:tcW w:w="11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00B9A3B" w14:textId="77777777" w:rsidR="00FE6554" w:rsidRPr="00FE6554" w:rsidRDefault="00FE6554" w:rsidP="00FE6554">
            <w:pPr>
              <w:jc w:val="center"/>
              <w:rPr>
                <w:color w:val="000000"/>
                <w:lang w:eastAsia="en-CA"/>
              </w:rPr>
            </w:pPr>
            <w:r w:rsidRPr="00FE6554">
              <w:rPr>
                <w:color w:val="000000"/>
                <w:lang w:eastAsia="en-CA"/>
              </w:rPr>
              <w:t>97</w:t>
            </w:r>
          </w:p>
        </w:tc>
        <w:tc>
          <w:tcPr>
            <w:tcW w:w="10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2879C2" w14:textId="77777777" w:rsidR="00FE6554" w:rsidRPr="00FE6554" w:rsidRDefault="00FE6554" w:rsidP="00FE6554">
            <w:pPr>
              <w:jc w:val="center"/>
              <w:rPr>
                <w:color w:val="000000"/>
                <w:lang w:eastAsia="en-CA"/>
              </w:rPr>
            </w:pPr>
            <w:r w:rsidRPr="00FE6554">
              <w:rPr>
                <w:color w:val="000000"/>
                <w:lang w:eastAsia="en-CA"/>
              </w:rPr>
              <w:t>57</w:t>
            </w:r>
          </w:p>
        </w:tc>
        <w:tc>
          <w:tcPr>
            <w:tcW w:w="1100" w:type="dxa"/>
            <w:tcBorders>
              <w:top w:val="nil"/>
              <w:left w:val="nil"/>
              <w:bottom w:val="single" w:sz="8" w:space="0" w:color="auto"/>
              <w:right w:val="single" w:sz="4" w:space="0" w:color="auto"/>
            </w:tcBorders>
            <w:shd w:val="clear" w:color="auto" w:fill="auto"/>
            <w:noWrap/>
            <w:vAlign w:val="center"/>
            <w:hideMark/>
          </w:tcPr>
          <w:p w14:paraId="43D40DC0"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single" w:sz="8" w:space="0" w:color="auto"/>
              <w:right w:val="single" w:sz="8" w:space="0" w:color="auto"/>
            </w:tcBorders>
            <w:shd w:val="clear" w:color="auto" w:fill="auto"/>
            <w:noWrap/>
            <w:vAlign w:val="center"/>
            <w:hideMark/>
          </w:tcPr>
          <w:p w14:paraId="39204568"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75E47ED8" w14:textId="77777777" w:rsidTr="00FE6554">
        <w:trPr>
          <w:trHeight w:val="261"/>
          <w:jc w:val="center"/>
        </w:trPr>
        <w:tc>
          <w:tcPr>
            <w:tcW w:w="1440" w:type="dxa"/>
            <w:vMerge/>
            <w:tcBorders>
              <w:top w:val="nil"/>
              <w:left w:val="single" w:sz="8" w:space="0" w:color="auto"/>
              <w:bottom w:val="single" w:sz="8" w:space="0" w:color="000000"/>
              <w:right w:val="single" w:sz="8" w:space="0" w:color="auto"/>
            </w:tcBorders>
            <w:vAlign w:val="center"/>
            <w:hideMark/>
          </w:tcPr>
          <w:p w14:paraId="56E0B26C" w14:textId="77777777" w:rsidR="00FE6554" w:rsidRPr="00FE6554" w:rsidRDefault="00FE6554" w:rsidP="00FE6554">
            <w:pPr>
              <w:rPr>
                <w:b/>
                <w:bCs/>
                <w:color w:val="000000"/>
                <w:lang w:eastAsia="en-CA"/>
              </w:rPr>
            </w:pPr>
          </w:p>
        </w:tc>
        <w:tc>
          <w:tcPr>
            <w:tcW w:w="1140" w:type="dxa"/>
            <w:tcBorders>
              <w:top w:val="nil"/>
              <w:left w:val="nil"/>
              <w:bottom w:val="single" w:sz="4" w:space="0" w:color="auto"/>
              <w:right w:val="single" w:sz="4" w:space="0" w:color="auto"/>
            </w:tcBorders>
            <w:shd w:val="clear" w:color="auto" w:fill="auto"/>
            <w:noWrap/>
            <w:vAlign w:val="bottom"/>
            <w:hideMark/>
          </w:tcPr>
          <w:p w14:paraId="0529BAA5" w14:textId="77777777" w:rsidR="00FE6554" w:rsidRPr="00FE6554" w:rsidRDefault="00FE6554" w:rsidP="00FE6554">
            <w:pPr>
              <w:rPr>
                <w:b/>
                <w:bCs/>
                <w:color w:val="000000"/>
                <w:lang w:eastAsia="en-CA"/>
              </w:rPr>
            </w:pPr>
            <w:r w:rsidRPr="00FE6554">
              <w:rPr>
                <w:b/>
                <w:bCs/>
                <w:color w:val="000000"/>
                <w:lang w:eastAsia="en-CA"/>
              </w:rPr>
              <w:t>18HC09</w:t>
            </w:r>
          </w:p>
        </w:tc>
        <w:tc>
          <w:tcPr>
            <w:tcW w:w="1160" w:type="dxa"/>
            <w:tcBorders>
              <w:top w:val="nil"/>
              <w:left w:val="nil"/>
              <w:bottom w:val="single" w:sz="4" w:space="0" w:color="auto"/>
              <w:right w:val="single" w:sz="4" w:space="0" w:color="auto"/>
            </w:tcBorders>
            <w:shd w:val="clear" w:color="auto" w:fill="auto"/>
            <w:noWrap/>
            <w:vAlign w:val="center"/>
            <w:hideMark/>
          </w:tcPr>
          <w:p w14:paraId="2CEA0484" w14:textId="77777777" w:rsidR="00FE6554" w:rsidRPr="00FE6554" w:rsidRDefault="00FE6554" w:rsidP="00FE6554">
            <w:pPr>
              <w:jc w:val="center"/>
              <w:rPr>
                <w:color w:val="000000"/>
                <w:lang w:eastAsia="en-CA"/>
              </w:rPr>
            </w:pPr>
            <w:r w:rsidRPr="00FE6554">
              <w:rPr>
                <w:color w:val="000000"/>
                <w:lang w:eastAsia="en-CA"/>
              </w:rPr>
              <w:t>18.00</w:t>
            </w:r>
          </w:p>
        </w:tc>
        <w:tc>
          <w:tcPr>
            <w:tcW w:w="940" w:type="dxa"/>
            <w:tcBorders>
              <w:top w:val="nil"/>
              <w:left w:val="nil"/>
              <w:bottom w:val="single" w:sz="4" w:space="0" w:color="auto"/>
              <w:right w:val="single" w:sz="4" w:space="0" w:color="auto"/>
            </w:tcBorders>
            <w:shd w:val="clear" w:color="auto" w:fill="auto"/>
            <w:noWrap/>
            <w:vAlign w:val="center"/>
            <w:hideMark/>
          </w:tcPr>
          <w:p w14:paraId="28BBF4C0" w14:textId="77777777" w:rsidR="00FE6554" w:rsidRPr="00FE6554" w:rsidRDefault="00FE6554" w:rsidP="00FE6554">
            <w:pPr>
              <w:jc w:val="center"/>
              <w:rPr>
                <w:color w:val="000000"/>
                <w:lang w:eastAsia="en-CA"/>
              </w:rPr>
            </w:pPr>
            <w:r w:rsidRPr="00FE6554">
              <w:rPr>
                <w:color w:val="000000"/>
                <w:lang w:eastAsia="en-CA"/>
              </w:rPr>
              <w:t>23.00</w:t>
            </w:r>
          </w:p>
        </w:tc>
        <w:tc>
          <w:tcPr>
            <w:tcW w:w="1160" w:type="dxa"/>
            <w:tcBorders>
              <w:top w:val="nil"/>
              <w:left w:val="nil"/>
              <w:bottom w:val="nil"/>
              <w:right w:val="single" w:sz="4" w:space="0" w:color="auto"/>
            </w:tcBorders>
            <w:shd w:val="clear" w:color="auto" w:fill="auto"/>
            <w:noWrap/>
            <w:vAlign w:val="center"/>
            <w:hideMark/>
          </w:tcPr>
          <w:p w14:paraId="4DA93773" w14:textId="77777777" w:rsidR="00FE6554" w:rsidRPr="00FE6554" w:rsidRDefault="00FE6554" w:rsidP="00FE6554">
            <w:pPr>
              <w:jc w:val="center"/>
              <w:rPr>
                <w:color w:val="000000"/>
                <w:lang w:eastAsia="en-CA"/>
              </w:rPr>
            </w:pPr>
            <w:r w:rsidRPr="00FE6554">
              <w:rPr>
                <w:color w:val="000000"/>
                <w:lang w:eastAsia="en-CA"/>
              </w:rPr>
              <w:t>5.00</w:t>
            </w:r>
          </w:p>
        </w:tc>
        <w:tc>
          <w:tcPr>
            <w:tcW w:w="1100" w:type="dxa"/>
            <w:tcBorders>
              <w:top w:val="nil"/>
              <w:left w:val="nil"/>
              <w:bottom w:val="single" w:sz="4" w:space="0" w:color="auto"/>
              <w:right w:val="single" w:sz="4" w:space="0" w:color="auto"/>
            </w:tcBorders>
            <w:shd w:val="clear" w:color="auto" w:fill="auto"/>
            <w:noWrap/>
            <w:vAlign w:val="center"/>
            <w:hideMark/>
          </w:tcPr>
          <w:p w14:paraId="6FC11E7A" w14:textId="77777777" w:rsidR="00FE6554" w:rsidRPr="00FE6554" w:rsidRDefault="00FE6554" w:rsidP="00FE6554">
            <w:pPr>
              <w:jc w:val="center"/>
              <w:rPr>
                <w:color w:val="000000"/>
                <w:lang w:eastAsia="en-CA"/>
              </w:rPr>
            </w:pPr>
            <w:r w:rsidRPr="00FE6554">
              <w:rPr>
                <w:color w:val="000000"/>
                <w:lang w:eastAsia="en-CA"/>
              </w:rPr>
              <w:t>-</w:t>
            </w:r>
          </w:p>
        </w:tc>
        <w:tc>
          <w:tcPr>
            <w:tcW w:w="10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EBB1725" w14:textId="77777777" w:rsidR="00FE6554" w:rsidRPr="00FE6554" w:rsidRDefault="00FE6554" w:rsidP="00FE6554">
            <w:pPr>
              <w:jc w:val="center"/>
              <w:rPr>
                <w:color w:val="000000"/>
                <w:lang w:eastAsia="en-CA"/>
              </w:rPr>
            </w:pPr>
            <w:r w:rsidRPr="00FE6554">
              <w:rPr>
                <w:color w:val="000000"/>
                <w:lang w:eastAsia="en-CA"/>
              </w:rPr>
              <w:t>472</w:t>
            </w:r>
          </w:p>
        </w:tc>
        <w:tc>
          <w:tcPr>
            <w:tcW w:w="1100" w:type="dxa"/>
            <w:tcBorders>
              <w:top w:val="nil"/>
              <w:left w:val="nil"/>
              <w:bottom w:val="single" w:sz="4" w:space="0" w:color="auto"/>
              <w:right w:val="single" w:sz="4" w:space="0" w:color="auto"/>
            </w:tcBorders>
            <w:shd w:val="clear" w:color="auto" w:fill="auto"/>
            <w:noWrap/>
            <w:vAlign w:val="center"/>
            <w:hideMark/>
          </w:tcPr>
          <w:p w14:paraId="4A73C4C7"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single" w:sz="4" w:space="0" w:color="auto"/>
              <w:right w:val="single" w:sz="8" w:space="0" w:color="auto"/>
            </w:tcBorders>
            <w:shd w:val="clear" w:color="auto" w:fill="auto"/>
            <w:noWrap/>
            <w:vAlign w:val="center"/>
            <w:hideMark/>
          </w:tcPr>
          <w:p w14:paraId="5650D411"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618D0AB2" w14:textId="77777777" w:rsidTr="00FE6554">
        <w:trPr>
          <w:trHeight w:val="288"/>
          <w:jc w:val="center"/>
        </w:trPr>
        <w:tc>
          <w:tcPr>
            <w:tcW w:w="1440" w:type="dxa"/>
            <w:vMerge/>
            <w:tcBorders>
              <w:top w:val="nil"/>
              <w:left w:val="single" w:sz="8" w:space="0" w:color="auto"/>
              <w:bottom w:val="single" w:sz="8" w:space="0" w:color="000000"/>
              <w:right w:val="single" w:sz="8" w:space="0" w:color="auto"/>
            </w:tcBorders>
            <w:vAlign w:val="center"/>
            <w:hideMark/>
          </w:tcPr>
          <w:p w14:paraId="59E3092C" w14:textId="77777777" w:rsidR="00FE6554" w:rsidRPr="00FE6554" w:rsidRDefault="00FE6554" w:rsidP="00FE6554">
            <w:pPr>
              <w:rPr>
                <w:b/>
                <w:bCs/>
                <w:color w:val="000000"/>
                <w:lang w:eastAsia="en-CA"/>
              </w:rPr>
            </w:pPr>
          </w:p>
        </w:tc>
        <w:tc>
          <w:tcPr>
            <w:tcW w:w="1140" w:type="dxa"/>
            <w:tcBorders>
              <w:top w:val="nil"/>
              <w:left w:val="nil"/>
              <w:bottom w:val="nil"/>
              <w:right w:val="single" w:sz="4" w:space="0" w:color="auto"/>
            </w:tcBorders>
            <w:shd w:val="clear" w:color="auto" w:fill="auto"/>
            <w:noWrap/>
            <w:vAlign w:val="bottom"/>
            <w:hideMark/>
          </w:tcPr>
          <w:p w14:paraId="75E3BB9E" w14:textId="77777777" w:rsidR="00FE6554" w:rsidRPr="00FE6554" w:rsidRDefault="00FE6554" w:rsidP="00FE6554">
            <w:pPr>
              <w:jc w:val="right"/>
              <w:rPr>
                <w:i/>
                <w:iCs/>
                <w:color w:val="000000"/>
                <w:lang w:eastAsia="en-CA"/>
              </w:rPr>
            </w:pPr>
            <w:r w:rsidRPr="00FE6554">
              <w:rPr>
                <w:i/>
                <w:iCs/>
                <w:color w:val="000000"/>
                <w:lang w:eastAsia="en-CA"/>
              </w:rPr>
              <w:t>including</w:t>
            </w:r>
          </w:p>
        </w:tc>
        <w:tc>
          <w:tcPr>
            <w:tcW w:w="1160" w:type="dxa"/>
            <w:tcBorders>
              <w:top w:val="nil"/>
              <w:left w:val="nil"/>
              <w:bottom w:val="nil"/>
              <w:right w:val="single" w:sz="4" w:space="0" w:color="auto"/>
            </w:tcBorders>
            <w:shd w:val="clear" w:color="auto" w:fill="auto"/>
            <w:noWrap/>
            <w:vAlign w:val="center"/>
            <w:hideMark/>
          </w:tcPr>
          <w:p w14:paraId="3CA1860C" w14:textId="77777777" w:rsidR="00FE6554" w:rsidRPr="00FE6554" w:rsidRDefault="00FE6554" w:rsidP="00FE6554">
            <w:pPr>
              <w:jc w:val="center"/>
              <w:rPr>
                <w:color w:val="000000"/>
                <w:lang w:eastAsia="en-CA"/>
              </w:rPr>
            </w:pPr>
            <w:r w:rsidRPr="00FE6554">
              <w:rPr>
                <w:color w:val="000000"/>
                <w:lang w:eastAsia="en-CA"/>
              </w:rPr>
              <w:t>18.00</w:t>
            </w:r>
          </w:p>
        </w:tc>
        <w:tc>
          <w:tcPr>
            <w:tcW w:w="940" w:type="dxa"/>
            <w:tcBorders>
              <w:top w:val="nil"/>
              <w:left w:val="nil"/>
              <w:bottom w:val="nil"/>
              <w:right w:val="single" w:sz="4" w:space="0" w:color="auto"/>
            </w:tcBorders>
            <w:shd w:val="clear" w:color="auto" w:fill="auto"/>
            <w:noWrap/>
            <w:vAlign w:val="center"/>
            <w:hideMark/>
          </w:tcPr>
          <w:p w14:paraId="1BA058B2" w14:textId="77777777" w:rsidR="00FE6554" w:rsidRPr="00FE6554" w:rsidRDefault="00FE6554" w:rsidP="00FE6554">
            <w:pPr>
              <w:jc w:val="center"/>
              <w:rPr>
                <w:color w:val="000000"/>
                <w:lang w:eastAsia="en-CA"/>
              </w:rPr>
            </w:pPr>
            <w:r w:rsidRPr="00FE6554">
              <w:rPr>
                <w:color w:val="000000"/>
                <w:lang w:eastAsia="en-CA"/>
              </w:rPr>
              <w:t>19.00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1777270" w14:textId="77777777" w:rsidR="00FE6554" w:rsidRPr="00FE6554" w:rsidRDefault="00FE6554" w:rsidP="00FE6554">
            <w:pPr>
              <w:jc w:val="center"/>
              <w:rPr>
                <w:color w:val="000000"/>
                <w:lang w:eastAsia="en-CA"/>
              </w:rPr>
            </w:pPr>
            <w:r w:rsidRPr="00FE6554">
              <w:rPr>
                <w:color w:val="000000"/>
                <w:lang w:eastAsia="en-CA"/>
              </w:rPr>
              <w:t>1.00</w:t>
            </w:r>
          </w:p>
        </w:tc>
        <w:tc>
          <w:tcPr>
            <w:tcW w:w="1100" w:type="dxa"/>
            <w:tcBorders>
              <w:top w:val="nil"/>
              <w:left w:val="nil"/>
              <w:bottom w:val="nil"/>
              <w:right w:val="single" w:sz="4" w:space="0" w:color="auto"/>
            </w:tcBorders>
            <w:shd w:val="clear" w:color="auto" w:fill="auto"/>
            <w:noWrap/>
            <w:vAlign w:val="center"/>
            <w:hideMark/>
          </w:tcPr>
          <w:p w14:paraId="0E6E215C" w14:textId="77777777" w:rsidR="00FE6554" w:rsidRPr="00FE6554" w:rsidRDefault="00FE6554" w:rsidP="00FE6554">
            <w:pPr>
              <w:jc w:val="center"/>
              <w:rPr>
                <w:color w:val="000000"/>
                <w:lang w:eastAsia="en-CA"/>
              </w:rPr>
            </w:pPr>
            <w:r w:rsidRPr="00FE6554">
              <w:rPr>
                <w:color w:val="000000"/>
                <w:lang w:eastAsia="en-CA"/>
              </w:rPr>
              <w:t>-</w:t>
            </w:r>
          </w:p>
        </w:tc>
        <w:tc>
          <w:tcPr>
            <w:tcW w:w="1060" w:type="dxa"/>
            <w:tcBorders>
              <w:top w:val="nil"/>
              <w:left w:val="single" w:sz="4" w:space="0" w:color="auto"/>
              <w:bottom w:val="nil"/>
              <w:right w:val="single" w:sz="4" w:space="0" w:color="auto"/>
            </w:tcBorders>
            <w:shd w:val="clear" w:color="auto" w:fill="auto"/>
            <w:noWrap/>
            <w:vAlign w:val="center"/>
            <w:hideMark/>
          </w:tcPr>
          <w:p w14:paraId="320284D7" w14:textId="77777777" w:rsidR="00FE6554" w:rsidRPr="00FE6554" w:rsidRDefault="00FE6554" w:rsidP="00FE6554">
            <w:pPr>
              <w:jc w:val="center"/>
              <w:rPr>
                <w:color w:val="000000"/>
                <w:lang w:eastAsia="en-CA"/>
              </w:rPr>
            </w:pPr>
            <w:r w:rsidRPr="00FE6554">
              <w:rPr>
                <w:color w:val="000000"/>
                <w:lang w:eastAsia="en-CA"/>
              </w:rPr>
              <w:t>1420</w:t>
            </w:r>
          </w:p>
        </w:tc>
        <w:tc>
          <w:tcPr>
            <w:tcW w:w="1100" w:type="dxa"/>
            <w:tcBorders>
              <w:top w:val="nil"/>
              <w:left w:val="nil"/>
              <w:bottom w:val="nil"/>
              <w:right w:val="single" w:sz="4" w:space="0" w:color="auto"/>
            </w:tcBorders>
            <w:shd w:val="clear" w:color="auto" w:fill="auto"/>
            <w:noWrap/>
            <w:vAlign w:val="center"/>
            <w:hideMark/>
          </w:tcPr>
          <w:p w14:paraId="25AEEB59"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nil"/>
              <w:right w:val="single" w:sz="8" w:space="0" w:color="auto"/>
            </w:tcBorders>
            <w:shd w:val="clear" w:color="auto" w:fill="auto"/>
            <w:noWrap/>
            <w:vAlign w:val="center"/>
            <w:hideMark/>
          </w:tcPr>
          <w:p w14:paraId="4287747F"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2439F3C4" w14:textId="77777777" w:rsidTr="00FE6554">
        <w:trPr>
          <w:trHeight w:val="300"/>
          <w:jc w:val="center"/>
        </w:trPr>
        <w:tc>
          <w:tcPr>
            <w:tcW w:w="1440" w:type="dxa"/>
            <w:vMerge/>
            <w:tcBorders>
              <w:top w:val="nil"/>
              <w:left w:val="single" w:sz="8" w:space="0" w:color="auto"/>
              <w:bottom w:val="single" w:sz="8" w:space="0" w:color="000000"/>
              <w:right w:val="single" w:sz="8" w:space="0" w:color="auto"/>
            </w:tcBorders>
            <w:vAlign w:val="center"/>
            <w:hideMark/>
          </w:tcPr>
          <w:p w14:paraId="7AE03157" w14:textId="77777777" w:rsidR="00FE6554" w:rsidRPr="00FE6554" w:rsidRDefault="00FE6554" w:rsidP="00FE6554">
            <w:pPr>
              <w:rPr>
                <w:b/>
                <w:bCs/>
                <w:color w:val="000000"/>
                <w:lang w:eastAsia="en-CA"/>
              </w:rPr>
            </w:pPr>
          </w:p>
        </w:tc>
        <w:tc>
          <w:tcPr>
            <w:tcW w:w="1140" w:type="dxa"/>
            <w:tcBorders>
              <w:top w:val="single" w:sz="4" w:space="0" w:color="auto"/>
              <w:left w:val="nil"/>
              <w:bottom w:val="single" w:sz="8" w:space="0" w:color="auto"/>
              <w:right w:val="single" w:sz="4" w:space="0" w:color="auto"/>
            </w:tcBorders>
            <w:shd w:val="clear" w:color="auto" w:fill="auto"/>
            <w:noWrap/>
            <w:vAlign w:val="center"/>
            <w:hideMark/>
          </w:tcPr>
          <w:p w14:paraId="05D1DF47" w14:textId="77777777" w:rsidR="00FE6554" w:rsidRPr="00FE6554" w:rsidRDefault="00FE6554" w:rsidP="00FE6554">
            <w:pPr>
              <w:jc w:val="right"/>
              <w:rPr>
                <w:i/>
                <w:iCs/>
                <w:color w:val="000000"/>
                <w:lang w:eastAsia="en-CA"/>
              </w:rPr>
            </w:pPr>
            <w:r w:rsidRPr="00FE6554">
              <w:rPr>
                <w:i/>
                <w:iCs/>
                <w:color w:val="000000"/>
                <w:lang w:eastAsia="en-CA"/>
              </w:rPr>
              <w:t>and</w:t>
            </w:r>
          </w:p>
        </w:tc>
        <w:tc>
          <w:tcPr>
            <w:tcW w:w="1160" w:type="dxa"/>
            <w:tcBorders>
              <w:top w:val="single" w:sz="4" w:space="0" w:color="auto"/>
              <w:left w:val="nil"/>
              <w:bottom w:val="single" w:sz="8" w:space="0" w:color="auto"/>
              <w:right w:val="single" w:sz="4" w:space="0" w:color="auto"/>
            </w:tcBorders>
            <w:shd w:val="clear" w:color="auto" w:fill="auto"/>
            <w:noWrap/>
            <w:vAlign w:val="center"/>
            <w:hideMark/>
          </w:tcPr>
          <w:p w14:paraId="5F6F6641" w14:textId="77777777" w:rsidR="00FE6554" w:rsidRPr="00FE6554" w:rsidRDefault="00FE6554" w:rsidP="00FE6554">
            <w:pPr>
              <w:jc w:val="center"/>
              <w:rPr>
                <w:color w:val="000000"/>
                <w:lang w:eastAsia="en-CA"/>
              </w:rPr>
            </w:pPr>
            <w:r w:rsidRPr="00FE6554">
              <w:rPr>
                <w:color w:val="000000"/>
                <w:lang w:eastAsia="en-CA"/>
              </w:rPr>
              <w:t>74.15</w:t>
            </w:r>
          </w:p>
        </w:tc>
        <w:tc>
          <w:tcPr>
            <w:tcW w:w="940" w:type="dxa"/>
            <w:tcBorders>
              <w:top w:val="single" w:sz="4" w:space="0" w:color="auto"/>
              <w:left w:val="nil"/>
              <w:bottom w:val="single" w:sz="8" w:space="0" w:color="auto"/>
              <w:right w:val="single" w:sz="4" w:space="0" w:color="auto"/>
            </w:tcBorders>
            <w:shd w:val="clear" w:color="auto" w:fill="auto"/>
            <w:noWrap/>
            <w:vAlign w:val="center"/>
            <w:hideMark/>
          </w:tcPr>
          <w:p w14:paraId="4FB2C60C" w14:textId="77777777" w:rsidR="00FE6554" w:rsidRPr="00FE6554" w:rsidRDefault="00FE6554" w:rsidP="00FE6554">
            <w:pPr>
              <w:jc w:val="center"/>
              <w:rPr>
                <w:color w:val="000000"/>
                <w:lang w:eastAsia="en-CA"/>
              </w:rPr>
            </w:pPr>
            <w:r w:rsidRPr="00FE6554">
              <w:rPr>
                <w:color w:val="000000"/>
                <w:lang w:eastAsia="en-CA"/>
              </w:rPr>
              <w:t>74.65</w:t>
            </w:r>
          </w:p>
        </w:tc>
        <w:tc>
          <w:tcPr>
            <w:tcW w:w="1160" w:type="dxa"/>
            <w:tcBorders>
              <w:top w:val="nil"/>
              <w:left w:val="nil"/>
              <w:bottom w:val="single" w:sz="8" w:space="0" w:color="auto"/>
              <w:right w:val="single" w:sz="4" w:space="0" w:color="auto"/>
            </w:tcBorders>
            <w:shd w:val="clear" w:color="auto" w:fill="auto"/>
            <w:noWrap/>
            <w:vAlign w:val="center"/>
            <w:hideMark/>
          </w:tcPr>
          <w:p w14:paraId="18648C8F" w14:textId="77777777" w:rsidR="00FE6554" w:rsidRPr="00FE6554" w:rsidRDefault="00FE6554" w:rsidP="00FE6554">
            <w:pPr>
              <w:jc w:val="center"/>
              <w:rPr>
                <w:color w:val="000000"/>
                <w:lang w:eastAsia="en-CA"/>
              </w:rPr>
            </w:pPr>
            <w:r w:rsidRPr="00FE6554">
              <w:rPr>
                <w:color w:val="000000"/>
                <w:lang w:eastAsia="en-CA"/>
              </w:rPr>
              <w:t>0.50</w:t>
            </w:r>
          </w:p>
        </w:tc>
        <w:tc>
          <w:tcPr>
            <w:tcW w:w="11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4710763" w14:textId="77777777" w:rsidR="00FE6554" w:rsidRPr="00FE6554" w:rsidRDefault="00FE6554" w:rsidP="00FE6554">
            <w:pPr>
              <w:jc w:val="center"/>
              <w:rPr>
                <w:color w:val="000000"/>
                <w:lang w:eastAsia="en-CA"/>
              </w:rPr>
            </w:pPr>
            <w:r w:rsidRPr="00FE6554">
              <w:rPr>
                <w:color w:val="000000"/>
                <w:lang w:eastAsia="en-CA"/>
              </w:rPr>
              <w:t>120</w:t>
            </w:r>
          </w:p>
        </w:tc>
        <w:tc>
          <w:tcPr>
            <w:tcW w:w="1060" w:type="dxa"/>
            <w:tcBorders>
              <w:top w:val="single" w:sz="4" w:space="0" w:color="auto"/>
              <w:left w:val="nil"/>
              <w:bottom w:val="single" w:sz="8" w:space="0" w:color="auto"/>
              <w:right w:val="single" w:sz="4" w:space="0" w:color="auto"/>
            </w:tcBorders>
            <w:shd w:val="clear" w:color="auto" w:fill="auto"/>
            <w:noWrap/>
            <w:vAlign w:val="center"/>
            <w:hideMark/>
          </w:tcPr>
          <w:p w14:paraId="5F355F11" w14:textId="77777777" w:rsidR="00FE6554" w:rsidRPr="00FE6554" w:rsidRDefault="00FE6554" w:rsidP="00FE6554">
            <w:pPr>
              <w:jc w:val="center"/>
              <w:rPr>
                <w:color w:val="000000"/>
                <w:lang w:eastAsia="en-CA"/>
              </w:rPr>
            </w:pPr>
            <w:r w:rsidRPr="00FE6554">
              <w:rPr>
                <w:color w:val="000000"/>
                <w:lang w:eastAsia="en-CA"/>
              </w:rPr>
              <w:t>-</w:t>
            </w:r>
          </w:p>
        </w:tc>
        <w:tc>
          <w:tcPr>
            <w:tcW w:w="11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D8D03EB" w14:textId="77777777" w:rsidR="00FE6554" w:rsidRPr="00FE6554" w:rsidRDefault="00FE6554" w:rsidP="00FE6554">
            <w:pPr>
              <w:jc w:val="center"/>
              <w:rPr>
                <w:color w:val="000000"/>
                <w:lang w:eastAsia="en-CA"/>
              </w:rPr>
            </w:pPr>
            <w:r w:rsidRPr="00FE6554">
              <w:rPr>
                <w:color w:val="000000"/>
                <w:lang w:eastAsia="en-CA"/>
              </w:rPr>
              <w:t>21</w:t>
            </w:r>
          </w:p>
        </w:tc>
        <w:tc>
          <w:tcPr>
            <w:tcW w:w="1213" w:type="dxa"/>
            <w:tcBorders>
              <w:top w:val="single" w:sz="4" w:space="0" w:color="auto"/>
              <w:left w:val="nil"/>
              <w:bottom w:val="single" w:sz="8" w:space="0" w:color="auto"/>
              <w:right w:val="single" w:sz="8" w:space="0" w:color="auto"/>
            </w:tcBorders>
            <w:shd w:val="clear" w:color="auto" w:fill="auto"/>
            <w:noWrap/>
            <w:vAlign w:val="center"/>
            <w:hideMark/>
          </w:tcPr>
          <w:p w14:paraId="45DC01B2"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31738028" w14:textId="77777777" w:rsidTr="00FE6554">
        <w:trPr>
          <w:trHeight w:val="288"/>
          <w:jc w:val="center"/>
        </w:trPr>
        <w:tc>
          <w:tcPr>
            <w:tcW w:w="1440" w:type="dxa"/>
            <w:vMerge/>
            <w:tcBorders>
              <w:top w:val="nil"/>
              <w:left w:val="single" w:sz="8" w:space="0" w:color="auto"/>
              <w:bottom w:val="single" w:sz="8" w:space="0" w:color="000000"/>
              <w:right w:val="single" w:sz="8" w:space="0" w:color="auto"/>
            </w:tcBorders>
            <w:vAlign w:val="center"/>
            <w:hideMark/>
          </w:tcPr>
          <w:p w14:paraId="5E496178" w14:textId="77777777" w:rsidR="00FE6554" w:rsidRPr="00FE6554" w:rsidRDefault="00FE6554" w:rsidP="00FE6554">
            <w:pPr>
              <w:rPr>
                <w:b/>
                <w:bCs/>
                <w:color w:val="000000"/>
                <w:lang w:eastAsia="en-CA"/>
              </w:rPr>
            </w:pPr>
          </w:p>
        </w:tc>
        <w:tc>
          <w:tcPr>
            <w:tcW w:w="1140" w:type="dxa"/>
            <w:tcBorders>
              <w:top w:val="nil"/>
              <w:left w:val="nil"/>
              <w:bottom w:val="single" w:sz="4" w:space="0" w:color="auto"/>
              <w:right w:val="single" w:sz="4" w:space="0" w:color="auto"/>
            </w:tcBorders>
            <w:shd w:val="clear" w:color="auto" w:fill="auto"/>
            <w:noWrap/>
            <w:vAlign w:val="bottom"/>
            <w:hideMark/>
          </w:tcPr>
          <w:p w14:paraId="402D2C6F" w14:textId="77777777" w:rsidR="00FE6554" w:rsidRPr="00FE6554" w:rsidRDefault="00FE6554" w:rsidP="00FE6554">
            <w:pPr>
              <w:rPr>
                <w:b/>
                <w:bCs/>
                <w:color w:val="000000"/>
                <w:lang w:eastAsia="en-CA"/>
              </w:rPr>
            </w:pPr>
            <w:r w:rsidRPr="00FE6554">
              <w:rPr>
                <w:b/>
                <w:bCs/>
                <w:color w:val="000000"/>
                <w:lang w:eastAsia="en-CA"/>
              </w:rPr>
              <w:t>18HC10</w:t>
            </w:r>
          </w:p>
        </w:tc>
        <w:tc>
          <w:tcPr>
            <w:tcW w:w="1160" w:type="dxa"/>
            <w:tcBorders>
              <w:top w:val="nil"/>
              <w:left w:val="nil"/>
              <w:bottom w:val="single" w:sz="4" w:space="0" w:color="auto"/>
              <w:right w:val="single" w:sz="4" w:space="0" w:color="auto"/>
            </w:tcBorders>
            <w:shd w:val="clear" w:color="auto" w:fill="auto"/>
            <w:noWrap/>
            <w:vAlign w:val="center"/>
            <w:hideMark/>
          </w:tcPr>
          <w:p w14:paraId="200E711F" w14:textId="77777777" w:rsidR="00FE6554" w:rsidRPr="00FE6554" w:rsidRDefault="00FE6554" w:rsidP="00FE6554">
            <w:pPr>
              <w:jc w:val="center"/>
              <w:rPr>
                <w:color w:val="000000"/>
                <w:lang w:eastAsia="en-CA"/>
              </w:rPr>
            </w:pPr>
            <w:r w:rsidRPr="00FE6554">
              <w:rPr>
                <w:color w:val="000000"/>
                <w:lang w:eastAsia="en-CA"/>
              </w:rPr>
              <w:t>15.00</w:t>
            </w:r>
          </w:p>
        </w:tc>
        <w:tc>
          <w:tcPr>
            <w:tcW w:w="940" w:type="dxa"/>
            <w:tcBorders>
              <w:top w:val="nil"/>
              <w:left w:val="nil"/>
              <w:bottom w:val="single" w:sz="4" w:space="0" w:color="auto"/>
              <w:right w:val="single" w:sz="4" w:space="0" w:color="auto"/>
            </w:tcBorders>
            <w:shd w:val="clear" w:color="auto" w:fill="auto"/>
            <w:noWrap/>
            <w:vAlign w:val="center"/>
            <w:hideMark/>
          </w:tcPr>
          <w:p w14:paraId="65168116" w14:textId="77777777" w:rsidR="00FE6554" w:rsidRPr="00FE6554" w:rsidRDefault="00FE6554" w:rsidP="00FE6554">
            <w:pPr>
              <w:jc w:val="center"/>
              <w:rPr>
                <w:color w:val="000000"/>
                <w:lang w:eastAsia="en-CA"/>
              </w:rPr>
            </w:pPr>
            <w:r w:rsidRPr="00FE6554">
              <w:rPr>
                <w:color w:val="000000"/>
                <w:lang w:eastAsia="en-CA"/>
              </w:rPr>
              <w:t>16.00</w:t>
            </w:r>
          </w:p>
        </w:tc>
        <w:tc>
          <w:tcPr>
            <w:tcW w:w="1160" w:type="dxa"/>
            <w:tcBorders>
              <w:top w:val="nil"/>
              <w:left w:val="nil"/>
              <w:bottom w:val="single" w:sz="4" w:space="0" w:color="auto"/>
              <w:right w:val="single" w:sz="4" w:space="0" w:color="auto"/>
            </w:tcBorders>
            <w:shd w:val="clear" w:color="auto" w:fill="auto"/>
            <w:noWrap/>
            <w:vAlign w:val="center"/>
            <w:hideMark/>
          </w:tcPr>
          <w:p w14:paraId="2B630621" w14:textId="77777777" w:rsidR="00FE6554" w:rsidRPr="00FE6554" w:rsidRDefault="00FE6554" w:rsidP="00FE6554">
            <w:pPr>
              <w:jc w:val="center"/>
              <w:rPr>
                <w:color w:val="000000"/>
                <w:lang w:eastAsia="en-CA"/>
              </w:rPr>
            </w:pPr>
            <w:r w:rsidRPr="00FE6554">
              <w:rPr>
                <w:color w:val="000000"/>
                <w:lang w:eastAsia="en-CA"/>
              </w:rPr>
              <w:t>1.00</w:t>
            </w:r>
          </w:p>
        </w:tc>
        <w:tc>
          <w:tcPr>
            <w:tcW w:w="1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0EEF15D" w14:textId="77777777" w:rsidR="00FE6554" w:rsidRPr="00FE6554" w:rsidRDefault="00FE6554" w:rsidP="00FE6554">
            <w:pPr>
              <w:jc w:val="center"/>
              <w:rPr>
                <w:color w:val="000000"/>
                <w:lang w:eastAsia="en-CA"/>
              </w:rPr>
            </w:pPr>
            <w:r w:rsidRPr="00FE6554">
              <w:rPr>
                <w:color w:val="000000"/>
                <w:lang w:eastAsia="en-CA"/>
              </w:rPr>
              <w:t>110</w:t>
            </w:r>
          </w:p>
        </w:tc>
        <w:tc>
          <w:tcPr>
            <w:tcW w:w="1060" w:type="dxa"/>
            <w:tcBorders>
              <w:top w:val="nil"/>
              <w:left w:val="nil"/>
              <w:bottom w:val="single" w:sz="4" w:space="0" w:color="auto"/>
              <w:right w:val="single" w:sz="4" w:space="0" w:color="auto"/>
            </w:tcBorders>
            <w:shd w:val="clear" w:color="auto" w:fill="auto"/>
            <w:noWrap/>
            <w:vAlign w:val="center"/>
            <w:hideMark/>
          </w:tcPr>
          <w:p w14:paraId="39AE3A4D" w14:textId="77777777" w:rsidR="00FE6554" w:rsidRPr="00FE6554" w:rsidRDefault="00FE6554" w:rsidP="00FE6554">
            <w:pPr>
              <w:jc w:val="center"/>
              <w:rPr>
                <w:color w:val="000000"/>
                <w:lang w:eastAsia="en-CA"/>
              </w:rPr>
            </w:pPr>
            <w:r w:rsidRPr="00FE6554">
              <w:rPr>
                <w:color w:val="000000"/>
                <w:lang w:eastAsia="en-CA"/>
              </w:rPr>
              <w:t>-</w:t>
            </w:r>
          </w:p>
        </w:tc>
        <w:tc>
          <w:tcPr>
            <w:tcW w:w="11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BFF7AAE" w14:textId="77777777" w:rsidR="00FE6554" w:rsidRPr="00FE6554" w:rsidRDefault="00FE6554" w:rsidP="00FE6554">
            <w:pPr>
              <w:jc w:val="center"/>
              <w:rPr>
                <w:color w:val="000000"/>
                <w:lang w:eastAsia="en-CA"/>
              </w:rPr>
            </w:pPr>
            <w:r w:rsidRPr="00FE6554">
              <w:rPr>
                <w:color w:val="000000"/>
                <w:lang w:eastAsia="en-CA"/>
              </w:rPr>
              <w:t>33</w:t>
            </w:r>
          </w:p>
        </w:tc>
        <w:tc>
          <w:tcPr>
            <w:tcW w:w="1213" w:type="dxa"/>
            <w:tcBorders>
              <w:top w:val="nil"/>
              <w:left w:val="nil"/>
              <w:bottom w:val="single" w:sz="4" w:space="0" w:color="auto"/>
              <w:right w:val="single" w:sz="8" w:space="0" w:color="auto"/>
            </w:tcBorders>
            <w:shd w:val="clear" w:color="auto" w:fill="auto"/>
            <w:noWrap/>
            <w:vAlign w:val="center"/>
            <w:hideMark/>
          </w:tcPr>
          <w:p w14:paraId="431255D4"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5B3500AF" w14:textId="77777777" w:rsidTr="00FE6554">
        <w:trPr>
          <w:trHeight w:val="213"/>
          <w:jc w:val="center"/>
        </w:trPr>
        <w:tc>
          <w:tcPr>
            <w:tcW w:w="1440" w:type="dxa"/>
            <w:vMerge/>
            <w:tcBorders>
              <w:top w:val="nil"/>
              <w:left w:val="single" w:sz="8" w:space="0" w:color="auto"/>
              <w:bottom w:val="single" w:sz="8" w:space="0" w:color="000000"/>
              <w:right w:val="single" w:sz="8" w:space="0" w:color="auto"/>
            </w:tcBorders>
            <w:vAlign w:val="center"/>
            <w:hideMark/>
          </w:tcPr>
          <w:p w14:paraId="370845B7" w14:textId="77777777" w:rsidR="00FE6554" w:rsidRPr="00FE6554" w:rsidRDefault="00FE6554" w:rsidP="00FE6554">
            <w:pPr>
              <w:rPr>
                <w:b/>
                <w:bCs/>
                <w:color w:val="000000"/>
                <w:lang w:eastAsia="en-CA"/>
              </w:rPr>
            </w:pPr>
          </w:p>
        </w:tc>
        <w:tc>
          <w:tcPr>
            <w:tcW w:w="1140" w:type="dxa"/>
            <w:tcBorders>
              <w:top w:val="nil"/>
              <w:left w:val="nil"/>
              <w:bottom w:val="single" w:sz="4" w:space="0" w:color="auto"/>
              <w:right w:val="single" w:sz="4" w:space="0" w:color="auto"/>
            </w:tcBorders>
            <w:shd w:val="clear" w:color="auto" w:fill="auto"/>
            <w:noWrap/>
            <w:vAlign w:val="center"/>
            <w:hideMark/>
          </w:tcPr>
          <w:p w14:paraId="53674663" w14:textId="77777777" w:rsidR="00FE6554" w:rsidRPr="00FE6554" w:rsidRDefault="00FE6554" w:rsidP="00FE6554">
            <w:pPr>
              <w:jc w:val="right"/>
              <w:rPr>
                <w:i/>
                <w:iCs/>
                <w:color w:val="000000"/>
                <w:lang w:eastAsia="en-CA"/>
              </w:rPr>
            </w:pPr>
            <w:r w:rsidRPr="00FE6554">
              <w:rPr>
                <w:i/>
                <w:iCs/>
                <w:color w:val="000000"/>
                <w:lang w:eastAsia="en-CA"/>
              </w:rPr>
              <w:t>and</w:t>
            </w:r>
          </w:p>
        </w:tc>
        <w:tc>
          <w:tcPr>
            <w:tcW w:w="1160" w:type="dxa"/>
            <w:tcBorders>
              <w:top w:val="nil"/>
              <w:left w:val="nil"/>
              <w:bottom w:val="single" w:sz="4" w:space="0" w:color="auto"/>
              <w:right w:val="single" w:sz="4" w:space="0" w:color="auto"/>
            </w:tcBorders>
            <w:shd w:val="clear" w:color="auto" w:fill="auto"/>
            <w:noWrap/>
            <w:vAlign w:val="center"/>
            <w:hideMark/>
          </w:tcPr>
          <w:p w14:paraId="3C0413B0" w14:textId="77777777" w:rsidR="00FE6554" w:rsidRPr="00FE6554" w:rsidRDefault="00FE6554" w:rsidP="00FE6554">
            <w:pPr>
              <w:jc w:val="center"/>
              <w:rPr>
                <w:color w:val="000000"/>
                <w:lang w:eastAsia="en-CA"/>
              </w:rPr>
            </w:pPr>
            <w:r w:rsidRPr="00FE6554">
              <w:rPr>
                <w:color w:val="000000"/>
                <w:lang w:eastAsia="en-CA"/>
              </w:rPr>
              <w:t>18.00</w:t>
            </w:r>
          </w:p>
        </w:tc>
        <w:tc>
          <w:tcPr>
            <w:tcW w:w="940" w:type="dxa"/>
            <w:tcBorders>
              <w:top w:val="nil"/>
              <w:left w:val="nil"/>
              <w:bottom w:val="single" w:sz="4" w:space="0" w:color="auto"/>
              <w:right w:val="single" w:sz="4" w:space="0" w:color="auto"/>
            </w:tcBorders>
            <w:shd w:val="clear" w:color="auto" w:fill="auto"/>
            <w:noWrap/>
            <w:vAlign w:val="center"/>
            <w:hideMark/>
          </w:tcPr>
          <w:p w14:paraId="03742AF9" w14:textId="77777777" w:rsidR="00FE6554" w:rsidRPr="00FE6554" w:rsidRDefault="00FE6554" w:rsidP="00FE6554">
            <w:pPr>
              <w:jc w:val="center"/>
              <w:rPr>
                <w:color w:val="000000"/>
                <w:lang w:eastAsia="en-CA"/>
              </w:rPr>
            </w:pPr>
            <w:r w:rsidRPr="00FE6554">
              <w:rPr>
                <w:color w:val="000000"/>
                <w:lang w:eastAsia="en-CA"/>
              </w:rPr>
              <w:t>21.00</w:t>
            </w:r>
          </w:p>
        </w:tc>
        <w:tc>
          <w:tcPr>
            <w:tcW w:w="1160" w:type="dxa"/>
            <w:tcBorders>
              <w:top w:val="nil"/>
              <w:left w:val="nil"/>
              <w:bottom w:val="single" w:sz="4" w:space="0" w:color="auto"/>
              <w:right w:val="single" w:sz="4" w:space="0" w:color="auto"/>
            </w:tcBorders>
            <w:shd w:val="clear" w:color="auto" w:fill="auto"/>
            <w:noWrap/>
            <w:vAlign w:val="center"/>
            <w:hideMark/>
          </w:tcPr>
          <w:p w14:paraId="1AA13261" w14:textId="77777777" w:rsidR="00FE6554" w:rsidRPr="00FE6554" w:rsidRDefault="00FE6554" w:rsidP="00FE6554">
            <w:pPr>
              <w:jc w:val="center"/>
              <w:rPr>
                <w:color w:val="000000"/>
                <w:lang w:eastAsia="en-CA"/>
              </w:rPr>
            </w:pPr>
            <w:r w:rsidRPr="00FE6554">
              <w:rPr>
                <w:color w:val="000000"/>
                <w:lang w:eastAsia="en-CA"/>
              </w:rPr>
              <w:t>3.00</w:t>
            </w:r>
          </w:p>
        </w:tc>
        <w:tc>
          <w:tcPr>
            <w:tcW w:w="1100" w:type="dxa"/>
            <w:tcBorders>
              <w:top w:val="nil"/>
              <w:left w:val="nil"/>
              <w:bottom w:val="single" w:sz="4" w:space="0" w:color="auto"/>
              <w:right w:val="single" w:sz="4" w:space="0" w:color="auto"/>
            </w:tcBorders>
            <w:shd w:val="clear" w:color="auto" w:fill="auto"/>
            <w:noWrap/>
            <w:vAlign w:val="center"/>
            <w:hideMark/>
          </w:tcPr>
          <w:p w14:paraId="35167540" w14:textId="77777777" w:rsidR="00FE6554" w:rsidRPr="00FE6554" w:rsidRDefault="00FE6554" w:rsidP="00FE6554">
            <w:pPr>
              <w:jc w:val="center"/>
              <w:rPr>
                <w:color w:val="000000"/>
                <w:lang w:eastAsia="en-CA"/>
              </w:rPr>
            </w:pPr>
            <w:r w:rsidRPr="00FE6554">
              <w:rPr>
                <w:color w:val="000000"/>
                <w:lang w:eastAsia="en-CA"/>
              </w:rPr>
              <w:t>-</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CF310" w14:textId="77777777" w:rsidR="00FE6554" w:rsidRPr="00FE6554" w:rsidRDefault="00FE6554" w:rsidP="00FE6554">
            <w:pPr>
              <w:jc w:val="center"/>
              <w:rPr>
                <w:color w:val="000000"/>
                <w:lang w:eastAsia="en-CA"/>
              </w:rPr>
            </w:pPr>
            <w:r w:rsidRPr="00FE6554">
              <w:rPr>
                <w:color w:val="000000"/>
                <w:lang w:eastAsia="en-CA"/>
              </w:rPr>
              <w:t>283</w:t>
            </w:r>
          </w:p>
        </w:tc>
        <w:tc>
          <w:tcPr>
            <w:tcW w:w="1100" w:type="dxa"/>
            <w:tcBorders>
              <w:top w:val="nil"/>
              <w:left w:val="nil"/>
              <w:bottom w:val="single" w:sz="4" w:space="0" w:color="auto"/>
              <w:right w:val="single" w:sz="4" w:space="0" w:color="auto"/>
            </w:tcBorders>
            <w:shd w:val="clear" w:color="auto" w:fill="auto"/>
            <w:noWrap/>
            <w:vAlign w:val="center"/>
            <w:hideMark/>
          </w:tcPr>
          <w:p w14:paraId="55258C58"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single" w:sz="4" w:space="0" w:color="auto"/>
              <w:right w:val="single" w:sz="8" w:space="0" w:color="auto"/>
            </w:tcBorders>
            <w:shd w:val="clear" w:color="auto" w:fill="auto"/>
            <w:noWrap/>
            <w:vAlign w:val="center"/>
            <w:hideMark/>
          </w:tcPr>
          <w:p w14:paraId="1C85FC83" w14:textId="77777777" w:rsidR="00FE6554" w:rsidRPr="00FE6554" w:rsidRDefault="00FE6554" w:rsidP="00FE6554">
            <w:pPr>
              <w:jc w:val="center"/>
              <w:rPr>
                <w:color w:val="000000"/>
                <w:lang w:eastAsia="en-CA"/>
              </w:rPr>
            </w:pPr>
            <w:r w:rsidRPr="00FE6554">
              <w:rPr>
                <w:color w:val="000000"/>
                <w:lang w:eastAsia="en-CA"/>
              </w:rPr>
              <w:t>-</w:t>
            </w:r>
          </w:p>
        </w:tc>
      </w:tr>
      <w:tr w:rsidR="00FE6554" w:rsidRPr="00FE6554" w14:paraId="5EB37666" w14:textId="77777777" w:rsidTr="00FE6554">
        <w:trPr>
          <w:trHeight w:val="300"/>
          <w:jc w:val="center"/>
        </w:trPr>
        <w:tc>
          <w:tcPr>
            <w:tcW w:w="1440" w:type="dxa"/>
            <w:vMerge/>
            <w:tcBorders>
              <w:top w:val="nil"/>
              <w:left w:val="single" w:sz="8" w:space="0" w:color="auto"/>
              <w:bottom w:val="single" w:sz="8" w:space="0" w:color="000000"/>
              <w:right w:val="single" w:sz="8" w:space="0" w:color="auto"/>
            </w:tcBorders>
            <w:vAlign w:val="center"/>
            <w:hideMark/>
          </w:tcPr>
          <w:p w14:paraId="1B682446" w14:textId="77777777" w:rsidR="00FE6554" w:rsidRPr="00FE6554" w:rsidRDefault="00FE6554" w:rsidP="00FE6554">
            <w:pPr>
              <w:rPr>
                <w:b/>
                <w:bCs/>
                <w:color w:val="000000"/>
                <w:lang w:eastAsia="en-CA"/>
              </w:rPr>
            </w:pPr>
          </w:p>
        </w:tc>
        <w:tc>
          <w:tcPr>
            <w:tcW w:w="1140" w:type="dxa"/>
            <w:tcBorders>
              <w:top w:val="nil"/>
              <w:left w:val="nil"/>
              <w:bottom w:val="single" w:sz="8" w:space="0" w:color="auto"/>
              <w:right w:val="single" w:sz="4" w:space="0" w:color="auto"/>
            </w:tcBorders>
            <w:shd w:val="clear" w:color="auto" w:fill="auto"/>
            <w:noWrap/>
            <w:vAlign w:val="bottom"/>
            <w:hideMark/>
          </w:tcPr>
          <w:p w14:paraId="05445E16" w14:textId="77777777" w:rsidR="00FE6554" w:rsidRPr="00FE6554" w:rsidRDefault="00FE6554" w:rsidP="00FE6554">
            <w:pPr>
              <w:jc w:val="right"/>
              <w:rPr>
                <w:i/>
                <w:iCs/>
                <w:color w:val="000000"/>
                <w:lang w:eastAsia="en-CA"/>
              </w:rPr>
            </w:pPr>
            <w:r w:rsidRPr="00FE6554">
              <w:rPr>
                <w:i/>
                <w:iCs/>
                <w:color w:val="000000"/>
                <w:lang w:eastAsia="en-CA"/>
              </w:rPr>
              <w:t>including</w:t>
            </w:r>
          </w:p>
        </w:tc>
        <w:tc>
          <w:tcPr>
            <w:tcW w:w="1160" w:type="dxa"/>
            <w:tcBorders>
              <w:top w:val="nil"/>
              <w:left w:val="nil"/>
              <w:bottom w:val="single" w:sz="8" w:space="0" w:color="auto"/>
              <w:right w:val="single" w:sz="4" w:space="0" w:color="auto"/>
            </w:tcBorders>
            <w:shd w:val="clear" w:color="auto" w:fill="auto"/>
            <w:noWrap/>
            <w:vAlign w:val="center"/>
            <w:hideMark/>
          </w:tcPr>
          <w:p w14:paraId="2ADA1E80" w14:textId="77777777" w:rsidR="00FE6554" w:rsidRPr="00FE6554" w:rsidRDefault="00FE6554" w:rsidP="00FE6554">
            <w:pPr>
              <w:jc w:val="center"/>
              <w:rPr>
                <w:color w:val="000000"/>
                <w:lang w:eastAsia="en-CA"/>
              </w:rPr>
            </w:pPr>
            <w:r w:rsidRPr="00FE6554">
              <w:rPr>
                <w:color w:val="000000"/>
                <w:lang w:eastAsia="en-CA"/>
              </w:rPr>
              <w:t>19.00</w:t>
            </w:r>
          </w:p>
        </w:tc>
        <w:tc>
          <w:tcPr>
            <w:tcW w:w="940" w:type="dxa"/>
            <w:tcBorders>
              <w:top w:val="nil"/>
              <w:left w:val="nil"/>
              <w:bottom w:val="single" w:sz="8" w:space="0" w:color="auto"/>
              <w:right w:val="single" w:sz="4" w:space="0" w:color="auto"/>
            </w:tcBorders>
            <w:shd w:val="clear" w:color="auto" w:fill="auto"/>
            <w:noWrap/>
            <w:vAlign w:val="center"/>
            <w:hideMark/>
          </w:tcPr>
          <w:p w14:paraId="0CD0EA4C" w14:textId="77777777" w:rsidR="00FE6554" w:rsidRPr="00FE6554" w:rsidRDefault="00FE6554" w:rsidP="00FE6554">
            <w:pPr>
              <w:jc w:val="center"/>
              <w:rPr>
                <w:color w:val="000000"/>
                <w:lang w:eastAsia="en-CA"/>
              </w:rPr>
            </w:pPr>
            <w:r w:rsidRPr="00FE6554">
              <w:rPr>
                <w:color w:val="000000"/>
                <w:lang w:eastAsia="en-CA"/>
              </w:rPr>
              <w:t>20.00</w:t>
            </w:r>
          </w:p>
        </w:tc>
        <w:tc>
          <w:tcPr>
            <w:tcW w:w="1160" w:type="dxa"/>
            <w:tcBorders>
              <w:top w:val="nil"/>
              <w:left w:val="nil"/>
              <w:bottom w:val="single" w:sz="8" w:space="0" w:color="auto"/>
              <w:right w:val="single" w:sz="4" w:space="0" w:color="auto"/>
            </w:tcBorders>
            <w:shd w:val="clear" w:color="auto" w:fill="auto"/>
            <w:noWrap/>
            <w:vAlign w:val="center"/>
            <w:hideMark/>
          </w:tcPr>
          <w:p w14:paraId="45B91843" w14:textId="77777777" w:rsidR="00FE6554" w:rsidRPr="00FE6554" w:rsidRDefault="00FE6554" w:rsidP="00FE6554">
            <w:pPr>
              <w:jc w:val="center"/>
              <w:rPr>
                <w:color w:val="000000"/>
                <w:lang w:eastAsia="en-CA"/>
              </w:rPr>
            </w:pPr>
            <w:r w:rsidRPr="00FE6554">
              <w:rPr>
                <w:color w:val="000000"/>
                <w:lang w:eastAsia="en-CA"/>
              </w:rPr>
              <w:t>1.00</w:t>
            </w:r>
          </w:p>
        </w:tc>
        <w:tc>
          <w:tcPr>
            <w:tcW w:w="1100" w:type="dxa"/>
            <w:tcBorders>
              <w:top w:val="nil"/>
              <w:left w:val="nil"/>
              <w:bottom w:val="single" w:sz="8" w:space="0" w:color="auto"/>
              <w:right w:val="single" w:sz="4" w:space="0" w:color="auto"/>
            </w:tcBorders>
            <w:shd w:val="clear" w:color="auto" w:fill="auto"/>
            <w:noWrap/>
            <w:vAlign w:val="center"/>
            <w:hideMark/>
          </w:tcPr>
          <w:p w14:paraId="68E49416" w14:textId="77777777" w:rsidR="00FE6554" w:rsidRPr="00FE6554" w:rsidRDefault="00FE6554" w:rsidP="00FE6554">
            <w:pPr>
              <w:jc w:val="center"/>
              <w:rPr>
                <w:color w:val="000000"/>
                <w:lang w:eastAsia="en-CA"/>
              </w:rPr>
            </w:pPr>
            <w:r w:rsidRPr="00FE6554">
              <w:rPr>
                <w:color w:val="000000"/>
                <w:lang w:eastAsia="en-CA"/>
              </w:rPr>
              <w:t>-</w:t>
            </w:r>
          </w:p>
        </w:tc>
        <w:tc>
          <w:tcPr>
            <w:tcW w:w="10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411F05A" w14:textId="77777777" w:rsidR="00FE6554" w:rsidRPr="00FE6554" w:rsidRDefault="00FE6554" w:rsidP="00FE6554">
            <w:pPr>
              <w:jc w:val="center"/>
              <w:rPr>
                <w:color w:val="000000"/>
                <w:lang w:eastAsia="en-CA"/>
              </w:rPr>
            </w:pPr>
            <w:r w:rsidRPr="00FE6554">
              <w:rPr>
                <w:color w:val="000000"/>
                <w:lang w:eastAsia="en-CA"/>
              </w:rPr>
              <w:t>560</w:t>
            </w:r>
          </w:p>
        </w:tc>
        <w:tc>
          <w:tcPr>
            <w:tcW w:w="1100" w:type="dxa"/>
            <w:tcBorders>
              <w:top w:val="nil"/>
              <w:left w:val="nil"/>
              <w:bottom w:val="single" w:sz="8" w:space="0" w:color="auto"/>
              <w:right w:val="single" w:sz="4" w:space="0" w:color="auto"/>
            </w:tcBorders>
            <w:shd w:val="clear" w:color="auto" w:fill="auto"/>
            <w:noWrap/>
            <w:vAlign w:val="center"/>
            <w:hideMark/>
          </w:tcPr>
          <w:p w14:paraId="5F3E76CC" w14:textId="77777777" w:rsidR="00FE6554" w:rsidRPr="00FE6554" w:rsidRDefault="00FE6554" w:rsidP="00FE6554">
            <w:pPr>
              <w:jc w:val="center"/>
              <w:rPr>
                <w:color w:val="000000"/>
                <w:lang w:eastAsia="en-CA"/>
              </w:rPr>
            </w:pPr>
            <w:r w:rsidRPr="00FE6554">
              <w:rPr>
                <w:color w:val="000000"/>
                <w:lang w:eastAsia="en-CA"/>
              </w:rPr>
              <w:t>-</w:t>
            </w:r>
          </w:p>
        </w:tc>
        <w:tc>
          <w:tcPr>
            <w:tcW w:w="1213" w:type="dxa"/>
            <w:tcBorders>
              <w:top w:val="nil"/>
              <w:left w:val="nil"/>
              <w:bottom w:val="single" w:sz="8" w:space="0" w:color="auto"/>
              <w:right w:val="single" w:sz="8" w:space="0" w:color="auto"/>
            </w:tcBorders>
            <w:shd w:val="clear" w:color="auto" w:fill="auto"/>
            <w:noWrap/>
            <w:vAlign w:val="center"/>
            <w:hideMark/>
          </w:tcPr>
          <w:p w14:paraId="7A606299" w14:textId="77777777" w:rsidR="00FE6554" w:rsidRPr="00FE6554" w:rsidRDefault="00FE6554" w:rsidP="00FE6554">
            <w:pPr>
              <w:jc w:val="center"/>
              <w:rPr>
                <w:color w:val="000000"/>
                <w:lang w:eastAsia="en-CA"/>
              </w:rPr>
            </w:pPr>
            <w:r w:rsidRPr="00FE6554">
              <w:rPr>
                <w:color w:val="000000"/>
                <w:lang w:eastAsia="en-CA"/>
              </w:rPr>
              <w:t>-</w:t>
            </w:r>
          </w:p>
        </w:tc>
      </w:tr>
    </w:tbl>
    <w:p w14:paraId="25D219C6" w14:textId="77777777" w:rsidR="00FE6554" w:rsidRPr="00FE6554" w:rsidRDefault="00FE6554" w:rsidP="00FE6554">
      <w:r w:rsidRPr="00FE6554">
        <w:t>* The true width of mineralization is estimated to be 70-80% of the drilled interval</w:t>
      </w:r>
    </w:p>
    <w:p w14:paraId="083377EE" w14:textId="77777777" w:rsidR="00FE6554" w:rsidRPr="00FE6554" w:rsidRDefault="00FE6554" w:rsidP="00FE6554">
      <w:pPr>
        <w:rPr>
          <w:rFonts w:ascii="Times" w:hAnsi="Times" w:cs="Helvetica"/>
        </w:rPr>
      </w:pPr>
    </w:p>
    <w:p w14:paraId="398CA560" w14:textId="77777777" w:rsidR="00FE6554" w:rsidRPr="00FE6554" w:rsidRDefault="00FE6554" w:rsidP="00FE6554">
      <w:pPr>
        <w:rPr>
          <w:rFonts w:ascii="Times" w:hAnsi="Times" w:cs="Helvetica"/>
          <w:color w:val="FF0000"/>
          <w:sz w:val="22"/>
          <w:szCs w:val="22"/>
        </w:rPr>
      </w:pPr>
      <w:r w:rsidRPr="00FE6554">
        <w:rPr>
          <w:rFonts w:ascii="Times" w:hAnsi="Times" w:cs="Helvetica"/>
          <w:sz w:val="22"/>
          <w:szCs w:val="22"/>
        </w:rPr>
        <w:t xml:space="preserve">Possible follow up work and drill programs are currently being formulated by management. </w:t>
      </w:r>
    </w:p>
    <w:p w14:paraId="63B12B64" w14:textId="77777777" w:rsidR="00FE6554" w:rsidRPr="00FE6554" w:rsidRDefault="00FE6554" w:rsidP="00FE6554">
      <w:pPr>
        <w:pStyle w:val="NormalWeb"/>
        <w:spacing w:before="0" w:after="0"/>
        <w:rPr>
          <w:sz w:val="22"/>
          <w:szCs w:val="22"/>
        </w:rPr>
      </w:pPr>
    </w:p>
    <w:p w14:paraId="1EDA7B2A" w14:textId="77777777" w:rsidR="00FE6554" w:rsidRPr="00FE6554" w:rsidRDefault="00FE6554" w:rsidP="00FE6554">
      <w:pPr>
        <w:pStyle w:val="NormalWeb"/>
        <w:spacing w:before="0" w:after="0"/>
        <w:rPr>
          <w:sz w:val="22"/>
          <w:szCs w:val="22"/>
        </w:rPr>
      </w:pPr>
      <w:r w:rsidRPr="00FE6554">
        <w:rPr>
          <w:sz w:val="22"/>
          <w:szCs w:val="22"/>
        </w:rPr>
        <w:t>As at October 31, 2019, the Company had spent a total of $589,515 in exploration expenditures on the Ontario cobalt prospects.</w:t>
      </w:r>
    </w:p>
    <w:p w14:paraId="3EB3B9F3" w14:textId="77777777" w:rsidR="00FE6554" w:rsidRPr="00FE6554" w:rsidRDefault="00FE6554" w:rsidP="00FE6554">
      <w:pPr>
        <w:pStyle w:val="NormalWeb"/>
        <w:spacing w:before="0" w:after="0"/>
        <w:rPr>
          <w:sz w:val="22"/>
          <w:szCs w:val="22"/>
        </w:rPr>
      </w:pPr>
    </w:p>
    <w:p w14:paraId="0FF161E4" w14:textId="77777777" w:rsidR="00FE6554" w:rsidRPr="00FE6554" w:rsidRDefault="00FE6554" w:rsidP="00FE6554">
      <w:pPr>
        <w:pStyle w:val="NormalWeb"/>
        <w:spacing w:before="0" w:after="0"/>
        <w:rPr>
          <w:i/>
          <w:sz w:val="22"/>
          <w:szCs w:val="22"/>
          <w:u w:val="single"/>
        </w:rPr>
      </w:pPr>
      <w:r w:rsidRPr="00FE6554">
        <w:rPr>
          <w:i/>
          <w:sz w:val="22"/>
          <w:szCs w:val="22"/>
          <w:u w:val="single"/>
        </w:rPr>
        <w:t>Nevada Clayton Valley West Lithium Prospect</w:t>
      </w:r>
    </w:p>
    <w:p w14:paraId="3A452DA9" w14:textId="77777777" w:rsidR="00FE6554" w:rsidRPr="00FE6554" w:rsidRDefault="00FE6554" w:rsidP="00FE6554">
      <w:pPr>
        <w:pStyle w:val="NormalWeb"/>
        <w:spacing w:before="0" w:after="0"/>
        <w:rPr>
          <w:i/>
          <w:sz w:val="22"/>
          <w:szCs w:val="22"/>
          <w:u w:val="single"/>
        </w:rPr>
      </w:pPr>
    </w:p>
    <w:p w14:paraId="0AF59154" w14:textId="77777777" w:rsidR="00FE6554" w:rsidRPr="00FE6554" w:rsidRDefault="00FE6554" w:rsidP="00FE6554">
      <w:pPr>
        <w:pStyle w:val="NormalWeb"/>
        <w:spacing w:before="0" w:after="0"/>
        <w:rPr>
          <w:sz w:val="22"/>
          <w:szCs w:val="22"/>
        </w:rPr>
      </w:pPr>
      <w:r w:rsidRPr="00FE6554">
        <w:rPr>
          <w:sz w:val="22"/>
          <w:szCs w:val="22"/>
        </w:rPr>
        <w:t xml:space="preserve">During the year ended July 31, 2016, the Company entered into an agreement with an arm's-length vendor to acquire a 100% interest in six claim blocks in the Clayton Valley in Nevada, USA prospective for lithium.  </w:t>
      </w:r>
    </w:p>
    <w:p w14:paraId="09D4EA55" w14:textId="77777777" w:rsidR="00FE6554" w:rsidRPr="00FE6554" w:rsidRDefault="00FE6554" w:rsidP="00FE6554">
      <w:pPr>
        <w:pStyle w:val="NormalWeb"/>
        <w:spacing w:before="0" w:after="0"/>
        <w:rPr>
          <w:sz w:val="22"/>
          <w:szCs w:val="22"/>
        </w:rPr>
      </w:pPr>
    </w:p>
    <w:p w14:paraId="482E75CD" w14:textId="77777777" w:rsidR="00FE6554" w:rsidRPr="00FE6554" w:rsidRDefault="00FE6554" w:rsidP="00FE6554">
      <w:pPr>
        <w:pStyle w:val="NormalWeb"/>
        <w:spacing w:before="0" w:after="0"/>
        <w:rPr>
          <w:sz w:val="22"/>
          <w:szCs w:val="22"/>
        </w:rPr>
      </w:pPr>
      <w:r w:rsidRPr="00FE6554">
        <w:rPr>
          <w:sz w:val="22"/>
          <w:szCs w:val="22"/>
        </w:rPr>
        <w:t>As of October 31, 2019, the Company had incurred a total of $10,905 in claim maintenance fees on this prospect.</w:t>
      </w:r>
    </w:p>
    <w:p w14:paraId="396A18C8" w14:textId="77777777" w:rsidR="00FE6554" w:rsidRPr="00FE6554" w:rsidRDefault="00FE6554" w:rsidP="00FE6554">
      <w:pPr>
        <w:pStyle w:val="NormalWeb"/>
        <w:spacing w:before="0" w:after="0"/>
        <w:rPr>
          <w:sz w:val="22"/>
          <w:szCs w:val="22"/>
        </w:rPr>
      </w:pPr>
    </w:p>
    <w:p w14:paraId="36458C4B" w14:textId="77777777" w:rsidR="00FE6554" w:rsidRPr="00FE6554" w:rsidRDefault="00FE6554" w:rsidP="00FE6554">
      <w:pPr>
        <w:jc w:val="both"/>
        <w:rPr>
          <w:i/>
          <w:iCs/>
          <w:color w:val="000000"/>
          <w:sz w:val="22"/>
          <w:szCs w:val="22"/>
          <w:u w:val="single"/>
        </w:rPr>
      </w:pPr>
      <w:r w:rsidRPr="00FE6554">
        <w:rPr>
          <w:i/>
          <w:iCs/>
          <w:color w:val="000000"/>
          <w:sz w:val="22"/>
          <w:szCs w:val="22"/>
          <w:u w:val="single"/>
        </w:rPr>
        <w:t>BC War Eagle Cobalt Prospect</w:t>
      </w:r>
    </w:p>
    <w:p w14:paraId="2523F8B5" w14:textId="77777777" w:rsidR="00FE6554" w:rsidRPr="00FE6554" w:rsidRDefault="00FE6554" w:rsidP="00FE6554">
      <w:pPr>
        <w:jc w:val="both"/>
        <w:rPr>
          <w:i/>
          <w:iCs/>
          <w:color w:val="000000"/>
          <w:sz w:val="22"/>
          <w:szCs w:val="22"/>
          <w:u w:val="single"/>
        </w:rPr>
      </w:pPr>
    </w:p>
    <w:p w14:paraId="7008FAF6" w14:textId="77777777" w:rsidR="00FE6554" w:rsidRPr="00FE6554" w:rsidRDefault="00FE6554" w:rsidP="00FE6554">
      <w:pPr>
        <w:jc w:val="both"/>
        <w:rPr>
          <w:color w:val="000000"/>
          <w:sz w:val="22"/>
          <w:szCs w:val="22"/>
        </w:rPr>
      </w:pPr>
      <w:r w:rsidRPr="00FE6554">
        <w:rPr>
          <w:color w:val="000000"/>
          <w:sz w:val="22"/>
          <w:szCs w:val="22"/>
        </w:rPr>
        <w:t xml:space="preserve">In June 2016, the Company acquired a 100% interest in certain mineral claims in British Columbia for staking costs of $3,496 and </w:t>
      </w:r>
      <w:r w:rsidRPr="00FE6554">
        <w:rPr>
          <w:sz w:val="22"/>
          <w:szCs w:val="22"/>
        </w:rPr>
        <w:t>in January 2018, the Company acquired a 100% interest in additional mineral claims in British Columbia for staking costs of $7,283 to increase the acreage on the War Eagle Cobalt Prospect to 15,219 acres.</w:t>
      </w:r>
      <w:r w:rsidRPr="00FE6554">
        <w:rPr>
          <w:color w:val="000000"/>
          <w:sz w:val="22"/>
          <w:szCs w:val="22"/>
        </w:rPr>
        <w:t xml:space="preserve">  </w:t>
      </w:r>
    </w:p>
    <w:p w14:paraId="2390ACF3" w14:textId="77777777" w:rsidR="00FE6554" w:rsidRPr="00FE6554" w:rsidRDefault="00FE6554" w:rsidP="00FE6554">
      <w:pPr>
        <w:jc w:val="both"/>
        <w:rPr>
          <w:color w:val="000000"/>
          <w:sz w:val="22"/>
          <w:szCs w:val="22"/>
        </w:rPr>
      </w:pPr>
    </w:p>
    <w:p w14:paraId="0047AA3E" w14:textId="77777777" w:rsidR="00FE6554" w:rsidRPr="00FE6554" w:rsidRDefault="00FE6554" w:rsidP="00FE6554">
      <w:pPr>
        <w:jc w:val="both"/>
        <w:rPr>
          <w:sz w:val="22"/>
          <w:szCs w:val="22"/>
        </w:rPr>
      </w:pPr>
      <w:r w:rsidRPr="00FE6554">
        <w:rPr>
          <w:sz w:val="22"/>
          <w:szCs w:val="22"/>
        </w:rPr>
        <w:t>In October 2018, the Company decided to drop certain War Eagle claims that comprised approximately 10,284 acres and allowed them to lapse when they became due. Accordingly, prior acquisition costs of $7,283 and exploration costs of $12,716 associated with these lapsed claims were written off as of July 31, 2018.</w:t>
      </w:r>
    </w:p>
    <w:p w14:paraId="44AFDEAA" w14:textId="77777777" w:rsidR="00FE6554" w:rsidRDefault="00FE6554" w:rsidP="00FE6554">
      <w:pPr>
        <w:jc w:val="both"/>
        <w:rPr>
          <w:sz w:val="22"/>
          <w:szCs w:val="22"/>
        </w:rPr>
        <w:sectPr w:rsidR="00FE6554" w:rsidSect="00FE6554">
          <w:headerReference w:type="first" r:id="rId29"/>
          <w:pgSz w:w="12240" w:h="15840" w:code="1"/>
          <w:pgMar w:top="288" w:right="1296" w:bottom="288" w:left="1296" w:header="720" w:footer="720" w:gutter="0"/>
          <w:cols w:space="720"/>
          <w:titlePg/>
          <w:docGrid w:linePitch="360"/>
        </w:sectPr>
      </w:pPr>
    </w:p>
    <w:p w14:paraId="585AB655" w14:textId="3BA36AF5" w:rsidR="00FE6554" w:rsidRPr="00FE6554" w:rsidRDefault="00FE6554" w:rsidP="00FE6554">
      <w:pPr>
        <w:jc w:val="both"/>
        <w:rPr>
          <w:sz w:val="22"/>
          <w:szCs w:val="22"/>
        </w:rPr>
      </w:pPr>
    </w:p>
    <w:p w14:paraId="2B11C25C" w14:textId="77777777" w:rsidR="00FE6554" w:rsidRPr="00FE6554" w:rsidRDefault="00FE6554" w:rsidP="00FE6554">
      <w:pPr>
        <w:jc w:val="both"/>
        <w:rPr>
          <w:color w:val="000000"/>
          <w:sz w:val="22"/>
          <w:szCs w:val="22"/>
        </w:rPr>
      </w:pPr>
      <w:r w:rsidRPr="00FE6554">
        <w:rPr>
          <w:sz w:val="22"/>
          <w:szCs w:val="22"/>
        </w:rPr>
        <w:t>During the year ended July 31, 2019, the Company decided to further reduce the size of certain War Eagle claims from 4,936 acres to 1,542 acres. Accordingly, prior acquisition costs of $2,404 and exploration costs of $18,705 were written off.</w:t>
      </w:r>
    </w:p>
    <w:p w14:paraId="6359FF5D" w14:textId="77777777" w:rsidR="00FE6554" w:rsidRPr="00FE6554" w:rsidRDefault="00FE6554" w:rsidP="00FE6554">
      <w:pPr>
        <w:jc w:val="both"/>
        <w:rPr>
          <w:color w:val="000000"/>
          <w:sz w:val="22"/>
          <w:szCs w:val="22"/>
        </w:rPr>
      </w:pPr>
    </w:p>
    <w:p w14:paraId="0EA6789E" w14:textId="77777777" w:rsidR="00FE6554" w:rsidRPr="00FE6554" w:rsidRDefault="00FE6554" w:rsidP="00FE6554">
      <w:pPr>
        <w:jc w:val="both"/>
        <w:rPr>
          <w:color w:val="000000"/>
          <w:sz w:val="22"/>
          <w:szCs w:val="22"/>
        </w:rPr>
      </w:pPr>
      <w:r w:rsidRPr="00FE6554">
        <w:rPr>
          <w:sz w:val="22"/>
          <w:szCs w:val="22"/>
        </w:rPr>
        <w:t>The Company conducted an airborne work program over its War Eagle Cobalt Prospect in January 2018.</w:t>
      </w:r>
      <w:r w:rsidRPr="00FE6554">
        <w:rPr>
          <w:color w:val="000000"/>
          <w:sz w:val="22"/>
          <w:szCs w:val="22"/>
        </w:rPr>
        <w:t xml:space="preserve">  </w:t>
      </w:r>
    </w:p>
    <w:p w14:paraId="236DF31B" w14:textId="77777777" w:rsidR="00FE6554" w:rsidRPr="00FE6554" w:rsidRDefault="00FE6554" w:rsidP="00FE6554">
      <w:pPr>
        <w:jc w:val="both"/>
        <w:rPr>
          <w:bCs/>
          <w:iCs/>
          <w:sz w:val="22"/>
          <w:szCs w:val="22"/>
        </w:rPr>
      </w:pPr>
    </w:p>
    <w:p w14:paraId="4C142501" w14:textId="77777777" w:rsidR="00FE6554" w:rsidRPr="00FE6554" w:rsidRDefault="00FE6554" w:rsidP="00FE6554">
      <w:pPr>
        <w:jc w:val="both"/>
        <w:rPr>
          <w:color w:val="000000"/>
          <w:sz w:val="22"/>
          <w:szCs w:val="22"/>
        </w:rPr>
      </w:pPr>
      <w:r w:rsidRPr="00FE6554">
        <w:rPr>
          <w:sz w:val="22"/>
          <w:szCs w:val="22"/>
          <w:lang w:val="en-CA"/>
        </w:rPr>
        <w:t xml:space="preserve">As at October 31, 2019, </w:t>
      </w:r>
      <w:r w:rsidRPr="00FE6554">
        <w:rPr>
          <w:sz w:val="22"/>
          <w:szCs w:val="22"/>
        </w:rPr>
        <w:t>the Company had spent a total of $10,998 in exploration expenditures on this prospect.</w:t>
      </w:r>
    </w:p>
    <w:p w14:paraId="3BDC7B2B" w14:textId="77777777" w:rsidR="00FE6554" w:rsidRPr="00FE6554" w:rsidRDefault="00FE6554" w:rsidP="00FE6554">
      <w:pPr>
        <w:jc w:val="both"/>
        <w:rPr>
          <w:color w:val="000000"/>
          <w:sz w:val="22"/>
          <w:szCs w:val="22"/>
        </w:rPr>
      </w:pPr>
    </w:p>
    <w:p w14:paraId="146DF85D" w14:textId="77777777" w:rsidR="00FE6554" w:rsidRPr="00FE6554" w:rsidRDefault="00FE6554" w:rsidP="00FE6554">
      <w:pPr>
        <w:autoSpaceDE w:val="0"/>
        <w:autoSpaceDN w:val="0"/>
        <w:adjustRightInd w:val="0"/>
        <w:jc w:val="both"/>
        <w:rPr>
          <w:i/>
          <w:iCs/>
          <w:sz w:val="22"/>
          <w:szCs w:val="22"/>
          <w:u w:val="single"/>
        </w:rPr>
      </w:pPr>
      <w:r w:rsidRPr="00FE6554">
        <w:rPr>
          <w:i/>
          <w:iCs/>
          <w:sz w:val="22"/>
          <w:szCs w:val="22"/>
          <w:u w:val="single"/>
        </w:rPr>
        <w:t xml:space="preserve">Yukon Quartz Claims </w:t>
      </w:r>
    </w:p>
    <w:p w14:paraId="59DDD629" w14:textId="77777777" w:rsidR="00FE6554" w:rsidRPr="00FE6554" w:rsidRDefault="00FE6554" w:rsidP="00FE6554">
      <w:pPr>
        <w:autoSpaceDE w:val="0"/>
        <w:autoSpaceDN w:val="0"/>
        <w:adjustRightInd w:val="0"/>
        <w:jc w:val="both"/>
        <w:rPr>
          <w:sz w:val="22"/>
          <w:szCs w:val="22"/>
        </w:rPr>
      </w:pPr>
    </w:p>
    <w:p w14:paraId="2E6DBC96" w14:textId="77777777" w:rsidR="00FE6554" w:rsidRPr="00FE6554" w:rsidRDefault="00FE6554" w:rsidP="00FE6554">
      <w:pPr>
        <w:pStyle w:val="NormalWeb"/>
        <w:spacing w:before="0" w:after="0"/>
        <w:rPr>
          <w:sz w:val="22"/>
          <w:szCs w:val="22"/>
        </w:rPr>
      </w:pPr>
      <w:r w:rsidRPr="00FE6554">
        <w:rPr>
          <w:sz w:val="22"/>
          <w:szCs w:val="22"/>
        </w:rPr>
        <w:t xml:space="preserve">During the year ended July 31, 2010, the Company acquired a 100% interest in ninety-five load quartz mineral claims covering an area of approximately 4,836 acres, located in the Yukon Territory. </w:t>
      </w:r>
    </w:p>
    <w:p w14:paraId="42E88A3A" w14:textId="77777777" w:rsidR="00FE6554" w:rsidRPr="00FE6554" w:rsidRDefault="00FE6554" w:rsidP="00FE6554">
      <w:pPr>
        <w:pStyle w:val="NormalWeb"/>
        <w:spacing w:before="0" w:after="0"/>
        <w:rPr>
          <w:i/>
          <w:iCs/>
          <w:sz w:val="22"/>
          <w:szCs w:val="22"/>
        </w:rPr>
      </w:pPr>
    </w:p>
    <w:p w14:paraId="6E0BB4B3" w14:textId="77777777" w:rsidR="00FE6554" w:rsidRPr="00FE6554" w:rsidRDefault="00FE6554" w:rsidP="00FE6554">
      <w:pPr>
        <w:pStyle w:val="NormalWeb"/>
        <w:spacing w:before="0" w:after="0"/>
        <w:rPr>
          <w:b/>
          <w:color w:val="FF0000"/>
          <w:sz w:val="22"/>
          <w:szCs w:val="22"/>
        </w:rPr>
      </w:pPr>
      <w:r w:rsidRPr="00FE6554">
        <w:rPr>
          <w:sz w:val="22"/>
          <w:szCs w:val="22"/>
        </w:rPr>
        <w:t>During the years ended July 31, 2013, 2015 and 2016, the Company decided not to continue with certain claims and allowed these claims to lapse when they became due. Accordingly, prior acquisition costs of $670,862 and exploration costs of $34,838 associated with these lapsed claims were written off.</w:t>
      </w:r>
    </w:p>
    <w:p w14:paraId="52202ADE" w14:textId="77777777" w:rsidR="00FE6554" w:rsidRPr="00FE6554" w:rsidRDefault="00FE6554" w:rsidP="00FE6554">
      <w:pPr>
        <w:jc w:val="both"/>
        <w:rPr>
          <w:bCs/>
          <w:sz w:val="22"/>
          <w:szCs w:val="22"/>
        </w:rPr>
      </w:pPr>
    </w:p>
    <w:p w14:paraId="37195998" w14:textId="77777777" w:rsidR="00FE6554" w:rsidRPr="00FE6554" w:rsidRDefault="00FE6554" w:rsidP="00FE6554">
      <w:pPr>
        <w:pStyle w:val="NormalWeb"/>
        <w:spacing w:before="0" w:after="0"/>
        <w:rPr>
          <w:sz w:val="22"/>
          <w:szCs w:val="22"/>
        </w:rPr>
      </w:pPr>
      <w:r w:rsidRPr="00FE6554">
        <w:rPr>
          <w:sz w:val="22"/>
          <w:szCs w:val="22"/>
        </w:rPr>
        <w:t>As at October 31, 2019, the Company had spent a total of $2,127 in exploration expenditures on the remaining Yukon quartz claims.</w:t>
      </w:r>
    </w:p>
    <w:p w14:paraId="628EF8FA" w14:textId="77777777" w:rsidR="00FE6554" w:rsidRPr="00FE6554" w:rsidRDefault="00FE6554" w:rsidP="00FE6554">
      <w:pPr>
        <w:jc w:val="both"/>
        <w:rPr>
          <w:sz w:val="22"/>
          <w:szCs w:val="22"/>
          <w:lang w:val="en-CA"/>
        </w:rPr>
      </w:pPr>
    </w:p>
    <w:p w14:paraId="21F28A14" w14:textId="77777777" w:rsidR="00FE6554" w:rsidRPr="00FE6554" w:rsidRDefault="00FE6554" w:rsidP="00FE6554">
      <w:pPr>
        <w:jc w:val="both"/>
        <w:rPr>
          <w:i/>
          <w:sz w:val="22"/>
          <w:szCs w:val="22"/>
          <w:u w:val="single"/>
          <w:lang w:val="en-CA"/>
        </w:rPr>
      </w:pPr>
      <w:r w:rsidRPr="00FE6554">
        <w:rPr>
          <w:i/>
          <w:sz w:val="22"/>
          <w:szCs w:val="22"/>
          <w:u w:val="single"/>
          <w:lang w:val="en-CA"/>
        </w:rPr>
        <w:t>Idaho Star Cobalt Prospect</w:t>
      </w:r>
    </w:p>
    <w:p w14:paraId="70A7F362" w14:textId="77777777" w:rsidR="00FE6554" w:rsidRPr="00FE6554" w:rsidRDefault="00FE6554" w:rsidP="00FE6554">
      <w:pPr>
        <w:pStyle w:val="Header"/>
        <w:tabs>
          <w:tab w:val="left" w:pos="1100"/>
        </w:tabs>
        <w:ind w:left="1460"/>
        <w:jc w:val="both"/>
        <w:rPr>
          <w:sz w:val="22"/>
          <w:szCs w:val="22"/>
          <w:lang w:val="en-CA"/>
        </w:rPr>
      </w:pPr>
    </w:p>
    <w:p w14:paraId="7630F9CC" w14:textId="77777777" w:rsidR="00FE6554" w:rsidRPr="00FE6554" w:rsidRDefault="00FE6554" w:rsidP="00FE6554">
      <w:pPr>
        <w:jc w:val="both"/>
        <w:rPr>
          <w:sz w:val="22"/>
          <w:szCs w:val="22"/>
          <w:lang w:val="en-CA"/>
        </w:rPr>
      </w:pPr>
      <w:r w:rsidRPr="00FE6554">
        <w:rPr>
          <w:sz w:val="22"/>
          <w:szCs w:val="22"/>
          <w:lang w:val="en-CA"/>
        </w:rPr>
        <w:t xml:space="preserve">In October 2016, the Company acquired a 100% interest in the Idaho Star Cobalt Prospect in Idaho, U.S.A. for staking costs of $39,964. This prospect is located approximately 9 miles southwest of </w:t>
      </w:r>
      <w:proofErr w:type="spellStart"/>
      <w:r w:rsidRPr="00FE6554">
        <w:rPr>
          <w:sz w:val="22"/>
          <w:szCs w:val="22"/>
          <w:lang w:val="en-CA"/>
        </w:rPr>
        <w:t>Saltese</w:t>
      </w:r>
      <w:proofErr w:type="spellEnd"/>
      <w:r w:rsidRPr="00FE6554">
        <w:rPr>
          <w:sz w:val="22"/>
          <w:szCs w:val="22"/>
          <w:lang w:val="en-CA"/>
        </w:rPr>
        <w:t xml:space="preserve">, Montana and 19 miles southeast of Wallace, Idaho. This prospect consists of 44 contiguous claims within the Idaho Cobalt Belt. </w:t>
      </w:r>
      <w:r w:rsidRPr="00FE6554">
        <w:rPr>
          <w:sz w:val="22"/>
          <w:szCs w:val="22"/>
        </w:rPr>
        <w:t>In July 2017, the Company conducted a soil sampling program on its Idaho Star Cobalt Prospect.</w:t>
      </w:r>
      <w:r w:rsidRPr="00FE6554">
        <w:rPr>
          <w:sz w:val="22"/>
          <w:szCs w:val="22"/>
          <w:lang w:val="en-CA"/>
        </w:rPr>
        <w:t xml:space="preserve">  </w:t>
      </w:r>
    </w:p>
    <w:p w14:paraId="4FEC0969" w14:textId="77777777" w:rsidR="00FE6554" w:rsidRPr="00FE6554" w:rsidRDefault="00FE6554" w:rsidP="00FE6554">
      <w:pPr>
        <w:jc w:val="both"/>
        <w:rPr>
          <w:sz w:val="22"/>
          <w:szCs w:val="22"/>
          <w:lang w:val="en-CA"/>
        </w:rPr>
      </w:pPr>
    </w:p>
    <w:p w14:paraId="2D31D631" w14:textId="77777777" w:rsidR="00FE6554" w:rsidRPr="00FE6554" w:rsidRDefault="00FE6554" w:rsidP="00FE6554">
      <w:pPr>
        <w:jc w:val="both"/>
        <w:rPr>
          <w:sz w:val="22"/>
          <w:szCs w:val="22"/>
          <w:lang w:val="en-CA"/>
        </w:rPr>
      </w:pPr>
      <w:r w:rsidRPr="00FE6554">
        <w:rPr>
          <w:sz w:val="22"/>
          <w:szCs w:val="22"/>
        </w:rPr>
        <w:t>In August 2018, the Company decided to drop certain Idaho claims and allowed them to lapse when they became due. Prior acquisition costs of $36,330 and exploration costs of $32,122 were written down as of July 31, 2018.</w:t>
      </w:r>
    </w:p>
    <w:p w14:paraId="6BF2CF7E" w14:textId="77777777" w:rsidR="00FE6554" w:rsidRPr="00FE6554" w:rsidRDefault="00FE6554" w:rsidP="00FE6554">
      <w:pPr>
        <w:jc w:val="both"/>
        <w:rPr>
          <w:sz w:val="22"/>
          <w:szCs w:val="22"/>
          <w:lang w:val="en-CA"/>
        </w:rPr>
      </w:pPr>
    </w:p>
    <w:p w14:paraId="5D0F0FBB" w14:textId="77777777" w:rsidR="00FE6554" w:rsidRPr="00FE6554" w:rsidRDefault="00FE6554" w:rsidP="00FE6554">
      <w:pPr>
        <w:jc w:val="both"/>
        <w:rPr>
          <w:color w:val="FF0000"/>
          <w:sz w:val="22"/>
          <w:szCs w:val="22"/>
          <w:lang w:val="en-CA"/>
        </w:rPr>
      </w:pPr>
      <w:r w:rsidRPr="00FE6554">
        <w:rPr>
          <w:sz w:val="22"/>
          <w:szCs w:val="22"/>
        </w:rPr>
        <w:t xml:space="preserve">The Company is considering a follow up program. However, a final decision has not been concluded at this time. </w:t>
      </w:r>
    </w:p>
    <w:p w14:paraId="25DB559F" w14:textId="77777777" w:rsidR="00FE6554" w:rsidRPr="00FE6554" w:rsidRDefault="00FE6554" w:rsidP="00FE6554">
      <w:pPr>
        <w:jc w:val="both"/>
        <w:rPr>
          <w:sz w:val="22"/>
          <w:szCs w:val="22"/>
          <w:lang w:val="en-CA"/>
        </w:rPr>
      </w:pPr>
    </w:p>
    <w:p w14:paraId="6A7082AF" w14:textId="77777777" w:rsidR="00FE6554" w:rsidRPr="00FE6554" w:rsidRDefault="00FE6554" w:rsidP="00FE6554">
      <w:pPr>
        <w:jc w:val="both"/>
        <w:rPr>
          <w:sz w:val="22"/>
          <w:szCs w:val="22"/>
        </w:rPr>
      </w:pPr>
      <w:r w:rsidRPr="00FE6554">
        <w:rPr>
          <w:sz w:val="22"/>
          <w:szCs w:val="22"/>
        </w:rPr>
        <w:t>As at October 31, 2019, the Company had spent a total of $4,948 in exploration expenditures on this prospect.</w:t>
      </w:r>
    </w:p>
    <w:p w14:paraId="7952702D" w14:textId="77777777" w:rsidR="00FE6554" w:rsidRPr="00FE6554" w:rsidRDefault="00FE6554" w:rsidP="00FE6554">
      <w:pPr>
        <w:jc w:val="both"/>
        <w:rPr>
          <w:sz w:val="22"/>
          <w:szCs w:val="22"/>
        </w:rPr>
      </w:pPr>
    </w:p>
    <w:p w14:paraId="6AA6712C" w14:textId="77777777" w:rsidR="00FE6554" w:rsidRPr="00FE6554" w:rsidRDefault="00FE6554" w:rsidP="00FE6554">
      <w:pPr>
        <w:jc w:val="both"/>
        <w:rPr>
          <w:sz w:val="22"/>
          <w:szCs w:val="22"/>
        </w:rPr>
      </w:pPr>
      <w:r w:rsidRPr="00FE6554">
        <w:rPr>
          <w:sz w:val="22"/>
          <w:szCs w:val="22"/>
        </w:rPr>
        <w:t>The Company will continue exploration activities on its properties if the Company is able to obtain sufficient financing. While the Company have been successful in securing financings in the past, there is no assurance that the Company will be able to do so in the future, and/or that the Company will be able to raise sufficient funds to meet its work commitments for all of its properties.</w:t>
      </w:r>
    </w:p>
    <w:p w14:paraId="0E508485" w14:textId="77777777" w:rsidR="00FE6554" w:rsidRPr="00FE6554" w:rsidRDefault="00FE6554" w:rsidP="00FE6554">
      <w:pPr>
        <w:jc w:val="both"/>
        <w:rPr>
          <w:sz w:val="22"/>
          <w:szCs w:val="22"/>
        </w:rPr>
      </w:pPr>
    </w:p>
    <w:p w14:paraId="41F8AC7F" w14:textId="77777777" w:rsidR="00FE6554" w:rsidRPr="00FE6554" w:rsidRDefault="00FE6554" w:rsidP="00FE6554">
      <w:pPr>
        <w:pStyle w:val="BodyText2"/>
        <w:rPr>
          <w:b/>
          <w:bCs/>
          <w:sz w:val="22"/>
          <w:szCs w:val="22"/>
        </w:rPr>
      </w:pPr>
      <w:r w:rsidRPr="00FE6554">
        <w:rPr>
          <w:b/>
          <w:bCs/>
          <w:sz w:val="22"/>
          <w:szCs w:val="22"/>
        </w:rPr>
        <w:t xml:space="preserve">Overall Performance </w:t>
      </w:r>
    </w:p>
    <w:p w14:paraId="7BFE573B" w14:textId="77777777" w:rsidR="00FE6554" w:rsidRPr="00FE6554" w:rsidRDefault="00FE6554" w:rsidP="00FE6554">
      <w:pPr>
        <w:pStyle w:val="BodyText2"/>
        <w:rPr>
          <w:sz w:val="22"/>
          <w:szCs w:val="22"/>
        </w:rPr>
      </w:pPr>
    </w:p>
    <w:p w14:paraId="67655D21" w14:textId="77777777" w:rsidR="00FE6554" w:rsidRPr="00FE6554" w:rsidRDefault="00FE6554" w:rsidP="00FE6554">
      <w:pPr>
        <w:pStyle w:val="BodyTextIndent2"/>
        <w:ind w:left="0"/>
        <w:rPr>
          <w:szCs w:val="22"/>
        </w:rPr>
      </w:pPr>
      <w:r w:rsidRPr="00FE6554">
        <w:rPr>
          <w:szCs w:val="22"/>
        </w:rPr>
        <w:t xml:space="preserve">The Company is a mineral exploration company engaged in the business of acquisition, exploration and, if warranted, development of mineral properties. The Company does not expect to generate any revenues in the foreseeable future or until a mineable reserve is defined and economically recoverable.  The Company expects to continue to incur expenses as it works to further explore and develop its mineral properties. </w:t>
      </w:r>
    </w:p>
    <w:p w14:paraId="36B2AE01" w14:textId="77777777" w:rsidR="00FE6554" w:rsidRPr="00FE6554" w:rsidRDefault="00FE6554" w:rsidP="00FE6554">
      <w:pPr>
        <w:pStyle w:val="BodyTextIndent2"/>
        <w:ind w:left="0"/>
        <w:rPr>
          <w:szCs w:val="22"/>
        </w:rPr>
      </w:pPr>
    </w:p>
    <w:p w14:paraId="7FCA2F3B" w14:textId="77777777" w:rsidR="00FE6554" w:rsidRPr="00FE6554" w:rsidRDefault="00FE6554" w:rsidP="00FE6554">
      <w:pPr>
        <w:pStyle w:val="BodyTextIndent2"/>
        <w:ind w:left="0"/>
        <w:rPr>
          <w:szCs w:val="22"/>
        </w:rPr>
      </w:pPr>
      <w:r w:rsidRPr="00FE6554">
        <w:rPr>
          <w:szCs w:val="22"/>
        </w:rPr>
        <w:lastRenderedPageBreak/>
        <w:t>The Company has conducted limited exploration on some of its properties</w:t>
      </w:r>
      <w:r w:rsidRPr="00FE6554">
        <w:rPr>
          <w:bCs/>
          <w:szCs w:val="22"/>
        </w:rPr>
        <w:t xml:space="preserve">, </w:t>
      </w:r>
      <w:r w:rsidRPr="00FE6554">
        <w:rPr>
          <w:szCs w:val="22"/>
        </w:rPr>
        <w:t xml:space="preserve">due to, among other things, the availability of sufficient funds for the purposes of mineral exploration and development, access to the property due to climate conditions, the uncertainties associated with the prices of precious and base metals and other minerals, and the global economic climate.  The Company is in the process of exploring its mineral properties and has not yet determined whether the properties contain reserves that are economically recoverable. </w:t>
      </w:r>
    </w:p>
    <w:p w14:paraId="0A82E698" w14:textId="77777777" w:rsidR="00FE6554" w:rsidRPr="00FE6554" w:rsidRDefault="00FE6554" w:rsidP="00FE6554">
      <w:pPr>
        <w:pStyle w:val="BodyTextIndent2"/>
        <w:ind w:left="0"/>
        <w:rPr>
          <w:szCs w:val="22"/>
        </w:rPr>
      </w:pPr>
    </w:p>
    <w:p w14:paraId="5AD507F2" w14:textId="77777777" w:rsidR="00FE6554" w:rsidRPr="00FE6554" w:rsidRDefault="00FE6554" w:rsidP="00FE6554">
      <w:pPr>
        <w:pStyle w:val="BodyTextIndent2"/>
        <w:ind w:left="0"/>
        <w:rPr>
          <w:szCs w:val="22"/>
        </w:rPr>
      </w:pPr>
      <w:r w:rsidRPr="00FE6554">
        <w:rPr>
          <w:szCs w:val="22"/>
        </w:rPr>
        <w:t>The Company’s future performance is largely tied to the outcome of future exploration and the overall financial markets. The recoverability of minerals from the Company’s properties is dependent upon, among other things, the discovery of economically recoverable reserves, the ability of the Company to obtain necessary financing to continue to explore and develop its properties and upon future profitable production. Uncertainty in credit markets, fluctuation in commodity prices and general economic downturns has led to increased difficulties in raising and borrowing funds. As a result, the Company may have difficulty raising equity financing for the purposes of exploration and development of the Company’s properties, without diluting the interests of current shareholders of the Company. See “Liquidity and Capital Resources” and “Risk and Uncertainties” for a discussion of risk factors that may impact the Company’s ability to raise funds.</w:t>
      </w:r>
    </w:p>
    <w:p w14:paraId="399EA7A1" w14:textId="77777777" w:rsidR="00FE6554" w:rsidRPr="00FE6554" w:rsidRDefault="00FE6554" w:rsidP="00FE6554">
      <w:pPr>
        <w:pStyle w:val="BodyTextIndent2"/>
        <w:ind w:left="0"/>
        <w:rPr>
          <w:szCs w:val="22"/>
        </w:rPr>
      </w:pPr>
    </w:p>
    <w:p w14:paraId="1691A7BA" w14:textId="77777777" w:rsidR="00FE6554" w:rsidRPr="00FE6554" w:rsidRDefault="00FE6554" w:rsidP="00FE6554">
      <w:pPr>
        <w:pStyle w:val="BodyTextIndent2"/>
        <w:ind w:left="0"/>
        <w:rPr>
          <w:color w:val="000000"/>
          <w:szCs w:val="22"/>
        </w:rPr>
      </w:pPr>
      <w:r w:rsidRPr="00FE6554">
        <w:rPr>
          <w:color w:val="000000"/>
          <w:szCs w:val="22"/>
        </w:rPr>
        <w:t>Information about the Company’s commitments relating to its mineral properties is discussed above under “Nature of Business – Mineral Properties”.</w:t>
      </w:r>
    </w:p>
    <w:p w14:paraId="6CDC550C" w14:textId="77777777" w:rsidR="00FE6554" w:rsidRPr="00FE6554" w:rsidRDefault="00FE6554" w:rsidP="00FE6554">
      <w:pPr>
        <w:pStyle w:val="BodyText2"/>
        <w:rPr>
          <w:sz w:val="22"/>
          <w:szCs w:val="22"/>
        </w:rPr>
      </w:pPr>
    </w:p>
    <w:p w14:paraId="5BB79C54" w14:textId="77777777" w:rsidR="00FE6554" w:rsidRPr="00FE6554" w:rsidRDefault="00FE6554" w:rsidP="00FE6554">
      <w:pPr>
        <w:pStyle w:val="BodyText2"/>
        <w:rPr>
          <w:sz w:val="22"/>
          <w:szCs w:val="22"/>
        </w:rPr>
      </w:pPr>
      <w:r w:rsidRPr="00FE6554">
        <w:rPr>
          <w:sz w:val="22"/>
          <w:szCs w:val="22"/>
        </w:rPr>
        <w:t>The Company did not generate any revenue during the three months ended October 31, 2019 and 2018. The Company’s n</w:t>
      </w:r>
      <w:r w:rsidRPr="00FE6554">
        <w:rPr>
          <w:sz w:val="22"/>
          <w:szCs w:val="22"/>
          <w:lang w:val="en-GB"/>
        </w:rPr>
        <w:t xml:space="preserve">et comprehensive loss decreased from $155,362 for the </w:t>
      </w:r>
      <w:r w:rsidRPr="00FE6554">
        <w:rPr>
          <w:sz w:val="22"/>
          <w:szCs w:val="22"/>
        </w:rPr>
        <w:t>three months ended October 31, 2018</w:t>
      </w:r>
      <w:r w:rsidRPr="00FE6554">
        <w:rPr>
          <w:sz w:val="22"/>
          <w:szCs w:val="22"/>
          <w:lang w:val="en-GB"/>
        </w:rPr>
        <w:t xml:space="preserve"> to $100,054 for the </w:t>
      </w:r>
      <w:r w:rsidRPr="00FE6554">
        <w:rPr>
          <w:sz w:val="22"/>
          <w:szCs w:val="22"/>
        </w:rPr>
        <w:t xml:space="preserve">three months ended October 31, 2019, </w:t>
      </w:r>
      <w:r w:rsidRPr="00FE6554">
        <w:rPr>
          <w:sz w:val="22"/>
          <w:szCs w:val="22"/>
          <w:lang w:val="en-GB"/>
        </w:rPr>
        <w:t xml:space="preserve">mainly due to a decrease in operating expenses.  The Company’s cash and cash equivalents decreased from </w:t>
      </w:r>
      <w:r w:rsidRPr="00FE6554">
        <w:rPr>
          <w:sz w:val="22"/>
          <w:szCs w:val="22"/>
        </w:rPr>
        <w:t>$2,062,547 as at July 31, 2019 to $1,948,213 as at October 31, 2019. The Company had a working capital of $1,967,949 as at October 31, 2019 as compared to $2,074,525 as at July 31, 2019.</w:t>
      </w:r>
    </w:p>
    <w:p w14:paraId="2DF51CCE" w14:textId="77777777" w:rsidR="00FE6554" w:rsidRPr="00FE6554" w:rsidRDefault="00FE6554" w:rsidP="00FE6554">
      <w:pPr>
        <w:pStyle w:val="BodyTextIndent2"/>
        <w:ind w:left="0"/>
        <w:rPr>
          <w:szCs w:val="22"/>
        </w:rPr>
      </w:pPr>
    </w:p>
    <w:p w14:paraId="2F5EDFF5" w14:textId="77777777" w:rsidR="00FE6554" w:rsidRPr="00FE6554" w:rsidRDefault="00FE6554" w:rsidP="00FE6554">
      <w:pPr>
        <w:pStyle w:val="BodyTextIndent2"/>
        <w:ind w:left="0"/>
        <w:rPr>
          <w:szCs w:val="22"/>
        </w:rPr>
      </w:pPr>
      <w:r w:rsidRPr="00FE6554">
        <w:rPr>
          <w:szCs w:val="22"/>
        </w:rPr>
        <w:t>The Company’s current assets have decreased to $2,005,939 as at October 31, 2019 from $2,135,279 as at July 31, 2019, due mainly to a decrease in cash and cash equivalents. The Company’s current liabilities have decreased from $60,754 as at July 31, 2019 to $37,990 as at October 31, 2019 due to a decrease in accounts payable and accrued liabilities. The value ascribed to the Company’s exploration and evaluation assets has increased from $1,262,324 as at July 31, 2019 to $1,268,846 as at October 31, 2019, due mainly to claim maintenance fees incurred to keep the U.S. and Yukon claims in good standing as set described above.</w:t>
      </w:r>
    </w:p>
    <w:p w14:paraId="65C27AAA" w14:textId="77777777" w:rsidR="00FE6554" w:rsidRPr="00FE6554" w:rsidRDefault="00FE6554" w:rsidP="00FE6554">
      <w:pPr>
        <w:pStyle w:val="BodyTextIndent2"/>
        <w:ind w:left="0"/>
        <w:rPr>
          <w:szCs w:val="22"/>
        </w:rPr>
      </w:pPr>
    </w:p>
    <w:p w14:paraId="70E8C297" w14:textId="77777777" w:rsidR="00FE6554" w:rsidRPr="00FE6554" w:rsidRDefault="00FE6554" w:rsidP="00FE6554">
      <w:pPr>
        <w:pStyle w:val="BodyTextIndent2"/>
        <w:ind w:left="0"/>
        <w:rPr>
          <w:szCs w:val="22"/>
        </w:rPr>
      </w:pPr>
      <w:r w:rsidRPr="00FE6554">
        <w:rPr>
          <w:szCs w:val="22"/>
        </w:rPr>
        <w:t>Additional information about the risks and uncertainties relating to the Company’s business and financial performance is discussed below under “Risks and Uncertainties”.</w:t>
      </w:r>
    </w:p>
    <w:p w14:paraId="2C7E1E35" w14:textId="77777777" w:rsidR="00FE6554" w:rsidRPr="00FE6554" w:rsidRDefault="00FE6554" w:rsidP="00FE6554">
      <w:pPr>
        <w:pStyle w:val="BodyTextIndent2"/>
        <w:ind w:left="0"/>
        <w:rPr>
          <w:i/>
          <w:szCs w:val="22"/>
        </w:rPr>
      </w:pPr>
    </w:p>
    <w:p w14:paraId="3D85B938" w14:textId="77777777" w:rsidR="00FE6554" w:rsidRDefault="00FE6554" w:rsidP="00FE6554">
      <w:pPr>
        <w:rPr>
          <w:i/>
          <w:sz w:val="22"/>
          <w:szCs w:val="22"/>
        </w:rPr>
        <w:sectPr w:rsidR="00FE6554" w:rsidSect="00FE6554">
          <w:headerReference w:type="default" r:id="rId30"/>
          <w:headerReference w:type="first" r:id="rId31"/>
          <w:pgSz w:w="12240" w:h="15840" w:code="1"/>
          <w:pgMar w:top="1440" w:right="1440" w:bottom="432" w:left="1440" w:header="720" w:footer="720" w:gutter="0"/>
          <w:cols w:space="720"/>
          <w:titlePg/>
          <w:docGrid w:linePitch="360"/>
        </w:sectPr>
      </w:pPr>
      <w:r w:rsidRPr="00FE6554">
        <w:rPr>
          <w:i/>
          <w:sz w:val="22"/>
          <w:szCs w:val="22"/>
        </w:rPr>
        <w:br w:type="page"/>
      </w:r>
    </w:p>
    <w:p w14:paraId="71931DED" w14:textId="77777777" w:rsidR="00FE6554" w:rsidRPr="00FE6554" w:rsidRDefault="00FE6554" w:rsidP="00FE6554">
      <w:pPr>
        <w:pStyle w:val="BodyTextIndent2"/>
        <w:ind w:left="0"/>
        <w:rPr>
          <w:szCs w:val="22"/>
        </w:rPr>
      </w:pPr>
      <w:r w:rsidRPr="00FE6554">
        <w:rPr>
          <w:i/>
          <w:szCs w:val="22"/>
        </w:rPr>
        <w:lastRenderedPageBreak/>
        <w:t>Summary of Quarterly Results</w:t>
      </w:r>
    </w:p>
    <w:p w14:paraId="33F00D4D" w14:textId="77777777" w:rsidR="00FE6554" w:rsidRPr="00FE6554" w:rsidRDefault="00FE6554" w:rsidP="00FE6554">
      <w:pPr>
        <w:pStyle w:val="BodyTextIndent2"/>
        <w:ind w:left="0"/>
        <w:rPr>
          <w:szCs w:val="22"/>
        </w:rPr>
      </w:pPr>
    </w:p>
    <w:p w14:paraId="1B3B14B9" w14:textId="77777777" w:rsidR="00FE6554" w:rsidRPr="00FE6554" w:rsidRDefault="00FE6554" w:rsidP="00FE6554">
      <w:pPr>
        <w:pStyle w:val="BodyTextIndent2"/>
        <w:ind w:left="0"/>
        <w:rPr>
          <w:szCs w:val="22"/>
        </w:rPr>
      </w:pPr>
      <w:r w:rsidRPr="00FE6554">
        <w:rPr>
          <w:szCs w:val="22"/>
        </w:rPr>
        <w:t>The following table sets out selected quarterly financial data for the eight most recently completed interim quarters:</w:t>
      </w:r>
    </w:p>
    <w:p w14:paraId="4496B734" w14:textId="77777777" w:rsidR="00FE6554" w:rsidRPr="00FE6554" w:rsidRDefault="00FE6554" w:rsidP="00FE6554">
      <w:pPr>
        <w:pStyle w:val="BodyTextIndent2"/>
        <w:ind w:left="0"/>
        <w:rPr>
          <w:szCs w:val="22"/>
        </w:rPr>
      </w:pPr>
    </w:p>
    <w:tbl>
      <w:tblPr>
        <w:tblW w:w="10542" w:type="dxa"/>
        <w:tblInd w:w="2" w:type="dxa"/>
        <w:tblLayout w:type="fixed"/>
        <w:tblCellMar>
          <w:left w:w="0" w:type="dxa"/>
          <w:right w:w="0" w:type="dxa"/>
        </w:tblCellMar>
        <w:tblLook w:val="0000" w:firstRow="0" w:lastRow="0" w:firstColumn="0" w:lastColumn="0" w:noHBand="0" w:noVBand="0"/>
      </w:tblPr>
      <w:tblGrid>
        <w:gridCol w:w="1887"/>
        <w:gridCol w:w="1080"/>
        <w:gridCol w:w="1080"/>
        <w:gridCol w:w="960"/>
        <w:gridCol w:w="1200"/>
        <w:gridCol w:w="1200"/>
        <w:gridCol w:w="1200"/>
        <w:gridCol w:w="960"/>
        <w:gridCol w:w="975"/>
      </w:tblGrid>
      <w:tr w:rsidR="00FE6554" w:rsidRPr="00FE6554" w14:paraId="7D1C7B91" w14:textId="77777777" w:rsidTr="00FE6554">
        <w:trPr>
          <w:cantSplit/>
        </w:trPr>
        <w:tc>
          <w:tcPr>
            <w:tcW w:w="1887" w:type="dxa"/>
            <w:tcBorders>
              <w:top w:val="single" w:sz="6" w:space="0" w:color="000000"/>
              <w:left w:val="single" w:sz="6" w:space="0" w:color="000000"/>
              <w:bottom w:val="single" w:sz="4" w:space="0" w:color="auto"/>
              <w:right w:val="single" w:sz="6" w:space="0" w:color="000000"/>
            </w:tcBorders>
          </w:tcPr>
          <w:p w14:paraId="64FF0FFE" w14:textId="77777777" w:rsidR="00FE6554" w:rsidRPr="00186D62" w:rsidRDefault="00FE6554" w:rsidP="00FE6554">
            <w:pPr>
              <w:keepNext/>
              <w:jc w:val="both"/>
              <w:rPr>
                <w:color w:val="000000"/>
                <w:sz w:val="18"/>
                <w:szCs w:val="18"/>
              </w:rPr>
            </w:pPr>
          </w:p>
          <w:p w14:paraId="281575C4" w14:textId="77777777" w:rsidR="00FE6554" w:rsidRPr="00186D62" w:rsidRDefault="00FE6554" w:rsidP="00FE6554">
            <w:pPr>
              <w:keepNext/>
              <w:jc w:val="both"/>
              <w:rPr>
                <w:color w:val="000000"/>
                <w:sz w:val="18"/>
                <w:szCs w:val="18"/>
              </w:rPr>
            </w:pPr>
          </w:p>
        </w:tc>
        <w:tc>
          <w:tcPr>
            <w:tcW w:w="1080" w:type="dxa"/>
            <w:tcBorders>
              <w:top w:val="single" w:sz="6" w:space="0" w:color="000000"/>
              <w:left w:val="single" w:sz="6" w:space="0" w:color="000000"/>
              <w:bottom w:val="single" w:sz="4" w:space="0" w:color="auto"/>
              <w:right w:val="single" w:sz="6" w:space="0" w:color="000000"/>
            </w:tcBorders>
          </w:tcPr>
          <w:p w14:paraId="5A53A8A8" w14:textId="77777777" w:rsidR="00FE6554" w:rsidRPr="00186D62" w:rsidRDefault="00FE6554" w:rsidP="00FE6554">
            <w:pPr>
              <w:jc w:val="center"/>
              <w:rPr>
                <w:b/>
                <w:bCs/>
                <w:color w:val="000000"/>
                <w:sz w:val="18"/>
                <w:szCs w:val="18"/>
              </w:rPr>
            </w:pPr>
            <w:r w:rsidRPr="00186D62">
              <w:rPr>
                <w:b/>
                <w:bCs/>
                <w:color w:val="000000"/>
                <w:sz w:val="18"/>
                <w:szCs w:val="18"/>
              </w:rPr>
              <w:t>2020</w:t>
            </w:r>
          </w:p>
          <w:p w14:paraId="567A27AC" w14:textId="77777777" w:rsidR="00FE6554" w:rsidRPr="00186D62" w:rsidRDefault="00FE6554" w:rsidP="00FE6554">
            <w:pPr>
              <w:jc w:val="center"/>
              <w:rPr>
                <w:b/>
                <w:bCs/>
                <w:color w:val="000000"/>
                <w:sz w:val="18"/>
                <w:szCs w:val="18"/>
              </w:rPr>
            </w:pPr>
            <w:r w:rsidRPr="00186D62">
              <w:rPr>
                <w:b/>
                <w:bCs/>
                <w:color w:val="000000"/>
                <w:sz w:val="18"/>
                <w:szCs w:val="18"/>
              </w:rPr>
              <w:t>First</w:t>
            </w:r>
          </w:p>
        </w:tc>
        <w:tc>
          <w:tcPr>
            <w:tcW w:w="1080" w:type="dxa"/>
            <w:tcBorders>
              <w:top w:val="single" w:sz="6" w:space="0" w:color="000000"/>
              <w:left w:val="single" w:sz="6" w:space="0" w:color="000000"/>
              <w:bottom w:val="single" w:sz="4" w:space="0" w:color="auto"/>
              <w:right w:val="single" w:sz="6" w:space="0" w:color="000000"/>
            </w:tcBorders>
          </w:tcPr>
          <w:p w14:paraId="2750C7E1" w14:textId="77777777" w:rsidR="00FE6554" w:rsidRPr="00186D62" w:rsidRDefault="00FE6554" w:rsidP="00FE6554">
            <w:pPr>
              <w:jc w:val="center"/>
              <w:rPr>
                <w:b/>
                <w:bCs/>
                <w:color w:val="000000"/>
                <w:sz w:val="18"/>
                <w:szCs w:val="18"/>
              </w:rPr>
            </w:pPr>
            <w:r w:rsidRPr="00186D62">
              <w:rPr>
                <w:b/>
                <w:bCs/>
                <w:color w:val="000000"/>
                <w:sz w:val="18"/>
                <w:szCs w:val="18"/>
              </w:rPr>
              <w:t>2019</w:t>
            </w:r>
          </w:p>
          <w:p w14:paraId="6110C6C5" w14:textId="77777777" w:rsidR="00FE6554" w:rsidRPr="00186D62" w:rsidRDefault="00FE6554" w:rsidP="00FE6554">
            <w:pPr>
              <w:jc w:val="center"/>
              <w:rPr>
                <w:b/>
                <w:bCs/>
                <w:color w:val="000000"/>
                <w:sz w:val="18"/>
                <w:szCs w:val="18"/>
              </w:rPr>
            </w:pPr>
            <w:r w:rsidRPr="00186D62">
              <w:rPr>
                <w:b/>
                <w:bCs/>
                <w:color w:val="000000"/>
                <w:sz w:val="18"/>
                <w:szCs w:val="18"/>
              </w:rPr>
              <w:t>Fourth</w:t>
            </w:r>
          </w:p>
        </w:tc>
        <w:tc>
          <w:tcPr>
            <w:tcW w:w="960" w:type="dxa"/>
            <w:tcBorders>
              <w:top w:val="single" w:sz="6" w:space="0" w:color="000000"/>
              <w:left w:val="single" w:sz="6" w:space="0" w:color="000000"/>
              <w:bottom w:val="single" w:sz="4" w:space="0" w:color="auto"/>
              <w:right w:val="single" w:sz="6" w:space="0" w:color="000000"/>
            </w:tcBorders>
          </w:tcPr>
          <w:p w14:paraId="5BA67112" w14:textId="77777777" w:rsidR="00FE6554" w:rsidRPr="00186D62" w:rsidRDefault="00FE6554" w:rsidP="00FE6554">
            <w:pPr>
              <w:jc w:val="center"/>
              <w:rPr>
                <w:b/>
                <w:bCs/>
                <w:color w:val="000000"/>
                <w:sz w:val="18"/>
                <w:szCs w:val="18"/>
              </w:rPr>
            </w:pPr>
            <w:r w:rsidRPr="00186D62">
              <w:rPr>
                <w:b/>
                <w:bCs/>
                <w:color w:val="000000"/>
                <w:sz w:val="18"/>
                <w:szCs w:val="18"/>
              </w:rPr>
              <w:t>2019</w:t>
            </w:r>
          </w:p>
          <w:p w14:paraId="1B4CA2E6" w14:textId="77777777" w:rsidR="00FE6554" w:rsidRPr="00186D62" w:rsidRDefault="00FE6554" w:rsidP="00FE6554">
            <w:pPr>
              <w:jc w:val="center"/>
              <w:rPr>
                <w:b/>
                <w:bCs/>
                <w:color w:val="000000"/>
                <w:sz w:val="18"/>
                <w:szCs w:val="18"/>
              </w:rPr>
            </w:pPr>
            <w:r w:rsidRPr="00186D62">
              <w:rPr>
                <w:b/>
                <w:bCs/>
                <w:color w:val="000000"/>
                <w:sz w:val="18"/>
                <w:szCs w:val="18"/>
              </w:rPr>
              <w:t>Third</w:t>
            </w:r>
          </w:p>
        </w:tc>
        <w:tc>
          <w:tcPr>
            <w:tcW w:w="1200" w:type="dxa"/>
            <w:tcBorders>
              <w:top w:val="single" w:sz="6" w:space="0" w:color="000000"/>
              <w:left w:val="single" w:sz="6" w:space="0" w:color="000000"/>
              <w:bottom w:val="single" w:sz="4" w:space="0" w:color="auto"/>
              <w:right w:val="single" w:sz="6" w:space="0" w:color="000000"/>
            </w:tcBorders>
          </w:tcPr>
          <w:p w14:paraId="6611FF7C" w14:textId="77777777" w:rsidR="00FE6554" w:rsidRPr="00186D62" w:rsidRDefault="00FE6554" w:rsidP="00FE6554">
            <w:pPr>
              <w:jc w:val="center"/>
              <w:rPr>
                <w:b/>
                <w:bCs/>
                <w:color w:val="000000"/>
                <w:sz w:val="18"/>
                <w:szCs w:val="18"/>
              </w:rPr>
            </w:pPr>
            <w:r w:rsidRPr="00186D62">
              <w:rPr>
                <w:b/>
                <w:bCs/>
                <w:color w:val="000000"/>
                <w:sz w:val="18"/>
                <w:szCs w:val="18"/>
              </w:rPr>
              <w:t>2019</w:t>
            </w:r>
          </w:p>
          <w:p w14:paraId="5B831F26" w14:textId="77777777" w:rsidR="00FE6554" w:rsidRPr="00186D62" w:rsidRDefault="00FE6554" w:rsidP="00FE6554">
            <w:pPr>
              <w:jc w:val="center"/>
              <w:rPr>
                <w:b/>
                <w:bCs/>
                <w:color w:val="000000"/>
                <w:sz w:val="18"/>
                <w:szCs w:val="18"/>
              </w:rPr>
            </w:pPr>
            <w:r w:rsidRPr="00186D62">
              <w:rPr>
                <w:b/>
                <w:bCs/>
                <w:color w:val="000000"/>
                <w:sz w:val="18"/>
                <w:szCs w:val="18"/>
              </w:rPr>
              <w:t>Second</w:t>
            </w:r>
          </w:p>
        </w:tc>
        <w:tc>
          <w:tcPr>
            <w:tcW w:w="1200" w:type="dxa"/>
            <w:tcBorders>
              <w:top w:val="single" w:sz="6" w:space="0" w:color="000000"/>
              <w:left w:val="single" w:sz="6" w:space="0" w:color="000000"/>
              <w:bottom w:val="single" w:sz="4" w:space="0" w:color="auto"/>
              <w:right w:val="single" w:sz="6" w:space="0" w:color="000000"/>
            </w:tcBorders>
          </w:tcPr>
          <w:p w14:paraId="504ECC3F" w14:textId="77777777" w:rsidR="00FE6554" w:rsidRPr="00186D62" w:rsidRDefault="00FE6554" w:rsidP="00FE6554">
            <w:pPr>
              <w:jc w:val="center"/>
              <w:rPr>
                <w:b/>
                <w:bCs/>
                <w:color w:val="000000"/>
                <w:sz w:val="18"/>
                <w:szCs w:val="18"/>
              </w:rPr>
            </w:pPr>
            <w:r w:rsidRPr="00186D62">
              <w:rPr>
                <w:b/>
                <w:bCs/>
                <w:color w:val="000000"/>
                <w:sz w:val="18"/>
                <w:szCs w:val="18"/>
              </w:rPr>
              <w:t>2019</w:t>
            </w:r>
          </w:p>
          <w:p w14:paraId="79FE65C0" w14:textId="77777777" w:rsidR="00FE6554" w:rsidRPr="00186D62" w:rsidRDefault="00FE6554" w:rsidP="00FE6554">
            <w:pPr>
              <w:jc w:val="center"/>
              <w:rPr>
                <w:b/>
                <w:bCs/>
                <w:color w:val="000000"/>
                <w:sz w:val="18"/>
                <w:szCs w:val="18"/>
              </w:rPr>
            </w:pPr>
            <w:r w:rsidRPr="00186D62">
              <w:rPr>
                <w:b/>
                <w:bCs/>
                <w:color w:val="000000"/>
                <w:sz w:val="18"/>
                <w:szCs w:val="18"/>
              </w:rPr>
              <w:t>First</w:t>
            </w:r>
          </w:p>
        </w:tc>
        <w:tc>
          <w:tcPr>
            <w:tcW w:w="1200" w:type="dxa"/>
            <w:tcBorders>
              <w:top w:val="single" w:sz="6" w:space="0" w:color="000000"/>
              <w:left w:val="single" w:sz="6" w:space="0" w:color="000000"/>
              <w:bottom w:val="single" w:sz="4" w:space="0" w:color="auto"/>
              <w:right w:val="single" w:sz="6" w:space="0" w:color="000000"/>
            </w:tcBorders>
          </w:tcPr>
          <w:p w14:paraId="2F9260ED" w14:textId="77777777" w:rsidR="00FE6554" w:rsidRPr="00186D62" w:rsidRDefault="00FE6554" w:rsidP="00FE6554">
            <w:pPr>
              <w:jc w:val="center"/>
              <w:rPr>
                <w:b/>
                <w:bCs/>
                <w:color w:val="000000"/>
                <w:sz w:val="18"/>
                <w:szCs w:val="18"/>
              </w:rPr>
            </w:pPr>
            <w:r w:rsidRPr="00186D62">
              <w:rPr>
                <w:b/>
                <w:bCs/>
                <w:color w:val="000000"/>
                <w:sz w:val="18"/>
                <w:szCs w:val="18"/>
              </w:rPr>
              <w:t>2018</w:t>
            </w:r>
          </w:p>
          <w:p w14:paraId="1D9D2669" w14:textId="77777777" w:rsidR="00FE6554" w:rsidRPr="00186D62" w:rsidRDefault="00FE6554" w:rsidP="00FE6554">
            <w:pPr>
              <w:jc w:val="center"/>
              <w:rPr>
                <w:b/>
                <w:bCs/>
                <w:color w:val="000000"/>
                <w:sz w:val="18"/>
                <w:szCs w:val="18"/>
              </w:rPr>
            </w:pPr>
            <w:r w:rsidRPr="00186D62">
              <w:rPr>
                <w:b/>
                <w:bCs/>
                <w:color w:val="000000"/>
                <w:sz w:val="18"/>
                <w:szCs w:val="18"/>
              </w:rPr>
              <w:t>Fourth</w:t>
            </w:r>
          </w:p>
        </w:tc>
        <w:tc>
          <w:tcPr>
            <w:tcW w:w="960" w:type="dxa"/>
            <w:tcBorders>
              <w:top w:val="single" w:sz="6" w:space="0" w:color="000000"/>
              <w:left w:val="single" w:sz="6" w:space="0" w:color="000000"/>
              <w:bottom w:val="single" w:sz="4" w:space="0" w:color="auto"/>
              <w:right w:val="single" w:sz="6" w:space="0" w:color="000000"/>
            </w:tcBorders>
          </w:tcPr>
          <w:p w14:paraId="30D75A78" w14:textId="77777777" w:rsidR="00FE6554" w:rsidRPr="00186D62" w:rsidRDefault="00FE6554" w:rsidP="00FE6554">
            <w:pPr>
              <w:jc w:val="center"/>
              <w:rPr>
                <w:b/>
                <w:bCs/>
                <w:color w:val="000000"/>
                <w:sz w:val="18"/>
                <w:szCs w:val="18"/>
              </w:rPr>
            </w:pPr>
            <w:r w:rsidRPr="00186D62">
              <w:rPr>
                <w:b/>
                <w:bCs/>
                <w:color w:val="000000"/>
                <w:sz w:val="18"/>
                <w:szCs w:val="18"/>
              </w:rPr>
              <w:t>2018</w:t>
            </w:r>
          </w:p>
          <w:p w14:paraId="50B67CA4" w14:textId="77777777" w:rsidR="00FE6554" w:rsidRPr="00186D62" w:rsidRDefault="00FE6554" w:rsidP="00FE6554">
            <w:pPr>
              <w:jc w:val="center"/>
              <w:rPr>
                <w:b/>
                <w:bCs/>
                <w:color w:val="000000"/>
                <w:sz w:val="18"/>
                <w:szCs w:val="18"/>
              </w:rPr>
            </w:pPr>
            <w:r w:rsidRPr="00186D62">
              <w:rPr>
                <w:b/>
                <w:bCs/>
                <w:color w:val="000000"/>
                <w:sz w:val="18"/>
                <w:szCs w:val="18"/>
              </w:rPr>
              <w:t>Third</w:t>
            </w:r>
          </w:p>
        </w:tc>
        <w:tc>
          <w:tcPr>
            <w:tcW w:w="975" w:type="dxa"/>
            <w:tcBorders>
              <w:top w:val="single" w:sz="6" w:space="0" w:color="000000"/>
              <w:left w:val="single" w:sz="6" w:space="0" w:color="000000"/>
              <w:bottom w:val="single" w:sz="4" w:space="0" w:color="auto"/>
              <w:right w:val="single" w:sz="6" w:space="0" w:color="000000"/>
            </w:tcBorders>
          </w:tcPr>
          <w:p w14:paraId="03D8919F" w14:textId="77777777" w:rsidR="00FE6554" w:rsidRPr="00186D62" w:rsidRDefault="00FE6554" w:rsidP="00FE6554">
            <w:pPr>
              <w:jc w:val="center"/>
              <w:rPr>
                <w:b/>
                <w:bCs/>
                <w:color w:val="000000"/>
                <w:sz w:val="18"/>
                <w:szCs w:val="18"/>
              </w:rPr>
            </w:pPr>
            <w:r w:rsidRPr="00186D62">
              <w:rPr>
                <w:b/>
                <w:bCs/>
                <w:color w:val="000000"/>
                <w:sz w:val="18"/>
                <w:szCs w:val="18"/>
              </w:rPr>
              <w:t>2018</w:t>
            </w:r>
          </w:p>
          <w:p w14:paraId="265745C6" w14:textId="77777777" w:rsidR="00FE6554" w:rsidRPr="00186D62" w:rsidRDefault="00FE6554" w:rsidP="00FE6554">
            <w:pPr>
              <w:jc w:val="center"/>
              <w:rPr>
                <w:b/>
                <w:bCs/>
                <w:color w:val="000000"/>
                <w:sz w:val="18"/>
                <w:szCs w:val="18"/>
              </w:rPr>
            </w:pPr>
            <w:r w:rsidRPr="00186D62">
              <w:rPr>
                <w:b/>
                <w:bCs/>
                <w:color w:val="000000"/>
                <w:sz w:val="18"/>
                <w:szCs w:val="18"/>
              </w:rPr>
              <w:t>Second</w:t>
            </w:r>
          </w:p>
        </w:tc>
      </w:tr>
      <w:tr w:rsidR="00FE6554" w:rsidRPr="00FE6554" w14:paraId="78E5709B" w14:textId="77777777" w:rsidTr="00FE6554">
        <w:trPr>
          <w:cantSplit/>
          <w:trHeight w:val="300"/>
        </w:trPr>
        <w:tc>
          <w:tcPr>
            <w:tcW w:w="1887" w:type="dxa"/>
            <w:tcBorders>
              <w:top w:val="single" w:sz="4" w:space="0" w:color="auto"/>
              <w:left w:val="single" w:sz="4" w:space="0" w:color="auto"/>
              <w:bottom w:val="single" w:sz="4" w:space="0" w:color="auto"/>
              <w:right w:val="single" w:sz="4" w:space="0" w:color="auto"/>
            </w:tcBorders>
          </w:tcPr>
          <w:p w14:paraId="48BD642F" w14:textId="77777777" w:rsidR="00FE6554" w:rsidRPr="00186D62" w:rsidRDefault="00FE6554" w:rsidP="00FE6554">
            <w:pPr>
              <w:rPr>
                <w:b/>
                <w:bCs/>
                <w:color w:val="000000"/>
                <w:sz w:val="18"/>
                <w:szCs w:val="18"/>
              </w:rPr>
            </w:pPr>
          </w:p>
          <w:p w14:paraId="24B93851" w14:textId="77777777" w:rsidR="00FE6554" w:rsidRPr="00186D62" w:rsidRDefault="00FE6554" w:rsidP="00FE6554">
            <w:pPr>
              <w:rPr>
                <w:b/>
                <w:bCs/>
                <w:color w:val="000000"/>
                <w:sz w:val="18"/>
                <w:szCs w:val="18"/>
              </w:rPr>
            </w:pPr>
            <w:r w:rsidRPr="00186D62">
              <w:rPr>
                <w:b/>
                <w:bCs/>
                <w:color w:val="000000"/>
                <w:sz w:val="18"/>
                <w:szCs w:val="18"/>
              </w:rPr>
              <w:t>Revenues</w:t>
            </w:r>
          </w:p>
        </w:tc>
        <w:tc>
          <w:tcPr>
            <w:tcW w:w="1080" w:type="dxa"/>
            <w:tcBorders>
              <w:top w:val="single" w:sz="4" w:space="0" w:color="auto"/>
              <w:left w:val="single" w:sz="4" w:space="0" w:color="auto"/>
              <w:bottom w:val="single" w:sz="4" w:space="0" w:color="auto"/>
              <w:right w:val="single" w:sz="4" w:space="0" w:color="auto"/>
            </w:tcBorders>
          </w:tcPr>
          <w:p w14:paraId="70B23BB6" w14:textId="77777777" w:rsidR="00FE6554" w:rsidRPr="00186D62" w:rsidRDefault="00FE6554" w:rsidP="00FE6554">
            <w:pPr>
              <w:jc w:val="center"/>
              <w:rPr>
                <w:color w:val="000000"/>
                <w:sz w:val="18"/>
                <w:szCs w:val="18"/>
              </w:rPr>
            </w:pPr>
          </w:p>
          <w:p w14:paraId="00A9AF7B" w14:textId="77777777" w:rsidR="00FE6554" w:rsidRPr="00186D62" w:rsidRDefault="00FE6554" w:rsidP="00FE6554">
            <w:pPr>
              <w:jc w:val="center"/>
              <w:rPr>
                <w:color w:val="000000"/>
                <w:sz w:val="18"/>
                <w:szCs w:val="18"/>
              </w:rPr>
            </w:pPr>
            <w:r w:rsidRPr="00186D62">
              <w:rPr>
                <w:color w:val="000000"/>
                <w:sz w:val="18"/>
                <w:szCs w:val="18"/>
              </w:rPr>
              <w:t>$Nil</w:t>
            </w:r>
          </w:p>
        </w:tc>
        <w:tc>
          <w:tcPr>
            <w:tcW w:w="1080" w:type="dxa"/>
            <w:tcBorders>
              <w:top w:val="single" w:sz="4" w:space="0" w:color="auto"/>
              <w:left w:val="single" w:sz="4" w:space="0" w:color="auto"/>
              <w:bottom w:val="single" w:sz="4" w:space="0" w:color="auto"/>
              <w:right w:val="single" w:sz="4" w:space="0" w:color="auto"/>
            </w:tcBorders>
          </w:tcPr>
          <w:p w14:paraId="08BDA6A0" w14:textId="77777777" w:rsidR="00FE6554" w:rsidRPr="00186D62" w:rsidRDefault="00FE6554" w:rsidP="00FE6554">
            <w:pPr>
              <w:jc w:val="center"/>
              <w:rPr>
                <w:color w:val="000000"/>
                <w:sz w:val="18"/>
                <w:szCs w:val="18"/>
              </w:rPr>
            </w:pPr>
          </w:p>
          <w:p w14:paraId="6EAE10A7" w14:textId="77777777" w:rsidR="00FE6554" w:rsidRPr="00186D62" w:rsidRDefault="00FE6554" w:rsidP="00FE6554">
            <w:pPr>
              <w:jc w:val="center"/>
              <w:rPr>
                <w:color w:val="000000"/>
                <w:sz w:val="18"/>
                <w:szCs w:val="18"/>
              </w:rPr>
            </w:pPr>
            <w:r w:rsidRPr="00186D62">
              <w:rPr>
                <w:color w:val="000000"/>
                <w:sz w:val="18"/>
                <w:szCs w:val="18"/>
              </w:rPr>
              <w:t>$Nil</w:t>
            </w:r>
          </w:p>
        </w:tc>
        <w:tc>
          <w:tcPr>
            <w:tcW w:w="960" w:type="dxa"/>
            <w:tcBorders>
              <w:top w:val="single" w:sz="4" w:space="0" w:color="auto"/>
              <w:left w:val="single" w:sz="4" w:space="0" w:color="auto"/>
              <w:bottom w:val="single" w:sz="4" w:space="0" w:color="auto"/>
              <w:right w:val="single" w:sz="4" w:space="0" w:color="auto"/>
            </w:tcBorders>
          </w:tcPr>
          <w:p w14:paraId="26C1DBC8" w14:textId="77777777" w:rsidR="00FE6554" w:rsidRPr="00186D62" w:rsidRDefault="00FE6554" w:rsidP="00FE6554">
            <w:pPr>
              <w:jc w:val="center"/>
              <w:rPr>
                <w:color w:val="000000"/>
                <w:sz w:val="18"/>
                <w:szCs w:val="18"/>
              </w:rPr>
            </w:pPr>
          </w:p>
          <w:p w14:paraId="76194252" w14:textId="77777777" w:rsidR="00FE6554" w:rsidRPr="00186D62" w:rsidRDefault="00FE6554" w:rsidP="00FE6554">
            <w:pPr>
              <w:jc w:val="center"/>
              <w:rPr>
                <w:color w:val="000000"/>
                <w:sz w:val="18"/>
                <w:szCs w:val="18"/>
              </w:rPr>
            </w:pPr>
            <w:r w:rsidRPr="00186D62">
              <w:rPr>
                <w:color w:val="000000"/>
                <w:sz w:val="18"/>
                <w:szCs w:val="18"/>
              </w:rPr>
              <w:t>$Nil</w:t>
            </w:r>
          </w:p>
        </w:tc>
        <w:tc>
          <w:tcPr>
            <w:tcW w:w="1200" w:type="dxa"/>
            <w:tcBorders>
              <w:top w:val="single" w:sz="4" w:space="0" w:color="auto"/>
              <w:left w:val="single" w:sz="4" w:space="0" w:color="auto"/>
              <w:bottom w:val="single" w:sz="4" w:space="0" w:color="auto"/>
              <w:right w:val="single" w:sz="4" w:space="0" w:color="auto"/>
            </w:tcBorders>
          </w:tcPr>
          <w:p w14:paraId="42124C9C" w14:textId="77777777" w:rsidR="00FE6554" w:rsidRPr="00186D62" w:rsidRDefault="00FE6554" w:rsidP="00FE6554">
            <w:pPr>
              <w:jc w:val="center"/>
              <w:rPr>
                <w:color w:val="000000"/>
                <w:sz w:val="18"/>
                <w:szCs w:val="18"/>
              </w:rPr>
            </w:pPr>
          </w:p>
          <w:p w14:paraId="5311CA39" w14:textId="77777777" w:rsidR="00FE6554" w:rsidRPr="00186D62" w:rsidRDefault="00FE6554" w:rsidP="00FE6554">
            <w:pPr>
              <w:jc w:val="center"/>
              <w:rPr>
                <w:color w:val="000000"/>
                <w:sz w:val="18"/>
                <w:szCs w:val="18"/>
              </w:rPr>
            </w:pPr>
            <w:r w:rsidRPr="00186D62">
              <w:rPr>
                <w:color w:val="000000"/>
                <w:sz w:val="18"/>
                <w:szCs w:val="18"/>
              </w:rPr>
              <w:t>$Nil</w:t>
            </w:r>
          </w:p>
        </w:tc>
        <w:tc>
          <w:tcPr>
            <w:tcW w:w="1200" w:type="dxa"/>
            <w:tcBorders>
              <w:top w:val="single" w:sz="4" w:space="0" w:color="auto"/>
              <w:left w:val="single" w:sz="4" w:space="0" w:color="auto"/>
              <w:bottom w:val="single" w:sz="4" w:space="0" w:color="auto"/>
              <w:right w:val="single" w:sz="4" w:space="0" w:color="auto"/>
            </w:tcBorders>
          </w:tcPr>
          <w:p w14:paraId="6C87C678" w14:textId="77777777" w:rsidR="00FE6554" w:rsidRPr="00186D62" w:rsidRDefault="00FE6554" w:rsidP="00FE6554">
            <w:pPr>
              <w:jc w:val="center"/>
              <w:rPr>
                <w:color w:val="000000"/>
                <w:sz w:val="18"/>
                <w:szCs w:val="18"/>
              </w:rPr>
            </w:pPr>
          </w:p>
          <w:p w14:paraId="2FD5DAA9" w14:textId="77777777" w:rsidR="00FE6554" w:rsidRPr="00186D62" w:rsidRDefault="00FE6554" w:rsidP="00FE6554">
            <w:pPr>
              <w:jc w:val="center"/>
              <w:rPr>
                <w:color w:val="000000"/>
                <w:sz w:val="18"/>
                <w:szCs w:val="18"/>
              </w:rPr>
            </w:pPr>
            <w:r w:rsidRPr="00186D62">
              <w:rPr>
                <w:color w:val="000000"/>
                <w:sz w:val="18"/>
                <w:szCs w:val="18"/>
              </w:rPr>
              <w:t>$Nil</w:t>
            </w:r>
          </w:p>
        </w:tc>
        <w:tc>
          <w:tcPr>
            <w:tcW w:w="1200" w:type="dxa"/>
            <w:tcBorders>
              <w:top w:val="single" w:sz="4" w:space="0" w:color="auto"/>
              <w:left w:val="single" w:sz="4" w:space="0" w:color="auto"/>
              <w:bottom w:val="single" w:sz="4" w:space="0" w:color="auto"/>
              <w:right w:val="single" w:sz="4" w:space="0" w:color="auto"/>
            </w:tcBorders>
          </w:tcPr>
          <w:p w14:paraId="3A3262FB" w14:textId="77777777" w:rsidR="00FE6554" w:rsidRPr="00186D62" w:rsidRDefault="00FE6554" w:rsidP="00FE6554">
            <w:pPr>
              <w:jc w:val="center"/>
              <w:rPr>
                <w:color w:val="000000"/>
                <w:sz w:val="18"/>
                <w:szCs w:val="18"/>
              </w:rPr>
            </w:pPr>
          </w:p>
          <w:p w14:paraId="3A0C0C01" w14:textId="77777777" w:rsidR="00FE6554" w:rsidRPr="00186D62" w:rsidRDefault="00FE6554" w:rsidP="00FE6554">
            <w:pPr>
              <w:jc w:val="center"/>
              <w:rPr>
                <w:color w:val="000000"/>
                <w:sz w:val="18"/>
                <w:szCs w:val="18"/>
              </w:rPr>
            </w:pPr>
            <w:r w:rsidRPr="00186D62">
              <w:rPr>
                <w:color w:val="000000"/>
                <w:sz w:val="18"/>
                <w:szCs w:val="18"/>
              </w:rPr>
              <w:t>$Nil</w:t>
            </w:r>
          </w:p>
        </w:tc>
        <w:tc>
          <w:tcPr>
            <w:tcW w:w="960" w:type="dxa"/>
            <w:tcBorders>
              <w:top w:val="single" w:sz="4" w:space="0" w:color="auto"/>
              <w:left w:val="single" w:sz="4" w:space="0" w:color="auto"/>
              <w:bottom w:val="single" w:sz="4" w:space="0" w:color="auto"/>
              <w:right w:val="single" w:sz="4" w:space="0" w:color="auto"/>
            </w:tcBorders>
          </w:tcPr>
          <w:p w14:paraId="7B354D83" w14:textId="77777777" w:rsidR="00FE6554" w:rsidRPr="00186D62" w:rsidRDefault="00FE6554" w:rsidP="00FE6554">
            <w:pPr>
              <w:jc w:val="center"/>
              <w:rPr>
                <w:color w:val="000000"/>
                <w:sz w:val="18"/>
                <w:szCs w:val="18"/>
              </w:rPr>
            </w:pPr>
          </w:p>
          <w:p w14:paraId="46EBA1E9" w14:textId="77777777" w:rsidR="00FE6554" w:rsidRPr="00186D62" w:rsidRDefault="00FE6554" w:rsidP="00FE6554">
            <w:pPr>
              <w:jc w:val="center"/>
              <w:rPr>
                <w:color w:val="000000"/>
                <w:sz w:val="18"/>
                <w:szCs w:val="18"/>
              </w:rPr>
            </w:pPr>
            <w:r w:rsidRPr="00186D62">
              <w:rPr>
                <w:color w:val="000000"/>
                <w:sz w:val="18"/>
                <w:szCs w:val="18"/>
              </w:rPr>
              <w:t>$Nil</w:t>
            </w:r>
          </w:p>
        </w:tc>
        <w:tc>
          <w:tcPr>
            <w:tcW w:w="975" w:type="dxa"/>
            <w:tcBorders>
              <w:top w:val="single" w:sz="4" w:space="0" w:color="auto"/>
              <w:left w:val="single" w:sz="4" w:space="0" w:color="auto"/>
              <w:bottom w:val="single" w:sz="4" w:space="0" w:color="auto"/>
              <w:right w:val="single" w:sz="4" w:space="0" w:color="auto"/>
            </w:tcBorders>
          </w:tcPr>
          <w:p w14:paraId="58AF4348" w14:textId="77777777" w:rsidR="00FE6554" w:rsidRPr="00186D62" w:rsidRDefault="00FE6554" w:rsidP="00FE6554">
            <w:pPr>
              <w:jc w:val="center"/>
              <w:rPr>
                <w:color w:val="000000"/>
                <w:sz w:val="18"/>
                <w:szCs w:val="18"/>
              </w:rPr>
            </w:pPr>
          </w:p>
          <w:p w14:paraId="56B5009D" w14:textId="77777777" w:rsidR="00FE6554" w:rsidRPr="00186D62" w:rsidRDefault="00FE6554" w:rsidP="00FE6554">
            <w:pPr>
              <w:jc w:val="center"/>
              <w:rPr>
                <w:color w:val="000000"/>
                <w:sz w:val="18"/>
                <w:szCs w:val="18"/>
              </w:rPr>
            </w:pPr>
            <w:r w:rsidRPr="00186D62">
              <w:rPr>
                <w:color w:val="000000"/>
                <w:sz w:val="18"/>
                <w:szCs w:val="18"/>
              </w:rPr>
              <w:t>$Nil</w:t>
            </w:r>
          </w:p>
        </w:tc>
      </w:tr>
      <w:tr w:rsidR="00FE6554" w:rsidRPr="00FE6554" w14:paraId="4EC62227" w14:textId="77777777" w:rsidTr="00FE6554">
        <w:trPr>
          <w:cantSplit/>
        </w:trPr>
        <w:tc>
          <w:tcPr>
            <w:tcW w:w="1887" w:type="dxa"/>
            <w:tcBorders>
              <w:top w:val="single" w:sz="4" w:space="0" w:color="auto"/>
              <w:left w:val="single" w:sz="6" w:space="0" w:color="000000"/>
              <w:bottom w:val="single" w:sz="6" w:space="0" w:color="000000"/>
              <w:right w:val="single" w:sz="6" w:space="0" w:color="000000"/>
            </w:tcBorders>
          </w:tcPr>
          <w:p w14:paraId="151DE7E4" w14:textId="77777777" w:rsidR="00FE6554" w:rsidRPr="00186D62" w:rsidRDefault="00FE6554" w:rsidP="00FE6554">
            <w:pPr>
              <w:rPr>
                <w:b/>
                <w:bCs/>
                <w:color w:val="000000"/>
                <w:sz w:val="18"/>
                <w:szCs w:val="18"/>
              </w:rPr>
            </w:pPr>
            <w:r w:rsidRPr="00186D62">
              <w:rPr>
                <w:b/>
                <w:bCs/>
                <w:color w:val="000000"/>
                <w:sz w:val="18"/>
                <w:szCs w:val="18"/>
              </w:rPr>
              <w:t>Operating</w:t>
            </w:r>
          </w:p>
          <w:p w14:paraId="3755D9CA" w14:textId="77777777" w:rsidR="00FE6554" w:rsidRPr="00186D62" w:rsidRDefault="00FE6554" w:rsidP="00FE6554">
            <w:pPr>
              <w:rPr>
                <w:b/>
                <w:bCs/>
                <w:color w:val="000000"/>
                <w:sz w:val="18"/>
                <w:szCs w:val="18"/>
              </w:rPr>
            </w:pPr>
            <w:r w:rsidRPr="00186D62">
              <w:rPr>
                <w:b/>
                <w:bCs/>
                <w:color w:val="000000"/>
                <w:sz w:val="18"/>
                <w:szCs w:val="18"/>
              </w:rPr>
              <w:t>expenses</w:t>
            </w:r>
          </w:p>
        </w:tc>
        <w:tc>
          <w:tcPr>
            <w:tcW w:w="1080" w:type="dxa"/>
            <w:tcBorders>
              <w:top w:val="single" w:sz="4" w:space="0" w:color="auto"/>
              <w:left w:val="single" w:sz="6" w:space="0" w:color="000000"/>
              <w:bottom w:val="single" w:sz="6" w:space="0" w:color="000000"/>
              <w:right w:val="single" w:sz="6" w:space="0" w:color="000000"/>
            </w:tcBorders>
          </w:tcPr>
          <w:p w14:paraId="7390EA8E" w14:textId="77777777" w:rsidR="00FE6554" w:rsidRPr="00186D62" w:rsidRDefault="00FE6554" w:rsidP="00FE6554">
            <w:pPr>
              <w:jc w:val="center"/>
              <w:rPr>
                <w:color w:val="000000"/>
                <w:sz w:val="18"/>
                <w:szCs w:val="18"/>
              </w:rPr>
            </w:pPr>
          </w:p>
          <w:p w14:paraId="19833111" w14:textId="77777777" w:rsidR="00FE6554" w:rsidRPr="00186D62" w:rsidRDefault="00FE6554" w:rsidP="00FE6554">
            <w:pPr>
              <w:jc w:val="center"/>
              <w:rPr>
                <w:color w:val="000000"/>
                <w:sz w:val="18"/>
                <w:szCs w:val="18"/>
              </w:rPr>
            </w:pPr>
            <w:r w:rsidRPr="00186D62">
              <w:rPr>
                <w:color w:val="000000"/>
                <w:sz w:val="18"/>
                <w:szCs w:val="18"/>
              </w:rPr>
              <w:t>$(100,210)</w:t>
            </w:r>
          </w:p>
        </w:tc>
        <w:tc>
          <w:tcPr>
            <w:tcW w:w="1080" w:type="dxa"/>
            <w:tcBorders>
              <w:top w:val="single" w:sz="4" w:space="0" w:color="auto"/>
              <w:left w:val="single" w:sz="6" w:space="0" w:color="000000"/>
              <w:bottom w:val="single" w:sz="6" w:space="0" w:color="000000"/>
              <w:right w:val="single" w:sz="6" w:space="0" w:color="000000"/>
            </w:tcBorders>
          </w:tcPr>
          <w:p w14:paraId="58FE06CE" w14:textId="77777777" w:rsidR="00FE6554" w:rsidRPr="00186D62" w:rsidRDefault="00FE6554" w:rsidP="00FE6554">
            <w:pPr>
              <w:jc w:val="center"/>
              <w:rPr>
                <w:color w:val="000000"/>
                <w:sz w:val="18"/>
                <w:szCs w:val="18"/>
              </w:rPr>
            </w:pPr>
          </w:p>
          <w:p w14:paraId="2457FE6E" w14:textId="77777777" w:rsidR="00FE6554" w:rsidRPr="00186D62" w:rsidRDefault="00FE6554" w:rsidP="00FE6554">
            <w:pPr>
              <w:jc w:val="center"/>
              <w:rPr>
                <w:color w:val="000000"/>
                <w:sz w:val="18"/>
                <w:szCs w:val="18"/>
              </w:rPr>
            </w:pPr>
            <w:r w:rsidRPr="00186D62">
              <w:rPr>
                <w:color w:val="000000"/>
                <w:sz w:val="18"/>
                <w:szCs w:val="18"/>
              </w:rPr>
              <w:t>$(173,272)</w:t>
            </w:r>
          </w:p>
        </w:tc>
        <w:tc>
          <w:tcPr>
            <w:tcW w:w="960" w:type="dxa"/>
            <w:tcBorders>
              <w:top w:val="single" w:sz="4" w:space="0" w:color="auto"/>
              <w:left w:val="single" w:sz="6" w:space="0" w:color="000000"/>
              <w:bottom w:val="single" w:sz="6" w:space="0" w:color="000000"/>
              <w:right w:val="single" w:sz="6" w:space="0" w:color="000000"/>
            </w:tcBorders>
          </w:tcPr>
          <w:p w14:paraId="5EC88386" w14:textId="77777777" w:rsidR="00FE6554" w:rsidRPr="00186D62" w:rsidRDefault="00FE6554" w:rsidP="00FE6554">
            <w:pPr>
              <w:jc w:val="center"/>
              <w:rPr>
                <w:color w:val="000000"/>
                <w:sz w:val="18"/>
                <w:szCs w:val="18"/>
              </w:rPr>
            </w:pPr>
          </w:p>
          <w:p w14:paraId="4D6A830C" w14:textId="77777777" w:rsidR="00FE6554" w:rsidRPr="00186D62" w:rsidRDefault="00FE6554" w:rsidP="00FE6554">
            <w:pPr>
              <w:jc w:val="center"/>
              <w:rPr>
                <w:color w:val="000000"/>
                <w:sz w:val="18"/>
                <w:szCs w:val="18"/>
              </w:rPr>
            </w:pPr>
            <w:r w:rsidRPr="00186D62">
              <w:rPr>
                <w:color w:val="000000"/>
                <w:sz w:val="18"/>
                <w:szCs w:val="18"/>
              </w:rPr>
              <w:t>$(185,645)</w:t>
            </w:r>
          </w:p>
        </w:tc>
        <w:tc>
          <w:tcPr>
            <w:tcW w:w="1200" w:type="dxa"/>
            <w:tcBorders>
              <w:top w:val="single" w:sz="4" w:space="0" w:color="auto"/>
              <w:left w:val="single" w:sz="6" w:space="0" w:color="000000"/>
              <w:bottom w:val="single" w:sz="6" w:space="0" w:color="000000"/>
              <w:right w:val="single" w:sz="6" w:space="0" w:color="000000"/>
            </w:tcBorders>
          </w:tcPr>
          <w:p w14:paraId="0A323542" w14:textId="77777777" w:rsidR="00FE6554" w:rsidRPr="00186D62" w:rsidRDefault="00FE6554" w:rsidP="00FE6554">
            <w:pPr>
              <w:jc w:val="center"/>
              <w:rPr>
                <w:color w:val="000000"/>
                <w:sz w:val="18"/>
                <w:szCs w:val="18"/>
              </w:rPr>
            </w:pPr>
          </w:p>
          <w:p w14:paraId="4331ECE8" w14:textId="77777777" w:rsidR="00FE6554" w:rsidRPr="00186D62" w:rsidRDefault="00FE6554" w:rsidP="00FE6554">
            <w:pPr>
              <w:jc w:val="center"/>
              <w:rPr>
                <w:color w:val="000000"/>
                <w:sz w:val="18"/>
                <w:szCs w:val="18"/>
              </w:rPr>
            </w:pPr>
            <w:r w:rsidRPr="00186D62">
              <w:rPr>
                <w:color w:val="000000"/>
                <w:sz w:val="18"/>
                <w:szCs w:val="18"/>
              </w:rPr>
              <w:t>$(200,646)</w:t>
            </w:r>
          </w:p>
        </w:tc>
        <w:tc>
          <w:tcPr>
            <w:tcW w:w="1200" w:type="dxa"/>
            <w:tcBorders>
              <w:top w:val="single" w:sz="4" w:space="0" w:color="auto"/>
              <w:left w:val="single" w:sz="6" w:space="0" w:color="000000"/>
              <w:bottom w:val="single" w:sz="6" w:space="0" w:color="000000"/>
              <w:right w:val="single" w:sz="6" w:space="0" w:color="000000"/>
            </w:tcBorders>
          </w:tcPr>
          <w:p w14:paraId="6D5A6881" w14:textId="77777777" w:rsidR="00FE6554" w:rsidRPr="00186D62" w:rsidRDefault="00FE6554" w:rsidP="00FE6554">
            <w:pPr>
              <w:jc w:val="center"/>
              <w:rPr>
                <w:color w:val="000000"/>
                <w:sz w:val="18"/>
                <w:szCs w:val="18"/>
              </w:rPr>
            </w:pPr>
          </w:p>
          <w:p w14:paraId="4068101A" w14:textId="77777777" w:rsidR="00FE6554" w:rsidRPr="00186D62" w:rsidRDefault="00FE6554" w:rsidP="00FE6554">
            <w:pPr>
              <w:jc w:val="center"/>
              <w:rPr>
                <w:color w:val="000000"/>
                <w:sz w:val="18"/>
                <w:szCs w:val="18"/>
              </w:rPr>
            </w:pPr>
            <w:r w:rsidRPr="00186D62">
              <w:rPr>
                <w:color w:val="000000"/>
                <w:sz w:val="18"/>
                <w:szCs w:val="18"/>
              </w:rPr>
              <w:t>$(164,401)</w:t>
            </w:r>
          </w:p>
        </w:tc>
        <w:tc>
          <w:tcPr>
            <w:tcW w:w="1200" w:type="dxa"/>
            <w:tcBorders>
              <w:top w:val="single" w:sz="4" w:space="0" w:color="auto"/>
              <w:left w:val="single" w:sz="6" w:space="0" w:color="000000"/>
              <w:bottom w:val="single" w:sz="6" w:space="0" w:color="000000"/>
              <w:right w:val="single" w:sz="6" w:space="0" w:color="000000"/>
            </w:tcBorders>
          </w:tcPr>
          <w:p w14:paraId="733E9D5E" w14:textId="77777777" w:rsidR="00FE6554" w:rsidRPr="00186D62" w:rsidRDefault="00FE6554" w:rsidP="00FE6554">
            <w:pPr>
              <w:jc w:val="center"/>
              <w:rPr>
                <w:color w:val="000000"/>
                <w:sz w:val="18"/>
                <w:szCs w:val="18"/>
              </w:rPr>
            </w:pPr>
          </w:p>
          <w:p w14:paraId="44281CE1" w14:textId="77777777" w:rsidR="00FE6554" w:rsidRPr="00186D62" w:rsidRDefault="00FE6554" w:rsidP="00FE6554">
            <w:pPr>
              <w:jc w:val="center"/>
              <w:rPr>
                <w:color w:val="000000"/>
                <w:sz w:val="18"/>
                <w:szCs w:val="18"/>
              </w:rPr>
            </w:pPr>
            <w:r w:rsidRPr="00186D62">
              <w:rPr>
                <w:color w:val="000000"/>
                <w:sz w:val="18"/>
                <w:szCs w:val="18"/>
              </w:rPr>
              <w:t>$(70,093)</w:t>
            </w:r>
          </w:p>
        </w:tc>
        <w:tc>
          <w:tcPr>
            <w:tcW w:w="960" w:type="dxa"/>
            <w:tcBorders>
              <w:top w:val="single" w:sz="4" w:space="0" w:color="auto"/>
              <w:left w:val="single" w:sz="6" w:space="0" w:color="000000"/>
              <w:bottom w:val="single" w:sz="6" w:space="0" w:color="000000"/>
              <w:right w:val="single" w:sz="6" w:space="0" w:color="000000"/>
            </w:tcBorders>
          </w:tcPr>
          <w:p w14:paraId="51E8B5C9" w14:textId="77777777" w:rsidR="00FE6554" w:rsidRPr="00186D62" w:rsidRDefault="00FE6554" w:rsidP="00FE6554">
            <w:pPr>
              <w:jc w:val="center"/>
              <w:rPr>
                <w:color w:val="000000"/>
                <w:sz w:val="18"/>
                <w:szCs w:val="18"/>
              </w:rPr>
            </w:pPr>
          </w:p>
          <w:p w14:paraId="6792B5E3" w14:textId="77777777" w:rsidR="00FE6554" w:rsidRPr="00186D62" w:rsidRDefault="00FE6554" w:rsidP="00FE6554">
            <w:pPr>
              <w:jc w:val="center"/>
              <w:rPr>
                <w:color w:val="000000"/>
                <w:sz w:val="18"/>
                <w:szCs w:val="18"/>
              </w:rPr>
            </w:pPr>
            <w:r w:rsidRPr="00186D62">
              <w:rPr>
                <w:color w:val="000000"/>
                <w:sz w:val="18"/>
                <w:szCs w:val="18"/>
              </w:rPr>
              <w:t>$(315,360)</w:t>
            </w:r>
          </w:p>
        </w:tc>
        <w:tc>
          <w:tcPr>
            <w:tcW w:w="975" w:type="dxa"/>
            <w:tcBorders>
              <w:top w:val="single" w:sz="4" w:space="0" w:color="auto"/>
              <w:left w:val="single" w:sz="6" w:space="0" w:color="000000"/>
              <w:bottom w:val="single" w:sz="6" w:space="0" w:color="000000"/>
              <w:right w:val="single" w:sz="6" w:space="0" w:color="000000"/>
            </w:tcBorders>
          </w:tcPr>
          <w:p w14:paraId="0258A574" w14:textId="77777777" w:rsidR="00FE6554" w:rsidRPr="00186D62" w:rsidRDefault="00FE6554" w:rsidP="00FE6554">
            <w:pPr>
              <w:jc w:val="center"/>
              <w:rPr>
                <w:color w:val="000000"/>
                <w:sz w:val="18"/>
                <w:szCs w:val="18"/>
              </w:rPr>
            </w:pPr>
          </w:p>
          <w:p w14:paraId="1DCFFA68" w14:textId="77777777" w:rsidR="00FE6554" w:rsidRPr="00186D62" w:rsidRDefault="00FE6554" w:rsidP="00FE6554">
            <w:pPr>
              <w:jc w:val="center"/>
              <w:rPr>
                <w:color w:val="000000"/>
                <w:sz w:val="18"/>
                <w:szCs w:val="18"/>
              </w:rPr>
            </w:pPr>
            <w:r w:rsidRPr="00186D62">
              <w:rPr>
                <w:color w:val="000000"/>
                <w:sz w:val="18"/>
                <w:szCs w:val="18"/>
              </w:rPr>
              <w:t>$(769,515)</w:t>
            </w:r>
          </w:p>
        </w:tc>
      </w:tr>
      <w:tr w:rsidR="00FE6554" w:rsidRPr="00FE6554" w14:paraId="2BDD4325" w14:textId="77777777" w:rsidTr="00FE6554">
        <w:trPr>
          <w:cantSplit/>
          <w:trHeight w:val="192"/>
        </w:trPr>
        <w:tc>
          <w:tcPr>
            <w:tcW w:w="1887" w:type="dxa"/>
            <w:tcBorders>
              <w:top w:val="single" w:sz="6" w:space="0" w:color="000000"/>
              <w:left w:val="single" w:sz="6" w:space="0" w:color="000000"/>
              <w:bottom w:val="single" w:sz="4" w:space="0" w:color="auto"/>
              <w:right w:val="single" w:sz="6" w:space="0" w:color="000000"/>
            </w:tcBorders>
          </w:tcPr>
          <w:p w14:paraId="22190FC1" w14:textId="77777777" w:rsidR="00FE6554" w:rsidRPr="00186D62" w:rsidRDefault="00FE6554" w:rsidP="00FE6554">
            <w:pPr>
              <w:rPr>
                <w:b/>
                <w:bCs/>
                <w:color w:val="000000"/>
                <w:sz w:val="18"/>
                <w:szCs w:val="18"/>
              </w:rPr>
            </w:pPr>
          </w:p>
          <w:p w14:paraId="367E33EF" w14:textId="77777777" w:rsidR="00FE6554" w:rsidRPr="00186D62" w:rsidRDefault="00FE6554" w:rsidP="00FE6554">
            <w:pPr>
              <w:rPr>
                <w:b/>
                <w:bCs/>
                <w:color w:val="000000"/>
                <w:sz w:val="18"/>
                <w:szCs w:val="18"/>
              </w:rPr>
            </w:pPr>
            <w:r w:rsidRPr="00186D62">
              <w:rPr>
                <w:b/>
                <w:bCs/>
                <w:color w:val="000000"/>
                <w:sz w:val="18"/>
                <w:szCs w:val="18"/>
              </w:rPr>
              <w:t>Loss before other items</w:t>
            </w:r>
          </w:p>
        </w:tc>
        <w:tc>
          <w:tcPr>
            <w:tcW w:w="1080" w:type="dxa"/>
            <w:tcBorders>
              <w:top w:val="single" w:sz="6" w:space="0" w:color="000000"/>
              <w:left w:val="single" w:sz="6" w:space="0" w:color="000000"/>
              <w:bottom w:val="single" w:sz="4" w:space="0" w:color="auto"/>
              <w:right w:val="single" w:sz="6" w:space="0" w:color="000000"/>
            </w:tcBorders>
          </w:tcPr>
          <w:p w14:paraId="229B22FB" w14:textId="77777777" w:rsidR="00FE6554" w:rsidRPr="00186D62" w:rsidRDefault="00FE6554" w:rsidP="00FE6554">
            <w:pPr>
              <w:jc w:val="center"/>
              <w:rPr>
                <w:sz w:val="18"/>
                <w:szCs w:val="18"/>
              </w:rPr>
            </w:pPr>
          </w:p>
          <w:p w14:paraId="3499B1C7" w14:textId="77777777" w:rsidR="00FE6554" w:rsidRPr="00186D62" w:rsidRDefault="00FE6554" w:rsidP="00FE6554">
            <w:pPr>
              <w:jc w:val="center"/>
              <w:rPr>
                <w:sz w:val="18"/>
                <w:szCs w:val="18"/>
              </w:rPr>
            </w:pPr>
            <w:r w:rsidRPr="00186D62">
              <w:rPr>
                <w:color w:val="000000"/>
                <w:sz w:val="18"/>
                <w:szCs w:val="18"/>
              </w:rPr>
              <w:t>$(100,210)</w:t>
            </w:r>
          </w:p>
        </w:tc>
        <w:tc>
          <w:tcPr>
            <w:tcW w:w="1080" w:type="dxa"/>
            <w:tcBorders>
              <w:top w:val="single" w:sz="6" w:space="0" w:color="000000"/>
              <w:left w:val="single" w:sz="6" w:space="0" w:color="000000"/>
              <w:bottom w:val="single" w:sz="4" w:space="0" w:color="auto"/>
              <w:right w:val="single" w:sz="6" w:space="0" w:color="000000"/>
            </w:tcBorders>
          </w:tcPr>
          <w:p w14:paraId="0745FAC9" w14:textId="77777777" w:rsidR="00FE6554" w:rsidRPr="00186D62" w:rsidRDefault="00FE6554" w:rsidP="00FE6554">
            <w:pPr>
              <w:jc w:val="center"/>
              <w:rPr>
                <w:sz w:val="18"/>
                <w:szCs w:val="18"/>
              </w:rPr>
            </w:pPr>
          </w:p>
          <w:p w14:paraId="22B29C2E" w14:textId="77777777" w:rsidR="00FE6554" w:rsidRPr="00186D62" w:rsidRDefault="00FE6554" w:rsidP="00FE6554">
            <w:pPr>
              <w:jc w:val="center"/>
              <w:rPr>
                <w:sz w:val="18"/>
                <w:szCs w:val="18"/>
              </w:rPr>
            </w:pPr>
            <w:r w:rsidRPr="00186D62">
              <w:rPr>
                <w:color w:val="000000"/>
                <w:sz w:val="18"/>
                <w:szCs w:val="18"/>
              </w:rPr>
              <w:t>$(173,272)</w:t>
            </w:r>
          </w:p>
        </w:tc>
        <w:tc>
          <w:tcPr>
            <w:tcW w:w="960" w:type="dxa"/>
            <w:tcBorders>
              <w:top w:val="single" w:sz="6" w:space="0" w:color="000000"/>
              <w:left w:val="single" w:sz="6" w:space="0" w:color="000000"/>
              <w:bottom w:val="single" w:sz="4" w:space="0" w:color="auto"/>
              <w:right w:val="single" w:sz="6" w:space="0" w:color="000000"/>
            </w:tcBorders>
          </w:tcPr>
          <w:p w14:paraId="391E5C2A" w14:textId="77777777" w:rsidR="00FE6554" w:rsidRPr="00186D62" w:rsidRDefault="00FE6554" w:rsidP="00FE6554">
            <w:pPr>
              <w:jc w:val="center"/>
              <w:rPr>
                <w:sz w:val="18"/>
                <w:szCs w:val="18"/>
              </w:rPr>
            </w:pPr>
          </w:p>
          <w:p w14:paraId="5CC28DB9" w14:textId="77777777" w:rsidR="00FE6554" w:rsidRPr="00186D62" w:rsidRDefault="00FE6554" w:rsidP="00FE6554">
            <w:pPr>
              <w:jc w:val="center"/>
              <w:rPr>
                <w:sz w:val="18"/>
                <w:szCs w:val="18"/>
              </w:rPr>
            </w:pPr>
            <w:r w:rsidRPr="00186D62">
              <w:rPr>
                <w:color w:val="000000"/>
                <w:sz w:val="18"/>
                <w:szCs w:val="18"/>
              </w:rPr>
              <w:t>$(185,645)</w:t>
            </w:r>
          </w:p>
        </w:tc>
        <w:tc>
          <w:tcPr>
            <w:tcW w:w="1200" w:type="dxa"/>
            <w:tcBorders>
              <w:top w:val="single" w:sz="6" w:space="0" w:color="000000"/>
              <w:left w:val="single" w:sz="6" w:space="0" w:color="000000"/>
              <w:bottom w:val="single" w:sz="4" w:space="0" w:color="auto"/>
              <w:right w:val="single" w:sz="6" w:space="0" w:color="000000"/>
            </w:tcBorders>
          </w:tcPr>
          <w:p w14:paraId="2EC3E393" w14:textId="77777777" w:rsidR="00FE6554" w:rsidRPr="00186D62" w:rsidRDefault="00FE6554" w:rsidP="00FE6554">
            <w:pPr>
              <w:jc w:val="center"/>
              <w:rPr>
                <w:sz w:val="18"/>
                <w:szCs w:val="18"/>
              </w:rPr>
            </w:pPr>
          </w:p>
          <w:p w14:paraId="2BFE516D" w14:textId="77777777" w:rsidR="00FE6554" w:rsidRPr="00186D62" w:rsidRDefault="00FE6554" w:rsidP="00FE6554">
            <w:pPr>
              <w:jc w:val="center"/>
              <w:rPr>
                <w:sz w:val="18"/>
                <w:szCs w:val="18"/>
              </w:rPr>
            </w:pPr>
            <w:r w:rsidRPr="00186D62">
              <w:rPr>
                <w:color w:val="000000"/>
                <w:sz w:val="18"/>
                <w:szCs w:val="18"/>
              </w:rPr>
              <w:t>$(200,646)</w:t>
            </w:r>
          </w:p>
        </w:tc>
        <w:tc>
          <w:tcPr>
            <w:tcW w:w="1200" w:type="dxa"/>
            <w:tcBorders>
              <w:top w:val="single" w:sz="6" w:space="0" w:color="000000"/>
              <w:left w:val="single" w:sz="6" w:space="0" w:color="000000"/>
              <w:bottom w:val="single" w:sz="4" w:space="0" w:color="auto"/>
              <w:right w:val="single" w:sz="6" w:space="0" w:color="000000"/>
            </w:tcBorders>
          </w:tcPr>
          <w:p w14:paraId="56867FF6" w14:textId="77777777" w:rsidR="00FE6554" w:rsidRPr="00186D62" w:rsidRDefault="00FE6554" w:rsidP="00FE6554">
            <w:pPr>
              <w:jc w:val="center"/>
              <w:rPr>
                <w:sz w:val="18"/>
                <w:szCs w:val="18"/>
              </w:rPr>
            </w:pPr>
          </w:p>
          <w:p w14:paraId="00E7F782" w14:textId="77777777" w:rsidR="00FE6554" w:rsidRPr="00186D62" w:rsidRDefault="00FE6554" w:rsidP="00FE6554">
            <w:pPr>
              <w:jc w:val="center"/>
              <w:rPr>
                <w:sz w:val="18"/>
                <w:szCs w:val="18"/>
              </w:rPr>
            </w:pPr>
            <w:r w:rsidRPr="00186D62">
              <w:rPr>
                <w:color w:val="000000"/>
                <w:sz w:val="18"/>
                <w:szCs w:val="18"/>
              </w:rPr>
              <w:t>$(164,401)</w:t>
            </w:r>
          </w:p>
        </w:tc>
        <w:tc>
          <w:tcPr>
            <w:tcW w:w="1200" w:type="dxa"/>
            <w:tcBorders>
              <w:top w:val="single" w:sz="6" w:space="0" w:color="000000"/>
              <w:left w:val="single" w:sz="6" w:space="0" w:color="000000"/>
              <w:bottom w:val="single" w:sz="4" w:space="0" w:color="auto"/>
              <w:right w:val="single" w:sz="6" w:space="0" w:color="000000"/>
            </w:tcBorders>
          </w:tcPr>
          <w:p w14:paraId="5E0EE25C" w14:textId="77777777" w:rsidR="00FE6554" w:rsidRPr="00186D62" w:rsidRDefault="00FE6554" w:rsidP="00FE6554">
            <w:pPr>
              <w:jc w:val="center"/>
              <w:rPr>
                <w:sz w:val="18"/>
                <w:szCs w:val="18"/>
              </w:rPr>
            </w:pPr>
          </w:p>
          <w:p w14:paraId="7C0EBCBC" w14:textId="77777777" w:rsidR="00FE6554" w:rsidRPr="00186D62" w:rsidRDefault="00FE6554" w:rsidP="00FE6554">
            <w:pPr>
              <w:jc w:val="center"/>
              <w:rPr>
                <w:sz w:val="18"/>
                <w:szCs w:val="18"/>
              </w:rPr>
            </w:pPr>
            <w:r w:rsidRPr="00186D62">
              <w:rPr>
                <w:color w:val="000000"/>
                <w:sz w:val="18"/>
                <w:szCs w:val="18"/>
              </w:rPr>
              <w:t>$(70,093)</w:t>
            </w:r>
          </w:p>
        </w:tc>
        <w:tc>
          <w:tcPr>
            <w:tcW w:w="960" w:type="dxa"/>
            <w:tcBorders>
              <w:top w:val="single" w:sz="6" w:space="0" w:color="000000"/>
              <w:left w:val="single" w:sz="6" w:space="0" w:color="000000"/>
              <w:bottom w:val="single" w:sz="4" w:space="0" w:color="auto"/>
              <w:right w:val="single" w:sz="6" w:space="0" w:color="000000"/>
            </w:tcBorders>
          </w:tcPr>
          <w:p w14:paraId="5C6B7161" w14:textId="77777777" w:rsidR="00FE6554" w:rsidRPr="00186D62" w:rsidRDefault="00FE6554" w:rsidP="00FE6554">
            <w:pPr>
              <w:jc w:val="center"/>
              <w:rPr>
                <w:sz w:val="18"/>
                <w:szCs w:val="18"/>
              </w:rPr>
            </w:pPr>
          </w:p>
          <w:p w14:paraId="20E98476" w14:textId="77777777" w:rsidR="00FE6554" w:rsidRPr="00186D62" w:rsidRDefault="00FE6554" w:rsidP="00FE6554">
            <w:pPr>
              <w:jc w:val="center"/>
              <w:rPr>
                <w:sz w:val="18"/>
                <w:szCs w:val="18"/>
              </w:rPr>
            </w:pPr>
            <w:r w:rsidRPr="00186D62">
              <w:rPr>
                <w:color w:val="000000"/>
                <w:sz w:val="18"/>
                <w:szCs w:val="18"/>
              </w:rPr>
              <w:t>$(315,360)</w:t>
            </w:r>
          </w:p>
        </w:tc>
        <w:tc>
          <w:tcPr>
            <w:tcW w:w="975" w:type="dxa"/>
            <w:tcBorders>
              <w:top w:val="single" w:sz="6" w:space="0" w:color="000000"/>
              <w:left w:val="single" w:sz="6" w:space="0" w:color="000000"/>
              <w:bottom w:val="single" w:sz="4" w:space="0" w:color="auto"/>
              <w:right w:val="single" w:sz="6" w:space="0" w:color="000000"/>
            </w:tcBorders>
          </w:tcPr>
          <w:p w14:paraId="398B5DC3" w14:textId="77777777" w:rsidR="00FE6554" w:rsidRPr="00186D62" w:rsidRDefault="00FE6554" w:rsidP="00FE6554">
            <w:pPr>
              <w:jc w:val="center"/>
              <w:rPr>
                <w:sz w:val="18"/>
                <w:szCs w:val="18"/>
              </w:rPr>
            </w:pPr>
          </w:p>
          <w:p w14:paraId="3298D2D7" w14:textId="77777777" w:rsidR="00FE6554" w:rsidRPr="00186D62" w:rsidRDefault="00FE6554" w:rsidP="00FE6554">
            <w:pPr>
              <w:jc w:val="center"/>
              <w:rPr>
                <w:sz w:val="18"/>
                <w:szCs w:val="18"/>
              </w:rPr>
            </w:pPr>
            <w:r w:rsidRPr="00186D62">
              <w:rPr>
                <w:color w:val="000000"/>
                <w:sz w:val="18"/>
                <w:szCs w:val="18"/>
              </w:rPr>
              <w:t>$(769,515)</w:t>
            </w:r>
          </w:p>
        </w:tc>
      </w:tr>
      <w:tr w:rsidR="00FE6554" w:rsidRPr="00FE6554" w14:paraId="293A3236" w14:textId="77777777" w:rsidTr="00FE6554">
        <w:trPr>
          <w:cantSplit/>
          <w:trHeight w:val="192"/>
        </w:trPr>
        <w:tc>
          <w:tcPr>
            <w:tcW w:w="1887" w:type="dxa"/>
            <w:tcBorders>
              <w:top w:val="single" w:sz="6" w:space="0" w:color="000000"/>
              <w:left w:val="single" w:sz="6" w:space="0" w:color="000000"/>
              <w:bottom w:val="single" w:sz="4" w:space="0" w:color="auto"/>
              <w:right w:val="single" w:sz="6" w:space="0" w:color="000000"/>
            </w:tcBorders>
          </w:tcPr>
          <w:p w14:paraId="6265AF64" w14:textId="77777777" w:rsidR="00FE6554" w:rsidRPr="00186D62" w:rsidRDefault="00FE6554" w:rsidP="00FE6554">
            <w:pPr>
              <w:rPr>
                <w:b/>
                <w:bCs/>
                <w:color w:val="000000"/>
                <w:sz w:val="18"/>
                <w:szCs w:val="18"/>
              </w:rPr>
            </w:pPr>
            <w:r w:rsidRPr="00186D62">
              <w:rPr>
                <w:b/>
                <w:bCs/>
                <w:color w:val="000000"/>
                <w:sz w:val="18"/>
                <w:szCs w:val="18"/>
              </w:rPr>
              <w:t>Loss per share</w:t>
            </w:r>
          </w:p>
          <w:p w14:paraId="72067E12" w14:textId="77777777" w:rsidR="00FE6554" w:rsidRPr="00186D62" w:rsidRDefault="00FE6554" w:rsidP="00FE6554">
            <w:pPr>
              <w:rPr>
                <w:b/>
                <w:bCs/>
                <w:color w:val="000000"/>
                <w:sz w:val="18"/>
                <w:szCs w:val="18"/>
              </w:rPr>
            </w:pPr>
            <w:r w:rsidRPr="00186D62">
              <w:rPr>
                <w:b/>
                <w:bCs/>
                <w:color w:val="000000"/>
                <w:sz w:val="18"/>
                <w:szCs w:val="18"/>
              </w:rPr>
              <w:t>(Basic and diluted)</w:t>
            </w:r>
          </w:p>
        </w:tc>
        <w:tc>
          <w:tcPr>
            <w:tcW w:w="1080" w:type="dxa"/>
            <w:tcBorders>
              <w:top w:val="single" w:sz="6" w:space="0" w:color="000000"/>
              <w:left w:val="single" w:sz="6" w:space="0" w:color="000000"/>
              <w:bottom w:val="single" w:sz="4" w:space="0" w:color="auto"/>
              <w:right w:val="single" w:sz="6" w:space="0" w:color="000000"/>
            </w:tcBorders>
          </w:tcPr>
          <w:p w14:paraId="7E1F6435" w14:textId="77777777" w:rsidR="00FE6554" w:rsidRPr="00186D62" w:rsidRDefault="00FE6554" w:rsidP="00FE6554">
            <w:pPr>
              <w:jc w:val="center"/>
              <w:rPr>
                <w:sz w:val="18"/>
                <w:szCs w:val="18"/>
              </w:rPr>
            </w:pPr>
          </w:p>
          <w:p w14:paraId="15544635" w14:textId="77777777" w:rsidR="00FE6554" w:rsidRPr="00186D62" w:rsidRDefault="00FE6554" w:rsidP="00FE6554">
            <w:pPr>
              <w:jc w:val="center"/>
              <w:rPr>
                <w:sz w:val="18"/>
                <w:szCs w:val="18"/>
              </w:rPr>
            </w:pPr>
            <w:r w:rsidRPr="00186D62">
              <w:rPr>
                <w:sz w:val="18"/>
                <w:szCs w:val="18"/>
              </w:rPr>
              <w:t>$(0.001)</w:t>
            </w:r>
          </w:p>
        </w:tc>
        <w:tc>
          <w:tcPr>
            <w:tcW w:w="1080" w:type="dxa"/>
            <w:tcBorders>
              <w:top w:val="single" w:sz="6" w:space="0" w:color="000000"/>
              <w:left w:val="single" w:sz="6" w:space="0" w:color="000000"/>
              <w:bottom w:val="single" w:sz="4" w:space="0" w:color="auto"/>
              <w:right w:val="single" w:sz="6" w:space="0" w:color="000000"/>
            </w:tcBorders>
          </w:tcPr>
          <w:p w14:paraId="5D1629F5" w14:textId="77777777" w:rsidR="00FE6554" w:rsidRPr="00186D62" w:rsidRDefault="00FE6554" w:rsidP="00FE6554">
            <w:pPr>
              <w:jc w:val="center"/>
              <w:rPr>
                <w:sz w:val="18"/>
                <w:szCs w:val="18"/>
              </w:rPr>
            </w:pPr>
          </w:p>
          <w:p w14:paraId="36547984" w14:textId="77777777" w:rsidR="00FE6554" w:rsidRPr="00186D62" w:rsidRDefault="00FE6554" w:rsidP="00FE6554">
            <w:pPr>
              <w:jc w:val="center"/>
              <w:rPr>
                <w:sz w:val="18"/>
                <w:szCs w:val="18"/>
              </w:rPr>
            </w:pPr>
            <w:r w:rsidRPr="00186D62">
              <w:rPr>
                <w:sz w:val="18"/>
                <w:szCs w:val="18"/>
              </w:rPr>
              <w:t>$(0.002)</w:t>
            </w:r>
          </w:p>
        </w:tc>
        <w:tc>
          <w:tcPr>
            <w:tcW w:w="960" w:type="dxa"/>
            <w:tcBorders>
              <w:top w:val="single" w:sz="6" w:space="0" w:color="000000"/>
              <w:left w:val="single" w:sz="6" w:space="0" w:color="000000"/>
              <w:bottom w:val="single" w:sz="4" w:space="0" w:color="auto"/>
              <w:right w:val="single" w:sz="6" w:space="0" w:color="000000"/>
            </w:tcBorders>
          </w:tcPr>
          <w:p w14:paraId="61C68ACD" w14:textId="77777777" w:rsidR="00FE6554" w:rsidRPr="00186D62" w:rsidRDefault="00FE6554" w:rsidP="00FE6554">
            <w:pPr>
              <w:jc w:val="center"/>
              <w:rPr>
                <w:sz w:val="18"/>
                <w:szCs w:val="18"/>
              </w:rPr>
            </w:pPr>
          </w:p>
          <w:p w14:paraId="18C7D01D" w14:textId="77777777" w:rsidR="00FE6554" w:rsidRPr="00186D62" w:rsidRDefault="00FE6554" w:rsidP="00FE6554">
            <w:pPr>
              <w:jc w:val="center"/>
              <w:rPr>
                <w:sz w:val="18"/>
                <w:szCs w:val="18"/>
              </w:rPr>
            </w:pPr>
            <w:r w:rsidRPr="00186D62">
              <w:rPr>
                <w:sz w:val="18"/>
                <w:szCs w:val="18"/>
              </w:rPr>
              <w:t>$(0.002)</w:t>
            </w:r>
          </w:p>
        </w:tc>
        <w:tc>
          <w:tcPr>
            <w:tcW w:w="1200" w:type="dxa"/>
            <w:tcBorders>
              <w:top w:val="single" w:sz="6" w:space="0" w:color="000000"/>
              <w:left w:val="single" w:sz="6" w:space="0" w:color="000000"/>
              <w:bottom w:val="single" w:sz="4" w:space="0" w:color="auto"/>
              <w:right w:val="single" w:sz="6" w:space="0" w:color="000000"/>
            </w:tcBorders>
          </w:tcPr>
          <w:p w14:paraId="4487A2C1" w14:textId="77777777" w:rsidR="00FE6554" w:rsidRPr="00186D62" w:rsidRDefault="00FE6554" w:rsidP="00FE6554">
            <w:pPr>
              <w:jc w:val="center"/>
              <w:rPr>
                <w:sz w:val="18"/>
                <w:szCs w:val="18"/>
              </w:rPr>
            </w:pPr>
          </w:p>
          <w:p w14:paraId="227BA520" w14:textId="77777777" w:rsidR="00FE6554" w:rsidRPr="00186D62" w:rsidRDefault="00FE6554" w:rsidP="00FE6554">
            <w:pPr>
              <w:jc w:val="center"/>
              <w:rPr>
                <w:sz w:val="18"/>
                <w:szCs w:val="18"/>
              </w:rPr>
            </w:pPr>
            <w:r w:rsidRPr="00186D62">
              <w:rPr>
                <w:sz w:val="18"/>
                <w:szCs w:val="18"/>
              </w:rPr>
              <w:t>$(0.003)</w:t>
            </w:r>
          </w:p>
        </w:tc>
        <w:tc>
          <w:tcPr>
            <w:tcW w:w="1200" w:type="dxa"/>
            <w:tcBorders>
              <w:top w:val="single" w:sz="6" w:space="0" w:color="000000"/>
              <w:left w:val="single" w:sz="6" w:space="0" w:color="000000"/>
              <w:bottom w:val="single" w:sz="4" w:space="0" w:color="auto"/>
              <w:right w:val="single" w:sz="6" w:space="0" w:color="000000"/>
            </w:tcBorders>
          </w:tcPr>
          <w:p w14:paraId="7C7A7C63" w14:textId="77777777" w:rsidR="00FE6554" w:rsidRPr="00186D62" w:rsidRDefault="00FE6554" w:rsidP="00FE6554">
            <w:pPr>
              <w:jc w:val="center"/>
              <w:rPr>
                <w:sz w:val="18"/>
                <w:szCs w:val="18"/>
              </w:rPr>
            </w:pPr>
          </w:p>
          <w:p w14:paraId="0202D1E9" w14:textId="77777777" w:rsidR="00FE6554" w:rsidRPr="00186D62" w:rsidRDefault="00FE6554" w:rsidP="00FE6554">
            <w:pPr>
              <w:jc w:val="center"/>
              <w:rPr>
                <w:sz w:val="18"/>
                <w:szCs w:val="18"/>
              </w:rPr>
            </w:pPr>
            <w:r w:rsidRPr="00186D62">
              <w:rPr>
                <w:sz w:val="18"/>
                <w:szCs w:val="18"/>
              </w:rPr>
              <w:t>$(0.002)</w:t>
            </w:r>
          </w:p>
        </w:tc>
        <w:tc>
          <w:tcPr>
            <w:tcW w:w="1200" w:type="dxa"/>
            <w:tcBorders>
              <w:top w:val="single" w:sz="6" w:space="0" w:color="000000"/>
              <w:left w:val="single" w:sz="6" w:space="0" w:color="000000"/>
              <w:bottom w:val="single" w:sz="4" w:space="0" w:color="auto"/>
              <w:right w:val="single" w:sz="6" w:space="0" w:color="000000"/>
            </w:tcBorders>
          </w:tcPr>
          <w:p w14:paraId="413B9982" w14:textId="77777777" w:rsidR="00FE6554" w:rsidRPr="00186D62" w:rsidRDefault="00FE6554" w:rsidP="00FE6554">
            <w:pPr>
              <w:jc w:val="center"/>
              <w:rPr>
                <w:sz w:val="18"/>
                <w:szCs w:val="18"/>
              </w:rPr>
            </w:pPr>
          </w:p>
          <w:p w14:paraId="267CDD1B" w14:textId="77777777" w:rsidR="00FE6554" w:rsidRPr="00186D62" w:rsidRDefault="00FE6554" w:rsidP="00FE6554">
            <w:pPr>
              <w:jc w:val="center"/>
              <w:rPr>
                <w:sz w:val="18"/>
                <w:szCs w:val="18"/>
              </w:rPr>
            </w:pPr>
            <w:r w:rsidRPr="00186D62">
              <w:rPr>
                <w:sz w:val="18"/>
                <w:szCs w:val="18"/>
              </w:rPr>
              <w:t>$(0.001)</w:t>
            </w:r>
          </w:p>
        </w:tc>
        <w:tc>
          <w:tcPr>
            <w:tcW w:w="960" w:type="dxa"/>
            <w:tcBorders>
              <w:top w:val="single" w:sz="6" w:space="0" w:color="000000"/>
              <w:left w:val="single" w:sz="6" w:space="0" w:color="000000"/>
              <w:bottom w:val="single" w:sz="4" w:space="0" w:color="auto"/>
              <w:right w:val="single" w:sz="6" w:space="0" w:color="000000"/>
            </w:tcBorders>
          </w:tcPr>
          <w:p w14:paraId="1F3B2D3A" w14:textId="77777777" w:rsidR="00FE6554" w:rsidRPr="00186D62" w:rsidRDefault="00FE6554" w:rsidP="00FE6554">
            <w:pPr>
              <w:jc w:val="center"/>
              <w:rPr>
                <w:sz w:val="18"/>
                <w:szCs w:val="18"/>
              </w:rPr>
            </w:pPr>
          </w:p>
          <w:p w14:paraId="3C42CA6F" w14:textId="77777777" w:rsidR="00FE6554" w:rsidRPr="00186D62" w:rsidRDefault="00FE6554" w:rsidP="00FE6554">
            <w:pPr>
              <w:jc w:val="center"/>
              <w:rPr>
                <w:sz w:val="18"/>
                <w:szCs w:val="18"/>
              </w:rPr>
            </w:pPr>
            <w:r w:rsidRPr="00186D62">
              <w:rPr>
                <w:sz w:val="18"/>
                <w:szCs w:val="18"/>
              </w:rPr>
              <w:t>$(0.000)</w:t>
            </w:r>
          </w:p>
        </w:tc>
        <w:tc>
          <w:tcPr>
            <w:tcW w:w="975" w:type="dxa"/>
            <w:tcBorders>
              <w:top w:val="single" w:sz="6" w:space="0" w:color="000000"/>
              <w:left w:val="single" w:sz="6" w:space="0" w:color="000000"/>
              <w:bottom w:val="single" w:sz="4" w:space="0" w:color="auto"/>
              <w:right w:val="single" w:sz="6" w:space="0" w:color="000000"/>
            </w:tcBorders>
          </w:tcPr>
          <w:p w14:paraId="695CDF49" w14:textId="77777777" w:rsidR="00FE6554" w:rsidRPr="00186D62" w:rsidRDefault="00FE6554" w:rsidP="00FE6554">
            <w:pPr>
              <w:jc w:val="center"/>
              <w:rPr>
                <w:sz w:val="18"/>
                <w:szCs w:val="18"/>
              </w:rPr>
            </w:pPr>
          </w:p>
          <w:p w14:paraId="2AEEE0FE" w14:textId="77777777" w:rsidR="00FE6554" w:rsidRPr="00186D62" w:rsidRDefault="00FE6554" w:rsidP="00FE6554">
            <w:pPr>
              <w:jc w:val="center"/>
              <w:rPr>
                <w:sz w:val="18"/>
                <w:szCs w:val="18"/>
              </w:rPr>
            </w:pPr>
            <w:r w:rsidRPr="00186D62">
              <w:rPr>
                <w:sz w:val="18"/>
                <w:szCs w:val="18"/>
              </w:rPr>
              <w:t>$(0.011)</w:t>
            </w:r>
          </w:p>
        </w:tc>
      </w:tr>
      <w:tr w:rsidR="00FE6554" w:rsidRPr="00FE6554" w14:paraId="01DAAC49" w14:textId="77777777" w:rsidTr="00FE6554">
        <w:trPr>
          <w:cantSplit/>
        </w:trPr>
        <w:tc>
          <w:tcPr>
            <w:tcW w:w="1887" w:type="dxa"/>
            <w:tcBorders>
              <w:top w:val="single" w:sz="4" w:space="0" w:color="auto"/>
              <w:left w:val="single" w:sz="4" w:space="0" w:color="auto"/>
              <w:bottom w:val="single" w:sz="4" w:space="0" w:color="auto"/>
              <w:right w:val="single" w:sz="4" w:space="0" w:color="auto"/>
            </w:tcBorders>
            <w:vAlign w:val="bottom"/>
          </w:tcPr>
          <w:p w14:paraId="38A51576" w14:textId="77777777" w:rsidR="00FE6554" w:rsidRPr="00186D62" w:rsidRDefault="00FE6554" w:rsidP="00FE6554">
            <w:pPr>
              <w:rPr>
                <w:b/>
                <w:bCs/>
                <w:color w:val="000000"/>
                <w:sz w:val="18"/>
                <w:szCs w:val="18"/>
              </w:rPr>
            </w:pPr>
          </w:p>
          <w:p w14:paraId="30353386" w14:textId="77777777" w:rsidR="00FE6554" w:rsidRPr="00186D62" w:rsidRDefault="00FE6554" w:rsidP="00FE6554">
            <w:pPr>
              <w:rPr>
                <w:b/>
                <w:bCs/>
                <w:color w:val="000000"/>
                <w:sz w:val="18"/>
                <w:szCs w:val="18"/>
              </w:rPr>
            </w:pPr>
            <w:r w:rsidRPr="00186D62">
              <w:rPr>
                <w:b/>
                <w:bCs/>
                <w:color w:val="000000"/>
                <w:sz w:val="18"/>
                <w:szCs w:val="18"/>
              </w:rPr>
              <w:t>Other items:</w:t>
            </w:r>
          </w:p>
        </w:tc>
        <w:tc>
          <w:tcPr>
            <w:tcW w:w="1080" w:type="dxa"/>
            <w:tcBorders>
              <w:top w:val="single" w:sz="4" w:space="0" w:color="auto"/>
              <w:left w:val="single" w:sz="4" w:space="0" w:color="auto"/>
              <w:bottom w:val="single" w:sz="4" w:space="0" w:color="auto"/>
              <w:right w:val="single" w:sz="4" w:space="0" w:color="auto"/>
            </w:tcBorders>
          </w:tcPr>
          <w:p w14:paraId="0406657D" w14:textId="77777777" w:rsidR="00FE6554" w:rsidRPr="00186D62" w:rsidRDefault="00FE6554" w:rsidP="00FE6554">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4701CAB" w14:textId="77777777" w:rsidR="00FE6554" w:rsidRPr="00186D62" w:rsidRDefault="00FE6554" w:rsidP="00FE6554">
            <w:pPr>
              <w:jc w:val="center"/>
              <w:rPr>
                <w:sz w:val="18"/>
                <w:szCs w:val="18"/>
              </w:rPr>
            </w:pPr>
          </w:p>
        </w:tc>
        <w:tc>
          <w:tcPr>
            <w:tcW w:w="960" w:type="dxa"/>
            <w:tcBorders>
              <w:top w:val="single" w:sz="4" w:space="0" w:color="auto"/>
              <w:left w:val="single" w:sz="4" w:space="0" w:color="auto"/>
              <w:bottom w:val="single" w:sz="4" w:space="0" w:color="auto"/>
              <w:right w:val="single" w:sz="4" w:space="0" w:color="auto"/>
            </w:tcBorders>
          </w:tcPr>
          <w:p w14:paraId="5C087EB2" w14:textId="77777777" w:rsidR="00FE6554" w:rsidRPr="00186D62" w:rsidRDefault="00FE6554" w:rsidP="00FE6554">
            <w:pPr>
              <w:jc w:val="center"/>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4CF163CE" w14:textId="77777777" w:rsidR="00FE6554" w:rsidRPr="00186D62" w:rsidRDefault="00FE6554" w:rsidP="00FE6554">
            <w:pPr>
              <w:jc w:val="center"/>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38EBA50" w14:textId="77777777" w:rsidR="00FE6554" w:rsidRPr="00186D62" w:rsidRDefault="00FE6554" w:rsidP="00FE6554">
            <w:pPr>
              <w:jc w:val="center"/>
              <w:rPr>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58E7F27" w14:textId="77777777" w:rsidR="00FE6554" w:rsidRPr="00186D62" w:rsidRDefault="00FE6554" w:rsidP="00FE6554">
            <w:pPr>
              <w:jc w:val="center"/>
              <w:rPr>
                <w:sz w:val="18"/>
                <w:szCs w:val="18"/>
              </w:rPr>
            </w:pPr>
          </w:p>
        </w:tc>
        <w:tc>
          <w:tcPr>
            <w:tcW w:w="960" w:type="dxa"/>
            <w:tcBorders>
              <w:top w:val="single" w:sz="4" w:space="0" w:color="auto"/>
              <w:left w:val="single" w:sz="4" w:space="0" w:color="auto"/>
              <w:bottom w:val="single" w:sz="4" w:space="0" w:color="auto"/>
              <w:right w:val="single" w:sz="4" w:space="0" w:color="auto"/>
            </w:tcBorders>
          </w:tcPr>
          <w:p w14:paraId="76B0F12D" w14:textId="77777777" w:rsidR="00FE6554" w:rsidRPr="00186D62" w:rsidRDefault="00FE6554" w:rsidP="00FE6554">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tcPr>
          <w:p w14:paraId="7D214ED8" w14:textId="77777777" w:rsidR="00FE6554" w:rsidRPr="00186D62" w:rsidRDefault="00FE6554" w:rsidP="00FE6554">
            <w:pPr>
              <w:jc w:val="center"/>
              <w:rPr>
                <w:sz w:val="18"/>
                <w:szCs w:val="18"/>
              </w:rPr>
            </w:pPr>
          </w:p>
        </w:tc>
      </w:tr>
      <w:tr w:rsidR="00FE6554" w:rsidRPr="00FE6554" w14:paraId="57935D40" w14:textId="77777777" w:rsidTr="00FE6554">
        <w:trPr>
          <w:cantSplit/>
        </w:trPr>
        <w:tc>
          <w:tcPr>
            <w:tcW w:w="1887" w:type="dxa"/>
            <w:tcBorders>
              <w:top w:val="single" w:sz="4" w:space="0" w:color="auto"/>
              <w:left w:val="single" w:sz="4" w:space="0" w:color="auto"/>
              <w:bottom w:val="single" w:sz="4" w:space="0" w:color="auto"/>
              <w:right w:val="single" w:sz="4" w:space="0" w:color="auto"/>
            </w:tcBorders>
            <w:vAlign w:val="bottom"/>
          </w:tcPr>
          <w:p w14:paraId="3D100AB7" w14:textId="77777777" w:rsidR="00FE6554" w:rsidRPr="00186D62" w:rsidRDefault="00FE6554" w:rsidP="00FE6554">
            <w:pPr>
              <w:rPr>
                <w:b/>
                <w:bCs/>
                <w:color w:val="000000"/>
                <w:sz w:val="18"/>
                <w:szCs w:val="18"/>
              </w:rPr>
            </w:pPr>
            <w:r w:rsidRPr="00186D62">
              <w:rPr>
                <w:b/>
                <w:bCs/>
                <w:color w:val="000000"/>
                <w:sz w:val="18"/>
                <w:szCs w:val="18"/>
              </w:rPr>
              <w:t>Interest income</w:t>
            </w:r>
          </w:p>
        </w:tc>
        <w:tc>
          <w:tcPr>
            <w:tcW w:w="1080" w:type="dxa"/>
            <w:tcBorders>
              <w:top w:val="single" w:sz="4" w:space="0" w:color="auto"/>
              <w:left w:val="single" w:sz="4" w:space="0" w:color="auto"/>
              <w:bottom w:val="single" w:sz="4" w:space="0" w:color="auto"/>
              <w:right w:val="single" w:sz="4" w:space="0" w:color="auto"/>
            </w:tcBorders>
          </w:tcPr>
          <w:p w14:paraId="2B77F00B" w14:textId="77777777" w:rsidR="00FE6554" w:rsidRPr="00186D62" w:rsidRDefault="00FE6554" w:rsidP="00FE6554">
            <w:pPr>
              <w:jc w:val="center"/>
              <w:rPr>
                <w:sz w:val="18"/>
                <w:szCs w:val="18"/>
              </w:rPr>
            </w:pPr>
          </w:p>
          <w:p w14:paraId="33408D25" w14:textId="77777777" w:rsidR="00FE6554" w:rsidRPr="00186D62" w:rsidRDefault="00FE6554" w:rsidP="00FE6554">
            <w:pPr>
              <w:jc w:val="center"/>
              <w:rPr>
                <w:sz w:val="18"/>
                <w:szCs w:val="18"/>
              </w:rPr>
            </w:pPr>
            <w:r w:rsidRPr="00186D62">
              <w:rPr>
                <w:color w:val="000000"/>
                <w:sz w:val="18"/>
                <w:szCs w:val="18"/>
              </w:rPr>
              <w:t>$156</w:t>
            </w:r>
          </w:p>
        </w:tc>
        <w:tc>
          <w:tcPr>
            <w:tcW w:w="1080" w:type="dxa"/>
            <w:tcBorders>
              <w:top w:val="single" w:sz="4" w:space="0" w:color="auto"/>
              <w:left w:val="single" w:sz="4" w:space="0" w:color="auto"/>
              <w:bottom w:val="single" w:sz="4" w:space="0" w:color="auto"/>
              <w:right w:val="single" w:sz="4" w:space="0" w:color="auto"/>
            </w:tcBorders>
          </w:tcPr>
          <w:p w14:paraId="4E73924B" w14:textId="77777777" w:rsidR="00FE6554" w:rsidRPr="00186D62" w:rsidRDefault="00FE6554" w:rsidP="00FE6554">
            <w:pPr>
              <w:jc w:val="center"/>
              <w:rPr>
                <w:sz w:val="18"/>
                <w:szCs w:val="18"/>
              </w:rPr>
            </w:pPr>
          </w:p>
          <w:p w14:paraId="42C01685" w14:textId="77777777" w:rsidR="00FE6554" w:rsidRPr="00186D62" w:rsidRDefault="00FE6554" w:rsidP="00FE6554">
            <w:pPr>
              <w:jc w:val="center"/>
              <w:rPr>
                <w:sz w:val="18"/>
                <w:szCs w:val="18"/>
              </w:rPr>
            </w:pPr>
            <w:r w:rsidRPr="00186D62">
              <w:rPr>
                <w:color w:val="000000"/>
                <w:sz w:val="18"/>
                <w:szCs w:val="18"/>
              </w:rPr>
              <w:t>$7,023</w:t>
            </w:r>
          </w:p>
        </w:tc>
        <w:tc>
          <w:tcPr>
            <w:tcW w:w="960" w:type="dxa"/>
            <w:tcBorders>
              <w:top w:val="single" w:sz="4" w:space="0" w:color="auto"/>
              <w:left w:val="single" w:sz="4" w:space="0" w:color="auto"/>
              <w:bottom w:val="single" w:sz="4" w:space="0" w:color="auto"/>
              <w:right w:val="single" w:sz="4" w:space="0" w:color="auto"/>
            </w:tcBorders>
          </w:tcPr>
          <w:p w14:paraId="5E2CCCE6" w14:textId="77777777" w:rsidR="00FE6554" w:rsidRPr="00186D62" w:rsidRDefault="00FE6554" w:rsidP="00FE6554">
            <w:pPr>
              <w:jc w:val="center"/>
              <w:rPr>
                <w:sz w:val="18"/>
                <w:szCs w:val="18"/>
              </w:rPr>
            </w:pPr>
          </w:p>
          <w:p w14:paraId="77BD7290" w14:textId="77777777" w:rsidR="00FE6554" w:rsidRPr="00186D62" w:rsidRDefault="00FE6554" w:rsidP="00FE6554">
            <w:pPr>
              <w:jc w:val="center"/>
              <w:rPr>
                <w:sz w:val="18"/>
                <w:szCs w:val="18"/>
              </w:rPr>
            </w:pPr>
            <w:r w:rsidRPr="00186D62">
              <w:rPr>
                <w:color w:val="000000"/>
                <w:sz w:val="18"/>
                <w:szCs w:val="18"/>
              </w:rPr>
              <w:t>$7,799</w:t>
            </w:r>
          </w:p>
        </w:tc>
        <w:tc>
          <w:tcPr>
            <w:tcW w:w="1200" w:type="dxa"/>
            <w:tcBorders>
              <w:top w:val="single" w:sz="4" w:space="0" w:color="auto"/>
              <w:left w:val="single" w:sz="4" w:space="0" w:color="auto"/>
              <w:bottom w:val="single" w:sz="4" w:space="0" w:color="auto"/>
              <w:right w:val="single" w:sz="4" w:space="0" w:color="auto"/>
            </w:tcBorders>
          </w:tcPr>
          <w:p w14:paraId="39E0E471" w14:textId="77777777" w:rsidR="00FE6554" w:rsidRPr="00186D62" w:rsidRDefault="00FE6554" w:rsidP="00FE6554">
            <w:pPr>
              <w:jc w:val="center"/>
              <w:rPr>
                <w:sz w:val="18"/>
                <w:szCs w:val="18"/>
              </w:rPr>
            </w:pPr>
          </w:p>
          <w:p w14:paraId="03A88CB6" w14:textId="77777777" w:rsidR="00FE6554" w:rsidRPr="00186D62" w:rsidRDefault="00FE6554" w:rsidP="00FE6554">
            <w:pPr>
              <w:jc w:val="center"/>
              <w:rPr>
                <w:sz w:val="18"/>
                <w:szCs w:val="18"/>
              </w:rPr>
            </w:pPr>
            <w:r w:rsidRPr="00186D62">
              <w:rPr>
                <w:color w:val="000000"/>
                <w:sz w:val="18"/>
                <w:szCs w:val="18"/>
              </w:rPr>
              <w:t>$8,620</w:t>
            </w:r>
          </w:p>
        </w:tc>
        <w:tc>
          <w:tcPr>
            <w:tcW w:w="1200" w:type="dxa"/>
            <w:tcBorders>
              <w:top w:val="single" w:sz="4" w:space="0" w:color="auto"/>
              <w:left w:val="single" w:sz="4" w:space="0" w:color="auto"/>
              <w:bottom w:val="single" w:sz="4" w:space="0" w:color="auto"/>
              <w:right w:val="single" w:sz="4" w:space="0" w:color="auto"/>
            </w:tcBorders>
          </w:tcPr>
          <w:p w14:paraId="742AC46E" w14:textId="77777777" w:rsidR="00FE6554" w:rsidRPr="00186D62" w:rsidRDefault="00FE6554" w:rsidP="00FE6554">
            <w:pPr>
              <w:jc w:val="center"/>
              <w:rPr>
                <w:sz w:val="18"/>
                <w:szCs w:val="18"/>
              </w:rPr>
            </w:pPr>
          </w:p>
          <w:p w14:paraId="27BEB782" w14:textId="77777777" w:rsidR="00FE6554" w:rsidRPr="00186D62" w:rsidRDefault="00FE6554" w:rsidP="00FE6554">
            <w:pPr>
              <w:jc w:val="center"/>
              <w:rPr>
                <w:sz w:val="18"/>
                <w:szCs w:val="18"/>
              </w:rPr>
            </w:pPr>
            <w:r w:rsidRPr="00186D62">
              <w:rPr>
                <w:color w:val="000000"/>
                <w:sz w:val="18"/>
                <w:szCs w:val="18"/>
              </w:rPr>
              <w:t>$9,039</w:t>
            </w:r>
          </w:p>
        </w:tc>
        <w:tc>
          <w:tcPr>
            <w:tcW w:w="1200" w:type="dxa"/>
            <w:tcBorders>
              <w:top w:val="single" w:sz="4" w:space="0" w:color="auto"/>
              <w:left w:val="single" w:sz="4" w:space="0" w:color="auto"/>
              <w:bottom w:val="single" w:sz="4" w:space="0" w:color="auto"/>
              <w:right w:val="single" w:sz="4" w:space="0" w:color="auto"/>
            </w:tcBorders>
          </w:tcPr>
          <w:p w14:paraId="5A92C054" w14:textId="77777777" w:rsidR="00FE6554" w:rsidRPr="00186D62" w:rsidRDefault="00FE6554" w:rsidP="00FE6554">
            <w:pPr>
              <w:jc w:val="center"/>
              <w:rPr>
                <w:sz w:val="18"/>
                <w:szCs w:val="18"/>
              </w:rPr>
            </w:pPr>
          </w:p>
          <w:p w14:paraId="4AE94901" w14:textId="77777777" w:rsidR="00FE6554" w:rsidRPr="00186D62" w:rsidRDefault="00FE6554" w:rsidP="00FE6554">
            <w:pPr>
              <w:jc w:val="center"/>
              <w:rPr>
                <w:sz w:val="18"/>
                <w:szCs w:val="18"/>
              </w:rPr>
            </w:pPr>
            <w:r w:rsidRPr="00186D62">
              <w:rPr>
                <w:color w:val="000000"/>
                <w:sz w:val="18"/>
                <w:szCs w:val="18"/>
              </w:rPr>
              <w:t>$9,240</w:t>
            </w:r>
          </w:p>
        </w:tc>
        <w:tc>
          <w:tcPr>
            <w:tcW w:w="960" w:type="dxa"/>
            <w:tcBorders>
              <w:top w:val="single" w:sz="4" w:space="0" w:color="auto"/>
              <w:left w:val="single" w:sz="4" w:space="0" w:color="auto"/>
              <w:bottom w:val="single" w:sz="4" w:space="0" w:color="auto"/>
              <w:right w:val="single" w:sz="4" w:space="0" w:color="auto"/>
            </w:tcBorders>
          </w:tcPr>
          <w:p w14:paraId="72A29A2E" w14:textId="77777777" w:rsidR="00FE6554" w:rsidRPr="00186D62" w:rsidRDefault="00FE6554" w:rsidP="00FE6554">
            <w:pPr>
              <w:jc w:val="center"/>
              <w:rPr>
                <w:sz w:val="18"/>
                <w:szCs w:val="18"/>
              </w:rPr>
            </w:pPr>
          </w:p>
          <w:p w14:paraId="6301C959" w14:textId="77777777" w:rsidR="00FE6554" w:rsidRPr="00186D62" w:rsidRDefault="00FE6554" w:rsidP="00FE6554">
            <w:pPr>
              <w:jc w:val="center"/>
              <w:rPr>
                <w:sz w:val="18"/>
                <w:szCs w:val="18"/>
              </w:rPr>
            </w:pPr>
            <w:r w:rsidRPr="00186D62">
              <w:rPr>
                <w:color w:val="000000"/>
                <w:sz w:val="18"/>
                <w:szCs w:val="18"/>
              </w:rPr>
              <w:t>$8,577</w:t>
            </w:r>
          </w:p>
        </w:tc>
        <w:tc>
          <w:tcPr>
            <w:tcW w:w="975" w:type="dxa"/>
            <w:tcBorders>
              <w:top w:val="single" w:sz="4" w:space="0" w:color="auto"/>
              <w:left w:val="single" w:sz="4" w:space="0" w:color="auto"/>
              <w:bottom w:val="single" w:sz="4" w:space="0" w:color="auto"/>
              <w:right w:val="single" w:sz="4" w:space="0" w:color="auto"/>
            </w:tcBorders>
          </w:tcPr>
          <w:p w14:paraId="5696583D" w14:textId="77777777" w:rsidR="00FE6554" w:rsidRPr="00186D62" w:rsidRDefault="00FE6554" w:rsidP="00FE6554">
            <w:pPr>
              <w:jc w:val="center"/>
              <w:rPr>
                <w:sz w:val="18"/>
                <w:szCs w:val="18"/>
              </w:rPr>
            </w:pPr>
          </w:p>
          <w:p w14:paraId="60C3EE21" w14:textId="77777777" w:rsidR="00FE6554" w:rsidRPr="00186D62" w:rsidRDefault="00FE6554" w:rsidP="00FE6554">
            <w:pPr>
              <w:jc w:val="center"/>
              <w:rPr>
                <w:sz w:val="18"/>
                <w:szCs w:val="18"/>
              </w:rPr>
            </w:pPr>
            <w:r w:rsidRPr="00186D62">
              <w:rPr>
                <w:color w:val="000000"/>
                <w:sz w:val="18"/>
                <w:szCs w:val="18"/>
              </w:rPr>
              <w:t>$5,703</w:t>
            </w:r>
          </w:p>
        </w:tc>
      </w:tr>
      <w:tr w:rsidR="00FE6554" w:rsidRPr="00FE6554" w14:paraId="40E8E6A7" w14:textId="77777777" w:rsidTr="00FE6554">
        <w:trPr>
          <w:cantSplit/>
        </w:trPr>
        <w:tc>
          <w:tcPr>
            <w:tcW w:w="1887" w:type="dxa"/>
            <w:tcBorders>
              <w:top w:val="single" w:sz="4" w:space="0" w:color="auto"/>
              <w:left w:val="single" w:sz="4" w:space="0" w:color="auto"/>
              <w:bottom w:val="single" w:sz="4" w:space="0" w:color="auto"/>
              <w:right w:val="single" w:sz="4" w:space="0" w:color="auto"/>
            </w:tcBorders>
            <w:vAlign w:val="bottom"/>
          </w:tcPr>
          <w:p w14:paraId="4B6D445B" w14:textId="77777777" w:rsidR="00FE6554" w:rsidRPr="00186D62" w:rsidRDefault="00FE6554" w:rsidP="00FE6554">
            <w:pPr>
              <w:rPr>
                <w:b/>
                <w:bCs/>
                <w:color w:val="000000"/>
                <w:sz w:val="18"/>
                <w:szCs w:val="18"/>
              </w:rPr>
            </w:pPr>
            <w:r w:rsidRPr="00186D62">
              <w:rPr>
                <w:b/>
                <w:bCs/>
                <w:color w:val="000000"/>
                <w:sz w:val="18"/>
                <w:szCs w:val="18"/>
              </w:rPr>
              <w:t>Gain on write-off of accounts payable</w:t>
            </w:r>
          </w:p>
        </w:tc>
        <w:tc>
          <w:tcPr>
            <w:tcW w:w="1080" w:type="dxa"/>
            <w:tcBorders>
              <w:top w:val="single" w:sz="4" w:space="0" w:color="auto"/>
              <w:left w:val="single" w:sz="4" w:space="0" w:color="auto"/>
              <w:bottom w:val="single" w:sz="4" w:space="0" w:color="auto"/>
              <w:right w:val="single" w:sz="4" w:space="0" w:color="auto"/>
            </w:tcBorders>
          </w:tcPr>
          <w:p w14:paraId="39E4244F" w14:textId="77777777" w:rsidR="00FE6554" w:rsidRPr="00186D62" w:rsidRDefault="00FE6554" w:rsidP="00FE6554">
            <w:pPr>
              <w:jc w:val="center"/>
              <w:rPr>
                <w:sz w:val="18"/>
                <w:szCs w:val="18"/>
              </w:rPr>
            </w:pPr>
          </w:p>
          <w:p w14:paraId="0051CEF5" w14:textId="77777777" w:rsidR="00FE6554" w:rsidRPr="00186D62" w:rsidRDefault="00FE6554" w:rsidP="00FE6554">
            <w:pPr>
              <w:jc w:val="center"/>
              <w:rPr>
                <w:sz w:val="18"/>
                <w:szCs w:val="18"/>
              </w:rPr>
            </w:pPr>
            <w:r w:rsidRPr="00186D62">
              <w:rPr>
                <w:sz w:val="18"/>
                <w:szCs w:val="18"/>
              </w:rPr>
              <w:t>$Nil</w:t>
            </w:r>
          </w:p>
        </w:tc>
        <w:tc>
          <w:tcPr>
            <w:tcW w:w="1080" w:type="dxa"/>
            <w:tcBorders>
              <w:top w:val="single" w:sz="4" w:space="0" w:color="auto"/>
              <w:left w:val="single" w:sz="4" w:space="0" w:color="auto"/>
              <w:bottom w:val="single" w:sz="4" w:space="0" w:color="auto"/>
              <w:right w:val="single" w:sz="4" w:space="0" w:color="auto"/>
            </w:tcBorders>
          </w:tcPr>
          <w:p w14:paraId="5D7D41D4" w14:textId="77777777" w:rsidR="00FE6554" w:rsidRPr="00186D62" w:rsidRDefault="00FE6554" w:rsidP="00FE6554">
            <w:pPr>
              <w:jc w:val="center"/>
              <w:rPr>
                <w:sz w:val="18"/>
                <w:szCs w:val="18"/>
              </w:rPr>
            </w:pPr>
          </w:p>
          <w:p w14:paraId="29533E08" w14:textId="77777777" w:rsidR="00FE6554" w:rsidRPr="00186D62" w:rsidRDefault="00FE6554" w:rsidP="00FE6554">
            <w:pPr>
              <w:jc w:val="center"/>
              <w:rPr>
                <w:sz w:val="18"/>
                <w:szCs w:val="18"/>
              </w:rPr>
            </w:pPr>
            <w:r w:rsidRPr="00186D62">
              <w:rPr>
                <w:sz w:val="18"/>
                <w:szCs w:val="18"/>
              </w:rPr>
              <w:t>$Nil</w:t>
            </w:r>
          </w:p>
        </w:tc>
        <w:tc>
          <w:tcPr>
            <w:tcW w:w="960" w:type="dxa"/>
            <w:tcBorders>
              <w:top w:val="single" w:sz="4" w:space="0" w:color="auto"/>
              <w:left w:val="single" w:sz="4" w:space="0" w:color="auto"/>
              <w:bottom w:val="single" w:sz="4" w:space="0" w:color="auto"/>
              <w:right w:val="single" w:sz="4" w:space="0" w:color="auto"/>
            </w:tcBorders>
          </w:tcPr>
          <w:p w14:paraId="797F7CDD" w14:textId="77777777" w:rsidR="00FE6554" w:rsidRPr="00186D62" w:rsidRDefault="00FE6554" w:rsidP="00FE6554">
            <w:pPr>
              <w:jc w:val="center"/>
              <w:rPr>
                <w:sz w:val="18"/>
                <w:szCs w:val="18"/>
              </w:rPr>
            </w:pPr>
          </w:p>
          <w:p w14:paraId="2AE620D3" w14:textId="77777777" w:rsidR="00FE6554" w:rsidRPr="00186D62" w:rsidRDefault="00FE6554" w:rsidP="00FE6554">
            <w:pPr>
              <w:jc w:val="center"/>
              <w:rPr>
                <w:sz w:val="18"/>
                <w:szCs w:val="18"/>
              </w:rPr>
            </w:pPr>
            <w:r w:rsidRPr="00186D62">
              <w:rPr>
                <w:sz w:val="18"/>
                <w:szCs w:val="18"/>
              </w:rPr>
              <w:t>$Nil</w:t>
            </w:r>
          </w:p>
        </w:tc>
        <w:tc>
          <w:tcPr>
            <w:tcW w:w="1200" w:type="dxa"/>
            <w:tcBorders>
              <w:top w:val="single" w:sz="4" w:space="0" w:color="auto"/>
              <w:left w:val="single" w:sz="4" w:space="0" w:color="auto"/>
              <w:bottom w:val="single" w:sz="4" w:space="0" w:color="auto"/>
              <w:right w:val="single" w:sz="4" w:space="0" w:color="auto"/>
            </w:tcBorders>
          </w:tcPr>
          <w:p w14:paraId="5985FFEA" w14:textId="77777777" w:rsidR="00FE6554" w:rsidRPr="00186D62" w:rsidRDefault="00FE6554" w:rsidP="00FE6554">
            <w:pPr>
              <w:jc w:val="center"/>
              <w:rPr>
                <w:sz w:val="18"/>
                <w:szCs w:val="18"/>
              </w:rPr>
            </w:pPr>
          </w:p>
          <w:p w14:paraId="04B795DE" w14:textId="77777777" w:rsidR="00FE6554" w:rsidRPr="00186D62" w:rsidRDefault="00FE6554" w:rsidP="00FE6554">
            <w:pPr>
              <w:jc w:val="center"/>
              <w:rPr>
                <w:sz w:val="18"/>
                <w:szCs w:val="18"/>
              </w:rPr>
            </w:pPr>
            <w:r w:rsidRPr="00186D62">
              <w:rPr>
                <w:sz w:val="18"/>
                <w:szCs w:val="18"/>
              </w:rPr>
              <w:t>$Nil</w:t>
            </w:r>
          </w:p>
        </w:tc>
        <w:tc>
          <w:tcPr>
            <w:tcW w:w="1200" w:type="dxa"/>
            <w:tcBorders>
              <w:top w:val="single" w:sz="4" w:space="0" w:color="auto"/>
              <w:left w:val="single" w:sz="4" w:space="0" w:color="auto"/>
              <w:bottom w:val="single" w:sz="4" w:space="0" w:color="auto"/>
              <w:right w:val="single" w:sz="4" w:space="0" w:color="auto"/>
            </w:tcBorders>
          </w:tcPr>
          <w:p w14:paraId="11FD21AB" w14:textId="77777777" w:rsidR="00FE6554" w:rsidRPr="00186D62" w:rsidRDefault="00FE6554" w:rsidP="00FE6554">
            <w:pPr>
              <w:jc w:val="center"/>
              <w:rPr>
                <w:sz w:val="18"/>
                <w:szCs w:val="18"/>
              </w:rPr>
            </w:pPr>
          </w:p>
          <w:p w14:paraId="3701638E" w14:textId="77777777" w:rsidR="00FE6554" w:rsidRPr="00186D62" w:rsidRDefault="00FE6554" w:rsidP="00FE6554">
            <w:pPr>
              <w:jc w:val="center"/>
              <w:rPr>
                <w:sz w:val="18"/>
                <w:szCs w:val="18"/>
              </w:rPr>
            </w:pPr>
            <w:r w:rsidRPr="00186D62">
              <w:rPr>
                <w:sz w:val="18"/>
                <w:szCs w:val="18"/>
              </w:rPr>
              <w:t>$Nil</w:t>
            </w:r>
          </w:p>
        </w:tc>
        <w:tc>
          <w:tcPr>
            <w:tcW w:w="1200" w:type="dxa"/>
            <w:tcBorders>
              <w:top w:val="single" w:sz="4" w:space="0" w:color="auto"/>
              <w:left w:val="single" w:sz="4" w:space="0" w:color="auto"/>
              <w:bottom w:val="single" w:sz="4" w:space="0" w:color="auto"/>
              <w:right w:val="single" w:sz="4" w:space="0" w:color="auto"/>
            </w:tcBorders>
          </w:tcPr>
          <w:p w14:paraId="4B550E89" w14:textId="77777777" w:rsidR="00FE6554" w:rsidRPr="00186D62" w:rsidRDefault="00FE6554" w:rsidP="00FE6554">
            <w:pPr>
              <w:jc w:val="center"/>
              <w:rPr>
                <w:sz w:val="18"/>
                <w:szCs w:val="18"/>
              </w:rPr>
            </w:pPr>
          </w:p>
          <w:p w14:paraId="191B7058" w14:textId="77777777" w:rsidR="00FE6554" w:rsidRPr="00186D62" w:rsidRDefault="00FE6554" w:rsidP="00FE6554">
            <w:pPr>
              <w:rPr>
                <w:sz w:val="18"/>
                <w:szCs w:val="18"/>
              </w:rPr>
            </w:pPr>
            <w:r w:rsidRPr="00186D62">
              <w:rPr>
                <w:sz w:val="18"/>
                <w:szCs w:val="18"/>
              </w:rPr>
              <w:t>$16,660</w:t>
            </w:r>
          </w:p>
        </w:tc>
        <w:tc>
          <w:tcPr>
            <w:tcW w:w="960" w:type="dxa"/>
            <w:tcBorders>
              <w:top w:val="single" w:sz="4" w:space="0" w:color="auto"/>
              <w:left w:val="single" w:sz="4" w:space="0" w:color="auto"/>
              <w:bottom w:val="single" w:sz="4" w:space="0" w:color="auto"/>
              <w:right w:val="single" w:sz="4" w:space="0" w:color="auto"/>
            </w:tcBorders>
          </w:tcPr>
          <w:p w14:paraId="4CB199E3" w14:textId="77777777" w:rsidR="00FE6554" w:rsidRPr="00186D62" w:rsidRDefault="00FE6554" w:rsidP="00FE6554">
            <w:pPr>
              <w:jc w:val="center"/>
              <w:rPr>
                <w:sz w:val="18"/>
                <w:szCs w:val="18"/>
              </w:rPr>
            </w:pPr>
          </w:p>
          <w:p w14:paraId="546982F7" w14:textId="77777777" w:rsidR="00FE6554" w:rsidRPr="00186D62" w:rsidRDefault="00FE6554" w:rsidP="00FE6554">
            <w:pPr>
              <w:rPr>
                <w:sz w:val="18"/>
                <w:szCs w:val="18"/>
              </w:rPr>
            </w:pPr>
            <w:r w:rsidRPr="00186D62">
              <w:rPr>
                <w:sz w:val="18"/>
                <w:szCs w:val="18"/>
              </w:rPr>
              <w:t xml:space="preserve">         $Nil</w:t>
            </w:r>
          </w:p>
        </w:tc>
        <w:tc>
          <w:tcPr>
            <w:tcW w:w="975" w:type="dxa"/>
            <w:tcBorders>
              <w:top w:val="single" w:sz="4" w:space="0" w:color="auto"/>
              <w:left w:val="single" w:sz="4" w:space="0" w:color="auto"/>
              <w:bottom w:val="single" w:sz="4" w:space="0" w:color="auto"/>
              <w:right w:val="single" w:sz="4" w:space="0" w:color="auto"/>
            </w:tcBorders>
          </w:tcPr>
          <w:p w14:paraId="6ED20DFA" w14:textId="77777777" w:rsidR="00FE6554" w:rsidRPr="00186D62" w:rsidRDefault="00FE6554" w:rsidP="00FE6554">
            <w:pPr>
              <w:jc w:val="center"/>
              <w:rPr>
                <w:sz w:val="18"/>
                <w:szCs w:val="18"/>
              </w:rPr>
            </w:pPr>
          </w:p>
          <w:p w14:paraId="0B6F1E45" w14:textId="77777777" w:rsidR="00FE6554" w:rsidRPr="00186D62" w:rsidRDefault="00FE6554" w:rsidP="00FE6554">
            <w:pPr>
              <w:rPr>
                <w:sz w:val="18"/>
                <w:szCs w:val="18"/>
              </w:rPr>
            </w:pPr>
            <w:r w:rsidRPr="00186D62">
              <w:rPr>
                <w:sz w:val="18"/>
                <w:szCs w:val="18"/>
              </w:rPr>
              <w:t xml:space="preserve">         $Nil</w:t>
            </w:r>
          </w:p>
        </w:tc>
      </w:tr>
      <w:tr w:rsidR="00FE6554" w:rsidRPr="00FE6554" w14:paraId="56BBC180" w14:textId="77777777" w:rsidTr="00FE6554">
        <w:trPr>
          <w:cantSplit/>
        </w:trPr>
        <w:tc>
          <w:tcPr>
            <w:tcW w:w="1887" w:type="dxa"/>
            <w:tcBorders>
              <w:top w:val="single" w:sz="4" w:space="0" w:color="auto"/>
              <w:left w:val="single" w:sz="4" w:space="0" w:color="auto"/>
              <w:bottom w:val="single" w:sz="4" w:space="0" w:color="auto"/>
              <w:right w:val="single" w:sz="4" w:space="0" w:color="auto"/>
            </w:tcBorders>
            <w:vAlign w:val="bottom"/>
          </w:tcPr>
          <w:p w14:paraId="41E5673D" w14:textId="77777777" w:rsidR="00FE6554" w:rsidRPr="00186D62" w:rsidRDefault="00FE6554" w:rsidP="00FE6554">
            <w:pPr>
              <w:rPr>
                <w:b/>
                <w:bCs/>
                <w:color w:val="000000"/>
                <w:sz w:val="18"/>
                <w:szCs w:val="18"/>
              </w:rPr>
            </w:pPr>
            <w:r w:rsidRPr="00186D62">
              <w:rPr>
                <w:b/>
                <w:bCs/>
                <w:color w:val="000000"/>
                <w:sz w:val="18"/>
                <w:szCs w:val="18"/>
              </w:rPr>
              <w:t>Other income on settlement of flow-through share premium liability</w:t>
            </w:r>
          </w:p>
        </w:tc>
        <w:tc>
          <w:tcPr>
            <w:tcW w:w="1080" w:type="dxa"/>
            <w:tcBorders>
              <w:top w:val="single" w:sz="4" w:space="0" w:color="auto"/>
              <w:left w:val="single" w:sz="4" w:space="0" w:color="auto"/>
              <w:bottom w:val="single" w:sz="4" w:space="0" w:color="auto"/>
              <w:right w:val="single" w:sz="4" w:space="0" w:color="auto"/>
            </w:tcBorders>
          </w:tcPr>
          <w:p w14:paraId="18B66F72" w14:textId="77777777" w:rsidR="00FE6554" w:rsidRPr="00186D62" w:rsidRDefault="00FE6554" w:rsidP="00FE6554">
            <w:pPr>
              <w:jc w:val="center"/>
              <w:rPr>
                <w:sz w:val="18"/>
                <w:szCs w:val="18"/>
              </w:rPr>
            </w:pPr>
          </w:p>
          <w:p w14:paraId="29DE2B8D" w14:textId="77777777" w:rsidR="00FE6554" w:rsidRPr="00186D62" w:rsidRDefault="00FE6554" w:rsidP="00FE6554">
            <w:pPr>
              <w:jc w:val="center"/>
              <w:rPr>
                <w:sz w:val="18"/>
                <w:szCs w:val="18"/>
              </w:rPr>
            </w:pPr>
            <w:r w:rsidRPr="00186D62">
              <w:rPr>
                <w:sz w:val="18"/>
                <w:szCs w:val="18"/>
              </w:rPr>
              <w:t xml:space="preserve">         </w:t>
            </w:r>
          </w:p>
          <w:p w14:paraId="4B399078" w14:textId="77777777" w:rsidR="00FE6554" w:rsidRPr="00186D62" w:rsidRDefault="00FE6554" w:rsidP="00FE6554">
            <w:pPr>
              <w:jc w:val="center"/>
              <w:rPr>
                <w:sz w:val="18"/>
                <w:szCs w:val="18"/>
              </w:rPr>
            </w:pPr>
            <w:r w:rsidRPr="00186D62">
              <w:rPr>
                <w:sz w:val="18"/>
                <w:szCs w:val="18"/>
              </w:rPr>
              <w:t>$Nil</w:t>
            </w:r>
          </w:p>
        </w:tc>
        <w:tc>
          <w:tcPr>
            <w:tcW w:w="1080" w:type="dxa"/>
            <w:tcBorders>
              <w:top w:val="single" w:sz="4" w:space="0" w:color="auto"/>
              <w:left w:val="single" w:sz="4" w:space="0" w:color="auto"/>
              <w:bottom w:val="single" w:sz="4" w:space="0" w:color="auto"/>
              <w:right w:val="single" w:sz="4" w:space="0" w:color="auto"/>
            </w:tcBorders>
          </w:tcPr>
          <w:p w14:paraId="7A683A09" w14:textId="77777777" w:rsidR="00FE6554" w:rsidRPr="00186D62" w:rsidRDefault="00FE6554" w:rsidP="00FE6554">
            <w:pPr>
              <w:jc w:val="center"/>
              <w:rPr>
                <w:sz w:val="18"/>
                <w:szCs w:val="18"/>
              </w:rPr>
            </w:pPr>
          </w:p>
          <w:p w14:paraId="0B87616F" w14:textId="77777777" w:rsidR="00FE6554" w:rsidRPr="00186D62" w:rsidRDefault="00FE6554" w:rsidP="00FE6554">
            <w:pPr>
              <w:jc w:val="center"/>
              <w:rPr>
                <w:sz w:val="18"/>
                <w:szCs w:val="18"/>
              </w:rPr>
            </w:pPr>
            <w:r w:rsidRPr="00186D62">
              <w:rPr>
                <w:sz w:val="18"/>
                <w:szCs w:val="18"/>
              </w:rPr>
              <w:t xml:space="preserve">         </w:t>
            </w:r>
          </w:p>
          <w:p w14:paraId="63B1A408" w14:textId="77777777" w:rsidR="00FE6554" w:rsidRPr="00186D62" w:rsidRDefault="00FE6554" w:rsidP="00FE6554">
            <w:pPr>
              <w:jc w:val="center"/>
              <w:rPr>
                <w:sz w:val="18"/>
                <w:szCs w:val="18"/>
              </w:rPr>
            </w:pPr>
            <w:r w:rsidRPr="00186D62">
              <w:rPr>
                <w:sz w:val="18"/>
                <w:szCs w:val="18"/>
              </w:rPr>
              <w:t>$Nil</w:t>
            </w:r>
          </w:p>
        </w:tc>
        <w:tc>
          <w:tcPr>
            <w:tcW w:w="960" w:type="dxa"/>
            <w:tcBorders>
              <w:top w:val="single" w:sz="4" w:space="0" w:color="auto"/>
              <w:left w:val="single" w:sz="4" w:space="0" w:color="auto"/>
              <w:bottom w:val="single" w:sz="4" w:space="0" w:color="auto"/>
              <w:right w:val="single" w:sz="4" w:space="0" w:color="auto"/>
            </w:tcBorders>
          </w:tcPr>
          <w:p w14:paraId="30EEB667" w14:textId="77777777" w:rsidR="00FE6554" w:rsidRPr="00186D62" w:rsidRDefault="00FE6554" w:rsidP="00FE6554">
            <w:pPr>
              <w:jc w:val="center"/>
              <w:rPr>
                <w:sz w:val="18"/>
                <w:szCs w:val="18"/>
              </w:rPr>
            </w:pPr>
          </w:p>
          <w:p w14:paraId="50D84BAF" w14:textId="77777777" w:rsidR="00FE6554" w:rsidRPr="00186D62" w:rsidRDefault="00FE6554" w:rsidP="00FE6554">
            <w:pPr>
              <w:jc w:val="center"/>
              <w:rPr>
                <w:sz w:val="18"/>
                <w:szCs w:val="18"/>
              </w:rPr>
            </w:pPr>
            <w:r w:rsidRPr="00186D62">
              <w:rPr>
                <w:sz w:val="18"/>
                <w:szCs w:val="18"/>
              </w:rPr>
              <w:t xml:space="preserve">         </w:t>
            </w:r>
          </w:p>
          <w:p w14:paraId="14DC503E" w14:textId="77777777" w:rsidR="00FE6554" w:rsidRPr="00186D62" w:rsidRDefault="00FE6554" w:rsidP="00FE6554">
            <w:pPr>
              <w:jc w:val="center"/>
              <w:rPr>
                <w:sz w:val="18"/>
                <w:szCs w:val="18"/>
              </w:rPr>
            </w:pPr>
            <w:r w:rsidRPr="00186D62">
              <w:rPr>
                <w:sz w:val="18"/>
                <w:szCs w:val="18"/>
              </w:rPr>
              <w:t>$Nil</w:t>
            </w:r>
          </w:p>
        </w:tc>
        <w:tc>
          <w:tcPr>
            <w:tcW w:w="1200" w:type="dxa"/>
            <w:tcBorders>
              <w:top w:val="single" w:sz="4" w:space="0" w:color="auto"/>
              <w:left w:val="single" w:sz="4" w:space="0" w:color="auto"/>
              <w:bottom w:val="single" w:sz="4" w:space="0" w:color="auto"/>
              <w:right w:val="single" w:sz="4" w:space="0" w:color="auto"/>
            </w:tcBorders>
          </w:tcPr>
          <w:p w14:paraId="62FF21EE" w14:textId="77777777" w:rsidR="00FE6554" w:rsidRPr="00186D62" w:rsidRDefault="00FE6554" w:rsidP="00FE6554">
            <w:pPr>
              <w:jc w:val="center"/>
              <w:rPr>
                <w:sz w:val="18"/>
                <w:szCs w:val="18"/>
              </w:rPr>
            </w:pPr>
          </w:p>
          <w:p w14:paraId="70C58545" w14:textId="77777777" w:rsidR="00FE6554" w:rsidRPr="00186D62" w:rsidRDefault="00FE6554" w:rsidP="00FE6554">
            <w:pPr>
              <w:jc w:val="center"/>
              <w:rPr>
                <w:sz w:val="18"/>
                <w:szCs w:val="18"/>
              </w:rPr>
            </w:pPr>
            <w:r w:rsidRPr="00186D62">
              <w:rPr>
                <w:sz w:val="18"/>
                <w:szCs w:val="18"/>
              </w:rPr>
              <w:t xml:space="preserve">         </w:t>
            </w:r>
          </w:p>
          <w:p w14:paraId="649691CA" w14:textId="77777777" w:rsidR="00FE6554" w:rsidRPr="00186D62" w:rsidRDefault="00FE6554" w:rsidP="00FE6554">
            <w:pPr>
              <w:jc w:val="center"/>
              <w:rPr>
                <w:sz w:val="18"/>
                <w:szCs w:val="18"/>
              </w:rPr>
            </w:pPr>
            <w:r w:rsidRPr="00186D62">
              <w:rPr>
                <w:sz w:val="18"/>
                <w:szCs w:val="18"/>
              </w:rPr>
              <w:t>$Nil</w:t>
            </w:r>
          </w:p>
        </w:tc>
        <w:tc>
          <w:tcPr>
            <w:tcW w:w="1200" w:type="dxa"/>
            <w:tcBorders>
              <w:top w:val="single" w:sz="4" w:space="0" w:color="auto"/>
              <w:left w:val="single" w:sz="4" w:space="0" w:color="auto"/>
              <w:bottom w:val="single" w:sz="4" w:space="0" w:color="auto"/>
              <w:right w:val="single" w:sz="4" w:space="0" w:color="auto"/>
            </w:tcBorders>
          </w:tcPr>
          <w:p w14:paraId="7F63D79B" w14:textId="77777777" w:rsidR="00FE6554" w:rsidRPr="00186D62" w:rsidRDefault="00FE6554" w:rsidP="00FE6554">
            <w:pPr>
              <w:jc w:val="center"/>
              <w:rPr>
                <w:sz w:val="18"/>
                <w:szCs w:val="18"/>
              </w:rPr>
            </w:pPr>
          </w:p>
          <w:p w14:paraId="345364B9" w14:textId="77777777" w:rsidR="00FE6554" w:rsidRPr="00186D62" w:rsidRDefault="00FE6554" w:rsidP="00FE6554">
            <w:pPr>
              <w:jc w:val="center"/>
              <w:rPr>
                <w:sz w:val="18"/>
                <w:szCs w:val="18"/>
              </w:rPr>
            </w:pPr>
            <w:r w:rsidRPr="00186D62">
              <w:rPr>
                <w:sz w:val="18"/>
                <w:szCs w:val="18"/>
              </w:rPr>
              <w:t xml:space="preserve">         </w:t>
            </w:r>
          </w:p>
          <w:p w14:paraId="7E4BDA28" w14:textId="77777777" w:rsidR="00FE6554" w:rsidRPr="00186D62" w:rsidRDefault="00FE6554" w:rsidP="00FE6554">
            <w:pPr>
              <w:jc w:val="center"/>
              <w:rPr>
                <w:sz w:val="18"/>
                <w:szCs w:val="18"/>
              </w:rPr>
            </w:pPr>
            <w:r w:rsidRPr="00186D62">
              <w:rPr>
                <w:sz w:val="18"/>
                <w:szCs w:val="18"/>
              </w:rPr>
              <w:t>$Nil</w:t>
            </w:r>
          </w:p>
        </w:tc>
        <w:tc>
          <w:tcPr>
            <w:tcW w:w="1200" w:type="dxa"/>
            <w:tcBorders>
              <w:top w:val="single" w:sz="4" w:space="0" w:color="auto"/>
              <w:left w:val="single" w:sz="4" w:space="0" w:color="auto"/>
              <w:bottom w:val="single" w:sz="4" w:space="0" w:color="auto"/>
              <w:right w:val="single" w:sz="4" w:space="0" w:color="auto"/>
            </w:tcBorders>
          </w:tcPr>
          <w:p w14:paraId="3EFD1F47" w14:textId="77777777" w:rsidR="00FE6554" w:rsidRPr="00186D62" w:rsidRDefault="00FE6554" w:rsidP="00FE6554">
            <w:pPr>
              <w:jc w:val="center"/>
              <w:rPr>
                <w:sz w:val="18"/>
                <w:szCs w:val="18"/>
              </w:rPr>
            </w:pPr>
          </w:p>
          <w:p w14:paraId="0FA5AC41" w14:textId="77777777" w:rsidR="00FE6554" w:rsidRPr="00186D62" w:rsidRDefault="00FE6554" w:rsidP="00FE6554">
            <w:pPr>
              <w:jc w:val="center"/>
              <w:rPr>
                <w:sz w:val="18"/>
                <w:szCs w:val="18"/>
              </w:rPr>
            </w:pPr>
            <w:r w:rsidRPr="00186D62">
              <w:rPr>
                <w:sz w:val="18"/>
                <w:szCs w:val="18"/>
              </w:rPr>
              <w:t xml:space="preserve">         </w:t>
            </w:r>
          </w:p>
          <w:p w14:paraId="61CDFBB3" w14:textId="77777777" w:rsidR="00FE6554" w:rsidRPr="00186D62" w:rsidRDefault="00FE6554" w:rsidP="00FE6554">
            <w:pPr>
              <w:jc w:val="center"/>
              <w:rPr>
                <w:sz w:val="18"/>
                <w:szCs w:val="18"/>
              </w:rPr>
            </w:pPr>
            <w:r w:rsidRPr="00186D62">
              <w:rPr>
                <w:sz w:val="18"/>
                <w:szCs w:val="18"/>
              </w:rPr>
              <w:t>$3,410</w:t>
            </w:r>
          </w:p>
        </w:tc>
        <w:tc>
          <w:tcPr>
            <w:tcW w:w="960" w:type="dxa"/>
            <w:tcBorders>
              <w:top w:val="single" w:sz="4" w:space="0" w:color="auto"/>
              <w:left w:val="single" w:sz="4" w:space="0" w:color="auto"/>
              <w:bottom w:val="single" w:sz="4" w:space="0" w:color="auto"/>
              <w:right w:val="single" w:sz="4" w:space="0" w:color="auto"/>
            </w:tcBorders>
          </w:tcPr>
          <w:p w14:paraId="363DE3CF" w14:textId="77777777" w:rsidR="00FE6554" w:rsidRPr="00186D62" w:rsidRDefault="00FE6554" w:rsidP="00FE6554">
            <w:pPr>
              <w:jc w:val="center"/>
              <w:rPr>
                <w:sz w:val="18"/>
                <w:szCs w:val="18"/>
              </w:rPr>
            </w:pPr>
          </w:p>
          <w:p w14:paraId="7F59579C" w14:textId="77777777" w:rsidR="00FE6554" w:rsidRPr="00186D62" w:rsidRDefault="00FE6554" w:rsidP="00FE6554">
            <w:pPr>
              <w:jc w:val="center"/>
              <w:rPr>
                <w:sz w:val="18"/>
                <w:szCs w:val="18"/>
              </w:rPr>
            </w:pPr>
            <w:r w:rsidRPr="00186D62">
              <w:rPr>
                <w:sz w:val="18"/>
                <w:szCs w:val="18"/>
              </w:rPr>
              <w:t xml:space="preserve">         </w:t>
            </w:r>
          </w:p>
          <w:p w14:paraId="2182EC97" w14:textId="77777777" w:rsidR="00FE6554" w:rsidRPr="00186D62" w:rsidRDefault="00FE6554" w:rsidP="00FE6554">
            <w:pPr>
              <w:jc w:val="center"/>
              <w:rPr>
                <w:sz w:val="18"/>
                <w:szCs w:val="18"/>
              </w:rPr>
            </w:pPr>
            <w:r w:rsidRPr="00186D62">
              <w:rPr>
                <w:sz w:val="18"/>
                <w:szCs w:val="18"/>
              </w:rPr>
              <w:t>$4,125</w:t>
            </w:r>
          </w:p>
        </w:tc>
        <w:tc>
          <w:tcPr>
            <w:tcW w:w="975" w:type="dxa"/>
            <w:tcBorders>
              <w:top w:val="single" w:sz="4" w:space="0" w:color="auto"/>
              <w:left w:val="single" w:sz="4" w:space="0" w:color="auto"/>
              <w:bottom w:val="single" w:sz="4" w:space="0" w:color="auto"/>
              <w:right w:val="single" w:sz="4" w:space="0" w:color="auto"/>
            </w:tcBorders>
          </w:tcPr>
          <w:p w14:paraId="36BB2C81" w14:textId="77777777" w:rsidR="00FE6554" w:rsidRPr="00186D62" w:rsidRDefault="00FE6554" w:rsidP="00FE6554">
            <w:pPr>
              <w:jc w:val="center"/>
              <w:rPr>
                <w:sz w:val="18"/>
                <w:szCs w:val="18"/>
              </w:rPr>
            </w:pPr>
          </w:p>
          <w:p w14:paraId="45A72DED" w14:textId="77777777" w:rsidR="00FE6554" w:rsidRPr="00186D62" w:rsidRDefault="00FE6554" w:rsidP="00FE6554">
            <w:pPr>
              <w:jc w:val="center"/>
              <w:rPr>
                <w:sz w:val="18"/>
                <w:szCs w:val="18"/>
              </w:rPr>
            </w:pPr>
            <w:r w:rsidRPr="00186D62">
              <w:rPr>
                <w:sz w:val="18"/>
                <w:szCs w:val="18"/>
              </w:rPr>
              <w:t xml:space="preserve">         </w:t>
            </w:r>
          </w:p>
          <w:p w14:paraId="3999A781" w14:textId="77777777" w:rsidR="00FE6554" w:rsidRPr="00186D62" w:rsidRDefault="00FE6554" w:rsidP="00FE6554">
            <w:pPr>
              <w:jc w:val="center"/>
              <w:rPr>
                <w:sz w:val="18"/>
                <w:szCs w:val="18"/>
              </w:rPr>
            </w:pPr>
            <w:r w:rsidRPr="00186D62">
              <w:rPr>
                <w:sz w:val="18"/>
                <w:szCs w:val="18"/>
              </w:rPr>
              <w:t>$16,827</w:t>
            </w:r>
          </w:p>
        </w:tc>
      </w:tr>
      <w:tr w:rsidR="00FE6554" w:rsidRPr="00FE6554" w14:paraId="0CB95CAA" w14:textId="77777777" w:rsidTr="00FE6554">
        <w:trPr>
          <w:cantSplit/>
        </w:trPr>
        <w:tc>
          <w:tcPr>
            <w:tcW w:w="1887" w:type="dxa"/>
            <w:tcBorders>
              <w:top w:val="single" w:sz="4" w:space="0" w:color="auto"/>
              <w:left w:val="single" w:sz="4" w:space="0" w:color="auto"/>
              <w:bottom w:val="single" w:sz="4" w:space="0" w:color="auto"/>
              <w:right w:val="single" w:sz="4" w:space="0" w:color="auto"/>
            </w:tcBorders>
            <w:vAlign w:val="bottom"/>
          </w:tcPr>
          <w:p w14:paraId="7BFB29D5" w14:textId="77777777" w:rsidR="00FE6554" w:rsidRPr="00186D62" w:rsidRDefault="00FE6554" w:rsidP="00FE6554">
            <w:pPr>
              <w:rPr>
                <w:b/>
                <w:bCs/>
                <w:color w:val="000000"/>
                <w:sz w:val="18"/>
                <w:szCs w:val="18"/>
              </w:rPr>
            </w:pPr>
            <w:r w:rsidRPr="00186D62">
              <w:rPr>
                <w:b/>
                <w:bCs/>
                <w:color w:val="000000"/>
                <w:sz w:val="18"/>
                <w:szCs w:val="18"/>
              </w:rPr>
              <w:t>Write-down of mineral properties</w:t>
            </w:r>
          </w:p>
        </w:tc>
        <w:tc>
          <w:tcPr>
            <w:tcW w:w="1080" w:type="dxa"/>
            <w:tcBorders>
              <w:top w:val="single" w:sz="4" w:space="0" w:color="auto"/>
              <w:left w:val="single" w:sz="4" w:space="0" w:color="auto"/>
              <w:bottom w:val="single" w:sz="4" w:space="0" w:color="auto"/>
              <w:right w:val="single" w:sz="4" w:space="0" w:color="auto"/>
            </w:tcBorders>
          </w:tcPr>
          <w:p w14:paraId="6D80C484" w14:textId="77777777" w:rsidR="00FE6554" w:rsidRPr="00186D62" w:rsidRDefault="00FE6554" w:rsidP="00FE6554">
            <w:pPr>
              <w:jc w:val="center"/>
              <w:rPr>
                <w:sz w:val="18"/>
                <w:szCs w:val="18"/>
              </w:rPr>
            </w:pPr>
          </w:p>
          <w:p w14:paraId="7FFFEAC5" w14:textId="77777777" w:rsidR="00FE6554" w:rsidRPr="00186D62" w:rsidRDefault="00FE6554" w:rsidP="00FE6554">
            <w:pPr>
              <w:jc w:val="center"/>
              <w:rPr>
                <w:sz w:val="18"/>
                <w:szCs w:val="18"/>
              </w:rPr>
            </w:pPr>
            <w:r w:rsidRPr="00186D62">
              <w:rPr>
                <w:sz w:val="18"/>
                <w:szCs w:val="18"/>
              </w:rPr>
              <w:t>Nil</w:t>
            </w:r>
          </w:p>
        </w:tc>
        <w:tc>
          <w:tcPr>
            <w:tcW w:w="1080" w:type="dxa"/>
            <w:tcBorders>
              <w:top w:val="single" w:sz="4" w:space="0" w:color="auto"/>
              <w:left w:val="single" w:sz="4" w:space="0" w:color="auto"/>
              <w:bottom w:val="single" w:sz="4" w:space="0" w:color="auto"/>
              <w:right w:val="single" w:sz="4" w:space="0" w:color="auto"/>
            </w:tcBorders>
          </w:tcPr>
          <w:p w14:paraId="17DE7A49" w14:textId="77777777" w:rsidR="00FE6554" w:rsidRPr="00186D62" w:rsidRDefault="00FE6554" w:rsidP="00FE6554">
            <w:pPr>
              <w:jc w:val="center"/>
              <w:rPr>
                <w:sz w:val="18"/>
                <w:szCs w:val="18"/>
              </w:rPr>
            </w:pPr>
          </w:p>
          <w:p w14:paraId="4D05F997" w14:textId="77777777" w:rsidR="00FE6554" w:rsidRPr="00186D62" w:rsidRDefault="00FE6554" w:rsidP="00FE6554">
            <w:pPr>
              <w:jc w:val="center"/>
              <w:rPr>
                <w:sz w:val="18"/>
                <w:szCs w:val="18"/>
              </w:rPr>
            </w:pPr>
            <w:r w:rsidRPr="00186D62">
              <w:rPr>
                <w:sz w:val="18"/>
                <w:szCs w:val="18"/>
              </w:rPr>
              <w:t>$(765,415)</w:t>
            </w:r>
          </w:p>
        </w:tc>
        <w:tc>
          <w:tcPr>
            <w:tcW w:w="960" w:type="dxa"/>
            <w:tcBorders>
              <w:top w:val="single" w:sz="4" w:space="0" w:color="auto"/>
              <w:left w:val="single" w:sz="4" w:space="0" w:color="auto"/>
              <w:bottom w:val="single" w:sz="4" w:space="0" w:color="auto"/>
              <w:right w:val="single" w:sz="4" w:space="0" w:color="auto"/>
            </w:tcBorders>
          </w:tcPr>
          <w:p w14:paraId="79450319" w14:textId="77777777" w:rsidR="00FE6554" w:rsidRPr="00186D62" w:rsidRDefault="00FE6554" w:rsidP="00FE6554">
            <w:pPr>
              <w:jc w:val="center"/>
              <w:rPr>
                <w:sz w:val="18"/>
                <w:szCs w:val="18"/>
              </w:rPr>
            </w:pPr>
          </w:p>
          <w:p w14:paraId="6794CFD7" w14:textId="77777777" w:rsidR="00FE6554" w:rsidRPr="00186D62" w:rsidRDefault="00FE6554" w:rsidP="00FE6554">
            <w:pPr>
              <w:jc w:val="center"/>
              <w:rPr>
                <w:sz w:val="18"/>
                <w:szCs w:val="18"/>
              </w:rPr>
            </w:pPr>
            <w:r w:rsidRPr="00186D62">
              <w:rPr>
                <w:sz w:val="18"/>
                <w:szCs w:val="18"/>
              </w:rPr>
              <w:t>$Nil</w:t>
            </w:r>
          </w:p>
        </w:tc>
        <w:tc>
          <w:tcPr>
            <w:tcW w:w="1200" w:type="dxa"/>
            <w:tcBorders>
              <w:top w:val="single" w:sz="4" w:space="0" w:color="auto"/>
              <w:left w:val="single" w:sz="4" w:space="0" w:color="auto"/>
              <w:bottom w:val="single" w:sz="4" w:space="0" w:color="auto"/>
              <w:right w:val="single" w:sz="4" w:space="0" w:color="auto"/>
            </w:tcBorders>
          </w:tcPr>
          <w:p w14:paraId="52F64B63" w14:textId="77777777" w:rsidR="00FE6554" w:rsidRPr="00186D62" w:rsidRDefault="00FE6554" w:rsidP="00FE6554">
            <w:pPr>
              <w:jc w:val="center"/>
              <w:rPr>
                <w:sz w:val="18"/>
                <w:szCs w:val="18"/>
              </w:rPr>
            </w:pPr>
          </w:p>
          <w:p w14:paraId="4DB6FE77" w14:textId="77777777" w:rsidR="00FE6554" w:rsidRPr="00186D62" w:rsidRDefault="00FE6554" w:rsidP="00FE6554">
            <w:pPr>
              <w:jc w:val="center"/>
              <w:rPr>
                <w:sz w:val="18"/>
                <w:szCs w:val="18"/>
              </w:rPr>
            </w:pPr>
            <w:r w:rsidRPr="00186D62">
              <w:rPr>
                <w:sz w:val="18"/>
                <w:szCs w:val="18"/>
              </w:rPr>
              <w:t>$Nil</w:t>
            </w:r>
          </w:p>
        </w:tc>
        <w:tc>
          <w:tcPr>
            <w:tcW w:w="1200" w:type="dxa"/>
            <w:tcBorders>
              <w:top w:val="single" w:sz="4" w:space="0" w:color="auto"/>
              <w:left w:val="single" w:sz="4" w:space="0" w:color="auto"/>
              <w:bottom w:val="single" w:sz="4" w:space="0" w:color="auto"/>
              <w:right w:val="single" w:sz="4" w:space="0" w:color="auto"/>
            </w:tcBorders>
          </w:tcPr>
          <w:p w14:paraId="004CEB7C" w14:textId="77777777" w:rsidR="00FE6554" w:rsidRPr="00186D62" w:rsidRDefault="00FE6554" w:rsidP="00FE6554">
            <w:pPr>
              <w:jc w:val="center"/>
              <w:rPr>
                <w:sz w:val="18"/>
                <w:szCs w:val="18"/>
              </w:rPr>
            </w:pPr>
          </w:p>
          <w:p w14:paraId="21F295C4" w14:textId="77777777" w:rsidR="00FE6554" w:rsidRPr="00186D62" w:rsidRDefault="00FE6554" w:rsidP="00FE6554">
            <w:pPr>
              <w:jc w:val="center"/>
              <w:rPr>
                <w:sz w:val="18"/>
                <w:szCs w:val="18"/>
              </w:rPr>
            </w:pPr>
            <w:r w:rsidRPr="00186D62">
              <w:rPr>
                <w:sz w:val="18"/>
                <w:szCs w:val="18"/>
              </w:rPr>
              <w:t>$Nil</w:t>
            </w:r>
          </w:p>
        </w:tc>
        <w:tc>
          <w:tcPr>
            <w:tcW w:w="1200" w:type="dxa"/>
            <w:tcBorders>
              <w:top w:val="single" w:sz="4" w:space="0" w:color="auto"/>
              <w:left w:val="single" w:sz="4" w:space="0" w:color="auto"/>
              <w:bottom w:val="single" w:sz="4" w:space="0" w:color="auto"/>
              <w:right w:val="single" w:sz="4" w:space="0" w:color="auto"/>
            </w:tcBorders>
          </w:tcPr>
          <w:p w14:paraId="72685000" w14:textId="77777777" w:rsidR="00FE6554" w:rsidRPr="00186D62" w:rsidRDefault="00FE6554" w:rsidP="00FE6554">
            <w:pPr>
              <w:jc w:val="center"/>
              <w:rPr>
                <w:sz w:val="18"/>
                <w:szCs w:val="18"/>
              </w:rPr>
            </w:pPr>
          </w:p>
          <w:p w14:paraId="26D20963" w14:textId="77777777" w:rsidR="00FE6554" w:rsidRPr="00186D62" w:rsidRDefault="00FE6554" w:rsidP="00FE6554">
            <w:pPr>
              <w:jc w:val="center"/>
              <w:rPr>
                <w:sz w:val="18"/>
                <w:szCs w:val="18"/>
              </w:rPr>
            </w:pPr>
            <w:r w:rsidRPr="00186D62">
              <w:rPr>
                <w:sz w:val="18"/>
                <w:szCs w:val="18"/>
              </w:rPr>
              <w:t>$(456,000)</w:t>
            </w:r>
          </w:p>
        </w:tc>
        <w:tc>
          <w:tcPr>
            <w:tcW w:w="960" w:type="dxa"/>
            <w:tcBorders>
              <w:top w:val="single" w:sz="4" w:space="0" w:color="auto"/>
              <w:left w:val="single" w:sz="4" w:space="0" w:color="auto"/>
              <w:bottom w:val="single" w:sz="4" w:space="0" w:color="auto"/>
              <w:right w:val="single" w:sz="4" w:space="0" w:color="auto"/>
            </w:tcBorders>
          </w:tcPr>
          <w:p w14:paraId="62BED854" w14:textId="77777777" w:rsidR="00FE6554" w:rsidRPr="00186D62" w:rsidRDefault="00FE6554" w:rsidP="00FE6554">
            <w:pPr>
              <w:jc w:val="center"/>
              <w:rPr>
                <w:sz w:val="18"/>
                <w:szCs w:val="18"/>
              </w:rPr>
            </w:pPr>
          </w:p>
          <w:p w14:paraId="4E7E05A7" w14:textId="77777777" w:rsidR="00FE6554" w:rsidRPr="00186D62" w:rsidRDefault="00FE6554" w:rsidP="00FE6554">
            <w:pPr>
              <w:jc w:val="center"/>
              <w:rPr>
                <w:sz w:val="18"/>
                <w:szCs w:val="18"/>
              </w:rPr>
            </w:pPr>
            <w:r w:rsidRPr="00186D62">
              <w:rPr>
                <w:sz w:val="18"/>
                <w:szCs w:val="18"/>
              </w:rPr>
              <w:t>$Nil</w:t>
            </w:r>
          </w:p>
        </w:tc>
        <w:tc>
          <w:tcPr>
            <w:tcW w:w="975" w:type="dxa"/>
            <w:tcBorders>
              <w:top w:val="single" w:sz="4" w:space="0" w:color="auto"/>
              <w:left w:val="single" w:sz="4" w:space="0" w:color="auto"/>
              <w:bottom w:val="single" w:sz="4" w:space="0" w:color="auto"/>
              <w:right w:val="single" w:sz="4" w:space="0" w:color="auto"/>
            </w:tcBorders>
          </w:tcPr>
          <w:p w14:paraId="53ABAA2A" w14:textId="77777777" w:rsidR="00FE6554" w:rsidRPr="00186D62" w:rsidRDefault="00FE6554" w:rsidP="00FE6554">
            <w:pPr>
              <w:jc w:val="center"/>
              <w:rPr>
                <w:sz w:val="18"/>
                <w:szCs w:val="18"/>
              </w:rPr>
            </w:pPr>
          </w:p>
          <w:p w14:paraId="7BABE692" w14:textId="77777777" w:rsidR="00FE6554" w:rsidRPr="00186D62" w:rsidRDefault="00FE6554" w:rsidP="00FE6554">
            <w:pPr>
              <w:jc w:val="center"/>
              <w:rPr>
                <w:sz w:val="18"/>
                <w:szCs w:val="18"/>
              </w:rPr>
            </w:pPr>
            <w:r w:rsidRPr="00186D62">
              <w:rPr>
                <w:sz w:val="18"/>
                <w:szCs w:val="18"/>
              </w:rPr>
              <w:t>$Nil</w:t>
            </w:r>
          </w:p>
        </w:tc>
      </w:tr>
      <w:tr w:rsidR="00FE6554" w:rsidRPr="00FE6554" w14:paraId="178B3DC4" w14:textId="77777777" w:rsidTr="00FE6554">
        <w:trPr>
          <w:cantSplit/>
        </w:trPr>
        <w:tc>
          <w:tcPr>
            <w:tcW w:w="1887" w:type="dxa"/>
            <w:tcBorders>
              <w:top w:val="single" w:sz="4" w:space="0" w:color="auto"/>
              <w:left w:val="single" w:sz="4" w:space="0" w:color="auto"/>
              <w:bottom w:val="single" w:sz="4" w:space="0" w:color="auto"/>
              <w:right w:val="single" w:sz="4" w:space="0" w:color="auto"/>
            </w:tcBorders>
          </w:tcPr>
          <w:p w14:paraId="3E248F58" w14:textId="77777777" w:rsidR="00FE6554" w:rsidRPr="00186D62" w:rsidRDefault="00FE6554" w:rsidP="00FE6554">
            <w:pPr>
              <w:rPr>
                <w:b/>
                <w:bCs/>
                <w:color w:val="000000"/>
                <w:sz w:val="18"/>
                <w:szCs w:val="18"/>
              </w:rPr>
            </w:pPr>
          </w:p>
          <w:p w14:paraId="1B9BF58B" w14:textId="77777777" w:rsidR="00FE6554" w:rsidRPr="00186D62" w:rsidRDefault="00FE6554" w:rsidP="00FE6554">
            <w:pPr>
              <w:rPr>
                <w:b/>
                <w:bCs/>
                <w:color w:val="000000"/>
                <w:sz w:val="18"/>
                <w:szCs w:val="18"/>
              </w:rPr>
            </w:pPr>
            <w:r w:rsidRPr="00186D62">
              <w:rPr>
                <w:b/>
                <w:bCs/>
                <w:color w:val="000000"/>
                <w:sz w:val="18"/>
                <w:szCs w:val="18"/>
              </w:rPr>
              <w:t>Net comprehensive loss</w:t>
            </w:r>
          </w:p>
        </w:tc>
        <w:tc>
          <w:tcPr>
            <w:tcW w:w="1080" w:type="dxa"/>
            <w:tcBorders>
              <w:top w:val="single" w:sz="4" w:space="0" w:color="auto"/>
              <w:left w:val="single" w:sz="4" w:space="0" w:color="auto"/>
              <w:bottom w:val="single" w:sz="4" w:space="0" w:color="auto"/>
              <w:right w:val="single" w:sz="4" w:space="0" w:color="auto"/>
            </w:tcBorders>
          </w:tcPr>
          <w:p w14:paraId="49278F6A" w14:textId="77777777" w:rsidR="00FE6554" w:rsidRPr="00186D62" w:rsidRDefault="00FE6554" w:rsidP="00FE6554">
            <w:pPr>
              <w:jc w:val="center"/>
              <w:rPr>
                <w:color w:val="000000"/>
                <w:sz w:val="18"/>
                <w:szCs w:val="18"/>
              </w:rPr>
            </w:pPr>
          </w:p>
          <w:p w14:paraId="0DB5BF03" w14:textId="77777777" w:rsidR="00FE6554" w:rsidRPr="00186D62" w:rsidRDefault="00FE6554" w:rsidP="00FE6554">
            <w:pPr>
              <w:jc w:val="center"/>
              <w:rPr>
                <w:color w:val="000000"/>
                <w:sz w:val="18"/>
                <w:szCs w:val="18"/>
              </w:rPr>
            </w:pPr>
            <w:r w:rsidRPr="00186D62">
              <w:rPr>
                <w:color w:val="000000"/>
                <w:sz w:val="18"/>
                <w:szCs w:val="18"/>
              </w:rPr>
              <w:t>$(100,054)</w:t>
            </w:r>
          </w:p>
        </w:tc>
        <w:tc>
          <w:tcPr>
            <w:tcW w:w="1080" w:type="dxa"/>
            <w:tcBorders>
              <w:top w:val="single" w:sz="4" w:space="0" w:color="auto"/>
              <w:left w:val="single" w:sz="4" w:space="0" w:color="auto"/>
              <w:bottom w:val="single" w:sz="4" w:space="0" w:color="auto"/>
              <w:right w:val="single" w:sz="4" w:space="0" w:color="auto"/>
            </w:tcBorders>
          </w:tcPr>
          <w:p w14:paraId="106D7FFA" w14:textId="77777777" w:rsidR="00FE6554" w:rsidRPr="00186D62" w:rsidRDefault="00FE6554" w:rsidP="00FE6554">
            <w:pPr>
              <w:jc w:val="center"/>
              <w:rPr>
                <w:color w:val="000000"/>
                <w:sz w:val="18"/>
                <w:szCs w:val="18"/>
              </w:rPr>
            </w:pPr>
          </w:p>
          <w:p w14:paraId="53D361E7" w14:textId="77777777" w:rsidR="00FE6554" w:rsidRPr="00186D62" w:rsidRDefault="00FE6554" w:rsidP="00FE6554">
            <w:pPr>
              <w:jc w:val="center"/>
              <w:rPr>
                <w:color w:val="000000"/>
                <w:sz w:val="18"/>
                <w:szCs w:val="18"/>
              </w:rPr>
            </w:pPr>
            <w:r w:rsidRPr="00186D62">
              <w:rPr>
                <w:color w:val="000000"/>
                <w:sz w:val="18"/>
                <w:szCs w:val="18"/>
              </w:rPr>
              <w:t>$(931,664)</w:t>
            </w:r>
          </w:p>
        </w:tc>
        <w:tc>
          <w:tcPr>
            <w:tcW w:w="960" w:type="dxa"/>
            <w:tcBorders>
              <w:top w:val="single" w:sz="4" w:space="0" w:color="auto"/>
              <w:left w:val="single" w:sz="4" w:space="0" w:color="auto"/>
              <w:bottom w:val="single" w:sz="4" w:space="0" w:color="auto"/>
              <w:right w:val="single" w:sz="4" w:space="0" w:color="auto"/>
            </w:tcBorders>
          </w:tcPr>
          <w:p w14:paraId="6F5FAAB7" w14:textId="77777777" w:rsidR="00FE6554" w:rsidRPr="00186D62" w:rsidRDefault="00FE6554" w:rsidP="00FE6554">
            <w:pPr>
              <w:jc w:val="center"/>
              <w:rPr>
                <w:color w:val="000000"/>
                <w:sz w:val="18"/>
                <w:szCs w:val="18"/>
              </w:rPr>
            </w:pPr>
          </w:p>
          <w:p w14:paraId="4425197A" w14:textId="77777777" w:rsidR="00FE6554" w:rsidRPr="00186D62" w:rsidRDefault="00FE6554" w:rsidP="00FE6554">
            <w:pPr>
              <w:jc w:val="center"/>
              <w:rPr>
                <w:color w:val="000000"/>
                <w:sz w:val="18"/>
                <w:szCs w:val="18"/>
              </w:rPr>
            </w:pPr>
            <w:r w:rsidRPr="00186D62">
              <w:rPr>
                <w:color w:val="000000"/>
                <w:sz w:val="18"/>
                <w:szCs w:val="18"/>
              </w:rPr>
              <w:t>$(177,846)</w:t>
            </w:r>
          </w:p>
        </w:tc>
        <w:tc>
          <w:tcPr>
            <w:tcW w:w="1200" w:type="dxa"/>
            <w:tcBorders>
              <w:top w:val="single" w:sz="4" w:space="0" w:color="auto"/>
              <w:left w:val="single" w:sz="4" w:space="0" w:color="auto"/>
              <w:bottom w:val="single" w:sz="4" w:space="0" w:color="auto"/>
              <w:right w:val="single" w:sz="4" w:space="0" w:color="auto"/>
            </w:tcBorders>
          </w:tcPr>
          <w:p w14:paraId="5E4F45D8" w14:textId="77777777" w:rsidR="00FE6554" w:rsidRPr="00186D62" w:rsidRDefault="00FE6554" w:rsidP="00FE6554">
            <w:pPr>
              <w:jc w:val="center"/>
              <w:rPr>
                <w:color w:val="000000"/>
                <w:sz w:val="18"/>
                <w:szCs w:val="18"/>
              </w:rPr>
            </w:pPr>
          </w:p>
          <w:p w14:paraId="22375838" w14:textId="77777777" w:rsidR="00FE6554" w:rsidRPr="00186D62" w:rsidRDefault="00FE6554" w:rsidP="00FE6554">
            <w:pPr>
              <w:jc w:val="center"/>
              <w:rPr>
                <w:color w:val="000000"/>
                <w:sz w:val="18"/>
                <w:szCs w:val="18"/>
              </w:rPr>
            </w:pPr>
            <w:r w:rsidRPr="00186D62">
              <w:rPr>
                <w:color w:val="000000"/>
                <w:sz w:val="18"/>
                <w:szCs w:val="18"/>
              </w:rPr>
              <w:t>$(192,026)</w:t>
            </w:r>
          </w:p>
        </w:tc>
        <w:tc>
          <w:tcPr>
            <w:tcW w:w="1200" w:type="dxa"/>
            <w:tcBorders>
              <w:top w:val="single" w:sz="4" w:space="0" w:color="auto"/>
              <w:left w:val="single" w:sz="4" w:space="0" w:color="auto"/>
              <w:bottom w:val="single" w:sz="4" w:space="0" w:color="auto"/>
              <w:right w:val="single" w:sz="4" w:space="0" w:color="auto"/>
            </w:tcBorders>
          </w:tcPr>
          <w:p w14:paraId="404033A3" w14:textId="77777777" w:rsidR="00FE6554" w:rsidRPr="00186D62" w:rsidRDefault="00FE6554" w:rsidP="00FE6554">
            <w:pPr>
              <w:jc w:val="center"/>
              <w:rPr>
                <w:color w:val="000000"/>
                <w:sz w:val="18"/>
                <w:szCs w:val="18"/>
              </w:rPr>
            </w:pPr>
          </w:p>
          <w:p w14:paraId="7A09BF24" w14:textId="77777777" w:rsidR="00FE6554" w:rsidRPr="00186D62" w:rsidRDefault="00FE6554" w:rsidP="00FE6554">
            <w:pPr>
              <w:jc w:val="center"/>
              <w:rPr>
                <w:color w:val="000000"/>
                <w:sz w:val="18"/>
                <w:szCs w:val="18"/>
              </w:rPr>
            </w:pPr>
            <w:r w:rsidRPr="00186D62">
              <w:rPr>
                <w:color w:val="000000"/>
                <w:sz w:val="18"/>
                <w:szCs w:val="18"/>
              </w:rPr>
              <w:t>$(155,362)</w:t>
            </w:r>
          </w:p>
        </w:tc>
        <w:tc>
          <w:tcPr>
            <w:tcW w:w="1200" w:type="dxa"/>
            <w:tcBorders>
              <w:top w:val="single" w:sz="4" w:space="0" w:color="auto"/>
              <w:left w:val="single" w:sz="4" w:space="0" w:color="auto"/>
              <w:bottom w:val="single" w:sz="4" w:space="0" w:color="auto"/>
              <w:right w:val="single" w:sz="4" w:space="0" w:color="auto"/>
            </w:tcBorders>
          </w:tcPr>
          <w:p w14:paraId="62F6BA7E" w14:textId="77777777" w:rsidR="00FE6554" w:rsidRPr="00186D62" w:rsidRDefault="00FE6554" w:rsidP="00FE6554">
            <w:pPr>
              <w:jc w:val="center"/>
              <w:rPr>
                <w:color w:val="000000"/>
                <w:sz w:val="18"/>
                <w:szCs w:val="18"/>
              </w:rPr>
            </w:pPr>
          </w:p>
          <w:p w14:paraId="2E5D5BB3" w14:textId="77777777" w:rsidR="00FE6554" w:rsidRPr="00186D62" w:rsidRDefault="00FE6554" w:rsidP="00FE6554">
            <w:pPr>
              <w:jc w:val="center"/>
              <w:rPr>
                <w:color w:val="000000"/>
                <w:sz w:val="18"/>
                <w:szCs w:val="18"/>
              </w:rPr>
            </w:pPr>
            <w:r w:rsidRPr="00186D62">
              <w:rPr>
                <w:color w:val="000000"/>
                <w:sz w:val="18"/>
                <w:szCs w:val="18"/>
              </w:rPr>
              <w:t>$(496,783)</w:t>
            </w:r>
          </w:p>
        </w:tc>
        <w:tc>
          <w:tcPr>
            <w:tcW w:w="960" w:type="dxa"/>
            <w:tcBorders>
              <w:top w:val="single" w:sz="4" w:space="0" w:color="auto"/>
              <w:left w:val="single" w:sz="4" w:space="0" w:color="auto"/>
              <w:bottom w:val="single" w:sz="4" w:space="0" w:color="auto"/>
              <w:right w:val="single" w:sz="4" w:space="0" w:color="auto"/>
            </w:tcBorders>
          </w:tcPr>
          <w:p w14:paraId="4E93B965" w14:textId="77777777" w:rsidR="00FE6554" w:rsidRPr="00186D62" w:rsidRDefault="00FE6554" w:rsidP="00FE6554">
            <w:pPr>
              <w:jc w:val="center"/>
              <w:rPr>
                <w:color w:val="000000"/>
                <w:sz w:val="18"/>
                <w:szCs w:val="18"/>
              </w:rPr>
            </w:pPr>
          </w:p>
          <w:p w14:paraId="143C2997" w14:textId="77777777" w:rsidR="00FE6554" w:rsidRPr="00186D62" w:rsidRDefault="00FE6554" w:rsidP="00FE6554">
            <w:pPr>
              <w:jc w:val="center"/>
              <w:rPr>
                <w:color w:val="000000"/>
                <w:sz w:val="18"/>
                <w:szCs w:val="18"/>
              </w:rPr>
            </w:pPr>
            <w:r w:rsidRPr="00186D62">
              <w:rPr>
                <w:color w:val="000000"/>
                <w:sz w:val="18"/>
                <w:szCs w:val="18"/>
              </w:rPr>
              <w:t>$(302,658)</w:t>
            </w:r>
          </w:p>
        </w:tc>
        <w:tc>
          <w:tcPr>
            <w:tcW w:w="975" w:type="dxa"/>
            <w:tcBorders>
              <w:top w:val="single" w:sz="4" w:space="0" w:color="auto"/>
              <w:left w:val="single" w:sz="4" w:space="0" w:color="auto"/>
              <w:bottom w:val="single" w:sz="4" w:space="0" w:color="auto"/>
              <w:right w:val="single" w:sz="4" w:space="0" w:color="auto"/>
            </w:tcBorders>
          </w:tcPr>
          <w:p w14:paraId="63144DC9" w14:textId="77777777" w:rsidR="00FE6554" w:rsidRPr="00186D62" w:rsidRDefault="00FE6554" w:rsidP="00FE6554">
            <w:pPr>
              <w:jc w:val="center"/>
              <w:rPr>
                <w:color w:val="000000"/>
                <w:sz w:val="18"/>
                <w:szCs w:val="18"/>
              </w:rPr>
            </w:pPr>
          </w:p>
          <w:p w14:paraId="1CF9003F" w14:textId="77777777" w:rsidR="00FE6554" w:rsidRPr="00186D62" w:rsidRDefault="00FE6554" w:rsidP="00FE6554">
            <w:pPr>
              <w:jc w:val="center"/>
              <w:rPr>
                <w:color w:val="000000"/>
                <w:sz w:val="18"/>
                <w:szCs w:val="18"/>
              </w:rPr>
            </w:pPr>
            <w:r w:rsidRPr="00186D62">
              <w:rPr>
                <w:color w:val="000000"/>
                <w:sz w:val="18"/>
                <w:szCs w:val="18"/>
              </w:rPr>
              <w:t>$(746,985)</w:t>
            </w:r>
          </w:p>
        </w:tc>
      </w:tr>
      <w:tr w:rsidR="00FE6554" w:rsidRPr="00FE6554" w14:paraId="18527437" w14:textId="77777777" w:rsidTr="00FE6554">
        <w:trPr>
          <w:cantSplit/>
        </w:trPr>
        <w:tc>
          <w:tcPr>
            <w:tcW w:w="1887" w:type="dxa"/>
            <w:tcBorders>
              <w:top w:val="single" w:sz="4" w:space="0" w:color="auto"/>
              <w:left w:val="single" w:sz="4" w:space="0" w:color="auto"/>
              <w:bottom w:val="single" w:sz="4" w:space="0" w:color="auto"/>
              <w:right w:val="single" w:sz="4" w:space="0" w:color="auto"/>
            </w:tcBorders>
            <w:vAlign w:val="bottom"/>
          </w:tcPr>
          <w:p w14:paraId="53CD499D" w14:textId="77777777" w:rsidR="00FE6554" w:rsidRPr="00186D62" w:rsidRDefault="00FE6554" w:rsidP="00FE6554">
            <w:pPr>
              <w:rPr>
                <w:b/>
                <w:bCs/>
                <w:color w:val="000000"/>
                <w:sz w:val="18"/>
                <w:szCs w:val="18"/>
              </w:rPr>
            </w:pPr>
            <w:r w:rsidRPr="00186D62">
              <w:rPr>
                <w:b/>
                <w:bCs/>
                <w:color w:val="000000"/>
                <w:sz w:val="18"/>
                <w:szCs w:val="18"/>
              </w:rPr>
              <w:t xml:space="preserve">Basic and diluted loss per share </w:t>
            </w:r>
          </w:p>
        </w:tc>
        <w:tc>
          <w:tcPr>
            <w:tcW w:w="1080" w:type="dxa"/>
            <w:tcBorders>
              <w:top w:val="single" w:sz="4" w:space="0" w:color="auto"/>
              <w:left w:val="single" w:sz="4" w:space="0" w:color="auto"/>
              <w:bottom w:val="single" w:sz="4" w:space="0" w:color="auto"/>
              <w:right w:val="single" w:sz="4" w:space="0" w:color="auto"/>
            </w:tcBorders>
          </w:tcPr>
          <w:p w14:paraId="058DFBD5" w14:textId="77777777" w:rsidR="00FE6554" w:rsidRPr="00186D62" w:rsidRDefault="00FE6554" w:rsidP="00FE6554">
            <w:pPr>
              <w:jc w:val="center"/>
              <w:rPr>
                <w:sz w:val="18"/>
                <w:szCs w:val="18"/>
              </w:rPr>
            </w:pPr>
          </w:p>
          <w:p w14:paraId="3302CE28" w14:textId="77777777" w:rsidR="00FE6554" w:rsidRPr="00186D62" w:rsidRDefault="00FE6554" w:rsidP="00FE6554">
            <w:pPr>
              <w:jc w:val="center"/>
              <w:rPr>
                <w:sz w:val="18"/>
                <w:szCs w:val="18"/>
              </w:rPr>
            </w:pPr>
            <w:r w:rsidRPr="00186D62">
              <w:rPr>
                <w:sz w:val="18"/>
                <w:szCs w:val="18"/>
              </w:rPr>
              <w:t>$(0.001)</w:t>
            </w:r>
          </w:p>
        </w:tc>
        <w:tc>
          <w:tcPr>
            <w:tcW w:w="1080" w:type="dxa"/>
            <w:tcBorders>
              <w:top w:val="single" w:sz="4" w:space="0" w:color="auto"/>
              <w:left w:val="single" w:sz="4" w:space="0" w:color="auto"/>
              <w:bottom w:val="single" w:sz="4" w:space="0" w:color="auto"/>
              <w:right w:val="single" w:sz="4" w:space="0" w:color="auto"/>
            </w:tcBorders>
          </w:tcPr>
          <w:p w14:paraId="0DAB9BB7" w14:textId="77777777" w:rsidR="00FE6554" w:rsidRPr="00186D62" w:rsidRDefault="00FE6554" w:rsidP="00FE6554">
            <w:pPr>
              <w:jc w:val="center"/>
              <w:rPr>
                <w:sz w:val="18"/>
                <w:szCs w:val="18"/>
              </w:rPr>
            </w:pPr>
          </w:p>
          <w:p w14:paraId="0B818464" w14:textId="77777777" w:rsidR="00FE6554" w:rsidRPr="00186D62" w:rsidRDefault="00FE6554" w:rsidP="00FE6554">
            <w:pPr>
              <w:jc w:val="center"/>
              <w:rPr>
                <w:sz w:val="18"/>
                <w:szCs w:val="18"/>
              </w:rPr>
            </w:pPr>
            <w:r w:rsidRPr="00186D62">
              <w:rPr>
                <w:sz w:val="18"/>
                <w:szCs w:val="18"/>
              </w:rPr>
              <w:t>$(0.012)</w:t>
            </w:r>
          </w:p>
        </w:tc>
        <w:tc>
          <w:tcPr>
            <w:tcW w:w="960" w:type="dxa"/>
            <w:tcBorders>
              <w:top w:val="single" w:sz="4" w:space="0" w:color="auto"/>
              <w:left w:val="single" w:sz="4" w:space="0" w:color="auto"/>
              <w:bottom w:val="single" w:sz="4" w:space="0" w:color="auto"/>
              <w:right w:val="single" w:sz="4" w:space="0" w:color="auto"/>
            </w:tcBorders>
          </w:tcPr>
          <w:p w14:paraId="02C099B1" w14:textId="77777777" w:rsidR="00FE6554" w:rsidRPr="00186D62" w:rsidRDefault="00FE6554" w:rsidP="00FE6554">
            <w:pPr>
              <w:jc w:val="center"/>
              <w:rPr>
                <w:sz w:val="18"/>
                <w:szCs w:val="18"/>
              </w:rPr>
            </w:pPr>
          </w:p>
          <w:p w14:paraId="31D4D8F8" w14:textId="77777777" w:rsidR="00FE6554" w:rsidRPr="00186D62" w:rsidRDefault="00FE6554" w:rsidP="00FE6554">
            <w:pPr>
              <w:jc w:val="center"/>
              <w:rPr>
                <w:sz w:val="18"/>
                <w:szCs w:val="18"/>
              </w:rPr>
            </w:pPr>
            <w:r w:rsidRPr="00186D62">
              <w:rPr>
                <w:sz w:val="18"/>
                <w:szCs w:val="18"/>
              </w:rPr>
              <w:t>$(0.002)</w:t>
            </w:r>
          </w:p>
        </w:tc>
        <w:tc>
          <w:tcPr>
            <w:tcW w:w="1200" w:type="dxa"/>
            <w:tcBorders>
              <w:top w:val="single" w:sz="4" w:space="0" w:color="auto"/>
              <w:left w:val="single" w:sz="4" w:space="0" w:color="auto"/>
              <w:bottom w:val="single" w:sz="4" w:space="0" w:color="auto"/>
              <w:right w:val="single" w:sz="4" w:space="0" w:color="auto"/>
            </w:tcBorders>
          </w:tcPr>
          <w:p w14:paraId="4D946861" w14:textId="77777777" w:rsidR="00FE6554" w:rsidRPr="00186D62" w:rsidRDefault="00FE6554" w:rsidP="00FE6554">
            <w:pPr>
              <w:jc w:val="center"/>
              <w:rPr>
                <w:sz w:val="18"/>
                <w:szCs w:val="18"/>
              </w:rPr>
            </w:pPr>
          </w:p>
          <w:p w14:paraId="51752A41" w14:textId="77777777" w:rsidR="00FE6554" w:rsidRPr="00186D62" w:rsidRDefault="00FE6554" w:rsidP="00FE6554">
            <w:pPr>
              <w:jc w:val="center"/>
              <w:rPr>
                <w:sz w:val="18"/>
                <w:szCs w:val="18"/>
              </w:rPr>
            </w:pPr>
            <w:r w:rsidRPr="00186D62">
              <w:rPr>
                <w:sz w:val="18"/>
                <w:szCs w:val="18"/>
              </w:rPr>
              <w:t>$(0.002)</w:t>
            </w:r>
          </w:p>
        </w:tc>
        <w:tc>
          <w:tcPr>
            <w:tcW w:w="1200" w:type="dxa"/>
            <w:tcBorders>
              <w:top w:val="single" w:sz="4" w:space="0" w:color="auto"/>
              <w:left w:val="single" w:sz="4" w:space="0" w:color="auto"/>
              <w:bottom w:val="single" w:sz="4" w:space="0" w:color="auto"/>
              <w:right w:val="single" w:sz="4" w:space="0" w:color="auto"/>
            </w:tcBorders>
          </w:tcPr>
          <w:p w14:paraId="16E2D15D" w14:textId="77777777" w:rsidR="00FE6554" w:rsidRPr="00186D62" w:rsidRDefault="00FE6554" w:rsidP="00FE6554">
            <w:pPr>
              <w:jc w:val="center"/>
              <w:rPr>
                <w:sz w:val="18"/>
                <w:szCs w:val="18"/>
              </w:rPr>
            </w:pPr>
          </w:p>
          <w:p w14:paraId="168696C8" w14:textId="77777777" w:rsidR="00FE6554" w:rsidRPr="00186D62" w:rsidRDefault="00FE6554" w:rsidP="00FE6554">
            <w:pPr>
              <w:jc w:val="center"/>
              <w:rPr>
                <w:sz w:val="18"/>
                <w:szCs w:val="18"/>
              </w:rPr>
            </w:pPr>
            <w:r w:rsidRPr="00186D62">
              <w:rPr>
                <w:sz w:val="18"/>
                <w:szCs w:val="18"/>
              </w:rPr>
              <w:t>$(0.002)</w:t>
            </w:r>
          </w:p>
        </w:tc>
        <w:tc>
          <w:tcPr>
            <w:tcW w:w="1200" w:type="dxa"/>
            <w:tcBorders>
              <w:top w:val="single" w:sz="4" w:space="0" w:color="auto"/>
              <w:left w:val="single" w:sz="4" w:space="0" w:color="auto"/>
              <w:bottom w:val="single" w:sz="4" w:space="0" w:color="auto"/>
              <w:right w:val="single" w:sz="4" w:space="0" w:color="auto"/>
            </w:tcBorders>
          </w:tcPr>
          <w:p w14:paraId="445340C3" w14:textId="77777777" w:rsidR="00FE6554" w:rsidRPr="00186D62" w:rsidRDefault="00FE6554" w:rsidP="00FE6554">
            <w:pPr>
              <w:jc w:val="center"/>
              <w:rPr>
                <w:sz w:val="18"/>
                <w:szCs w:val="18"/>
              </w:rPr>
            </w:pPr>
          </w:p>
          <w:p w14:paraId="48E844F7" w14:textId="77777777" w:rsidR="00FE6554" w:rsidRPr="00186D62" w:rsidRDefault="00FE6554" w:rsidP="00FE6554">
            <w:pPr>
              <w:jc w:val="center"/>
              <w:rPr>
                <w:sz w:val="18"/>
                <w:szCs w:val="18"/>
              </w:rPr>
            </w:pPr>
            <w:r w:rsidRPr="00186D62">
              <w:rPr>
                <w:sz w:val="18"/>
                <w:szCs w:val="18"/>
              </w:rPr>
              <w:t>$(0.007)</w:t>
            </w:r>
          </w:p>
        </w:tc>
        <w:tc>
          <w:tcPr>
            <w:tcW w:w="960" w:type="dxa"/>
            <w:tcBorders>
              <w:top w:val="single" w:sz="4" w:space="0" w:color="auto"/>
              <w:left w:val="single" w:sz="4" w:space="0" w:color="auto"/>
              <w:bottom w:val="single" w:sz="4" w:space="0" w:color="auto"/>
              <w:right w:val="single" w:sz="4" w:space="0" w:color="auto"/>
            </w:tcBorders>
          </w:tcPr>
          <w:p w14:paraId="11AAA68D" w14:textId="77777777" w:rsidR="00FE6554" w:rsidRPr="00186D62" w:rsidRDefault="00FE6554" w:rsidP="00FE6554">
            <w:pPr>
              <w:jc w:val="center"/>
              <w:rPr>
                <w:sz w:val="18"/>
                <w:szCs w:val="18"/>
              </w:rPr>
            </w:pPr>
          </w:p>
          <w:p w14:paraId="5AC43B80" w14:textId="77777777" w:rsidR="00FE6554" w:rsidRPr="00186D62" w:rsidRDefault="00FE6554" w:rsidP="00FE6554">
            <w:pPr>
              <w:jc w:val="center"/>
              <w:rPr>
                <w:sz w:val="18"/>
                <w:szCs w:val="18"/>
              </w:rPr>
            </w:pPr>
            <w:r w:rsidRPr="00186D62">
              <w:rPr>
                <w:sz w:val="18"/>
                <w:szCs w:val="18"/>
              </w:rPr>
              <w:t>$(0.000)</w:t>
            </w:r>
          </w:p>
        </w:tc>
        <w:tc>
          <w:tcPr>
            <w:tcW w:w="975" w:type="dxa"/>
            <w:tcBorders>
              <w:top w:val="single" w:sz="4" w:space="0" w:color="auto"/>
              <w:left w:val="single" w:sz="4" w:space="0" w:color="auto"/>
              <w:bottom w:val="single" w:sz="4" w:space="0" w:color="auto"/>
              <w:right w:val="single" w:sz="4" w:space="0" w:color="auto"/>
            </w:tcBorders>
          </w:tcPr>
          <w:p w14:paraId="352B73E5" w14:textId="77777777" w:rsidR="00FE6554" w:rsidRPr="00186D62" w:rsidRDefault="00FE6554" w:rsidP="00FE6554">
            <w:pPr>
              <w:jc w:val="center"/>
              <w:rPr>
                <w:sz w:val="18"/>
                <w:szCs w:val="18"/>
              </w:rPr>
            </w:pPr>
          </w:p>
          <w:p w14:paraId="5F09DC3A" w14:textId="77777777" w:rsidR="00FE6554" w:rsidRPr="00186D62" w:rsidRDefault="00FE6554" w:rsidP="00FE6554">
            <w:pPr>
              <w:jc w:val="center"/>
              <w:rPr>
                <w:sz w:val="18"/>
                <w:szCs w:val="18"/>
              </w:rPr>
            </w:pPr>
            <w:r w:rsidRPr="00186D62">
              <w:rPr>
                <w:sz w:val="18"/>
                <w:szCs w:val="18"/>
              </w:rPr>
              <w:t>$(0.011)</w:t>
            </w:r>
          </w:p>
        </w:tc>
      </w:tr>
    </w:tbl>
    <w:p w14:paraId="2E411EF9" w14:textId="77777777" w:rsidR="00FE6554" w:rsidRPr="00FE6554" w:rsidRDefault="00FE6554" w:rsidP="00FE6554">
      <w:pPr>
        <w:rPr>
          <w:i/>
          <w:sz w:val="22"/>
          <w:szCs w:val="22"/>
        </w:rPr>
      </w:pPr>
    </w:p>
    <w:p w14:paraId="134E0AC1" w14:textId="77777777" w:rsidR="00FE6554" w:rsidRPr="00FE6554" w:rsidRDefault="00FE6554" w:rsidP="00FE6554">
      <w:pPr>
        <w:rPr>
          <w:i/>
          <w:sz w:val="22"/>
          <w:szCs w:val="22"/>
        </w:rPr>
      </w:pPr>
      <w:r w:rsidRPr="00FE6554">
        <w:rPr>
          <w:i/>
          <w:sz w:val="22"/>
          <w:szCs w:val="22"/>
        </w:rPr>
        <w:t>Summary of Results During Prior Eight Quarters</w:t>
      </w:r>
    </w:p>
    <w:p w14:paraId="33FF4EDA" w14:textId="77777777" w:rsidR="00FE6554" w:rsidRPr="00FE6554" w:rsidRDefault="00FE6554" w:rsidP="00FE6554">
      <w:pPr>
        <w:pStyle w:val="BodyTextIndent2"/>
        <w:ind w:left="0"/>
        <w:rPr>
          <w:i/>
          <w:szCs w:val="22"/>
        </w:rPr>
      </w:pPr>
    </w:p>
    <w:p w14:paraId="6480D8A2" w14:textId="77777777" w:rsidR="00FE6554" w:rsidRPr="00FE6554" w:rsidRDefault="00FE6554" w:rsidP="00FE6554">
      <w:pPr>
        <w:pStyle w:val="BodyTextIndent2"/>
        <w:ind w:left="0"/>
        <w:rPr>
          <w:szCs w:val="22"/>
        </w:rPr>
      </w:pPr>
      <w:r w:rsidRPr="00FE6554">
        <w:rPr>
          <w:szCs w:val="22"/>
        </w:rPr>
        <w:t>Net comprehensive loss decreased by $665,306 from the second to the third quarter of 2018 mainly due to a decrease in share-based payments and a decrease in travel and corporate branding expenses. Net comprehensive loss increased by $194,125 from the third to the fourth quarter of 2018 mainly due to an increase in the write-down of exploration and evaluation assets offset by a decrease in share-based payments and a decrease in corporate branding expenses. Net comprehensive loss decreased by $341,421 from the fourth quarter of 2018 to the first quarter of 2019 mainly due to a decrease in the write-down of exploration and evaluation assets offset by an increase in operating expenses. Net comprehensive loss increased by $36,664 from the first to the second quarter of 2019 mainly due to an increase in management fees and other expenses. Net comprehensive loss decreased by $14,180 from the second to the third quarter of 2019 mainly due to a decrease in management fees and professional fees offset by an increase in corporate branding expenses. Net comprehensive loss increased by $753,818 from the third to the fourth quarter of 2019 mainly due to an increase in the write-down of exploration and evaluation assets. Net comprehensive loss decreased by $831,610 from the fourth quarter of 2019 to the first quarter of 2020 mainly due to a decrease in the write-down of exploration and evaluation assets.</w:t>
      </w:r>
    </w:p>
    <w:p w14:paraId="3E03BE15" w14:textId="77777777" w:rsidR="00FE6554" w:rsidRPr="00FE6554" w:rsidRDefault="00FE6554" w:rsidP="00FE6554">
      <w:pPr>
        <w:pStyle w:val="BodyTextIndent2"/>
        <w:ind w:left="0"/>
        <w:rPr>
          <w:szCs w:val="22"/>
        </w:rPr>
      </w:pPr>
    </w:p>
    <w:p w14:paraId="309FEF71" w14:textId="77777777" w:rsidR="00FE6554" w:rsidRPr="00FE6554" w:rsidRDefault="00FE6554" w:rsidP="00FE6554">
      <w:pPr>
        <w:rPr>
          <w:i/>
          <w:sz w:val="22"/>
          <w:szCs w:val="22"/>
        </w:rPr>
      </w:pPr>
      <w:r w:rsidRPr="00FE6554">
        <w:rPr>
          <w:i/>
          <w:sz w:val="22"/>
          <w:szCs w:val="22"/>
        </w:rPr>
        <w:t>Three months ended October 31, 2019 Compared to the Three months ended October 31, 2018</w:t>
      </w:r>
    </w:p>
    <w:p w14:paraId="02B1844B" w14:textId="77777777" w:rsidR="00FE6554" w:rsidRPr="00FE6554" w:rsidRDefault="00FE6554" w:rsidP="00FE6554">
      <w:pPr>
        <w:jc w:val="both"/>
        <w:rPr>
          <w:i/>
          <w:sz w:val="22"/>
          <w:szCs w:val="22"/>
        </w:rPr>
      </w:pPr>
    </w:p>
    <w:p w14:paraId="01F093F8" w14:textId="77777777" w:rsidR="00186D62" w:rsidRDefault="00FE6554" w:rsidP="00FE6554">
      <w:pPr>
        <w:pStyle w:val="BodyText2"/>
        <w:rPr>
          <w:sz w:val="22"/>
          <w:szCs w:val="22"/>
        </w:rPr>
        <w:sectPr w:rsidR="00186D62" w:rsidSect="00FE6554">
          <w:headerReference w:type="first" r:id="rId32"/>
          <w:pgSz w:w="12240" w:h="15840" w:code="1"/>
          <w:pgMar w:top="1440" w:right="1440" w:bottom="432" w:left="1440" w:header="720" w:footer="720" w:gutter="0"/>
          <w:cols w:space="720"/>
          <w:titlePg/>
          <w:docGrid w:linePitch="360"/>
        </w:sectPr>
      </w:pPr>
      <w:r w:rsidRPr="00FE6554">
        <w:rPr>
          <w:sz w:val="22"/>
          <w:szCs w:val="22"/>
        </w:rPr>
        <w:t>The Company did not generate any revenue for the three months ended October 31, 2019 and 2018. Net comprehensive loss decreased by $55,308 from $155,362 for the three months ended October 31, 2018 to $100,054 for the three months ended October 31, 2019 due mainly to a decrease in operating expenses</w:t>
      </w:r>
      <w:r w:rsidRPr="00FE6554">
        <w:rPr>
          <w:sz w:val="22"/>
          <w:szCs w:val="22"/>
          <w:lang w:val="en-GB"/>
        </w:rPr>
        <w:t>.</w:t>
      </w:r>
      <w:r w:rsidRPr="00FE6554">
        <w:rPr>
          <w:sz w:val="22"/>
          <w:szCs w:val="22"/>
        </w:rPr>
        <w:t xml:space="preserve"> Operating expenses decreased by $64,191 from $164,401 for the three months ended October 31, 2018 to $100,210 for the three months ended October 31, 2019 due mainly to a decrease in investor relations expenses.</w:t>
      </w:r>
    </w:p>
    <w:p w14:paraId="4374CE43" w14:textId="77777777" w:rsidR="00FE6554" w:rsidRPr="00FE6554" w:rsidRDefault="00FE6554" w:rsidP="00FE6554">
      <w:pPr>
        <w:pStyle w:val="BodyText2"/>
        <w:rPr>
          <w:color w:val="FF0000"/>
          <w:sz w:val="22"/>
          <w:szCs w:val="22"/>
        </w:rPr>
      </w:pPr>
      <w:r w:rsidRPr="00FE6554">
        <w:rPr>
          <w:sz w:val="22"/>
          <w:szCs w:val="22"/>
        </w:rPr>
        <w:lastRenderedPageBreak/>
        <w:t>Decreased investor relations expenses</w:t>
      </w:r>
      <w:r w:rsidRPr="00FE6554">
        <w:rPr>
          <w:sz w:val="22"/>
          <w:szCs w:val="22"/>
          <w:lang w:val="en-GB"/>
        </w:rPr>
        <w:t xml:space="preserve"> </w:t>
      </w:r>
      <w:r w:rsidRPr="00FE6554">
        <w:rPr>
          <w:sz w:val="22"/>
          <w:szCs w:val="22"/>
        </w:rPr>
        <w:t>(three months ended October 31, 2019: $Nil; three months ended October 31, 2018: $75,000) were due to the Company engaged two arm's length entities to provide digital marketing, digital media, corporate advisory and branding and strategic business services to the Company over an 18 month period from December 2017. The service contract expired on May 31, 2019. Management does not have plans to enter into new investor relations contract as the Company has streamlined its work and is not looking to replace those consultants.</w:t>
      </w:r>
    </w:p>
    <w:p w14:paraId="7319A6C5" w14:textId="77777777" w:rsidR="00FE6554" w:rsidRPr="00FE6554" w:rsidRDefault="00FE6554" w:rsidP="00FE6554">
      <w:pPr>
        <w:pStyle w:val="BodyText2"/>
        <w:rPr>
          <w:sz w:val="22"/>
          <w:szCs w:val="22"/>
        </w:rPr>
      </w:pPr>
    </w:p>
    <w:p w14:paraId="3A1FC9E1" w14:textId="77777777" w:rsidR="00FE6554" w:rsidRPr="00FE6554" w:rsidRDefault="00FE6554" w:rsidP="00FE6554">
      <w:pPr>
        <w:jc w:val="both"/>
        <w:rPr>
          <w:sz w:val="22"/>
          <w:szCs w:val="22"/>
        </w:rPr>
      </w:pPr>
      <w:r w:rsidRPr="00FE6554">
        <w:rPr>
          <w:sz w:val="22"/>
          <w:szCs w:val="22"/>
        </w:rPr>
        <w:t>See “Nature of Business</w:t>
      </w:r>
      <w:r w:rsidRPr="00FE6554">
        <w:rPr>
          <w:color w:val="000000"/>
          <w:sz w:val="22"/>
          <w:szCs w:val="22"/>
        </w:rPr>
        <w:t xml:space="preserve"> – </w:t>
      </w:r>
      <w:r w:rsidRPr="00FE6554">
        <w:rPr>
          <w:sz w:val="22"/>
          <w:szCs w:val="22"/>
        </w:rPr>
        <w:t>Mineral Properties” for a discussion of the Company's mineral properties on a property by property basis, including its plans for the mineral properties, the status of its plans, expenditures made and the anticipated timing and costs to take its mineral properties to the next stage of the project plan.</w:t>
      </w:r>
    </w:p>
    <w:p w14:paraId="70908F62" w14:textId="77777777" w:rsidR="00FE6554" w:rsidRPr="00FE6554" w:rsidRDefault="00FE6554" w:rsidP="00FE6554">
      <w:pPr>
        <w:jc w:val="both"/>
        <w:rPr>
          <w:sz w:val="22"/>
          <w:szCs w:val="22"/>
        </w:rPr>
      </w:pPr>
    </w:p>
    <w:p w14:paraId="74D989DA" w14:textId="77777777" w:rsidR="00FE6554" w:rsidRPr="00FE6554" w:rsidRDefault="00FE6554" w:rsidP="00FE6554">
      <w:pPr>
        <w:jc w:val="both"/>
        <w:rPr>
          <w:sz w:val="22"/>
          <w:szCs w:val="22"/>
        </w:rPr>
      </w:pPr>
      <w:r w:rsidRPr="00FE6554">
        <w:rPr>
          <w:sz w:val="22"/>
          <w:szCs w:val="22"/>
        </w:rPr>
        <w:t>See “Overall Performance” for a discussion of the commitments, events, risks and uncertainties that the Company believe will materially affect its future performance and “Risks and Uncertainties” for a discussion of risk factors affecting the Company.</w:t>
      </w:r>
    </w:p>
    <w:p w14:paraId="588A55B9" w14:textId="77777777" w:rsidR="00FE6554" w:rsidRPr="00FE6554" w:rsidRDefault="00FE6554" w:rsidP="00FE6554">
      <w:pPr>
        <w:rPr>
          <w:b/>
          <w:sz w:val="22"/>
          <w:szCs w:val="22"/>
        </w:rPr>
      </w:pPr>
    </w:p>
    <w:p w14:paraId="4E0778D7" w14:textId="77777777" w:rsidR="00FE6554" w:rsidRPr="00FE6554" w:rsidRDefault="00FE6554" w:rsidP="00FE6554">
      <w:pPr>
        <w:keepNext/>
        <w:keepLines/>
        <w:jc w:val="both"/>
        <w:rPr>
          <w:b/>
          <w:sz w:val="22"/>
          <w:szCs w:val="22"/>
        </w:rPr>
      </w:pPr>
      <w:r w:rsidRPr="00FE6554">
        <w:rPr>
          <w:b/>
          <w:sz w:val="22"/>
          <w:szCs w:val="22"/>
        </w:rPr>
        <w:t xml:space="preserve">Discussion of Operations </w:t>
      </w:r>
    </w:p>
    <w:p w14:paraId="0FB3B9C2" w14:textId="77777777" w:rsidR="00FE6554" w:rsidRPr="00FE6554" w:rsidRDefault="00FE6554" w:rsidP="00FE6554">
      <w:pPr>
        <w:keepNext/>
        <w:keepLines/>
        <w:rPr>
          <w:i/>
          <w:iCs/>
          <w:sz w:val="22"/>
          <w:szCs w:val="22"/>
        </w:rPr>
      </w:pPr>
    </w:p>
    <w:p w14:paraId="7CE9FF4B" w14:textId="77777777" w:rsidR="00FE6554" w:rsidRPr="00FE6554" w:rsidRDefault="00FE6554" w:rsidP="00FE6554">
      <w:pPr>
        <w:pStyle w:val="BodyText2"/>
        <w:keepNext/>
        <w:keepLines/>
        <w:rPr>
          <w:i/>
          <w:iCs/>
          <w:sz w:val="22"/>
          <w:szCs w:val="22"/>
        </w:rPr>
      </w:pPr>
      <w:r w:rsidRPr="00FE6554">
        <w:rPr>
          <w:i/>
          <w:iCs/>
          <w:sz w:val="22"/>
          <w:szCs w:val="22"/>
        </w:rPr>
        <w:t xml:space="preserve">Use of Proceeds </w:t>
      </w:r>
    </w:p>
    <w:p w14:paraId="37F3ECD0" w14:textId="77777777" w:rsidR="00FE6554" w:rsidRPr="00FE6554" w:rsidRDefault="00FE6554" w:rsidP="00FE6554">
      <w:pPr>
        <w:pStyle w:val="BodyText2"/>
        <w:keepNext/>
        <w:keepLines/>
        <w:rPr>
          <w:i/>
          <w:iCs/>
          <w:sz w:val="22"/>
          <w:szCs w:val="22"/>
        </w:rPr>
      </w:pPr>
    </w:p>
    <w:p w14:paraId="23D0B81D" w14:textId="77777777" w:rsidR="00FE6554" w:rsidRPr="00FE6554" w:rsidRDefault="00FE6554" w:rsidP="00FE6554">
      <w:pPr>
        <w:pStyle w:val="BodyText2"/>
        <w:rPr>
          <w:iCs/>
          <w:sz w:val="22"/>
          <w:szCs w:val="22"/>
        </w:rPr>
      </w:pPr>
      <w:r w:rsidRPr="00FE6554">
        <w:rPr>
          <w:iCs/>
          <w:sz w:val="22"/>
          <w:szCs w:val="22"/>
        </w:rPr>
        <w:t>The table below provides an update as to the status of how the Company has previously announced a proposed use of proceeds from prior financings and the actual use of such proceeds.</w:t>
      </w:r>
    </w:p>
    <w:p w14:paraId="1933EE21" w14:textId="77777777" w:rsidR="00FE6554" w:rsidRPr="00FE6554" w:rsidRDefault="00FE6554" w:rsidP="00FE6554">
      <w:pPr>
        <w:pStyle w:val="BodyText2"/>
        <w:rPr>
          <w:i/>
          <w:i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236"/>
        <w:gridCol w:w="3135"/>
      </w:tblGrid>
      <w:tr w:rsidR="00FE6554" w:rsidRPr="00FE6554" w14:paraId="5D203CF6" w14:textId="77777777" w:rsidTr="00FE6554">
        <w:tc>
          <w:tcPr>
            <w:tcW w:w="2802" w:type="dxa"/>
          </w:tcPr>
          <w:p w14:paraId="7843274D" w14:textId="77777777" w:rsidR="00FE6554" w:rsidRPr="00FE6554" w:rsidRDefault="00FE6554" w:rsidP="00FE6554">
            <w:pPr>
              <w:rPr>
                <w:b/>
                <w:sz w:val="22"/>
                <w:szCs w:val="22"/>
              </w:rPr>
            </w:pPr>
            <w:r w:rsidRPr="00FE6554">
              <w:rPr>
                <w:b/>
                <w:sz w:val="22"/>
                <w:szCs w:val="22"/>
              </w:rPr>
              <w:t>Financing</w:t>
            </w:r>
          </w:p>
        </w:tc>
        <w:tc>
          <w:tcPr>
            <w:tcW w:w="4236" w:type="dxa"/>
          </w:tcPr>
          <w:p w14:paraId="4347A178" w14:textId="77777777" w:rsidR="00FE6554" w:rsidRPr="00FE6554" w:rsidRDefault="00FE6554" w:rsidP="00FE6554">
            <w:pPr>
              <w:rPr>
                <w:b/>
                <w:sz w:val="22"/>
                <w:szCs w:val="22"/>
              </w:rPr>
            </w:pPr>
            <w:r w:rsidRPr="00FE6554">
              <w:rPr>
                <w:b/>
                <w:sz w:val="22"/>
                <w:szCs w:val="22"/>
              </w:rPr>
              <w:t>Previously Disclosed Use of Proceeds</w:t>
            </w:r>
          </w:p>
        </w:tc>
        <w:tc>
          <w:tcPr>
            <w:tcW w:w="3135" w:type="dxa"/>
          </w:tcPr>
          <w:p w14:paraId="2E0A5309" w14:textId="77777777" w:rsidR="00FE6554" w:rsidRPr="00FE6554" w:rsidRDefault="00FE6554" w:rsidP="00FE6554">
            <w:pPr>
              <w:rPr>
                <w:b/>
                <w:sz w:val="22"/>
                <w:szCs w:val="22"/>
              </w:rPr>
            </w:pPr>
            <w:r w:rsidRPr="00FE6554">
              <w:rPr>
                <w:b/>
                <w:sz w:val="22"/>
                <w:szCs w:val="22"/>
              </w:rPr>
              <w:t>Status of Use of</w:t>
            </w:r>
          </w:p>
        </w:tc>
      </w:tr>
      <w:tr w:rsidR="00FE6554" w:rsidRPr="00FE6554" w14:paraId="2E204653" w14:textId="77777777" w:rsidTr="00FE6554">
        <w:tc>
          <w:tcPr>
            <w:tcW w:w="2802" w:type="dxa"/>
          </w:tcPr>
          <w:p w14:paraId="38CF8827" w14:textId="77777777" w:rsidR="00FE6554" w:rsidRPr="00FE6554" w:rsidRDefault="00FE6554" w:rsidP="00FE6554">
            <w:pPr>
              <w:pStyle w:val="BodyText2"/>
              <w:keepNext/>
              <w:rPr>
                <w:sz w:val="22"/>
                <w:szCs w:val="22"/>
              </w:rPr>
            </w:pPr>
            <w:r w:rsidRPr="00FE6554">
              <w:rPr>
                <w:sz w:val="22"/>
                <w:szCs w:val="22"/>
              </w:rPr>
              <w:t>$550,000</w:t>
            </w:r>
            <w:r w:rsidRPr="00FE6554">
              <w:rPr>
                <w:sz w:val="22"/>
                <w:szCs w:val="22"/>
              </w:rPr>
              <w:br/>
              <w:t>Flow-through</w:t>
            </w:r>
          </w:p>
          <w:p w14:paraId="0CA71165" w14:textId="77777777" w:rsidR="00FE6554" w:rsidRPr="00FE6554" w:rsidRDefault="00FE6554" w:rsidP="00FE6554">
            <w:pPr>
              <w:rPr>
                <w:i/>
                <w:sz w:val="22"/>
                <w:szCs w:val="22"/>
              </w:rPr>
            </w:pPr>
            <w:r w:rsidRPr="00FE6554">
              <w:rPr>
                <w:i/>
                <w:sz w:val="22"/>
                <w:szCs w:val="22"/>
              </w:rPr>
              <w:t>August 2017</w:t>
            </w:r>
            <w:r w:rsidRPr="00FE6554">
              <w:rPr>
                <w:i/>
                <w:sz w:val="22"/>
                <w:szCs w:val="22"/>
              </w:rPr>
              <w:br/>
              <w:t>Private Placement</w:t>
            </w:r>
          </w:p>
        </w:tc>
        <w:tc>
          <w:tcPr>
            <w:tcW w:w="4236" w:type="dxa"/>
          </w:tcPr>
          <w:p w14:paraId="0052FF46" w14:textId="77777777" w:rsidR="00FE6554" w:rsidRPr="00FE6554" w:rsidRDefault="00FE6554" w:rsidP="00FE6554">
            <w:pPr>
              <w:pStyle w:val="BodyText2"/>
              <w:keepNext/>
              <w:rPr>
                <w:sz w:val="22"/>
                <w:szCs w:val="22"/>
              </w:rPr>
            </w:pPr>
            <w:r w:rsidRPr="00FE6554">
              <w:rPr>
                <w:sz w:val="22"/>
                <w:szCs w:val="22"/>
              </w:rPr>
              <w:t xml:space="preserve">Flow-through funds - towards existing Canadian properties. </w:t>
            </w:r>
          </w:p>
        </w:tc>
        <w:tc>
          <w:tcPr>
            <w:tcW w:w="3135" w:type="dxa"/>
          </w:tcPr>
          <w:p w14:paraId="0B17E105" w14:textId="77777777" w:rsidR="00FE6554" w:rsidRPr="00FE6554" w:rsidRDefault="00FE6554" w:rsidP="00FE6554">
            <w:pPr>
              <w:jc w:val="both"/>
              <w:rPr>
                <w:sz w:val="22"/>
                <w:szCs w:val="22"/>
                <w:highlight w:val="yellow"/>
              </w:rPr>
            </w:pPr>
            <w:r w:rsidRPr="00FE6554">
              <w:rPr>
                <w:sz w:val="22"/>
                <w:szCs w:val="22"/>
              </w:rPr>
              <w:t xml:space="preserve">As of the date of this report, approximately $336,000 in flow-through funds were used; and $214,000 in flow-through funds has not been used. </w:t>
            </w:r>
          </w:p>
        </w:tc>
      </w:tr>
    </w:tbl>
    <w:p w14:paraId="2736A746" w14:textId="77777777" w:rsidR="00FE6554" w:rsidRPr="00FE6554" w:rsidRDefault="00FE6554" w:rsidP="00FE6554">
      <w:pPr>
        <w:jc w:val="both"/>
        <w:rPr>
          <w:sz w:val="22"/>
          <w:szCs w:val="22"/>
        </w:rPr>
      </w:pPr>
    </w:p>
    <w:p w14:paraId="76BBFDCF" w14:textId="77777777" w:rsidR="00FE6554" w:rsidRPr="00FE6554" w:rsidRDefault="00FE6554" w:rsidP="00FE6554">
      <w:pPr>
        <w:jc w:val="both"/>
        <w:rPr>
          <w:sz w:val="22"/>
          <w:szCs w:val="22"/>
        </w:rPr>
      </w:pPr>
      <w:r w:rsidRPr="00FE6554">
        <w:rPr>
          <w:sz w:val="22"/>
          <w:szCs w:val="22"/>
        </w:rPr>
        <w:t xml:space="preserve">In August 2017, the Company </w:t>
      </w:r>
      <w:r w:rsidRPr="00FE6554">
        <w:rPr>
          <w:sz w:val="22"/>
          <w:szCs w:val="22"/>
          <w:lang w:val="en-CA"/>
        </w:rPr>
        <w:t>closed a non-brokered private placement (the "Offering") consisting of 2,619,047</w:t>
      </w:r>
      <w:r w:rsidRPr="00FE6554">
        <w:rPr>
          <w:sz w:val="22"/>
          <w:szCs w:val="22"/>
        </w:rPr>
        <w:t xml:space="preserve"> flow-through shares at $0.21 per share for gross proceeds of $550,000. The Company incurred filing fees of $4,100 and legal fees of $7,170, paid an aggregate finders' fees of $38,500, and issued 183,333 broker warrants (the "Broker Warrants") in connection with the Offering. Each Broker Warrant is exercisable at $0.21 per share into one common share until August 11, 2020.</w:t>
      </w:r>
    </w:p>
    <w:p w14:paraId="2504DA6F" w14:textId="77777777" w:rsidR="00FE6554" w:rsidRPr="00FE6554" w:rsidRDefault="00FE6554" w:rsidP="00FE6554">
      <w:pPr>
        <w:jc w:val="both"/>
        <w:rPr>
          <w:sz w:val="22"/>
          <w:szCs w:val="22"/>
        </w:rPr>
      </w:pPr>
    </w:p>
    <w:p w14:paraId="463CA9AB" w14:textId="77777777" w:rsidR="00FE6554" w:rsidRPr="00FE6554" w:rsidRDefault="00FE6554" w:rsidP="00FE6554">
      <w:pPr>
        <w:keepNext/>
        <w:jc w:val="both"/>
        <w:rPr>
          <w:sz w:val="22"/>
          <w:szCs w:val="22"/>
        </w:rPr>
      </w:pPr>
      <w:r w:rsidRPr="00FE6554">
        <w:rPr>
          <w:b/>
          <w:bCs/>
          <w:sz w:val="22"/>
          <w:szCs w:val="22"/>
        </w:rPr>
        <w:t>Liquidity and Capital Resources</w:t>
      </w:r>
    </w:p>
    <w:p w14:paraId="2045DAB1" w14:textId="77777777" w:rsidR="00FE6554" w:rsidRPr="00FE6554" w:rsidRDefault="00FE6554" w:rsidP="00FE6554">
      <w:pPr>
        <w:keepNext/>
        <w:jc w:val="both"/>
        <w:rPr>
          <w:sz w:val="22"/>
          <w:szCs w:val="22"/>
        </w:rPr>
      </w:pPr>
    </w:p>
    <w:p w14:paraId="32E37C69" w14:textId="77777777" w:rsidR="00FE6554" w:rsidRPr="00FE6554" w:rsidRDefault="00FE6554" w:rsidP="00FE6554">
      <w:pPr>
        <w:keepNext/>
        <w:jc w:val="both"/>
        <w:rPr>
          <w:i/>
          <w:iCs/>
          <w:sz w:val="22"/>
          <w:szCs w:val="22"/>
        </w:rPr>
      </w:pPr>
      <w:r w:rsidRPr="00FE6554">
        <w:rPr>
          <w:i/>
          <w:iCs/>
          <w:sz w:val="22"/>
          <w:szCs w:val="22"/>
        </w:rPr>
        <w:t xml:space="preserve">Liquidity </w:t>
      </w:r>
    </w:p>
    <w:p w14:paraId="5C28A641" w14:textId="77777777" w:rsidR="00FE6554" w:rsidRPr="00FE6554" w:rsidRDefault="00FE6554" w:rsidP="00FE6554">
      <w:pPr>
        <w:keepNext/>
        <w:jc w:val="both"/>
        <w:rPr>
          <w:sz w:val="22"/>
          <w:szCs w:val="22"/>
        </w:rPr>
      </w:pPr>
    </w:p>
    <w:p w14:paraId="1E7EEAD9" w14:textId="77777777" w:rsidR="00FE6554" w:rsidRPr="00FE6554" w:rsidRDefault="00FE6554" w:rsidP="00FE6554">
      <w:pPr>
        <w:jc w:val="both"/>
        <w:rPr>
          <w:sz w:val="22"/>
          <w:szCs w:val="22"/>
        </w:rPr>
      </w:pPr>
      <w:r w:rsidRPr="00FE6554">
        <w:rPr>
          <w:sz w:val="22"/>
          <w:szCs w:val="22"/>
        </w:rPr>
        <w:t>At October 31, 2019, the Company had $1,948,213 in cash and cash equivalents and a working capital of $1,967,949 as compared to $2, 062,547 in cash and cash equivalents and a working capital of $2,074,525 at July 31, 2019.</w:t>
      </w:r>
    </w:p>
    <w:p w14:paraId="06045B81" w14:textId="77777777" w:rsidR="00FE6554" w:rsidRPr="00FE6554" w:rsidRDefault="00FE6554" w:rsidP="00FE6554">
      <w:pPr>
        <w:jc w:val="both"/>
        <w:rPr>
          <w:sz w:val="22"/>
          <w:szCs w:val="22"/>
        </w:rPr>
      </w:pPr>
    </w:p>
    <w:p w14:paraId="70372114" w14:textId="77777777" w:rsidR="00FE6554" w:rsidRPr="00FE6554" w:rsidRDefault="00FE6554" w:rsidP="00FE6554">
      <w:pPr>
        <w:pStyle w:val="Header"/>
        <w:tabs>
          <w:tab w:val="left" w:pos="1100"/>
        </w:tabs>
        <w:jc w:val="both"/>
        <w:rPr>
          <w:sz w:val="22"/>
          <w:szCs w:val="22"/>
        </w:rPr>
      </w:pPr>
      <w:r w:rsidRPr="00FE6554">
        <w:rPr>
          <w:sz w:val="22"/>
          <w:szCs w:val="22"/>
        </w:rPr>
        <w:t>The Company’s current assets have decreased to $2,005,939 as at October 31, 2019 from $2,135,279 as at July 31, 2019, due mainly to a decrease in cash and cash equivalents. The Company’s current liabilities have decreased from $60,754 as at July 31, 2019 to $37,990 as at October 31, 2019 due to a decrease in accounts payable and accrued liabilities. The value ascribed to the Company’s exploration and evaluation assets has increased from $1, 262,324 as at July 31, 2019 to $1,268,846 as at October 31, 2019, due mainly to claim maintenance fees incurred to keep the U.S. and Yukon claims in good standing as set described above.</w:t>
      </w:r>
    </w:p>
    <w:p w14:paraId="28C7ABE1" w14:textId="77777777" w:rsidR="000A2C38" w:rsidRDefault="000A2C38" w:rsidP="00FE6554">
      <w:pPr>
        <w:autoSpaceDE w:val="0"/>
        <w:autoSpaceDN w:val="0"/>
        <w:adjustRightInd w:val="0"/>
        <w:jc w:val="both"/>
        <w:rPr>
          <w:sz w:val="22"/>
          <w:szCs w:val="22"/>
        </w:rPr>
      </w:pPr>
    </w:p>
    <w:p w14:paraId="63C97B47" w14:textId="77777777" w:rsidR="000A2C38" w:rsidRDefault="00FE6554" w:rsidP="00FE6554">
      <w:pPr>
        <w:autoSpaceDE w:val="0"/>
        <w:autoSpaceDN w:val="0"/>
        <w:adjustRightInd w:val="0"/>
        <w:jc w:val="both"/>
        <w:rPr>
          <w:sz w:val="22"/>
          <w:szCs w:val="22"/>
        </w:rPr>
        <w:sectPr w:rsidR="000A2C38" w:rsidSect="000A2C38">
          <w:headerReference w:type="default" r:id="rId33"/>
          <w:headerReference w:type="first" r:id="rId34"/>
          <w:pgSz w:w="12240" w:h="15840" w:code="1"/>
          <w:pgMar w:top="288" w:right="1440" w:bottom="288" w:left="1440" w:header="720" w:footer="432" w:gutter="0"/>
          <w:cols w:space="720"/>
          <w:titlePg/>
          <w:docGrid w:linePitch="360"/>
        </w:sectPr>
      </w:pPr>
      <w:r w:rsidRPr="00FE6554">
        <w:rPr>
          <w:sz w:val="22"/>
          <w:szCs w:val="22"/>
        </w:rPr>
        <w:t xml:space="preserve">Management believes that the Company’s cash and cash equivalents are sufficient to meet the current working capital requirements, including the existing commitments relating to the Company's mineral </w:t>
      </w:r>
    </w:p>
    <w:p w14:paraId="39FBE0F8" w14:textId="0F19972E" w:rsidR="00FE6554" w:rsidRPr="00FE6554" w:rsidRDefault="00FE6554" w:rsidP="00FE6554">
      <w:pPr>
        <w:autoSpaceDE w:val="0"/>
        <w:autoSpaceDN w:val="0"/>
        <w:adjustRightInd w:val="0"/>
        <w:jc w:val="both"/>
        <w:rPr>
          <w:sz w:val="22"/>
          <w:szCs w:val="22"/>
        </w:rPr>
      </w:pPr>
      <w:r w:rsidRPr="00FE6554">
        <w:rPr>
          <w:sz w:val="22"/>
          <w:szCs w:val="22"/>
        </w:rPr>
        <w:lastRenderedPageBreak/>
        <w:t>properties. But in future, the Company expects to raise additional capital as the needs arise. See “Nature of Business – Mineral Properties” and “Overall Performance” for a discussion of the Company’s commitments relating to its mineral properties. As a mineral exploration company, its expenses are expected to increase as the Company explores its mineral properties further. Management does not expect the Company to generate sustained revenues from mineral production in the foreseeable future.</w:t>
      </w:r>
    </w:p>
    <w:p w14:paraId="0EF262AA" w14:textId="77777777" w:rsidR="00FE6554" w:rsidRPr="00FE6554" w:rsidRDefault="00FE6554" w:rsidP="00FE6554">
      <w:pPr>
        <w:autoSpaceDE w:val="0"/>
        <w:autoSpaceDN w:val="0"/>
        <w:adjustRightInd w:val="0"/>
        <w:jc w:val="both"/>
        <w:rPr>
          <w:sz w:val="22"/>
          <w:szCs w:val="22"/>
        </w:rPr>
      </w:pPr>
    </w:p>
    <w:p w14:paraId="03BFBBB3" w14:textId="77777777" w:rsidR="00FE6554" w:rsidRPr="00FE6554" w:rsidRDefault="00FE6554" w:rsidP="00FE6554">
      <w:pPr>
        <w:autoSpaceDE w:val="0"/>
        <w:autoSpaceDN w:val="0"/>
        <w:adjustRightInd w:val="0"/>
        <w:jc w:val="both"/>
        <w:rPr>
          <w:sz w:val="22"/>
          <w:szCs w:val="22"/>
        </w:rPr>
      </w:pPr>
      <w:r w:rsidRPr="00FE6554">
        <w:rPr>
          <w:sz w:val="22"/>
          <w:szCs w:val="22"/>
        </w:rPr>
        <w:t xml:space="preserve">The Company’s ability to conduct the planned work programs on its mineral properties, meet ongoing levels of corporate overhead and discharge its liabilities as they become due is dependent, in large part, on the ability of management to raise additional funds as necessary. Management anticipates that additional equity financings will need to be conducted to raise additional funds which, if successful, will result in dilution in the equity interests of the Company’s current shareholders. Obtaining commercial loans, assuming those loans would be available, will increase the Company’s liabilities and future cash commitments.  </w:t>
      </w:r>
      <w:r w:rsidRPr="00FE6554">
        <w:rPr>
          <w:sz w:val="22"/>
          <w:szCs w:val="22"/>
          <w:lang w:val="en-CA" w:eastAsia="en-CA"/>
        </w:rPr>
        <w:t>Although the Company have secured financings in the past, there is no assurance that the Company will be able to do so in the future on terms that is favourable to the Company or at all.  The Company’s ability to raise additional funds in the future and its liquidity may be negatively impacted by a number of factors, including changes in commodity prices, market volatility and general economic downturns.</w:t>
      </w:r>
    </w:p>
    <w:p w14:paraId="6D906E62" w14:textId="77777777" w:rsidR="00FE6554" w:rsidRPr="00FE6554" w:rsidRDefault="00FE6554" w:rsidP="00FE6554">
      <w:pPr>
        <w:jc w:val="both"/>
        <w:rPr>
          <w:sz w:val="22"/>
          <w:szCs w:val="22"/>
        </w:rPr>
      </w:pPr>
    </w:p>
    <w:p w14:paraId="58E793D2" w14:textId="77777777" w:rsidR="00FE6554" w:rsidRPr="00FE6554" w:rsidRDefault="00FE6554" w:rsidP="00FE6554">
      <w:pPr>
        <w:jc w:val="both"/>
        <w:rPr>
          <w:i/>
          <w:iCs/>
          <w:sz w:val="22"/>
          <w:szCs w:val="22"/>
        </w:rPr>
      </w:pPr>
      <w:r w:rsidRPr="00FE6554">
        <w:rPr>
          <w:i/>
          <w:iCs/>
          <w:sz w:val="22"/>
          <w:szCs w:val="22"/>
        </w:rPr>
        <w:t xml:space="preserve">Capital Resources </w:t>
      </w:r>
    </w:p>
    <w:p w14:paraId="471EC09F" w14:textId="77777777" w:rsidR="00FE6554" w:rsidRPr="00FE6554" w:rsidRDefault="00FE6554" w:rsidP="00FE6554">
      <w:pPr>
        <w:jc w:val="both"/>
        <w:rPr>
          <w:i/>
          <w:iCs/>
          <w:sz w:val="22"/>
          <w:szCs w:val="22"/>
        </w:rPr>
      </w:pPr>
    </w:p>
    <w:p w14:paraId="01D06BBB" w14:textId="77777777" w:rsidR="00FE6554" w:rsidRPr="00FE6554" w:rsidRDefault="00FE6554" w:rsidP="00FE6554">
      <w:pPr>
        <w:pStyle w:val="Style1"/>
        <w:rPr>
          <w:szCs w:val="22"/>
          <w:lang w:val="en-US"/>
        </w:rPr>
      </w:pPr>
      <w:r w:rsidRPr="00FE6554">
        <w:rPr>
          <w:szCs w:val="22"/>
          <w:lang w:val="en-US"/>
        </w:rPr>
        <w:t xml:space="preserve">The Company has the following commitments for capital expenditures with respect to its mineral properties as of </w:t>
      </w:r>
      <w:r w:rsidRPr="00FE6554">
        <w:rPr>
          <w:szCs w:val="22"/>
        </w:rPr>
        <w:t>October 31, 2019</w:t>
      </w:r>
      <w:r w:rsidRPr="00FE6554">
        <w:rPr>
          <w:szCs w:val="22"/>
          <w:lang w:val="en-US"/>
        </w:rPr>
        <w:t>.  The expenditures are optional, and the Company may decide not to incur such payments in the event the Company does not decide to pursue further exploration with respect to such properties.</w:t>
      </w:r>
    </w:p>
    <w:p w14:paraId="33C1A1DA" w14:textId="77777777" w:rsidR="00FE6554" w:rsidRPr="00FE6554" w:rsidRDefault="00FE6554" w:rsidP="00367723">
      <w:pPr>
        <w:pStyle w:val="Style1"/>
        <w:keepNext/>
        <w:numPr>
          <w:ilvl w:val="0"/>
          <w:numId w:val="8"/>
        </w:numPr>
        <w:spacing w:before="240"/>
        <w:rPr>
          <w:szCs w:val="22"/>
          <w:lang w:val="en-US"/>
        </w:rPr>
      </w:pPr>
      <w:r w:rsidRPr="00FE6554">
        <w:rPr>
          <w:i/>
          <w:iCs/>
          <w:szCs w:val="22"/>
          <w:lang w:val="en-US"/>
        </w:rPr>
        <w:t xml:space="preserve">BC War Eagle </w:t>
      </w:r>
      <w:r w:rsidRPr="00FE6554">
        <w:rPr>
          <w:i/>
          <w:szCs w:val="22"/>
        </w:rPr>
        <w:t>Cobalt Prospects</w:t>
      </w:r>
      <w:r w:rsidRPr="00FE6554">
        <w:rPr>
          <w:szCs w:val="22"/>
          <w:lang w:val="en-US"/>
        </w:rPr>
        <w:t xml:space="preserve">: </w:t>
      </w:r>
    </w:p>
    <w:p w14:paraId="266AF587" w14:textId="77777777" w:rsidR="00FE6554" w:rsidRPr="00FE6554" w:rsidRDefault="00FE6554" w:rsidP="00367723">
      <w:pPr>
        <w:pStyle w:val="Style1"/>
        <w:numPr>
          <w:ilvl w:val="1"/>
          <w:numId w:val="8"/>
        </w:numPr>
        <w:spacing w:before="240"/>
        <w:rPr>
          <w:szCs w:val="22"/>
          <w:lang w:val="en-US"/>
        </w:rPr>
      </w:pPr>
      <w:r w:rsidRPr="00FE6554">
        <w:rPr>
          <w:szCs w:val="22"/>
          <w:lang w:val="en-US"/>
        </w:rPr>
        <w:t>The Company owns a 100% interest in one mineral claim, which is in good standing until October 14, 2020. In order to keep this claim in good standing, the Company is required to incur a minimum of $9,362 in exploration expenditures on this claim by October 14, 2020 or to pay cash-in-lieu of $18,724.</w:t>
      </w:r>
    </w:p>
    <w:p w14:paraId="7059F18A" w14:textId="77777777" w:rsidR="00FE6554" w:rsidRPr="00FE6554" w:rsidRDefault="00FE6554" w:rsidP="00367723">
      <w:pPr>
        <w:pStyle w:val="Style1"/>
        <w:keepNext/>
        <w:numPr>
          <w:ilvl w:val="0"/>
          <w:numId w:val="8"/>
        </w:numPr>
        <w:spacing w:before="240"/>
        <w:rPr>
          <w:szCs w:val="22"/>
          <w:lang w:val="en-US"/>
        </w:rPr>
      </w:pPr>
      <w:r w:rsidRPr="00FE6554">
        <w:rPr>
          <w:i/>
          <w:iCs/>
          <w:szCs w:val="22"/>
          <w:lang w:val="en-US"/>
        </w:rPr>
        <w:t>Yukon Quartz Claims</w:t>
      </w:r>
      <w:r w:rsidRPr="00FE6554">
        <w:rPr>
          <w:szCs w:val="22"/>
          <w:lang w:val="en-US"/>
        </w:rPr>
        <w:t xml:space="preserve">: </w:t>
      </w:r>
    </w:p>
    <w:p w14:paraId="45942F7F" w14:textId="77777777" w:rsidR="00FE6554" w:rsidRPr="00FE6554" w:rsidRDefault="00FE6554" w:rsidP="00367723">
      <w:pPr>
        <w:pStyle w:val="Style1"/>
        <w:numPr>
          <w:ilvl w:val="1"/>
          <w:numId w:val="8"/>
        </w:numPr>
        <w:spacing w:before="240"/>
        <w:rPr>
          <w:szCs w:val="22"/>
          <w:lang w:val="en-US"/>
        </w:rPr>
      </w:pPr>
      <w:r w:rsidRPr="00FE6554">
        <w:rPr>
          <w:szCs w:val="22"/>
          <w:lang w:val="en-US"/>
        </w:rPr>
        <w:t>Two Yukon Quartz claims are in good standing until October 3, 2020. In order to renew these claims for another year, the Company is required to pay an annual rent of $210 to the Government of Yukon by October 3, 2020 for the Yukon Quartz claims, unless the Company spends an amount greater than that in exploration beforehand. In addition, the Company is also required to pay the claim recording fees of $10 to the Government of Yukon by October 3, 2020.</w:t>
      </w:r>
      <w:r w:rsidRPr="00FE6554">
        <w:rPr>
          <w:b/>
          <w:color w:val="FF0000"/>
          <w:szCs w:val="22"/>
          <w:lang w:val="en-US"/>
        </w:rPr>
        <w:t xml:space="preserve"> </w:t>
      </w:r>
    </w:p>
    <w:p w14:paraId="60EEF86C" w14:textId="77777777" w:rsidR="00FE6554" w:rsidRPr="00FE6554" w:rsidRDefault="00FE6554" w:rsidP="00367723">
      <w:pPr>
        <w:pStyle w:val="Style1"/>
        <w:keepNext/>
        <w:numPr>
          <w:ilvl w:val="0"/>
          <w:numId w:val="8"/>
        </w:numPr>
        <w:spacing w:before="240"/>
        <w:rPr>
          <w:szCs w:val="22"/>
          <w:lang w:val="en-US"/>
        </w:rPr>
      </w:pPr>
      <w:r w:rsidRPr="00FE6554">
        <w:rPr>
          <w:i/>
          <w:iCs/>
          <w:szCs w:val="22"/>
          <w:lang w:val="en-US"/>
        </w:rPr>
        <w:t xml:space="preserve">Ontario </w:t>
      </w:r>
      <w:proofErr w:type="spellStart"/>
      <w:r w:rsidRPr="00FE6554">
        <w:rPr>
          <w:i/>
          <w:iCs/>
          <w:szCs w:val="22"/>
          <w:lang w:val="en-US"/>
        </w:rPr>
        <w:t>Bucke</w:t>
      </w:r>
      <w:proofErr w:type="spellEnd"/>
      <w:r w:rsidRPr="00FE6554">
        <w:rPr>
          <w:i/>
          <w:szCs w:val="22"/>
        </w:rPr>
        <w:t xml:space="preserve"> Cobalt Prospects</w:t>
      </w:r>
      <w:r w:rsidRPr="00FE6554">
        <w:rPr>
          <w:szCs w:val="22"/>
          <w:lang w:val="en-US"/>
        </w:rPr>
        <w:t xml:space="preserve">: </w:t>
      </w:r>
    </w:p>
    <w:p w14:paraId="44E5A900" w14:textId="12448561" w:rsidR="00186D62" w:rsidRDefault="00FE6554" w:rsidP="00367723">
      <w:pPr>
        <w:pStyle w:val="Style1"/>
        <w:numPr>
          <w:ilvl w:val="1"/>
          <w:numId w:val="8"/>
        </w:numPr>
        <w:spacing w:before="240"/>
        <w:jc w:val="left"/>
        <w:rPr>
          <w:szCs w:val="22"/>
          <w:lang w:val="en-US"/>
        </w:rPr>
      </w:pPr>
      <w:r w:rsidRPr="00FE6554">
        <w:rPr>
          <w:szCs w:val="22"/>
          <w:lang w:val="en-US"/>
        </w:rPr>
        <w:t>These mineral claims are in good standing until July 19, 2021 or later. In order to keep these claims in good standing, the Company is required to incur a minimum of $12,800 in exploration expenditures o</w:t>
      </w:r>
      <w:r w:rsidR="00186D62">
        <w:rPr>
          <w:szCs w:val="22"/>
          <w:lang w:val="en-US"/>
        </w:rPr>
        <w:t>n these claims by July 19, 2021</w:t>
      </w:r>
    </w:p>
    <w:p w14:paraId="557C7E22" w14:textId="77777777" w:rsidR="00FE6554" w:rsidRPr="00FE6554" w:rsidRDefault="00FE6554" w:rsidP="00367723">
      <w:pPr>
        <w:pStyle w:val="Style1"/>
        <w:keepNext/>
        <w:numPr>
          <w:ilvl w:val="0"/>
          <w:numId w:val="8"/>
        </w:numPr>
        <w:spacing w:before="240"/>
        <w:rPr>
          <w:szCs w:val="22"/>
          <w:lang w:val="en-US"/>
        </w:rPr>
      </w:pPr>
      <w:r w:rsidRPr="00FE6554">
        <w:rPr>
          <w:i/>
          <w:iCs/>
          <w:szCs w:val="22"/>
          <w:lang w:val="en-US"/>
        </w:rPr>
        <w:t>Ontario Coleman</w:t>
      </w:r>
      <w:r w:rsidRPr="00FE6554">
        <w:rPr>
          <w:i/>
          <w:szCs w:val="22"/>
        </w:rPr>
        <w:t xml:space="preserve"> Cobalt Prospects</w:t>
      </w:r>
      <w:r w:rsidRPr="00FE6554">
        <w:rPr>
          <w:szCs w:val="22"/>
          <w:lang w:val="en-US"/>
        </w:rPr>
        <w:t xml:space="preserve">: </w:t>
      </w:r>
    </w:p>
    <w:p w14:paraId="23FFBDD0" w14:textId="77777777" w:rsidR="00FE6554" w:rsidRPr="00FE6554" w:rsidRDefault="00FE6554" w:rsidP="00367723">
      <w:pPr>
        <w:pStyle w:val="Style1"/>
        <w:numPr>
          <w:ilvl w:val="1"/>
          <w:numId w:val="8"/>
        </w:numPr>
        <w:spacing w:before="240"/>
        <w:rPr>
          <w:szCs w:val="22"/>
          <w:lang w:val="en-US"/>
        </w:rPr>
      </w:pPr>
      <w:r w:rsidRPr="00FE6554">
        <w:rPr>
          <w:szCs w:val="22"/>
          <w:lang w:val="en-US"/>
        </w:rPr>
        <w:t>Four claim units are in good standing until July 19, 2020. In order to keep these claims in good standing, the Company is required to incur a minimum of $1,600 in exploration expenditures on these claims by July 19, 2020.</w:t>
      </w:r>
    </w:p>
    <w:p w14:paraId="252197C6" w14:textId="637AB3AF" w:rsidR="00FE6554" w:rsidRPr="00FE6554" w:rsidRDefault="00FE6554" w:rsidP="00367723">
      <w:pPr>
        <w:pStyle w:val="Style1"/>
        <w:numPr>
          <w:ilvl w:val="1"/>
          <w:numId w:val="8"/>
        </w:numPr>
        <w:spacing w:before="240"/>
        <w:rPr>
          <w:szCs w:val="22"/>
          <w:lang w:val="en-US"/>
        </w:rPr>
      </w:pPr>
      <w:r w:rsidRPr="00FE6554">
        <w:rPr>
          <w:szCs w:val="22"/>
          <w:lang w:val="en-US"/>
        </w:rPr>
        <w:t>28 claim units are in good standing until December 1, 2020. In order to keep these claims in good standing, the Company is required to incur a minimum of $6,000 in exploration expenditures on these claims by December 1, 2020.</w:t>
      </w:r>
    </w:p>
    <w:p w14:paraId="14C85E26" w14:textId="77777777" w:rsidR="00FE6554" w:rsidRPr="00FE6554" w:rsidRDefault="00FE6554" w:rsidP="00367723">
      <w:pPr>
        <w:pStyle w:val="Style1"/>
        <w:numPr>
          <w:ilvl w:val="1"/>
          <w:numId w:val="8"/>
        </w:numPr>
        <w:spacing w:before="240"/>
        <w:rPr>
          <w:szCs w:val="22"/>
          <w:lang w:val="en-US"/>
        </w:rPr>
      </w:pPr>
      <w:r w:rsidRPr="00FE6554">
        <w:rPr>
          <w:szCs w:val="22"/>
          <w:lang w:val="en-US"/>
        </w:rPr>
        <w:lastRenderedPageBreak/>
        <w:t>15 claim units are in good standing until June 26, 2021 or later. In order to keep these claims in good standing, the Company is required to incur a minimum of $3,000 in exploration expenditures on these claims by June 26, 2021.</w:t>
      </w:r>
    </w:p>
    <w:p w14:paraId="65D09BC3" w14:textId="77777777" w:rsidR="00FE6554" w:rsidRPr="00FE6554" w:rsidRDefault="00FE6554" w:rsidP="00367723">
      <w:pPr>
        <w:pStyle w:val="Style1"/>
        <w:keepNext/>
        <w:numPr>
          <w:ilvl w:val="0"/>
          <w:numId w:val="8"/>
        </w:numPr>
        <w:spacing w:before="240"/>
        <w:rPr>
          <w:szCs w:val="22"/>
          <w:lang w:val="en-US"/>
        </w:rPr>
      </w:pPr>
      <w:r w:rsidRPr="00FE6554">
        <w:rPr>
          <w:i/>
          <w:iCs/>
          <w:szCs w:val="22"/>
          <w:lang w:val="en-US"/>
        </w:rPr>
        <w:t>Ontario Hector</w:t>
      </w:r>
      <w:r w:rsidRPr="00FE6554">
        <w:rPr>
          <w:i/>
          <w:szCs w:val="22"/>
        </w:rPr>
        <w:t xml:space="preserve"> Cobalt Prospects</w:t>
      </w:r>
      <w:r w:rsidRPr="00FE6554">
        <w:rPr>
          <w:szCs w:val="22"/>
          <w:lang w:val="en-US"/>
        </w:rPr>
        <w:t xml:space="preserve">: </w:t>
      </w:r>
    </w:p>
    <w:p w14:paraId="0EF47E61" w14:textId="77777777" w:rsidR="00FE6554" w:rsidRPr="00FE6554" w:rsidRDefault="00FE6554" w:rsidP="00367723">
      <w:pPr>
        <w:pStyle w:val="Style1"/>
        <w:numPr>
          <w:ilvl w:val="1"/>
          <w:numId w:val="8"/>
        </w:numPr>
        <w:spacing w:before="240"/>
        <w:rPr>
          <w:szCs w:val="22"/>
          <w:lang w:val="en-US"/>
        </w:rPr>
      </w:pPr>
      <w:r w:rsidRPr="00FE6554">
        <w:rPr>
          <w:szCs w:val="22"/>
          <w:lang w:val="en-US"/>
        </w:rPr>
        <w:t>These mineral claims are in good standing until July 19, 2020 or later. In order to keep these claims in good standing, the Company is required to incur a minimum of $40,200 in exploration expenditures on these claims by July 19, 2020.</w:t>
      </w:r>
    </w:p>
    <w:p w14:paraId="54A1105A" w14:textId="77777777" w:rsidR="00FE6554" w:rsidRPr="00FE6554" w:rsidRDefault="00FE6554" w:rsidP="00367723">
      <w:pPr>
        <w:pStyle w:val="Style1"/>
        <w:keepNext/>
        <w:numPr>
          <w:ilvl w:val="0"/>
          <w:numId w:val="8"/>
        </w:numPr>
        <w:spacing w:before="240"/>
        <w:rPr>
          <w:szCs w:val="22"/>
          <w:lang w:val="en-US"/>
        </w:rPr>
      </w:pPr>
      <w:r w:rsidRPr="00FE6554">
        <w:rPr>
          <w:i/>
          <w:iCs/>
          <w:szCs w:val="22"/>
          <w:lang w:val="en-US"/>
        </w:rPr>
        <w:t xml:space="preserve">Ontario </w:t>
      </w:r>
      <w:r w:rsidRPr="00FE6554">
        <w:rPr>
          <w:i/>
          <w:szCs w:val="22"/>
        </w:rPr>
        <w:t>Johnson Cobalt Prospects</w:t>
      </w:r>
      <w:r w:rsidRPr="00FE6554">
        <w:rPr>
          <w:szCs w:val="22"/>
          <w:lang w:val="en-US"/>
        </w:rPr>
        <w:t xml:space="preserve">: </w:t>
      </w:r>
    </w:p>
    <w:p w14:paraId="41FD209D" w14:textId="77777777" w:rsidR="00FE6554" w:rsidRPr="00FE6554" w:rsidRDefault="00FE6554" w:rsidP="00367723">
      <w:pPr>
        <w:pStyle w:val="Style1"/>
        <w:numPr>
          <w:ilvl w:val="1"/>
          <w:numId w:val="8"/>
        </w:numPr>
        <w:spacing w:before="240"/>
        <w:rPr>
          <w:szCs w:val="22"/>
          <w:lang w:val="en-US"/>
        </w:rPr>
      </w:pPr>
      <w:r w:rsidRPr="00FE6554">
        <w:rPr>
          <w:szCs w:val="22"/>
          <w:lang w:val="en-US"/>
        </w:rPr>
        <w:t>These mineral claims are in good standing until July 19, 2021 or later. In order to keep these claims in good standing, the Company is required to incur a minimum of $6,000 in exploration expenditures on these claims by July 19, 2021.</w:t>
      </w:r>
    </w:p>
    <w:p w14:paraId="26D911A9" w14:textId="77777777" w:rsidR="00FE6554" w:rsidRPr="00FE6554" w:rsidRDefault="00FE6554" w:rsidP="00367723">
      <w:pPr>
        <w:pStyle w:val="Style1"/>
        <w:keepNext/>
        <w:numPr>
          <w:ilvl w:val="0"/>
          <w:numId w:val="8"/>
        </w:numPr>
        <w:spacing w:before="240"/>
        <w:rPr>
          <w:szCs w:val="22"/>
          <w:lang w:val="en-US"/>
        </w:rPr>
      </w:pPr>
      <w:r w:rsidRPr="00FE6554">
        <w:rPr>
          <w:i/>
          <w:iCs/>
          <w:szCs w:val="22"/>
          <w:lang w:val="en-US"/>
        </w:rPr>
        <w:t>Ontario Lorraine</w:t>
      </w:r>
      <w:r w:rsidRPr="00FE6554">
        <w:rPr>
          <w:i/>
          <w:szCs w:val="22"/>
        </w:rPr>
        <w:t xml:space="preserve"> Cobalt Prospects</w:t>
      </w:r>
      <w:r w:rsidRPr="00FE6554">
        <w:rPr>
          <w:szCs w:val="22"/>
          <w:lang w:val="en-US"/>
        </w:rPr>
        <w:t xml:space="preserve">: </w:t>
      </w:r>
    </w:p>
    <w:p w14:paraId="70874613" w14:textId="77777777" w:rsidR="00FE6554" w:rsidRPr="00FE6554" w:rsidRDefault="00FE6554" w:rsidP="00367723">
      <w:pPr>
        <w:pStyle w:val="Style1"/>
        <w:numPr>
          <w:ilvl w:val="1"/>
          <w:numId w:val="8"/>
        </w:numPr>
        <w:spacing w:before="240"/>
        <w:rPr>
          <w:szCs w:val="22"/>
          <w:lang w:val="en-US"/>
        </w:rPr>
      </w:pPr>
      <w:r w:rsidRPr="00FE6554">
        <w:rPr>
          <w:szCs w:val="22"/>
          <w:lang w:val="en-US"/>
        </w:rPr>
        <w:t>Certain mineral claims are in good standing until January 10, 2020 or later. In order to keep these claims in good standing, the Company is required to incur a minimum of $12,000 in exploration expenditures on these claims by January 10, 2020.</w:t>
      </w:r>
    </w:p>
    <w:p w14:paraId="10984443" w14:textId="77777777" w:rsidR="00FE6554" w:rsidRPr="00FE6554" w:rsidRDefault="00FE6554" w:rsidP="00367723">
      <w:pPr>
        <w:pStyle w:val="Style1"/>
        <w:numPr>
          <w:ilvl w:val="1"/>
          <w:numId w:val="8"/>
        </w:numPr>
        <w:spacing w:before="240"/>
        <w:rPr>
          <w:szCs w:val="22"/>
          <w:lang w:val="en-US"/>
        </w:rPr>
      </w:pPr>
      <w:r w:rsidRPr="00FE6554">
        <w:rPr>
          <w:szCs w:val="22"/>
          <w:lang w:val="en-US"/>
        </w:rPr>
        <w:t>Certain mineral claims are in good standing until April 10, 2020. In order to keep these claims in good standing, the Company is required to incur a minimum of $121,200 in exploration expenditures on these claims by April 10, 2020.</w:t>
      </w:r>
    </w:p>
    <w:p w14:paraId="3C7F6D78" w14:textId="77777777" w:rsidR="00FE6554" w:rsidRPr="00FE6554" w:rsidRDefault="00FE6554" w:rsidP="00367723">
      <w:pPr>
        <w:pStyle w:val="Style1"/>
        <w:keepNext/>
        <w:numPr>
          <w:ilvl w:val="0"/>
          <w:numId w:val="8"/>
        </w:numPr>
        <w:spacing w:before="240"/>
        <w:rPr>
          <w:i/>
          <w:szCs w:val="22"/>
          <w:lang w:val="en-US"/>
        </w:rPr>
      </w:pPr>
      <w:r w:rsidRPr="00FE6554">
        <w:rPr>
          <w:i/>
          <w:szCs w:val="22"/>
        </w:rPr>
        <w:t>Nevada Clayton Valley West Lithium Prospect</w:t>
      </w:r>
      <w:r w:rsidRPr="00FE6554">
        <w:rPr>
          <w:i/>
          <w:szCs w:val="22"/>
          <w:lang w:val="en-US"/>
        </w:rPr>
        <w:t xml:space="preserve">: </w:t>
      </w:r>
    </w:p>
    <w:p w14:paraId="7F977818" w14:textId="77777777" w:rsidR="00FE6554" w:rsidRPr="00FE6554" w:rsidRDefault="00FE6554" w:rsidP="00367723">
      <w:pPr>
        <w:pStyle w:val="Style1"/>
        <w:numPr>
          <w:ilvl w:val="1"/>
          <w:numId w:val="8"/>
        </w:numPr>
        <w:spacing w:before="240"/>
        <w:rPr>
          <w:szCs w:val="22"/>
          <w:lang w:val="en-US"/>
        </w:rPr>
      </w:pPr>
      <w:r w:rsidRPr="00FE6554">
        <w:rPr>
          <w:szCs w:val="22"/>
          <w:lang w:val="en-US"/>
        </w:rPr>
        <w:t>These mineral claims are in good standing until September 1, 2020. In order to keep these claims in good standing, the Company is required to pay BLM fees of USD$1,980 and county fees of USD$144 by November 1, 2020.</w:t>
      </w:r>
    </w:p>
    <w:p w14:paraId="70E7394F" w14:textId="77777777" w:rsidR="00FE6554" w:rsidRPr="00FE6554" w:rsidRDefault="00FE6554" w:rsidP="00367723">
      <w:pPr>
        <w:pStyle w:val="Style1"/>
        <w:keepNext/>
        <w:numPr>
          <w:ilvl w:val="0"/>
          <w:numId w:val="8"/>
        </w:numPr>
        <w:spacing w:before="240"/>
        <w:rPr>
          <w:i/>
          <w:szCs w:val="22"/>
          <w:lang w:val="en-US"/>
        </w:rPr>
      </w:pPr>
      <w:r w:rsidRPr="00FE6554">
        <w:rPr>
          <w:i/>
          <w:szCs w:val="22"/>
          <w:lang w:val="en-CA"/>
        </w:rPr>
        <w:t xml:space="preserve">Idaho Star Cobalt </w:t>
      </w:r>
      <w:r w:rsidRPr="00FE6554">
        <w:rPr>
          <w:i/>
          <w:szCs w:val="22"/>
        </w:rPr>
        <w:t>Prospect</w:t>
      </w:r>
      <w:r w:rsidRPr="00FE6554">
        <w:rPr>
          <w:i/>
          <w:szCs w:val="22"/>
          <w:lang w:val="en-US"/>
        </w:rPr>
        <w:t xml:space="preserve">: </w:t>
      </w:r>
    </w:p>
    <w:p w14:paraId="718E90FE" w14:textId="77777777" w:rsidR="00FE6554" w:rsidRPr="00FE6554" w:rsidRDefault="00FE6554" w:rsidP="00367723">
      <w:pPr>
        <w:pStyle w:val="Style1"/>
        <w:numPr>
          <w:ilvl w:val="1"/>
          <w:numId w:val="8"/>
        </w:numPr>
        <w:spacing w:before="240"/>
        <w:rPr>
          <w:szCs w:val="22"/>
          <w:lang w:val="en-US"/>
        </w:rPr>
      </w:pPr>
      <w:r w:rsidRPr="00FE6554">
        <w:rPr>
          <w:szCs w:val="22"/>
          <w:lang w:val="en-US"/>
        </w:rPr>
        <w:t>These mineral claims are in good standing until September 1, 2020. In order to keep these claims in good standing, the Company is required to pay maintenance fees of USD$660 by September 1, 2020.</w:t>
      </w:r>
    </w:p>
    <w:p w14:paraId="055D65E0" w14:textId="77777777" w:rsidR="00FE6554" w:rsidRPr="00FE6554" w:rsidRDefault="00FE6554" w:rsidP="00FE6554">
      <w:pPr>
        <w:jc w:val="both"/>
        <w:rPr>
          <w:sz w:val="22"/>
          <w:szCs w:val="22"/>
        </w:rPr>
      </w:pPr>
    </w:p>
    <w:p w14:paraId="6B19F0C1" w14:textId="77777777" w:rsidR="00FE6554" w:rsidRPr="00FE6554" w:rsidRDefault="00FE6554" w:rsidP="00FE6554">
      <w:pPr>
        <w:jc w:val="both"/>
        <w:rPr>
          <w:color w:val="FF0000"/>
          <w:sz w:val="22"/>
          <w:szCs w:val="22"/>
        </w:rPr>
      </w:pPr>
      <w:r w:rsidRPr="00FE6554">
        <w:rPr>
          <w:sz w:val="22"/>
          <w:szCs w:val="22"/>
        </w:rPr>
        <w:t xml:space="preserve">See “Nature of Business – Mineral Properties” for a discussion of the Company’s capital expenditure commitments with respect to its mineral properties. </w:t>
      </w:r>
    </w:p>
    <w:p w14:paraId="5D3606A9" w14:textId="77777777" w:rsidR="00FE6554" w:rsidRPr="00FE6554" w:rsidRDefault="00FE6554" w:rsidP="00FE6554">
      <w:pPr>
        <w:jc w:val="both"/>
        <w:rPr>
          <w:sz w:val="22"/>
          <w:szCs w:val="22"/>
        </w:rPr>
      </w:pPr>
    </w:p>
    <w:p w14:paraId="4ABFA905" w14:textId="77777777" w:rsidR="00704C93" w:rsidRDefault="00FE6554" w:rsidP="00704C93">
      <w:pPr>
        <w:rPr>
          <w:sz w:val="22"/>
          <w:szCs w:val="22"/>
          <w:lang w:val="en-CA"/>
        </w:rPr>
      </w:pPr>
      <w:r w:rsidRPr="00FE6554">
        <w:rPr>
          <w:sz w:val="22"/>
          <w:szCs w:val="22"/>
        </w:rPr>
        <w:t xml:space="preserve">During the year ended July 31, 2017, </w:t>
      </w:r>
      <w:r w:rsidRPr="00FE6554">
        <w:rPr>
          <w:sz w:val="22"/>
          <w:szCs w:val="22"/>
          <w:lang w:val="en-CA"/>
        </w:rPr>
        <w:t>the Company entered into a lease agreement for office premises for a three-year period beginning August 1, 2017 and ending July 31, 2020. T</w:t>
      </w:r>
      <w:r w:rsidRPr="00FE6554">
        <w:rPr>
          <w:sz w:val="22"/>
          <w:szCs w:val="22"/>
        </w:rPr>
        <w:t xml:space="preserve">he Company is required </w:t>
      </w:r>
      <w:r w:rsidRPr="00FE6554">
        <w:rPr>
          <w:sz w:val="22"/>
          <w:szCs w:val="22"/>
          <w:lang w:val="en-CA"/>
        </w:rPr>
        <w:t xml:space="preserve">to pay office rent (net of taxes) as follows: pay a total of $65,494 by July 31, 2020. However, the Company shares its office space with two related public companies and one non-related company. The Company invoices these companies for their share of the office rent on a monthly basis. </w:t>
      </w:r>
    </w:p>
    <w:p w14:paraId="3C82F3E4" w14:textId="77777777" w:rsidR="00704C93" w:rsidRDefault="00704C93" w:rsidP="00704C93">
      <w:pPr>
        <w:rPr>
          <w:sz w:val="22"/>
          <w:szCs w:val="22"/>
          <w:lang w:val="en-CA"/>
        </w:rPr>
      </w:pPr>
    </w:p>
    <w:p w14:paraId="34845A84" w14:textId="35C40866" w:rsidR="00FE6554" w:rsidRDefault="00FE6554" w:rsidP="00704C93">
      <w:pPr>
        <w:rPr>
          <w:i/>
          <w:iCs/>
          <w:sz w:val="22"/>
          <w:szCs w:val="22"/>
        </w:rPr>
      </w:pPr>
      <w:r w:rsidRPr="00FE6554">
        <w:rPr>
          <w:i/>
          <w:iCs/>
          <w:sz w:val="22"/>
          <w:szCs w:val="22"/>
        </w:rPr>
        <w:t>Operating Activities</w:t>
      </w:r>
    </w:p>
    <w:p w14:paraId="2A1BAC6E" w14:textId="77777777" w:rsidR="00704C93" w:rsidRDefault="00704C93" w:rsidP="00FE6554">
      <w:pPr>
        <w:jc w:val="both"/>
        <w:rPr>
          <w:i/>
          <w:iCs/>
          <w:sz w:val="22"/>
          <w:szCs w:val="22"/>
        </w:rPr>
      </w:pPr>
    </w:p>
    <w:p w14:paraId="46A8E61E" w14:textId="77777777" w:rsidR="00704C93" w:rsidRDefault="00FE6554" w:rsidP="00FE6554">
      <w:pPr>
        <w:jc w:val="both"/>
        <w:rPr>
          <w:sz w:val="22"/>
          <w:szCs w:val="22"/>
        </w:rPr>
        <w:sectPr w:rsidR="00704C93" w:rsidSect="008C24D0">
          <w:headerReference w:type="first" r:id="rId35"/>
          <w:pgSz w:w="12240" w:h="15840" w:code="1"/>
          <w:pgMar w:top="432" w:right="1440" w:bottom="432" w:left="1440" w:header="720" w:footer="288" w:gutter="0"/>
          <w:cols w:space="720"/>
          <w:titlePg/>
          <w:docGrid w:linePitch="360"/>
        </w:sectPr>
      </w:pPr>
      <w:r w:rsidRPr="00FE6554">
        <w:rPr>
          <w:sz w:val="22"/>
          <w:szCs w:val="22"/>
        </w:rPr>
        <w:t>During the three months ended October 31, 2019 and, 2018, operating activities used cash of $96,358 and $67,763, respectively. The use of cash for the three months ended October 31, 2019 was mainly</w:t>
      </w:r>
      <w:r w:rsidR="007C71BF">
        <w:rPr>
          <w:sz w:val="22"/>
          <w:szCs w:val="22"/>
        </w:rPr>
        <w:t xml:space="preserve"> </w:t>
      </w:r>
    </w:p>
    <w:p w14:paraId="63AAA28D" w14:textId="7BD572FA" w:rsidR="00FE6554" w:rsidRPr="00FE6554" w:rsidRDefault="00FE6554" w:rsidP="00FE6554">
      <w:pPr>
        <w:jc w:val="both"/>
        <w:rPr>
          <w:sz w:val="22"/>
          <w:szCs w:val="22"/>
        </w:rPr>
      </w:pPr>
      <w:r w:rsidRPr="00FE6554">
        <w:rPr>
          <w:sz w:val="22"/>
          <w:szCs w:val="22"/>
        </w:rPr>
        <w:lastRenderedPageBreak/>
        <w:t>attributable to its loss for the period of $100,054 and a decrease in accounts payable and accrued liabilities of $11,310, offset by a decrease in receivables of $13,960. The use of cash for the three months ended October 31, 2018 was mainly attributable to its loss for the period of $155,362 offset by a decrease in prepaid expenses of $80,838.</w:t>
      </w:r>
    </w:p>
    <w:p w14:paraId="242AD5BD" w14:textId="77777777" w:rsidR="00FE6554" w:rsidRPr="00FE6554" w:rsidRDefault="00FE6554" w:rsidP="00FE6554">
      <w:pPr>
        <w:jc w:val="both"/>
        <w:rPr>
          <w:sz w:val="22"/>
          <w:szCs w:val="22"/>
          <w:highlight w:val="green"/>
        </w:rPr>
      </w:pPr>
    </w:p>
    <w:p w14:paraId="1A567753" w14:textId="77777777" w:rsidR="00FE6554" w:rsidRPr="00FE6554" w:rsidRDefault="00FE6554" w:rsidP="00FE6554">
      <w:pPr>
        <w:keepNext/>
        <w:jc w:val="both"/>
        <w:rPr>
          <w:i/>
          <w:iCs/>
          <w:sz w:val="22"/>
          <w:szCs w:val="22"/>
        </w:rPr>
      </w:pPr>
      <w:r w:rsidRPr="00FE6554">
        <w:rPr>
          <w:i/>
          <w:iCs/>
          <w:sz w:val="22"/>
          <w:szCs w:val="22"/>
        </w:rPr>
        <w:t xml:space="preserve">Investing Activities </w:t>
      </w:r>
    </w:p>
    <w:p w14:paraId="022C5F75" w14:textId="77777777" w:rsidR="00FE6554" w:rsidRPr="00FE6554" w:rsidRDefault="00FE6554" w:rsidP="00FE6554">
      <w:pPr>
        <w:keepNext/>
        <w:jc w:val="both"/>
        <w:rPr>
          <w:sz w:val="22"/>
          <w:szCs w:val="22"/>
        </w:rPr>
      </w:pPr>
      <w:r w:rsidRPr="00FE6554">
        <w:rPr>
          <w:i/>
          <w:iCs/>
          <w:sz w:val="22"/>
          <w:szCs w:val="22"/>
        </w:rPr>
        <w:t xml:space="preserve"> </w:t>
      </w:r>
    </w:p>
    <w:p w14:paraId="7B56B6BC" w14:textId="77777777" w:rsidR="00FE6554" w:rsidRPr="00FE6554" w:rsidRDefault="00FE6554" w:rsidP="00FE6554">
      <w:pPr>
        <w:jc w:val="both"/>
        <w:rPr>
          <w:sz w:val="22"/>
          <w:szCs w:val="22"/>
        </w:rPr>
      </w:pPr>
      <w:r w:rsidRPr="00FE6554">
        <w:rPr>
          <w:sz w:val="22"/>
          <w:szCs w:val="22"/>
        </w:rPr>
        <w:t>During the three months ended October 31, 2019, the Company used cash of $17,976 in investing activities due to investments in exploration and evaluation assets. During the three months ended October 31, 2018, the Company used cash of $145,758 in investing activities due to investments in exploration and evaluation assets.</w:t>
      </w:r>
    </w:p>
    <w:p w14:paraId="48AD4315" w14:textId="77777777" w:rsidR="00FE6554" w:rsidRPr="00FE6554" w:rsidRDefault="00FE6554" w:rsidP="00FE6554">
      <w:pPr>
        <w:jc w:val="both"/>
        <w:rPr>
          <w:sz w:val="22"/>
          <w:szCs w:val="22"/>
        </w:rPr>
      </w:pPr>
    </w:p>
    <w:p w14:paraId="39F3660E" w14:textId="77777777" w:rsidR="00FE6554" w:rsidRPr="00FE6554" w:rsidRDefault="00FE6554" w:rsidP="00FE6554">
      <w:pPr>
        <w:keepNext/>
        <w:keepLines/>
        <w:jc w:val="both"/>
        <w:rPr>
          <w:i/>
          <w:iCs/>
          <w:sz w:val="22"/>
          <w:szCs w:val="22"/>
        </w:rPr>
      </w:pPr>
      <w:r w:rsidRPr="00FE6554">
        <w:rPr>
          <w:i/>
          <w:iCs/>
          <w:sz w:val="22"/>
          <w:szCs w:val="22"/>
        </w:rPr>
        <w:t>Financing Activities</w:t>
      </w:r>
    </w:p>
    <w:p w14:paraId="499EF05E" w14:textId="77777777" w:rsidR="00FE6554" w:rsidRPr="00FE6554" w:rsidRDefault="00FE6554" w:rsidP="00FE6554">
      <w:pPr>
        <w:keepNext/>
        <w:keepLines/>
        <w:jc w:val="both"/>
        <w:rPr>
          <w:i/>
          <w:iCs/>
          <w:sz w:val="22"/>
          <w:szCs w:val="22"/>
        </w:rPr>
      </w:pPr>
    </w:p>
    <w:p w14:paraId="71781259" w14:textId="77777777" w:rsidR="00FE6554" w:rsidRPr="00FE6554" w:rsidRDefault="00FE6554" w:rsidP="00FE6554">
      <w:pPr>
        <w:autoSpaceDE w:val="0"/>
        <w:autoSpaceDN w:val="0"/>
        <w:adjustRightInd w:val="0"/>
        <w:jc w:val="both"/>
        <w:rPr>
          <w:sz w:val="22"/>
          <w:szCs w:val="22"/>
        </w:rPr>
      </w:pPr>
      <w:r w:rsidRPr="00FE6554">
        <w:rPr>
          <w:sz w:val="22"/>
          <w:szCs w:val="22"/>
        </w:rPr>
        <w:t xml:space="preserve">During the three months ended October 31, 2019 and 2018, the Company did not provide or use any cash in financing activities. </w:t>
      </w:r>
    </w:p>
    <w:p w14:paraId="2664D61F" w14:textId="77777777" w:rsidR="00FE6554" w:rsidRPr="00FE6554" w:rsidRDefault="00FE6554" w:rsidP="00FE6554">
      <w:pPr>
        <w:autoSpaceDE w:val="0"/>
        <w:autoSpaceDN w:val="0"/>
        <w:adjustRightInd w:val="0"/>
        <w:jc w:val="both"/>
        <w:rPr>
          <w:sz w:val="22"/>
          <w:szCs w:val="22"/>
        </w:rPr>
      </w:pPr>
    </w:p>
    <w:p w14:paraId="05772B6C" w14:textId="77777777" w:rsidR="00FE6554" w:rsidRPr="00FE6554" w:rsidRDefault="00FE6554" w:rsidP="00FE6554">
      <w:pPr>
        <w:autoSpaceDE w:val="0"/>
        <w:autoSpaceDN w:val="0"/>
        <w:adjustRightInd w:val="0"/>
        <w:jc w:val="both"/>
        <w:rPr>
          <w:b/>
          <w:bCs/>
          <w:sz w:val="22"/>
          <w:szCs w:val="22"/>
        </w:rPr>
      </w:pPr>
      <w:r w:rsidRPr="00FE6554">
        <w:rPr>
          <w:b/>
          <w:bCs/>
          <w:sz w:val="22"/>
          <w:szCs w:val="22"/>
        </w:rPr>
        <w:t>Changes in Accounting Policies including Initial Adoption</w:t>
      </w:r>
    </w:p>
    <w:p w14:paraId="47C97EA3" w14:textId="77777777" w:rsidR="00FE6554" w:rsidRPr="00FE6554" w:rsidRDefault="00FE6554" w:rsidP="00FE6554">
      <w:pPr>
        <w:autoSpaceDE w:val="0"/>
        <w:autoSpaceDN w:val="0"/>
        <w:adjustRightInd w:val="0"/>
        <w:jc w:val="both"/>
        <w:rPr>
          <w:b/>
          <w:bCs/>
          <w:sz w:val="22"/>
          <w:szCs w:val="22"/>
        </w:rPr>
      </w:pPr>
    </w:p>
    <w:p w14:paraId="180C1A18" w14:textId="77777777" w:rsidR="00FE6554" w:rsidRPr="00FE6554" w:rsidRDefault="00FE6554" w:rsidP="00FE6554">
      <w:pPr>
        <w:pStyle w:val="Header"/>
        <w:tabs>
          <w:tab w:val="left" w:pos="1100"/>
        </w:tabs>
        <w:jc w:val="both"/>
        <w:rPr>
          <w:sz w:val="22"/>
          <w:szCs w:val="22"/>
          <w:lang w:val="en-CA"/>
        </w:rPr>
      </w:pPr>
      <w:r w:rsidRPr="00FE6554">
        <w:rPr>
          <w:b/>
          <w:i/>
          <w:sz w:val="22"/>
          <w:szCs w:val="22"/>
          <w:lang w:val="en-CA"/>
        </w:rPr>
        <w:t>New accounting standards adopted during the period</w:t>
      </w:r>
    </w:p>
    <w:p w14:paraId="2351CD42" w14:textId="77777777" w:rsidR="00FE6554" w:rsidRPr="00FE6554" w:rsidRDefault="00FE6554" w:rsidP="00FE6554">
      <w:pPr>
        <w:pStyle w:val="Header"/>
        <w:tabs>
          <w:tab w:val="left" w:pos="1100"/>
        </w:tabs>
        <w:jc w:val="both"/>
        <w:rPr>
          <w:sz w:val="22"/>
          <w:szCs w:val="22"/>
          <w:lang w:val="en-CA"/>
        </w:rPr>
      </w:pPr>
    </w:p>
    <w:p w14:paraId="143C1BD8" w14:textId="77777777" w:rsidR="00FE6554" w:rsidRPr="00FE6554" w:rsidRDefault="00FE6554" w:rsidP="00FE6554">
      <w:pPr>
        <w:autoSpaceDE w:val="0"/>
        <w:autoSpaceDN w:val="0"/>
        <w:adjustRightInd w:val="0"/>
        <w:jc w:val="both"/>
        <w:rPr>
          <w:b/>
          <w:i/>
          <w:sz w:val="22"/>
          <w:szCs w:val="22"/>
        </w:rPr>
      </w:pPr>
      <w:r w:rsidRPr="00FE6554">
        <w:rPr>
          <w:bCs/>
          <w:i/>
          <w:color w:val="000000"/>
          <w:sz w:val="22"/>
          <w:szCs w:val="22"/>
        </w:rPr>
        <w:t>IFRS 16 – Leases</w:t>
      </w:r>
    </w:p>
    <w:p w14:paraId="6104F027" w14:textId="77777777" w:rsidR="00FE6554" w:rsidRPr="00FE6554" w:rsidRDefault="00FE6554" w:rsidP="00FE6554">
      <w:pPr>
        <w:pStyle w:val="BodyText"/>
        <w:tabs>
          <w:tab w:val="left" w:pos="741"/>
        </w:tabs>
        <w:spacing w:before="0"/>
        <w:ind w:left="1094"/>
        <w:rPr>
          <w:bCs/>
          <w:i/>
          <w:color w:val="000000"/>
          <w:sz w:val="22"/>
          <w:szCs w:val="22"/>
        </w:rPr>
      </w:pPr>
    </w:p>
    <w:p w14:paraId="157DFB56" w14:textId="77777777" w:rsidR="00FE6554" w:rsidRPr="00FE6554" w:rsidRDefault="00FE6554" w:rsidP="00FE6554">
      <w:pPr>
        <w:pStyle w:val="BodyTextIndent"/>
        <w:ind w:left="0"/>
        <w:rPr>
          <w:sz w:val="22"/>
          <w:szCs w:val="22"/>
        </w:rPr>
      </w:pPr>
      <w:r w:rsidRPr="00FE6554">
        <w:rPr>
          <w:bCs/>
          <w:color w:val="000000"/>
          <w:sz w:val="22"/>
          <w:szCs w:val="22"/>
        </w:rPr>
        <w:t>New standard to establish principles for recognition, measurement, presentation and disclosure of leases with an impact on lessee accounting. The Company adopted this new standard on August 1, 2019. The adoption of this new standard has no impact on the Company's condensed consolidated interim financial statements</w:t>
      </w:r>
      <w:r w:rsidRPr="00FE6554">
        <w:rPr>
          <w:sz w:val="22"/>
          <w:szCs w:val="22"/>
        </w:rPr>
        <w:t>.</w:t>
      </w:r>
    </w:p>
    <w:p w14:paraId="1D1FCCB0" w14:textId="77777777" w:rsidR="00FE6554" w:rsidRPr="00FE6554" w:rsidRDefault="00FE6554" w:rsidP="00FE6554">
      <w:pPr>
        <w:pStyle w:val="BodyTextIndent"/>
        <w:ind w:left="0"/>
        <w:rPr>
          <w:sz w:val="22"/>
          <w:szCs w:val="22"/>
        </w:rPr>
      </w:pPr>
    </w:p>
    <w:p w14:paraId="67FC497C" w14:textId="77777777" w:rsidR="00FE6554" w:rsidRPr="00FE6554" w:rsidRDefault="00FE6554" w:rsidP="00FE6554">
      <w:pPr>
        <w:jc w:val="both"/>
        <w:rPr>
          <w:b/>
          <w:bCs/>
          <w:sz w:val="22"/>
          <w:szCs w:val="22"/>
        </w:rPr>
      </w:pPr>
      <w:r w:rsidRPr="00FE6554">
        <w:rPr>
          <w:b/>
          <w:bCs/>
          <w:sz w:val="22"/>
          <w:szCs w:val="22"/>
        </w:rPr>
        <w:t>Off-Balance Sheet Arrangements</w:t>
      </w:r>
    </w:p>
    <w:p w14:paraId="549C1A2C" w14:textId="77777777" w:rsidR="00FE6554" w:rsidRPr="00FE6554" w:rsidRDefault="00FE6554" w:rsidP="00FE6554">
      <w:pPr>
        <w:jc w:val="both"/>
        <w:rPr>
          <w:sz w:val="22"/>
          <w:szCs w:val="22"/>
        </w:rPr>
      </w:pPr>
    </w:p>
    <w:p w14:paraId="03A4FB0E" w14:textId="77777777" w:rsidR="00FE6554" w:rsidRPr="00FE6554" w:rsidRDefault="00FE6554" w:rsidP="00FE6554">
      <w:pPr>
        <w:jc w:val="both"/>
        <w:rPr>
          <w:sz w:val="22"/>
          <w:szCs w:val="22"/>
        </w:rPr>
      </w:pPr>
      <w:r w:rsidRPr="00FE6554">
        <w:rPr>
          <w:sz w:val="22"/>
          <w:szCs w:val="22"/>
        </w:rPr>
        <w:t>The Company does not utilize off-balance sheet arrangements.</w:t>
      </w:r>
    </w:p>
    <w:p w14:paraId="6B3FFF3B" w14:textId="77777777" w:rsidR="00FE6554" w:rsidRPr="00FE6554" w:rsidRDefault="00FE6554" w:rsidP="00FE6554">
      <w:pPr>
        <w:jc w:val="both"/>
        <w:rPr>
          <w:sz w:val="22"/>
          <w:szCs w:val="22"/>
        </w:rPr>
      </w:pPr>
    </w:p>
    <w:p w14:paraId="112F6EA7" w14:textId="77777777" w:rsidR="00FE6554" w:rsidRPr="00FE6554" w:rsidRDefault="00FE6554" w:rsidP="00FE6554">
      <w:pPr>
        <w:jc w:val="both"/>
        <w:rPr>
          <w:b/>
          <w:bCs/>
          <w:color w:val="FF0000"/>
          <w:sz w:val="22"/>
          <w:szCs w:val="22"/>
        </w:rPr>
      </w:pPr>
      <w:r w:rsidRPr="00FE6554">
        <w:rPr>
          <w:b/>
          <w:bCs/>
          <w:sz w:val="22"/>
          <w:szCs w:val="22"/>
        </w:rPr>
        <w:t xml:space="preserve">Related Parties Transactions  </w:t>
      </w:r>
    </w:p>
    <w:p w14:paraId="63B4A5A7" w14:textId="77777777" w:rsidR="00FE6554" w:rsidRPr="00FE6554" w:rsidRDefault="00FE6554" w:rsidP="00FE6554">
      <w:pPr>
        <w:pStyle w:val="Style1"/>
        <w:rPr>
          <w:szCs w:val="22"/>
        </w:rPr>
      </w:pPr>
    </w:p>
    <w:p w14:paraId="2443DF39" w14:textId="77777777" w:rsidR="00FE6554" w:rsidRPr="00FE6554" w:rsidRDefault="00FE6554" w:rsidP="00FE6554">
      <w:pPr>
        <w:pStyle w:val="Style1"/>
        <w:rPr>
          <w:szCs w:val="22"/>
        </w:rPr>
      </w:pPr>
      <w:r w:rsidRPr="00FE6554">
        <w:rPr>
          <w:szCs w:val="22"/>
        </w:rPr>
        <w:t>During the three months ended October 31, 2019, the Company incurred aggregate management fees of $26,400 to two directors, James Nelson and Seth Kay. There are no management agreements in place and the Company has no contractual requirement to continue paying management fees. Management fees, directors’ fees and share-based payments are intended to compensate such persons for their time and dedication to the Company.</w:t>
      </w:r>
    </w:p>
    <w:p w14:paraId="5AD7423B" w14:textId="77777777" w:rsidR="00FE6554" w:rsidRPr="00FE6554" w:rsidRDefault="00FE6554" w:rsidP="00FE6554">
      <w:pPr>
        <w:pStyle w:val="Style1"/>
        <w:rPr>
          <w:szCs w:val="22"/>
        </w:rPr>
      </w:pPr>
    </w:p>
    <w:p w14:paraId="1E1F5A11" w14:textId="77777777" w:rsidR="00704C93" w:rsidRDefault="00FE6554" w:rsidP="00704C93">
      <w:pPr>
        <w:pStyle w:val="Style1"/>
        <w:jc w:val="left"/>
        <w:rPr>
          <w:szCs w:val="22"/>
        </w:rPr>
      </w:pPr>
      <w:r w:rsidRPr="00FE6554">
        <w:rPr>
          <w:szCs w:val="22"/>
        </w:rPr>
        <w:t xml:space="preserve">During the three months ended October 31, 2019, the Company paid $14,700 to an officer in consideration for accounting services provided to the Company.  Such payments were made in lieu of management fees to its Chief Financial Officer, Cindy Cai. </w:t>
      </w:r>
    </w:p>
    <w:p w14:paraId="250DFCDD" w14:textId="77777777" w:rsidR="00704C93" w:rsidRDefault="00704C93" w:rsidP="00704C93">
      <w:pPr>
        <w:pStyle w:val="Style1"/>
        <w:jc w:val="left"/>
        <w:rPr>
          <w:szCs w:val="22"/>
        </w:rPr>
      </w:pPr>
    </w:p>
    <w:p w14:paraId="63379C5B" w14:textId="33CEF15B" w:rsidR="00FE6554" w:rsidRPr="00FE6554" w:rsidRDefault="00FE6554" w:rsidP="00704C93">
      <w:pPr>
        <w:pStyle w:val="Style1"/>
        <w:jc w:val="left"/>
        <w:rPr>
          <w:szCs w:val="22"/>
        </w:rPr>
      </w:pPr>
      <w:r w:rsidRPr="00FE6554">
        <w:rPr>
          <w:szCs w:val="22"/>
        </w:rPr>
        <w:t>As at October 31, 2019, amounts due to related parties were $7,500 (July 31, 2019: $7,500), which included $7,500 owing to three directors for unpaid directors' fees, being $2,500 each payable to James Nelson, Seth Kay and Gregory Thomson</w:t>
      </w:r>
      <w:r w:rsidRPr="00FE6554">
        <w:rPr>
          <w:szCs w:val="22"/>
          <w:lang w:val="en-CA"/>
        </w:rPr>
        <w:t>.</w:t>
      </w:r>
      <w:r w:rsidRPr="00FE6554">
        <w:rPr>
          <w:szCs w:val="22"/>
        </w:rPr>
        <w:t xml:space="preserve"> </w:t>
      </w:r>
    </w:p>
    <w:p w14:paraId="6776363C" w14:textId="77777777" w:rsidR="00FE6554" w:rsidRPr="00FE6554" w:rsidRDefault="00FE6554" w:rsidP="00FE6554">
      <w:pPr>
        <w:pStyle w:val="Style1"/>
        <w:rPr>
          <w:szCs w:val="22"/>
        </w:rPr>
      </w:pPr>
    </w:p>
    <w:p w14:paraId="3D0B7A35" w14:textId="77777777" w:rsidR="00FE6554" w:rsidRPr="00FE6554" w:rsidRDefault="00FE6554" w:rsidP="00FE6554">
      <w:pPr>
        <w:pStyle w:val="Style1"/>
        <w:rPr>
          <w:szCs w:val="22"/>
          <w:lang w:val="en-CA"/>
        </w:rPr>
      </w:pPr>
      <w:r w:rsidRPr="00FE6554">
        <w:rPr>
          <w:szCs w:val="22"/>
          <w:lang w:val="en-CA"/>
        </w:rPr>
        <w:t xml:space="preserve">At </w:t>
      </w:r>
      <w:r w:rsidRPr="00FE6554">
        <w:rPr>
          <w:szCs w:val="22"/>
        </w:rPr>
        <w:t>October 31, 2019</w:t>
      </w:r>
      <w:r w:rsidRPr="00FE6554">
        <w:rPr>
          <w:szCs w:val="22"/>
          <w:lang w:val="en-CA"/>
        </w:rPr>
        <w:t>, related party receivables include $1,046 (July 31, 2019: $1,804) due from Sienna Resources Inc., a public company with one common director for recoverable office expenses.</w:t>
      </w:r>
    </w:p>
    <w:p w14:paraId="7C5C17FF" w14:textId="77777777" w:rsidR="00FE6554" w:rsidRPr="00FE6554" w:rsidRDefault="00FE6554" w:rsidP="00FE6554">
      <w:pPr>
        <w:pStyle w:val="Style1"/>
        <w:rPr>
          <w:szCs w:val="22"/>
        </w:rPr>
      </w:pPr>
    </w:p>
    <w:p w14:paraId="74117C2F" w14:textId="77777777" w:rsidR="00FE6554" w:rsidRPr="00FE6554" w:rsidRDefault="00FE6554" w:rsidP="00FE6554">
      <w:pPr>
        <w:jc w:val="both"/>
        <w:rPr>
          <w:sz w:val="22"/>
          <w:szCs w:val="22"/>
        </w:rPr>
      </w:pPr>
      <w:r w:rsidRPr="00FE6554">
        <w:rPr>
          <w:sz w:val="22"/>
          <w:szCs w:val="22"/>
        </w:rPr>
        <w:t>All transactions with related parties have occurred and are measured at the amount of consideration established and agreed to by the related parties.</w:t>
      </w:r>
    </w:p>
    <w:p w14:paraId="753CFF18" w14:textId="77777777" w:rsidR="00FE6554" w:rsidRPr="00FE6554" w:rsidRDefault="00FE6554" w:rsidP="00FE6554">
      <w:pPr>
        <w:rPr>
          <w:b/>
          <w:bCs/>
          <w:sz w:val="22"/>
          <w:szCs w:val="22"/>
        </w:rPr>
      </w:pPr>
      <w:r w:rsidRPr="00FE6554">
        <w:rPr>
          <w:b/>
          <w:bCs/>
          <w:sz w:val="22"/>
          <w:szCs w:val="22"/>
        </w:rPr>
        <w:lastRenderedPageBreak/>
        <w:t>Financial Instruments and Other Instruments</w:t>
      </w:r>
    </w:p>
    <w:p w14:paraId="401335DA" w14:textId="77777777" w:rsidR="00FE6554" w:rsidRPr="00FE6554" w:rsidRDefault="00FE6554" w:rsidP="00FE6554">
      <w:pPr>
        <w:jc w:val="both"/>
        <w:rPr>
          <w:b/>
          <w:bCs/>
          <w:sz w:val="22"/>
          <w:szCs w:val="22"/>
        </w:rPr>
      </w:pPr>
    </w:p>
    <w:p w14:paraId="3C05C908" w14:textId="77777777" w:rsidR="00FE6554" w:rsidRPr="00FE6554" w:rsidRDefault="00FE6554" w:rsidP="00FE6554">
      <w:pPr>
        <w:pStyle w:val="Header"/>
        <w:tabs>
          <w:tab w:val="left" w:pos="1100"/>
        </w:tabs>
        <w:jc w:val="both"/>
        <w:rPr>
          <w:sz w:val="22"/>
          <w:szCs w:val="22"/>
          <w:lang w:val="en-CA"/>
        </w:rPr>
      </w:pPr>
      <w:r w:rsidRPr="00FE6554">
        <w:rPr>
          <w:sz w:val="22"/>
          <w:szCs w:val="22"/>
        </w:rPr>
        <w:t xml:space="preserve">The Company’s financial instruments consist of cash and cash equivalents, receivables, and accounts payable and accrued liabilities. </w:t>
      </w:r>
      <w:r w:rsidRPr="00FE6554">
        <w:rPr>
          <w:color w:val="000000"/>
          <w:sz w:val="22"/>
          <w:szCs w:val="22"/>
        </w:rPr>
        <w:t xml:space="preserve">Unless otherwise noted, it is management’s opinion that the Company’s current financial instruments will not be affected </w:t>
      </w:r>
      <w:r w:rsidRPr="00FE6554">
        <w:rPr>
          <w:sz w:val="22"/>
          <w:szCs w:val="22"/>
        </w:rPr>
        <w:t>foreign exchange risk, credit risk, interest rate risk and price risk</w:t>
      </w:r>
      <w:r w:rsidRPr="00FE6554">
        <w:rPr>
          <w:color w:val="000000"/>
          <w:sz w:val="22"/>
          <w:szCs w:val="22"/>
        </w:rPr>
        <w:t>.  The fair value of these financial instruments approximates their carrying value, unless otherwise noted</w:t>
      </w:r>
      <w:r w:rsidRPr="00FE6554">
        <w:rPr>
          <w:sz w:val="22"/>
          <w:szCs w:val="22"/>
        </w:rPr>
        <w:t>.</w:t>
      </w:r>
    </w:p>
    <w:p w14:paraId="44FE13C5" w14:textId="77777777" w:rsidR="00FE6554" w:rsidRPr="00FE6554" w:rsidRDefault="00FE6554" w:rsidP="00FE6554">
      <w:pPr>
        <w:jc w:val="both"/>
        <w:rPr>
          <w:b/>
          <w:bCs/>
          <w:color w:val="000000"/>
          <w:sz w:val="22"/>
          <w:szCs w:val="22"/>
        </w:rPr>
      </w:pPr>
    </w:p>
    <w:p w14:paraId="62493A91" w14:textId="77777777" w:rsidR="00FE6554" w:rsidRPr="00FE6554" w:rsidRDefault="00FE6554" w:rsidP="00FE6554">
      <w:pPr>
        <w:jc w:val="both"/>
        <w:rPr>
          <w:b/>
          <w:bCs/>
          <w:color w:val="000000"/>
          <w:sz w:val="22"/>
          <w:szCs w:val="22"/>
        </w:rPr>
      </w:pPr>
      <w:r w:rsidRPr="00FE6554">
        <w:rPr>
          <w:b/>
          <w:bCs/>
          <w:color w:val="000000"/>
          <w:sz w:val="22"/>
          <w:szCs w:val="22"/>
        </w:rPr>
        <w:t>Proposed Transactions</w:t>
      </w:r>
    </w:p>
    <w:p w14:paraId="2E58A9E3" w14:textId="77777777" w:rsidR="00FE6554" w:rsidRPr="00FE6554" w:rsidRDefault="00FE6554" w:rsidP="00FE6554">
      <w:pPr>
        <w:jc w:val="both"/>
        <w:rPr>
          <w:b/>
          <w:bCs/>
          <w:color w:val="000000"/>
          <w:sz w:val="22"/>
          <w:szCs w:val="22"/>
        </w:rPr>
      </w:pPr>
    </w:p>
    <w:p w14:paraId="1A7A41CF" w14:textId="77777777" w:rsidR="00FE6554" w:rsidRPr="00FE6554" w:rsidRDefault="00FE6554" w:rsidP="00FE6554">
      <w:pPr>
        <w:pStyle w:val="BodyTextIndent"/>
        <w:tabs>
          <w:tab w:val="left" w:pos="0"/>
          <w:tab w:val="left" w:pos="1080"/>
        </w:tabs>
        <w:ind w:left="0"/>
        <w:rPr>
          <w:iCs/>
          <w:sz w:val="22"/>
          <w:szCs w:val="22"/>
        </w:rPr>
      </w:pPr>
      <w:r w:rsidRPr="00FE6554">
        <w:rPr>
          <w:color w:val="000000"/>
          <w:sz w:val="22"/>
          <w:szCs w:val="22"/>
        </w:rPr>
        <w:t>Other than as disclosed herein, the Company does not have any proposed transactions as of the date of this report</w:t>
      </w:r>
      <w:r w:rsidRPr="00FE6554">
        <w:rPr>
          <w:sz w:val="22"/>
          <w:szCs w:val="22"/>
        </w:rPr>
        <w:t>.</w:t>
      </w:r>
    </w:p>
    <w:p w14:paraId="5F3B5B98" w14:textId="77777777" w:rsidR="00FE6554" w:rsidRPr="00FE6554" w:rsidRDefault="00FE6554" w:rsidP="00FE6554">
      <w:pPr>
        <w:rPr>
          <w:b/>
          <w:bCs/>
          <w:sz w:val="22"/>
          <w:szCs w:val="22"/>
        </w:rPr>
      </w:pPr>
    </w:p>
    <w:p w14:paraId="0335B54F" w14:textId="77777777" w:rsidR="00FE6554" w:rsidRPr="00FE6554" w:rsidRDefault="00FE6554" w:rsidP="00FE6554">
      <w:pPr>
        <w:jc w:val="both"/>
        <w:rPr>
          <w:b/>
          <w:bCs/>
          <w:sz w:val="22"/>
          <w:szCs w:val="22"/>
        </w:rPr>
      </w:pPr>
      <w:r w:rsidRPr="00FE6554">
        <w:rPr>
          <w:b/>
          <w:bCs/>
          <w:sz w:val="22"/>
          <w:szCs w:val="22"/>
        </w:rPr>
        <w:t>Additional Disclosure for Venture Issuers without Significant Revenue</w:t>
      </w:r>
    </w:p>
    <w:p w14:paraId="3E793812" w14:textId="77777777" w:rsidR="00FE6554" w:rsidRPr="00FE6554" w:rsidRDefault="00FE6554" w:rsidP="00FE6554">
      <w:pPr>
        <w:jc w:val="both"/>
        <w:rPr>
          <w:b/>
          <w:bCs/>
          <w:sz w:val="22"/>
          <w:szCs w:val="22"/>
        </w:rPr>
      </w:pPr>
    </w:p>
    <w:p w14:paraId="4B68D000" w14:textId="77777777" w:rsidR="00FE6554" w:rsidRPr="00FE6554" w:rsidRDefault="00FE6554" w:rsidP="00FE6554">
      <w:pPr>
        <w:autoSpaceDE w:val="0"/>
        <w:autoSpaceDN w:val="0"/>
        <w:adjustRightInd w:val="0"/>
        <w:jc w:val="both"/>
        <w:rPr>
          <w:sz w:val="22"/>
          <w:szCs w:val="22"/>
        </w:rPr>
      </w:pPr>
      <w:r w:rsidRPr="00FE6554">
        <w:rPr>
          <w:sz w:val="22"/>
          <w:szCs w:val="22"/>
        </w:rPr>
        <w:t>During the three months ended October 31, 2019 and 2018, the Company incurred expenses including the following:</w:t>
      </w:r>
    </w:p>
    <w:tbl>
      <w:tblPr>
        <w:tblW w:w="7689" w:type="dxa"/>
        <w:tblInd w:w="250" w:type="dxa"/>
        <w:tblLook w:val="00A0" w:firstRow="1" w:lastRow="0" w:firstColumn="1" w:lastColumn="0" w:noHBand="0" w:noVBand="0"/>
      </w:tblPr>
      <w:tblGrid>
        <w:gridCol w:w="5097"/>
        <w:gridCol w:w="1296"/>
        <w:gridCol w:w="1296"/>
      </w:tblGrid>
      <w:tr w:rsidR="00FE6554" w:rsidRPr="00FE6554" w14:paraId="1657CE8A" w14:textId="77777777" w:rsidTr="00FE6554">
        <w:trPr>
          <w:trHeight w:val="300"/>
        </w:trPr>
        <w:tc>
          <w:tcPr>
            <w:tcW w:w="5097" w:type="dxa"/>
            <w:tcBorders>
              <w:top w:val="nil"/>
              <w:left w:val="nil"/>
              <w:bottom w:val="nil"/>
              <w:right w:val="nil"/>
            </w:tcBorders>
            <w:noWrap/>
            <w:vAlign w:val="bottom"/>
          </w:tcPr>
          <w:p w14:paraId="1DCC7013" w14:textId="77777777" w:rsidR="00FE6554" w:rsidRPr="00FE6554" w:rsidRDefault="00FE6554" w:rsidP="00FE6554">
            <w:pPr>
              <w:rPr>
                <w:color w:val="000000"/>
                <w:sz w:val="22"/>
                <w:szCs w:val="22"/>
              </w:rPr>
            </w:pPr>
          </w:p>
        </w:tc>
        <w:tc>
          <w:tcPr>
            <w:tcW w:w="1296" w:type="dxa"/>
            <w:tcBorders>
              <w:top w:val="nil"/>
              <w:left w:val="nil"/>
              <w:bottom w:val="nil"/>
              <w:right w:val="nil"/>
            </w:tcBorders>
            <w:noWrap/>
            <w:vAlign w:val="bottom"/>
          </w:tcPr>
          <w:p w14:paraId="46F43EC7" w14:textId="77777777" w:rsidR="00FE6554" w:rsidRPr="00FE6554" w:rsidRDefault="00FE6554" w:rsidP="00FE6554">
            <w:pPr>
              <w:jc w:val="right"/>
              <w:rPr>
                <w:b/>
                <w:bCs/>
                <w:color w:val="000000"/>
                <w:sz w:val="22"/>
                <w:szCs w:val="22"/>
                <w:u w:val="single"/>
              </w:rPr>
            </w:pPr>
            <w:r w:rsidRPr="00FE6554">
              <w:rPr>
                <w:b/>
                <w:bCs/>
                <w:color w:val="000000"/>
                <w:sz w:val="22"/>
                <w:szCs w:val="22"/>
                <w:u w:val="single"/>
              </w:rPr>
              <w:t>2019</w:t>
            </w:r>
          </w:p>
        </w:tc>
        <w:tc>
          <w:tcPr>
            <w:tcW w:w="1296" w:type="dxa"/>
            <w:tcBorders>
              <w:top w:val="nil"/>
              <w:left w:val="nil"/>
              <w:bottom w:val="nil"/>
              <w:right w:val="nil"/>
            </w:tcBorders>
            <w:noWrap/>
            <w:vAlign w:val="bottom"/>
          </w:tcPr>
          <w:p w14:paraId="231922C6" w14:textId="77777777" w:rsidR="00FE6554" w:rsidRPr="00FE6554" w:rsidRDefault="00FE6554" w:rsidP="00FE6554">
            <w:pPr>
              <w:jc w:val="right"/>
              <w:rPr>
                <w:b/>
                <w:bCs/>
                <w:color w:val="000000"/>
                <w:sz w:val="22"/>
                <w:szCs w:val="22"/>
                <w:u w:val="single"/>
              </w:rPr>
            </w:pPr>
            <w:r w:rsidRPr="00FE6554">
              <w:rPr>
                <w:b/>
                <w:bCs/>
                <w:color w:val="000000"/>
                <w:sz w:val="22"/>
                <w:szCs w:val="22"/>
                <w:u w:val="single"/>
              </w:rPr>
              <w:t>2018</w:t>
            </w:r>
          </w:p>
        </w:tc>
      </w:tr>
      <w:tr w:rsidR="00FE6554" w:rsidRPr="00FE6554" w14:paraId="17B8C2D0" w14:textId="77777777" w:rsidTr="00FE6554">
        <w:trPr>
          <w:trHeight w:val="300"/>
        </w:trPr>
        <w:tc>
          <w:tcPr>
            <w:tcW w:w="5097" w:type="dxa"/>
            <w:tcBorders>
              <w:top w:val="nil"/>
              <w:left w:val="nil"/>
              <w:bottom w:val="nil"/>
              <w:right w:val="nil"/>
            </w:tcBorders>
            <w:noWrap/>
            <w:vAlign w:val="bottom"/>
          </w:tcPr>
          <w:p w14:paraId="419B37FC" w14:textId="77777777" w:rsidR="00FE6554" w:rsidRPr="00FE6554" w:rsidRDefault="00FE6554" w:rsidP="00FE6554">
            <w:pPr>
              <w:rPr>
                <w:color w:val="000000"/>
                <w:sz w:val="22"/>
                <w:szCs w:val="22"/>
              </w:rPr>
            </w:pPr>
          </w:p>
        </w:tc>
        <w:tc>
          <w:tcPr>
            <w:tcW w:w="1296" w:type="dxa"/>
            <w:tcBorders>
              <w:top w:val="nil"/>
              <w:left w:val="nil"/>
              <w:bottom w:val="nil"/>
              <w:right w:val="nil"/>
            </w:tcBorders>
            <w:noWrap/>
            <w:vAlign w:val="bottom"/>
          </w:tcPr>
          <w:p w14:paraId="7ABF8CB2" w14:textId="77777777" w:rsidR="00FE6554" w:rsidRPr="00FE6554" w:rsidRDefault="00FE6554" w:rsidP="00FE6554">
            <w:pPr>
              <w:jc w:val="right"/>
              <w:rPr>
                <w:color w:val="000000"/>
                <w:sz w:val="22"/>
                <w:szCs w:val="22"/>
              </w:rPr>
            </w:pPr>
          </w:p>
        </w:tc>
        <w:tc>
          <w:tcPr>
            <w:tcW w:w="1296" w:type="dxa"/>
            <w:tcBorders>
              <w:top w:val="nil"/>
              <w:left w:val="nil"/>
              <w:bottom w:val="nil"/>
              <w:right w:val="nil"/>
            </w:tcBorders>
            <w:noWrap/>
            <w:vAlign w:val="bottom"/>
          </w:tcPr>
          <w:p w14:paraId="218573D0" w14:textId="77777777" w:rsidR="00FE6554" w:rsidRPr="00FE6554" w:rsidRDefault="00FE6554" w:rsidP="00FE6554">
            <w:pPr>
              <w:jc w:val="right"/>
              <w:rPr>
                <w:color w:val="000000"/>
                <w:sz w:val="22"/>
                <w:szCs w:val="22"/>
              </w:rPr>
            </w:pPr>
          </w:p>
        </w:tc>
      </w:tr>
      <w:tr w:rsidR="00FE6554" w:rsidRPr="00FE6554" w14:paraId="7064F08E" w14:textId="77777777" w:rsidTr="00FE6554">
        <w:trPr>
          <w:trHeight w:val="300"/>
        </w:trPr>
        <w:tc>
          <w:tcPr>
            <w:tcW w:w="5097" w:type="dxa"/>
            <w:tcBorders>
              <w:top w:val="nil"/>
              <w:left w:val="nil"/>
              <w:bottom w:val="nil"/>
              <w:right w:val="nil"/>
            </w:tcBorders>
            <w:noWrap/>
            <w:vAlign w:val="bottom"/>
          </w:tcPr>
          <w:p w14:paraId="26166DA5" w14:textId="77777777" w:rsidR="00FE6554" w:rsidRPr="00FE6554" w:rsidRDefault="00FE6554" w:rsidP="00FE6554">
            <w:pPr>
              <w:rPr>
                <w:color w:val="000000"/>
                <w:sz w:val="22"/>
                <w:szCs w:val="22"/>
              </w:rPr>
            </w:pPr>
            <w:r w:rsidRPr="00FE6554">
              <w:rPr>
                <w:color w:val="000000"/>
                <w:sz w:val="22"/>
                <w:szCs w:val="22"/>
              </w:rPr>
              <w:t>Operating expenses</w:t>
            </w:r>
          </w:p>
        </w:tc>
        <w:tc>
          <w:tcPr>
            <w:tcW w:w="1296" w:type="dxa"/>
            <w:tcBorders>
              <w:top w:val="nil"/>
              <w:left w:val="nil"/>
              <w:bottom w:val="nil"/>
              <w:right w:val="nil"/>
            </w:tcBorders>
            <w:noWrap/>
            <w:vAlign w:val="bottom"/>
          </w:tcPr>
          <w:p w14:paraId="457922BD" w14:textId="77777777" w:rsidR="00FE6554" w:rsidRPr="00FE6554" w:rsidRDefault="00FE6554" w:rsidP="00FE6554">
            <w:pPr>
              <w:jc w:val="right"/>
              <w:rPr>
                <w:color w:val="000000"/>
                <w:sz w:val="22"/>
                <w:szCs w:val="22"/>
              </w:rPr>
            </w:pPr>
            <w:r w:rsidRPr="00FE6554">
              <w:rPr>
                <w:color w:val="000000"/>
                <w:sz w:val="22"/>
                <w:szCs w:val="22"/>
              </w:rPr>
              <w:t>$100,210</w:t>
            </w:r>
          </w:p>
        </w:tc>
        <w:tc>
          <w:tcPr>
            <w:tcW w:w="1296" w:type="dxa"/>
            <w:tcBorders>
              <w:top w:val="nil"/>
              <w:left w:val="nil"/>
              <w:bottom w:val="nil"/>
              <w:right w:val="nil"/>
            </w:tcBorders>
            <w:noWrap/>
            <w:vAlign w:val="bottom"/>
          </w:tcPr>
          <w:p w14:paraId="533697A8" w14:textId="77777777" w:rsidR="00FE6554" w:rsidRPr="00FE6554" w:rsidRDefault="00FE6554" w:rsidP="00FE6554">
            <w:pPr>
              <w:jc w:val="right"/>
              <w:rPr>
                <w:color w:val="000000"/>
                <w:sz w:val="22"/>
                <w:szCs w:val="22"/>
              </w:rPr>
            </w:pPr>
            <w:r w:rsidRPr="00FE6554">
              <w:rPr>
                <w:color w:val="000000"/>
                <w:sz w:val="22"/>
                <w:szCs w:val="22"/>
              </w:rPr>
              <w:t>$164,401</w:t>
            </w:r>
          </w:p>
        </w:tc>
      </w:tr>
      <w:tr w:rsidR="00FE6554" w:rsidRPr="00FE6554" w14:paraId="7CA606BA" w14:textId="77777777" w:rsidTr="00FE6554">
        <w:trPr>
          <w:trHeight w:val="300"/>
        </w:trPr>
        <w:tc>
          <w:tcPr>
            <w:tcW w:w="5097" w:type="dxa"/>
            <w:tcBorders>
              <w:top w:val="nil"/>
              <w:left w:val="nil"/>
              <w:bottom w:val="nil"/>
              <w:right w:val="nil"/>
            </w:tcBorders>
            <w:noWrap/>
            <w:vAlign w:val="bottom"/>
          </w:tcPr>
          <w:p w14:paraId="6B6D6055" w14:textId="77777777" w:rsidR="00FE6554" w:rsidRPr="00FE6554" w:rsidRDefault="00FE6554" w:rsidP="00FE6554">
            <w:pPr>
              <w:rPr>
                <w:color w:val="000000"/>
                <w:sz w:val="22"/>
                <w:szCs w:val="22"/>
              </w:rPr>
            </w:pPr>
            <w:r w:rsidRPr="00FE6554">
              <w:rPr>
                <w:color w:val="000000"/>
                <w:sz w:val="22"/>
                <w:szCs w:val="22"/>
              </w:rPr>
              <w:t>Capitalized exploration costs</w:t>
            </w:r>
          </w:p>
        </w:tc>
        <w:tc>
          <w:tcPr>
            <w:tcW w:w="1296" w:type="dxa"/>
            <w:tcBorders>
              <w:top w:val="nil"/>
              <w:left w:val="nil"/>
              <w:bottom w:val="nil"/>
              <w:right w:val="nil"/>
            </w:tcBorders>
            <w:noWrap/>
            <w:vAlign w:val="bottom"/>
          </w:tcPr>
          <w:p w14:paraId="5E159AAF" w14:textId="77777777" w:rsidR="00FE6554" w:rsidRPr="00FE6554" w:rsidRDefault="00FE6554" w:rsidP="00FE6554">
            <w:pPr>
              <w:jc w:val="right"/>
              <w:rPr>
                <w:color w:val="000000"/>
                <w:sz w:val="22"/>
                <w:szCs w:val="22"/>
              </w:rPr>
            </w:pPr>
            <w:r w:rsidRPr="00FE6554">
              <w:rPr>
                <w:color w:val="000000"/>
                <w:sz w:val="22"/>
                <w:szCs w:val="22"/>
              </w:rPr>
              <w:t>$6,522</w:t>
            </w:r>
          </w:p>
        </w:tc>
        <w:tc>
          <w:tcPr>
            <w:tcW w:w="1296" w:type="dxa"/>
            <w:tcBorders>
              <w:top w:val="nil"/>
              <w:left w:val="nil"/>
              <w:bottom w:val="nil"/>
              <w:right w:val="nil"/>
            </w:tcBorders>
            <w:noWrap/>
            <w:vAlign w:val="bottom"/>
          </w:tcPr>
          <w:p w14:paraId="7DDC0483" w14:textId="77777777" w:rsidR="00FE6554" w:rsidRPr="00FE6554" w:rsidRDefault="00FE6554" w:rsidP="00FE6554">
            <w:pPr>
              <w:jc w:val="right"/>
              <w:rPr>
                <w:color w:val="000000"/>
                <w:sz w:val="22"/>
                <w:szCs w:val="22"/>
              </w:rPr>
            </w:pPr>
            <w:r w:rsidRPr="00FE6554">
              <w:rPr>
                <w:color w:val="000000"/>
                <w:sz w:val="22"/>
                <w:szCs w:val="22"/>
              </w:rPr>
              <w:t>$158,975</w:t>
            </w:r>
          </w:p>
        </w:tc>
      </w:tr>
    </w:tbl>
    <w:p w14:paraId="085D1891" w14:textId="77777777" w:rsidR="00FE6554" w:rsidRPr="00FE6554" w:rsidRDefault="00FE6554" w:rsidP="00FE6554">
      <w:pPr>
        <w:jc w:val="both"/>
        <w:rPr>
          <w:b/>
          <w:bCs/>
          <w:sz w:val="22"/>
          <w:szCs w:val="22"/>
        </w:rPr>
      </w:pPr>
    </w:p>
    <w:p w14:paraId="7684240D" w14:textId="77777777" w:rsidR="00FE6554" w:rsidRPr="00FE6554" w:rsidRDefault="00FE6554" w:rsidP="00FE6554">
      <w:pPr>
        <w:pStyle w:val="BodyTextIndent2"/>
        <w:ind w:left="0"/>
        <w:rPr>
          <w:szCs w:val="22"/>
        </w:rPr>
      </w:pPr>
      <w:r w:rsidRPr="00FE6554">
        <w:rPr>
          <w:szCs w:val="22"/>
        </w:rPr>
        <w:t xml:space="preserve">Please refer to Note 7 </w:t>
      </w:r>
      <w:r w:rsidRPr="00FE6554">
        <w:rPr>
          <w:i/>
          <w:iCs/>
          <w:szCs w:val="22"/>
        </w:rPr>
        <w:t>Exploration and Evaluation Assets</w:t>
      </w:r>
      <w:r w:rsidRPr="00FE6554">
        <w:rPr>
          <w:szCs w:val="22"/>
        </w:rPr>
        <w:t xml:space="preserve"> in the condensed consolidated interim financial statements for the three months ended October 31, 2019 for a description of the capitalized acquisition and exploration costs presented on a property-by-property basis.</w:t>
      </w:r>
    </w:p>
    <w:p w14:paraId="4667FB76" w14:textId="77777777" w:rsidR="00FE6554" w:rsidRPr="00FE6554" w:rsidRDefault="00FE6554" w:rsidP="00FE6554">
      <w:pPr>
        <w:pStyle w:val="BodyTextIndent2"/>
        <w:ind w:left="0"/>
        <w:rPr>
          <w:szCs w:val="22"/>
        </w:rPr>
      </w:pPr>
    </w:p>
    <w:p w14:paraId="1E26B7B5" w14:textId="77777777" w:rsidR="00FE6554" w:rsidRPr="00FE6554" w:rsidRDefault="00FE6554" w:rsidP="00FE6554">
      <w:pPr>
        <w:jc w:val="both"/>
        <w:rPr>
          <w:b/>
          <w:bCs/>
          <w:sz w:val="22"/>
          <w:szCs w:val="22"/>
        </w:rPr>
      </w:pPr>
      <w:r w:rsidRPr="00FE6554">
        <w:rPr>
          <w:b/>
          <w:bCs/>
          <w:sz w:val="22"/>
          <w:szCs w:val="22"/>
        </w:rPr>
        <w:t>Disclosure of Outstanding Share Data</w:t>
      </w:r>
    </w:p>
    <w:p w14:paraId="4E626C6D" w14:textId="77777777" w:rsidR="00FE6554" w:rsidRPr="00FE6554" w:rsidRDefault="00FE6554" w:rsidP="00FE6554">
      <w:pPr>
        <w:jc w:val="both"/>
        <w:rPr>
          <w:b/>
          <w:bCs/>
          <w:sz w:val="22"/>
          <w:szCs w:val="22"/>
        </w:rPr>
      </w:pPr>
    </w:p>
    <w:p w14:paraId="30E66AFD" w14:textId="77777777" w:rsidR="00FE6554" w:rsidRPr="00FE6554" w:rsidRDefault="00FE6554" w:rsidP="00FE6554">
      <w:pPr>
        <w:jc w:val="both"/>
        <w:rPr>
          <w:i/>
          <w:iCs/>
          <w:sz w:val="22"/>
          <w:szCs w:val="22"/>
        </w:rPr>
      </w:pPr>
      <w:r w:rsidRPr="00FE6554">
        <w:rPr>
          <w:i/>
          <w:iCs/>
          <w:sz w:val="22"/>
          <w:szCs w:val="22"/>
        </w:rPr>
        <w:t>Common Shares</w:t>
      </w:r>
    </w:p>
    <w:p w14:paraId="12A33A23" w14:textId="77777777" w:rsidR="00FE6554" w:rsidRPr="00FE6554" w:rsidRDefault="00FE6554" w:rsidP="00FE6554">
      <w:pPr>
        <w:tabs>
          <w:tab w:val="left" w:pos="1980"/>
        </w:tabs>
        <w:jc w:val="both"/>
        <w:rPr>
          <w:sz w:val="22"/>
          <w:szCs w:val="22"/>
        </w:rPr>
      </w:pPr>
    </w:p>
    <w:p w14:paraId="1AFA1C78" w14:textId="77777777" w:rsidR="00FE6554" w:rsidRPr="00FE6554" w:rsidRDefault="00FE6554" w:rsidP="00FE6554">
      <w:pPr>
        <w:tabs>
          <w:tab w:val="left" w:pos="1980"/>
        </w:tabs>
        <w:jc w:val="both"/>
        <w:rPr>
          <w:sz w:val="22"/>
          <w:szCs w:val="22"/>
        </w:rPr>
      </w:pPr>
      <w:r w:rsidRPr="00FE6554">
        <w:rPr>
          <w:sz w:val="22"/>
          <w:szCs w:val="22"/>
        </w:rPr>
        <w:t>The Company has authorized an unlimited number of common shares without par value.</w:t>
      </w:r>
    </w:p>
    <w:p w14:paraId="0822F393" w14:textId="77777777" w:rsidR="00FE6554" w:rsidRPr="00FE6554" w:rsidRDefault="00FE6554" w:rsidP="00FE6554">
      <w:pPr>
        <w:tabs>
          <w:tab w:val="left" w:pos="180"/>
        </w:tabs>
        <w:jc w:val="both"/>
        <w:rPr>
          <w:sz w:val="22"/>
          <w:szCs w:val="22"/>
        </w:rPr>
      </w:pPr>
    </w:p>
    <w:p w14:paraId="3FE708EC" w14:textId="77777777" w:rsidR="00FE6554" w:rsidRPr="00FE6554" w:rsidRDefault="00FE6554" w:rsidP="00FE6554">
      <w:pPr>
        <w:pStyle w:val="Style1"/>
        <w:tabs>
          <w:tab w:val="left" w:pos="-1440"/>
          <w:tab w:val="left" w:pos="0"/>
          <w:tab w:val="left" w:pos="1080"/>
          <w:tab w:val="left" w:pos="1800"/>
          <w:tab w:val="left" w:pos="2160"/>
        </w:tabs>
        <w:rPr>
          <w:szCs w:val="22"/>
        </w:rPr>
      </w:pPr>
      <w:r w:rsidRPr="00FE6554">
        <w:rPr>
          <w:szCs w:val="22"/>
        </w:rPr>
        <w:t xml:space="preserve">As at October 31, 2019 and December 10, 2019, the Company had 78,646,890 common shares issued and outstanding.  </w:t>
      </w:r>
    </w:p>
    <w:p w14:paraId="1D4E1A42" w14:textId="77777777" w:rsidR="00FE6554" w:rsidRPr="00FE6554" w:rsidRDefault="00FE6554" w:rsidP="00FE6554">
      <w:pPr>
        <w:rPr>
          <w:i/>
          <w:iCs/>
          <w:sz w:val="22"/>
          <w:szCs w:val="22"/>
        </w:rPr>
      </w:pPr>
    </w:p>
    <w:p w14:paraId="58520541" w14:textId="77777777" w:rsidR="00FE6554" w:rsidRPr="00FE6554" w:rsidRDefault="00FE6554" w:rsidP="00FE6554">
      <w:pPr>
        <w:jc w:val="both"/>
        <w:rPr>
          <w:i/>
          <w:iCs/>
          <w:sz w:val="22"/>
          <w:szCs w:val="22"/>
        </w:rPr>
      </w:pPr>
      <w:r w:rsidRPr="00FE6554">
        <w:rPr>
          <w:i/>
          <w:iCs/>
          <w:sz w:val="22"/>
          <w:szCs w:val="22"/>
        </w:rPr>
        <w:t>Stock options</w:t>
      </w:r>
    </w:p>
    <w:p w14:paraId="5DA0800E" w14:textId="77777777" w:rsidR="00FE6554" w:rsidRPr="00FE6554" w:rsidRDefault="00FE6554" w:rsidP="00FE6554">
      <w:pPr>
        <w:jc w:val="both"/>
        <w:rPr>
          <w:sz w:val="22"/>
          <w:szCs w:val="22"/>
        </w:rPr>
      </w:pPr>
    </w:p>
    <w:p w14:paraId="715D7312" w14:textId="77777777" w:rsidR="00FE6554" w:rsidRPr="00FE6554" w:rsidRDefault="00FE6554" w:rsidP="00FE6554">
      <w:pPr>
        <w:pStyle w:val="NormalWeb"/>
        <w:spacing w:before="0" w:after="0"/>
        <w:rPr>
          <w:sz w:val="22"/>
          <w:szCs w:val="22"/>
        </w:rPr>
      </w:pPr>
      <w:r w:rsidRPr="00FE6554">
        <w:rPr>
          <w:sz w:val="22"/>
          <w:szCs w:val="22"/>
        </w:rPr>
        <w:t>As at October 31, 2019 and December 10, 2019, there are no stock options outstanding.</w:t>
      </w:r>
    </w:p>
    <w:p w14:paraId="29147F83" w14:textId="77777777" w:rsidR="00FE6554" w:rsidRPr="00FE6554" w:rsidRDefault="00FE6554" w:rsidP="00FE6554">
      <w:pPr>
        <w:pStyle w:val="NormalWeb"/>
        <w:spacing w:before="0" w:after="0"/>
        <w:rPr>
          <w:sz w:val="22"/>
          <w:szCs w:val="22"/>
        </w:rPr>
      </w:pPr>
    </w:p>
    <w:p w14:paraId="126C95BE" w14:textId="77777777" w:rsidR="00FE6554" w:rsidRPr="00FE6554" w:rsidRDefault="00FE6554" w:rsidP="00FE6554">
      <w:pPr>
        <w:pStyle w:val="Header"/>
        <w:tabs>
          <w:tab w:val="left" w:pos="1100"/>
        </w:tabs>
        <w:jc w:val="both"/>
        <w:rPr>
          <w:sz w:val="22"/>
          <w:szCs w:val="22"/>
          <w:lang w:val="en-CA"/>
        </w:rPr>
      </w:pPr>
      <w:r w:rsidRPr="00FE6554">
        <w:rPr>
          <w:i/>
          <w:iCs/>
          <w:sz w:val="22"/>
          <w:szCs w:val="22"/>
        </w:rPr>
        <w:t>Warrants</w:t>
      </w:r>
    </w:p>
    <w:p w14:paraId="6AB942A2" w14:textId="77777777" w:rsidR="00FE6554" w:rsidRPr="00FE6554" w:rsidRDefault="00FE6554" w:rsidP="00FE6554">
      <w:pPr>
        <w:jc w:val="both"/>
        <w:rPr>
          <w:sz w:val="22"/>
          <w:szCs w:val="22"/>
        </w:rPr>
      </w:pPr>
    </w:p>
    <w:p w14:paraId="603E2BEC" w14:textId="77777777" w:rsidR="00FE6554" w:rsidRPr="00FE6554" w:rsidRDefault="00FE6554" w:rsidP="00FE6554">
      <w:pPr>
        <w:pStyle w:val="Style1"/>
        <w:tabs>
          <w:tab w:val="left" w:pos="0"/>
          <w:tab w:val="left" w:pos="1080"/>
          <w:tab w:val="left" w:pos="1800"/>
          <w:tab w:val="left" w:pos="2160"/>
        </w:tabs>
        <w:rPr>
          <w:szCs w:val="22"/>
        </w:rPr>
      </w:pPr>
      <w:r w:rsidRPr="00FE6554">
        <w:rPr>
          <w:szCs w:val="22"/>
        </w:rPr>
        <w:t>As at October 31, 2019 and December 10, 2019, the Company had 12,378,583 share purchase warrants outstanding.  Each warrant entitles the holder the right to purchase one common share as follows:</w:t>
      </w:r>
    </w:p>
    <w:p w14:paraId="4C27EC3A" w14:textId="77777777" w:rsidR="00FE6554" w:rsidRPr="00FE6554" w:rsidRDefault="00FE6554" w:rsidP="00FE6554">
      <w:pPr>
        <w:pStyle w:val="Style1"/>
        <w:tabs>
          <w:tab w:val="left" w:pos="0"/>
          <w:tab w:val="left" w:pos="1080"/>
          <w:tab w:val="left" w:pos="1800"/>
          <w:tab w:val="left" w:pos="2160"/>
        </w:tabs>
        <w:rPr>
          <w:szCs w:val="22"/>
        </w:rPr>
      </w:pPr>
    </w:p>
    <w:tbl>
      <w:tblPr>
        <w:tblW w:w="7234" w:type="dxa"/>
        <w:tblInd w:w="1073" w:type="dxa"/>
        <w:tblLayout w:type="fixed"/>
        <w:tblCellMar>
          <w:left w:w="72" w:type="dxa"/>
          <w:right w:w="72" w:type="dxa"/>
        </w:tblCellMar>
        <w:tblLook w:val="0000" w:firstRow="0" w:lastRow="0" w:firstColumn="0" w:lastColumn="0" w:noHBand="0" w:noVBand="0"/>
      </w:tblPr>
      <w:tblGrid>
        <w:gridCol w:w="1980"/>
        <w:gridCol w:w="720"/>
        <w:gridCol w:w="1350"/>
        <w:gridCol w:w="180"/>
        <w:gridCol w:w="3004"/>
      </w:tblGrid>
      <w:tr w:rsidR="00FE6554" w:rsidRPr="00FE6554" w14:paraId="7923A2FF" w14:textId="77777777" w:rsidTr="00FE6554">
        <w:trPr>
          <w:cantSplit/>
        </w:trPr>
        <w:tc>
          <w:tcPr>
            <w:tcW w:w="1980" w:type="dxa"/>
          </w:tcPr>
          <w:p w14:paraId="329E51B3" w14:textId="77777777" w:rsidR="00FE6554" w:rsidRPr="00FE6554" w:rsidRDefault="00FE6554" w:rsidP="00FE6554">
            <w:pPr>
              <w:pStyle w:val="BodyText"/>
              <w:spacing w:before="0"/>
              <w:jc w:val="right"/>
              <w:rPr>
                <w:sz w:val="22"/>
                <w:szCs w:val="22"/>
              </w:rPr>
            </w:pPr>
            <w:r w:rsidRPr="00FE6554">
              <w:rPr>
                <w:sz w:val="22"/>
                <w:szCs w:val="22"/>
                <w:lang w:val="en-CA"/>
              </w:rPr>
              <w:tab/>
            </w:r>
            <w:r w:rsidRPr="00FE6554">
              <w:rPr>
                <w:sz w:val="22"/>
                <w:szCs w:val="22"/>
                <w:lang w:val="en-CA"/>
              </w:rPr>
              <w:tab/>
            </w:r>
          </w:p>
        </w:tc>
        <w:tc>
          <w:tcPr>
            <w:tcW w:w="720" w:type="dxa"/>
          </w:tcPr>
          <w:p w14:paraId="7EB117B1" w14:textId="77777777" w:rsidR="00FE6554" w:rsidRPr="00FE6554" w:rsidRDefault="00FE6554" w:rsidP="00FE6554">
            <w:pPr>
              <w:pStyle w:val="BodyText"/>
              <w:spacing w:before="0"/>
              <w:jc w:val="right"/>
              <w:rPr>
                <w:sz w:val="22"/>
                <w:szCs w:val="22"/>
              </w:rPr>
            </w:pPr>
          </w:p>
        </w:tc>
        <w:tc>
          <w:tcPr>
            <w:tcW w:w="1350" w:type="dxa"/>
          </w:tcPr>
          <w:p w14:paraId="6AE6CF12" w14:textId="77777777" w:rsidR="00FE6554" w:rsidRPr="00FE6554" w:rsidRDefault="00FE6554" w:rsidP="00FE6554">
            <w:pPr>
              <w:pStyle w:val="BodyText"/>
              <w:spacing w:before="0"/>
              <w:jc w:val="right"/>
              <w:rPr>
                <w:sz w:val="22"/>
                <w:szCs w:val="22"/>
              </w:rPr>
            </w:pPr>
            <w:r w:rsidRPr="00FE6554">
              <w:rPr>
                <w:sz w:val="22"/>
                <w:szCs w:val="22"/>
              </w:rPr>
              <w:t>Exercise</w:t>
            </w:r>
          </w:p>
        </w:tc>
        <w:tc>
          <w:tcPr>
            <w:tcW w:w="180" w:type="dxa"/>
          </w:tcPr>
          <w:p w14:paraId="33A2C36D" w14:textId="77777777" w:rsidR="00FE6554" w:rsidRPr="00FE6554" w:rsidRDefault="00FE6554" w:rsidP="00FE6554">
            <w:pPr>
              <w:pStyle w:val="BodyText"/>
              <w:spacing w:before="0"/>
              <w:jc w:val="right"/>
              <w:rPr>
                <w:sz w:val="22"/>
                <w:szCs w:val="22"/>
              </w:rPr>
            </w:pPr>
          </w:p>
        </w:tc>
        <w:tc>
          <w:tcPr>
            <w:tcW w:w="3004" w:type="dxa"/>
          </w:tcPr>
          <w:p w14:paraId="062FF701" w14:textId="77777777" w:rsidR="00FE6554" w:rsidRPr="00FE6554" w:rsidRDefault="00FE6554" w:rsidP="00FE6554">
            <w:pPr>
              <w:pStyle w:val="BodyText"/>
              <w:spacing w:before="0"/>
              <w:jc w:val="right"/>
              <w:rPr>
                <w:sz w:val="22"/>
                <w:szCs w:val="22"/>
              </w:rPr>
            </w:pPr>
          </w:p>
        </w:tc>
      </w:tr>
      <w:tr w:rsidR="00FE6554" w:rsidRPr="00FE6554" w14:paraId="75E0F5CD" w14:textId="77777777" w:rsidTr="00FE6554">
        <w:trPr>
          <w:cantSplit/>
        </w:trPr>
        <w:tc>
          <w:tcPr>
            <w:tcW w:w="1980" w:type="dxa"/>
          </w:tcPr>
          <w:p w14:paraId="67311555" w14:textId="77777777" w:rsidR="00FE6554" w:rsidRPr="00FE6554" w:rsidRDefault="00FE6554" w:rsidP="00FE6554">
            <w:pPr>
              <w:pStyle w:val="BodyText"/>
              <w:spacing w:before="0"/>
              <w:jc w:val="right"/>
              <w:rPr>
                <w:sz w:val="22"/>
                <w:szCs w:val="22"/>
              </w:rPr>
            </w:pPr>
            <w:r w:rsidRPr="00FE6554">
              <w:rPr>
                <w:sz w:val="22"/>
                <w:szCs w:val="22"/>
                <w:u w:val="single"/>
              </w:rPr>
              <w:t>Number</w:t>
            </w:r>
          </w:p>
        </w:tc>
        <w:tc>
          <w:tcPr>
            <w:tcW w:w="720" w:type="dxa"/>
          </w:tcPr>
          <w:p w14:paraId="610C5217" w14:textId="77777777" w:rsidR="00FE6554" w:rsidRPr="00FE6554" w:rsidRDefault="00FE6554" w:rsidP="00FE6554">
            <w:pPr>
              <w:pStyle w:val="BodyText"/>
              <w:spacing w:before="0"/>
              <w:jc w:val="right"/>
              <w:rPr>
                <w:sz w:val="22"/>
                <w:szCs w:val="22"/>
                <w:u w:val="single"/>
              </w:rPr>
            </w:pPr>
          </w:p>
        </w:tc>
        <w:tc>
          <w:tcPr>
            <w:tcW w:w="1350" w:type="dxa"/>
          </w:tcPr>
          <w:p w14:paraId="30B631FF" w14:textId="77777777" w:rsidR="00FE6554" w:rsidRPr="00FE6554" w:rsidRDefault="00FE6554" w:rsidP="00FE6554">
            <w:pPr>
              <w:pStyle w:val="BodyText"/>
              <w:spacing w:before="0"/>
              <w:jc w:val="right"/>
              <w:rPr>
                <w:sz w:val="22"/>
                <w:szCs w:val="22"/>
                <w:u w:val="single"/>
              </w:rPr>
            </w:pPr>
            <w:r w:rsidRPr="00FE6554">
              <w:rPr>
                <w:sz w:val="22"/>
                <w:szCs w:val="22"/>
                <w:u w:val="single"/>
              </w:rPr>
              <w:t>Price</w:t>
            </w:r>
          </w:p>
        </w:tc>
        <w:tc>
          <w:tcPr>
            <w:tcW w:w="180" w:type="dxa"/>
          </w:tcPr>
          <w:p w14:paraId="58A8BDDB" w14:textId="77777777" w:rsidR="00FE6554" w:rsidRPr="00FE6554" w:rsidRDefault="00FE6554" w:rsidP="00FE6554">
            <w:pPr>
              <w:pStyle w:val="BodyText"/>
              <w:spacing w:before="0"/>
              <w:jc w:val="right"/>
              <w:rPr>
                <w:sz w:val="22"/>
                <w:szCs w:val="22"/>
                <w:u w:val="single"/>
              </w:rPr>
            </w:pPr>
          </w:p>
        </w:tc>
        <w:tc>
          <w:tcPr>
            <w:tcW w:w="3004" w:type="dxa"/>
          </w:tcPr>
          <w:p w14:paraId="5C885991" w14:textId="77777777" w:rsidR="00FE6554" w:rsidRPr="00FE6554" w:rsidRDefault="00FE6554" w:rsidP="00FE6554">
            <w:pPr>
              <w:pStyle w:val="BodyText"/>
              <w:spacing w:before="0"/>
              <w:jc w:val="right"/>
              <w:rPr>
                <w:sz w:val="22"/>
                <w:szCs w:val="22"/>
                <w:u w:val="single"/>
              </w:rPr>
            </w:pPr>
            <w:r w:rsidRPr="00FE6554">
              <w:rPr>
                <w:sz w:val="22"/>
                <w:szCs w:val="22"/>
                <w:u w:val="single"/>
              </w:rPr>
              <w:t>Expiry Date</w:t>
            </w:r>
          </w:p>
        </w:tc>
      </w:tr>
      <w:tr w:rsidR="00FE6554" w:rsidRPr="00FE6554" w14:paraId="54A5DE34" w14:textId="77777777" w:rsidTr="00FE6554">
        <w:trPr>
          <w:cantSplit/>
        </w:trPr>
        <w:tc>
          <w:tcPr>
            <w:tcW w:w="1980" w:type="dxa"/>
            <w:vAlign w:val="center"/>
          </w:tcPr>
          <w:p w14:paraId="5242A96A" w14:textId="77777777" w:rsidR="00FE6554" w:rsidRPr="00FE6554" w:rsidRDefault="00FE6554" w:rsidP="00FE6554">
            <w:pPr>
              <w:pStyle w:val="BodyText"/>
              <w:tabs>
                <w:tab w:val="left" w:pos="288"/>
                <w:tab w:val="decimal" w:pos="1458"/>
                <w:tab w:val="right" w:pos="3878"/>
              </w:tabs>
              <w:spacing w:before="0"/>
              <w:jc w:val="right"/>
              <w:rPr>
                <w:sz w:val="22"/>
                <w:szCs w:val="22"/>
              </w:rPr>
            </w:pPr>
          </w:p>
        </w:tc>
        <w:tc>
          <w:tcPr>
            <w:tcW w:w="720" w:type="dxa"/>
          </w:tcPr>
          <w:p w14:paraId="626A2FBB" w14:textId="77777777" w:rsidR="00FE6554" w:rsidRPr="00FE6554" w:rsidRDefault="00FE6554" w:rsidP="00FE6554">
            <w:pPr>
              <w:pStyle w:val="BodyText"/>
              <w:tabs>
                <w:tab w:val="left" w:pos="0"/>
                <w:tab w:val="decimal" w:pos="1138"/>
              </w:tabs>
              <w:spacing w:before="0"/>
              <w:jc w:val="right"/>
              <w:rPr>
                <w:sz w:val="22"/>
                <w:szCs w:val="22"/>
              </w:rPr>
            </w:pPr>
          </w:p>
        </w:tc>
        <w:tc>
          <w:tcPr>
            <w:tcW w:w="1350" w:type="dxa"/>
            <w:vAlign w:val="center"/>
          </w:tcPr>
          <w:p w14:paraId="1EB60C2D" w14:textId="77777777" w:rsidR="00FE6554" w:rsidRPr="00FE6554" w:rsidRDefault="00FE6554" w:rsidP="00FE6554">
            <w:pPr>
              <w:pStyle w:val="BodyText"/>
              <w:tabs>
                <w:tab w:val="left" w:pos="0"/>
                <w:tab w:val="decimal" w:pos="1138"/>
              </w:tabs>
              <w:spacing w:before="0"/>
              <w:jc w:val="right"/>
              <w:rPr>
                <w:sz w:val="22"/>
                <w:szCs w:val="22"/>
              </w:rPr>
            </w:pPr>
          </w:p>
        </w:tc>
        <w:tc>
          <w:tcPr>
            <w:tcW w:w="180" w:type="dxa"/>
          </w:tcPr>
          <w:p w14:paraId="48FDDBC3" w14:textId="77777777" w:rsidR="00FE6554" w:rsidRPr="00FE6554" w:rsidRDefault="00FE6554" w:rsidP="00FE6554">
            <w:pPr>
              <w:pStyle w:val="BodyText"/>
              <w:tabs>
                <w:tab w:val="left" w:pos="0"/>
                <w:tab w:val="decimal" w:pos="1138"/>
              </w:tabs>
              <w:spacing w:before="0"/>
              <w:jc w:val="right"/>
              <w:rPr>
                <w:sz w:val="22"/>
                <w:szCs w:val="22"/>
              </w:rPr>
            </w:pPr>
          </w:p>
        </w:tc>
        <w:tc>
          <w:tcPr>
            <w:tcW w:w="3004" w:type="dxa"/>
            <w:vAlign w:val="center"/>
          </w:tcPr>
          <w:p w14:paraId="4DE49145" w14:textId="77777777" w:rsidR="00FE6554" w:rsidRPr="00FE6554" w:rsidRDefault="00FE6554" w:rsidP="00FE6554">
            <w:pPr>
              <w:pStyle w:val="BodyText"/>
              <w:tabs>
                <w:tab w:val="left" w:pos="0"/>
                <w:tab w:val="left" w:pos="738"/>
              </w:tabs>
              <w:spacing w:before="0"/>
              <w:jc w:val="right"/>
              <w:rPr>
                <w:sz w:val="22"/>
                <w:szCs w:val="22"/>
              </w:rPr>
            </w:pPr>
          </w:p>
        </w:tc>
      </w:tr>
      <w:tr w:rsidR="00FE6554" w:rsidRPr="00FE6554" w14:paraId="4D7984B9" w14:textId="77777777" w:rsidTr="00FE6554">
        <w:trPr>
          <w:cantSplit/>
        </w:trPr>
        <w:tc>
          <w:tcPr>
            <w:tcW w:w="1980" w:type="dxa"/>
            <w:vAlign w:val="center"/>
          </w:tcPr>
          <w:p w14:paraId="7A4A5E6F" w14:textId="77777777" w:rsidR="00FE6554" w:rsidRPr="00FE6554" w:rsidRDefault="00FE6554" w:rsidP="00FE6554">
            <w:pPr>
              <w:pStyle w:val="BodyText"/>
              <w:tabs>
                <w:tab w:val="left" w:pos="288"/>
                <w:tab w:val="decimal" w:pos="1458"/>
                <w:tab w:val="right" w:pos="3878"/>
              </w:tabs>
              <w:spacing w:before="0"/>
              <w:jc w:val="right"/>
              <w:rPr>
                <w:sz w:val="22"/>
                <w:szCs w:val="22"/>
              </w:rPr>
            </w:pPr>
            <w:r w:rsidRPr="00FE6554">
              <w:rPr>
                <w:sz w:val="22"/>
                <w:szCs w:val="22"/>
              </w:rPr>
              <w:tab/>
            </w:r>
            <w:r w:rsidRPr="00FE6554">
              <w:rPr>
                <w:sz w:val="22"/>
                <w:szCs w:val="22"/>
              </w:rPr>
              <w:tab/>
              <w:t>5,690,250</w:t>
            </w:r>
          </w:p>
        </w:tc>
        <w:tc>
          <w:tcPr>
            <w:tcW w:w="720" w:type="dxa"/>
          </w:tcPr>
          <w:p w14:paraId="1215B799" w14:textId="77777777" w:rsidR="00FE6554" w:rsidRPr="00FE6554" w:rsidRDefault="00FE6554" w:rsidP="00FE6554">
            <w:pPr>
              <w:pStyle w:val="BodyText"/>
              <w:tabs>
                <w:tab w:val="left" w:pos="0"/>
                <w:tab w:val="decimal" w:pos="1138"/>
              </w:tabs>
              <w:spacing w:before="0"/>
              <w:jc w:val="right"/>
              <w:rPr>
                <w:sz w:val="22"/>
                <w:szCs w:val="22"/>
              </w:rPr>
            </w:pPr>
          </w:p>
        </w:tc>
        <w:tc>
          <w:tcPr>
            <w:tcW w:w="1350" w:type="dxa"/>
            <w:vAlign w:val="center"/>
          </w:tcPr>
          <w:p w14:paraId="66311204" w14:textId="77777777" w:rsidR="00FE6554" w:rsidRPr="00FE6554" w:rsidRDefault="00FE6554" w:rsidP="00FE6554">
            <w:pPr>
              <w:pStyle w:val="BodyText"/>
              <w:tabs>
                <w:tab w:val="left" w:pos="0"/>
                <w:tab w:val="decimal" w:pos="1138"/>
              </w:tabs>
              <w:spacing w:before="0"/>
              <w:jc w:val="right"/>
              <w:rPr>
                <w:sz w:val="22"/>
                <w:szCs w:val="22"/>
              </w:rPr>
            </w:pPr>
            <w:r w:rsidRPr="00FE6554">
              <w:rPr>
                <w:sz w:val="22"/>
                <w:szCs w:val="22"/>
              </w:rPr>
              <w:t>$0.33</w:t>
            </w:r>
          </w:p>
        </w:tc>
        <w:tc>
          <w:tcPr>
            <w:tcW w:w="180" w:type="dxa"/>
          </w:tcPr>
          <w:p w14:paraId="038D0E74" w14:textId="77777777" w:rsidR="00FE6554" w:rsidRPr="00FE6554" w:rsidRDefault="00FE6554" w:rsidP="00FE6554">
            <w:pPr>
              <w:pStyle w:val="BodyText"/>
              <w:tabs>
                <w:tab w:val="left" w:pos="0"/>
                <w:tab w:val="decimal" w:pos="1138"/>
              </w:tabs>
              <w:spacing w:before="0"/>
              <w:jc w:val="right"/>
              <w:rPr>
                <w:sz w:val="22"/>
                <w:szCs w:val="22"/>
              </w:rPr>
            </w:pPr>
          </w:p>
        </w:tc>
        <w:tc>
          <w:tcPr>
            <w:tcW w:w="3004" w:type="dxa"/>
            <w:vAlign w:val="center"/>
          </w:tcPr>
          <w:p w14:paraId="55703A4D" w14:textId="77777777" w:rsidR="00FE6554" w:rsidRPr="00FE6554" w:rsidRDefault="00FE6554" w:rsidP="00FE6554">
            <w:pPr>
              <w:pStyle w:val="BodyText"/>
              <w:tabs>
                <w:tab w:val="left" w:pos="0"/>
                <w:tab w:val="left" w:pos="738"/>
              </w:tabs>
              <w:spacing w:before="0"/>
              <w:jc w:val="right"/>
              <w:rPr>
                <w:sz w:val="22"/>
                <w:szCs w:val="22"/>
              </w:rPr>
            </w:pPr>
            <w:r w:rsidRPr="00FE6554">
              <w:rPr>
                <w:sz w:val="22"/>
                <w:szCs w:val="22"/>
              </w:rPr>
              <w:tab/>
              <w:t>December 18, 2019</w:t>
            </w:r>
          </w:p>
        </w:tc>
      </w:tr>
      <w:tr w:rsidR="00FE6554" w:rsidRPr="00FE6554" w14:paraId="0E99E84C" w14:textId="77777777" w:rsidTr="00FE6554">
        <w:trPr>
          <w:cantSplit/>
        </w:trPr>
        <w:tc>
          <w:tcPr>
            <w:tcW w:w="1980" w:type="dxa"/>
            <w:vAlign w:val="center"/>
          </w:tcPr>
          <w:p w14:paraId="49E58480" w14:textId="77777777" w:rsidR="00FE6554" w:rsidRPr="00FE6554" w:rsidRDefault="00FE6554" w:rsidP="00FE6554">
            <w:pPr>
              <w:pStyle w:val="BodyText"/>
              <w:tabs>
                <w:tab w:val="left" w:pos="288"/>
                <w:tab w:val="decimal" w:pos="1458"/>
                <w:tab w:val="right" w:pos="3878"/>
              </w:tabs>
              <w:spacing w:before="0"/>
              <w:jc w:val="right"/>
              <w:rPr>
                <w:sz w:val="22"/>
                <w:szCs w:val="22"/>
              </w:rPr>
            </w:pPr>
            <w:r w:rsidRPr="00FE6554">
              <w:rPr>
                <w:sz w:val="22"/>
                <w:szCs w:val="22"/>
              </w:rPr>
              <w:tab/>
            </w:r>
            <w:r w:rsidRPr="00FE6554">
              <w:rPr>
                <w:sz w:val="22"/>
                <w:szCs w:val="22"/>
              </w:rPr>
              <w:tab/>
              <w:t>2,000,000</w:t>
            </w:r>
          </w:p>
        </w:tc>
        <w:tc>
          <w:tcPr>
            <w:tcW w:w="720" w:type="dxa"/>
          </w:tcPr>
          <w:p w14:paraId="0518ED6F" w14:textId="77777777" w:rsidR="00FE6554" w:rsidRPr="00FE6554" w:rsidRDefault="00FE6554" w:rsidP="00FE6554">
            <w:pPr>
              <w:pStyle w:val="BodyText"/>
              <w:tabs>
                <w:tab w:val="left" w:pos="0"/>
                <w:tab w:val="decimal" w:pos="1138"/>
              </w:tabs>
              <w:spacing w:before="0"/>
              <w:jc w:val="right"/>
              <w:rPr>
                <w:sz w:val="22"/>
                <w:szCs w:val="22"/>
              </w:rPr>
            </w:pPr>
          </w:p>
        </w:tc>
        <w:tc>
          <w:tcPr>
            <w:tcW w:w="1350" w:type="dxa"/>
            <w:vAlign w:val="center"/>
          </w:tcPr>
          <w:p w14:paraId="28596104" w14:textId="77777777" w:rsidR="00FE6554" w:rsidRPr="00FE6554" w:rsidRDefault="00FE6554" w:rsidP="00FE6554">
            <w:pPr>
              <w:pStyle w:val="BodyText"/>
              <w:tabs>
                <w:tab w:val="left" w:pos="0"/>
                <w:tab w:val="decimal" w:pos="1138"/>
              </w:tabs>
              <w:spacing w:before="0"/>
              <w:jc w:val="right"/>
              <w:rPr>
                <w:sz w:val="22"/>
                <w:szCs w:val="22"/>
              </w:rPr>
            </w:pPr>
            <w:r w:rsidRPr="00FE6554">
              <w:rPr>
                <w:sz w:val="22"/>
                <w:szCs w:val="22"/>
              </w:rPr>
              <w:t>$0.30</w:t>
            </w:r>
          </w:p>
        </w:tc>
        <w:tc>
          <w:tcPr>
            <w:tcW w:w="180" w:type="dxa"/>
          </w:tcPr>
          <w:p w14:paraId="07EB97F2" w14:textId="77777777" w:rsidR="00FE6554" w:rsidRPr="00FE6554" w:rsidRDefault="00FE6554" w:rsidP="00FE6554">
            <w:pPr>
              <w:pStyle w:val="BodyText"/>
              <w:tabs>
                <w:tab w:val="left" w:pos="0"/>
                <w:tab w:val="decimal" w:pos="1138"/>
              </w:tabs>
              <w:spacing w:before="0"/>
              <w:jc w:val="right"/>
              <w:rPr>
                <w:sz w:val="22"/>
                <w:szCs w:val="22"/>
              </w:rPr>
            </w:pPr>
          </w:p>
        </w:tc>
        <w:tc>
          <w:tcPr>
            <w:tcW w:w="3004" w:type="dxa"/>
            <w:vAlign w:val="center"/>
          </w:tcPr>
          <w:p w14:paraId="7430C8F2" w14:textId="77777777" w:rsidR="00FE6554" w:rsidRPr="00FE6554" w:rsidRDefault="00FE6554" w:rsidP="00FE6554">
            <w:pPr>
              <w:pStyle w:val="BodyText"/>
              <w:tabs>
                <w:tab w:val="left" w:pos="0"/>
                <w:tab w:val="left" w:pos="738"/>
              </w:tabs>
              <w:spacing w:before="0"/>
              <w:jc w:val="right"/>
              <w:rPr>
                <w:sz w:val="22"/>
                <w:szCs w:val="22"/>
              </w:rPr>
            </w:pPr>
            <w:r w:rsidRPr="00FE6554">
              <w:rPr>
                <w:sz w:val="22"/>
                <w:szCs w:val="22"/>
              </w:rPr>
              <w:tab/>
              <w:t>December 22, 2019</w:t>
            </w:r>
          </w:p>
        </w:tc>
      </w:tr>
      <w:tr w:rsidR="00FE6554" w:rsidRPr="00FE6554" w14:paraId="37272F4C" w14:textId="77777777" w:rsidTr="00FE6554">
        <w:trPr>
          <w:cantSplit/>
        </w:trPr>
        <w:tc>
          <w:tcPr>
            <w:tcW w:w="1980" w:type="dxa"/>
            <w:vAlign w:val="center"/>
          </w:tcPr>
          <w:p w14:paraId="4171732B" w14:textId="77777777" w:rsidR="00FE6554" w:rsidRPr="00FE6554" w:rsidRDefault="00FE6554" w:rsidP="00FE6554">
            <w:pPr>
              <w:pStyle w:val="BodyText"/>
              <w:tabs>
                <w:tab w:val="left" w:pos="288"/>
                <w:tab w:val="decimal" w:pos="1458"/>
                <w:tab w:val="right" w:pos="3878"/>
              </w:tabs>
              <w:spacing w:before="0"/>
              <w:jc w:val="right"/>
              <w:rPr>
                <w:sz w:val="22"/>
                <w:szCs w:val="22"/>
              </w:rPr>
            </w:pPr>
            <w:r w:rsidRPr="00FE6554">
              <w:rPr>
                <w:sz w:val="22"/>
                <w:szCs w:val="22"/>
              </w:rPr>
              <w:tab/>
            </w:r>
            <w:r w:rsidRPr="00FE6554">
              <w:rPr>
                <w:sz w:val="22"/>
                <w:szCs w:val="22"/>
              </w:rPr>
              <w:tab/>
              <w:t>183,333</w:t>
            </w:r>
          </w:p>
        </w:tc>
        <w:tc>
          <w:tcPr>
            <w:tcW w:w="720" w:type="dxa"/>
          </w:tcPr>
          <w:p w14:paraId="385BFE01" w14:textId="77777777" w:rsidR="00FE6554" w:rsidRPr="00FE6554" w:rsidRDefault="00FE6554" w:rsidP="00FE6554">
            <w:pPr>
              <w:pStyle w:val="BodyText"/>
              <w:tabs>
                <w:tab w:val="left" w:pos="0"/>
                <w:tab w:val="decimal" w:pos="1138"/>
              </w:tabs>
              <w:spacing w:before="0"/>
              <w:jc w:val="right"/>
              <w:rPr>
                <w:sz w:val="22"/>
                <w:szCs w:val="22"/>
              </w:rPr>
            </w:pPr>
          </w:p>
        </w:tc>
        <w:tc>
          <w:tcPr>
            <w:tcW w:w="1350" w:type="dxa"/>
            <w:vAlign w:val="center"/>
          </w:tcPr>
          <w:p w14:paraId="3C2C4DD8" w14:textId="77777777" w:rsidR="00FE6554" w:rsidRPr="00FE6554" w:rsidRDefault="00FE6554" w:rsidP="00FE6554">
            <w:pPr>
              <w:pStyle w:val="BodyText"/>
              <w:tabs>
                <w:tab w:val="left" w:pos="0"/>
                <w:tab w:val="decimal" w:pos="1138"/>
              </w:tabs>
              <w:spacing w:before="0"/>
              <w:jc w:val="right"/>
              <w:rPr>
                <w:sz w:val="22"/>
                <w:szCs w:val="22"/>
              </w:rPr>
            </w:pPr>
            <w:r w:rsidRPr="00FE6554">
              <w:rPr>
                <w:sz w:val="22"/>
                <w:szCs w:val="22"/>
              </w:rPr>
              <w:t>$0.21</w:t>
            </w:r>
          </w:p>
        </w:tc>
        <w:tc>
          <w:tcPr>
            <w:tcW w:w="180" w:type="dxa"/>
          </w:tcPr>
          <w:p w14:paraId="0AB33D60" w14:textId="77777777" w:rsidR="00FE6554" w:rsidRPr="00FE6554" w:rsidRDefault="00FE6554" w:rsidP="00FE6554">
            <w:pPr>
              <w:pStyle w:val="BodyText"/>
              <w:tabs>
                <w:tab w:val="left" w:pos="0"/>
                <w:tab w:val="decimal" w:pos="1138"/>
              </w:tabs>
              <w:spacing w:before="0"/>
              <w:jc w:val="right"/>
              <w:rPr>
                <w:sz w:val="22"/>
                <w:szCs w:val="22"/>
              </w:rPr>
            </w:pPr>
          </w:p>
        </w:tc>
        <w:tc>
          <w:tcPr>
            <w:tcW w:w="3004" w:type="dxa"/>
            <w:vAlign w:val="center"/>
          </w:tcPr>
          <w:p w14:paraId="1946408D" w14:textId="77777777" w:rsidR="00FE6554" w:rsidRPr="00FE6554" w:rsidRDefault="00FE6554" w:rsidP="00FE6554">
            <w:pPr>
              <w:pStyle w:val="BodyText"/>
              <w:tabs>
                <w:tab w:val="left" w:pos="0"/>
                <w:tab w:val="left" w:pos="738"/>
              </w:tabs>
              <w:spacing w:before="0"/>
              <w:jc w:val="right"/>
              <w:rPr>
                <w:sz w:val="22"/>
                <w:szCs w:val="22"/>
              </w:rPr>
            </w:pPr>
            <w:r w:rsidRPr="00FE6554">
              <w:rPr>
                <w:sz w:val="22"/>
                <w:szCs w:val="22"/>
              </w:rPr>
              <w:tab/>
              <w:t>August 11, 2020</w:t>
            </w:r>
          </w:p>
        </w:tc>
      </w:tr>
      <w:tr w:rsidR="00FE6554" w:rsidRPr="00FE6554" w14:paraId="6240B44C" w14:textId="77777777" w:rsidTr="00FE6554">
        <w:trPr>
          <w:cantSplit/>
        </w:trPr>
        <w:tc>
          <w:tcPr>
            <w:tcW w:w="1980" w:type="dxa"/>
            <w:vAlign w:val="center"/>
          </w:tcPr>
          <w:p w14:paraId="754E5AC9" w14:textId="77777777" w:rsidR="00FE6554" w:rsidRPr="00FE6554" w:rsidRDefault="00FE6554" w:rsidP="00FE6554">
            <w:pPr>
              <w:pStyle w:val="BodyText"/>
              <w:tabs>
                <w:tab w:val="left" w:pos="288"/>
                <w:tab w:val="decimal" w:pos="1458"/>
                <w:tab w:val="right" w:pos="3878"/>
              </w:tabs>
              <w:spacing w:before="0"/>
              <w:jc w:val="right"/>
              <w:rPr>
                <w:sz w:val="22"/>
                <w:szCs w:val="22"/>
                <w:u w:val="single"/>
              </w:rPr>
            </w:pPr>
            <w:r w:rsidRPr="00FE6554">
              <w:rPr>
                <w:sz w:val="22"/>
                <w:szCs w:val="22"/>
              </w:rPr>
              <w:tab/>
            </w:r>
            <w:r w:rsidRPr="00FE6554">
              <w:rPr>
                <w:sz w:val="22"/>
                <w:szCs w:val="22"/>
                <w:u w:val="single"/>
              </w:rPr>
              <w:tab/>
              <w:t>4,505,000</w:t>
            </w:r>
          </w:p>
        </w:tc>
        <w:tc>
          <w:tcPr>
            <w:tcW w:w="720" w:type="dxa"/>
          </w:tcPr>
          <w:p w14:paraId="59FDCB9A" w14:textId="77777777" w:rsidR="00FE6554" w:rsidRPr="00FE6554" w:rsidRDefault="00FE6554" w:rsidP="00FE6554">
            <w:pPr>
              <w:pStyle w:val="BodyText"/>
              <w:tabs>
                <w:tab w:val="left" w:pos="0"/>
                <w:tab w:val="decimal" w:pos="1138"/>
              </w:tabs>
              <w:spacing w:before="0"/>
              <w:jc w:val="right"/>
              <w:rPr>
                <w:sz w:val="22"/>
                <w:szCs w:val="22"/>
              </w:rPr>
            </w:pPr>
          </w:p>
        </w:tc>
        <w:tc>
          <w:tcPr>
            <w:tcW w:w="1350" w:type="dxa"/>
            <w:vAlign w:val="center"/>
          </w:tcPr>
          <w:p w14:paraId="7878B313" w14:textId="77777777" w:rsidR="00FE6554" w:rsidRPr="00FE6554" w:rsidRDefault="00FE6554" w:rsidP="00FE6554">
            <w:pPr>
              <w:pStyle w:val="BodyText"/>
              <w:tabs>
                <w:tab w:val="left" w:pos="0"/>
                <w:tab w:val="decimal" w:pos="1138"/>
              </w:tabs>
              <w:spacing w:before="0"/>
              <w:jc w:val="right"/>
              <w:rPr>
                <w:sz w:val="22"/>
                <w:szCs w:val="22"/>
              </w:rPr>
            </w:pPr>
            <w:r w:rsidRPr="00FE6554">
              <w:rPr>
                <w:sz w:val="22"/>
                <w:szCs w:val="22"/>
              </w:rPr>
              <w:t>$0.05</w:t>
            </w:r>
          </w:p>
        </w:tc>
        <w:tc>
          <w:tcPr>
            <w:tcW w:w="180" w:type="dxa"/>
          </w:tcPr>
          <w:p w14:paraId="497AE1D4" w14:textId="77777777" w:rsidR="00FE6554" w:rsidRPr="00FE6554" w:rsidRDefault="00FE6554" w:rsidP="00FE6554">
            <w:pPr>
              <w:pStyle w:val="BodyText"/>
              <w:tabs>
                <w:tab w:val="left" w:pos="0"/>
                <w:tab w:val="decimal" w:pos="1138"/>
              </w:tabs>
              <w:spacing w:before="0"/>
              <w:jc w:val="right"/>
              <w:rPr>
                <w:sz w:val="22"/>
                <w:szCs w:val="22"/>
              </w:rPr>
            </w:pPr>
          </w:p>
        </w:tc>
        <w:tc>
          <w:tcPr>
            <w:tcW w:w="3004" w:type="dxa"/>
            <w:vAlign w:val="center"/>
          </w:tcPr>
          <w:p w14:paraId="0A365AA9" w14:textId="77777777" w:rsidR="00FE6554" w:rsidRPr="00FE6554" w:rsidRDefault="00FE6554" w:rsidP="00FE6554">
            <w:pPr>
              <w:pStyle w:val="BodyText"/>
              <w:tabs>
                <w:tab w:val="left" w:pos="0"/>
                <w:tab w:val="left" w:pos="738"/>
              </w:tabs>
              <w:spacing w:before="0"/>
              <w:jc w:val="right"/>
              <w:rPr>
                <w:sz w:val="22"/>
                <w:szCs w:val="22"/>
              </w:rPr>
            </w:pPr>
            <w:r w:rsidRPr="00FE6554">
              <w:rPr>
                <w:sz w:val="22"/>
                <w:szCs w:val="22"/>
              </w:rPr>
              <w:tab/>
              <w:t>June 13, 2021</w:t>
            </w:r>
          </w:p>
        </w:tc>
      </w:tr>
      <w:tr w:rsidR="00FE6554" w:rsidRPr="00FE6554" w14:paraId="46437C9A" w14:textId="77777777" w:rsidTr="00FE6554">
        <w:trPr>
          <w:cantSplit/>
        </w:trPr>
        <w:tc>
          <w:tcPr>
            <w:tcW w:w="1980" w:type="dxa"/>
            <w:vAlign w:val="center"/>
          </w:tcPr>
          <w:p w14:paraId="6751BC92" w14:textId="77777777" w:rsidR="00FE6554" w:rsidRPr="00FE6554" w:rsidRDefault="00FE6554" w:rsidP="00FE6554">
            <w:pPr>
              <w:pStyle w:val="BodyText"/>
              <w:tabs>
                <w:tab w:val="left" w:pos="288"/>
                <w:tab w:val="decimal" w:pos="1458"/>
                <w:tab w:val="right" w:pos="3878"/>
              </w:tabs>
              <w:spacing w:before="0"/>
              <w:jc w:val="right"/>
              <w:rPr>
                <w:sz w:val="22"/>
                <w:szCs w:val="22"/>
                <w:u w:val="double"/>
              </w:rPr>
            </w:pPr>
            <w:r w:rsidRPr="00FE6554">
              <w:rPr>
                <w:sz w:val="22"/>
                <w:szCs w:val="22"/>
              </w:rPr>
              <w:tab/>
            </w:r>
            <w:r w:rsidRPr="00FE6554">
              <w:rPr>
                <w:sz w:val="22"/>
                <w:szCs w:val="22"/>
                <w:u w:val="double"/>
              </w:rPr>
              <w:tab/>
              <w:t>12,378,583</w:t>
            </w:r>
          </w:p>
        </w:tc>
        <w:tc>
          <w:tcPr>
            <w:tcW w:w="720" w:type="dxa"/>
          </w:tcPr>
          <w:p w14:paraId="45BC1BA2" w14:textId="77777777" w:rsidR="00FE6554" w:rsidRPr="00FE6554" w:rsidRDefault="00FE6554" w:rsidP="00FE6554">
            <w:pPr>
              <w:pStyle w:val="BodyText"/>
              <w:tabs>
                <w:tab w:val="left" w:pos="0"/>
                <w:tab w:val="decimal" w:pos="1138"/>
              </w:tabs>
              <w:spacing w:before="0"/>
              <w:jc w:val="right"/>
              <w:rPr>
                <w:sz w:val="22"/>
                <w:szCs w:val="22"/>
              </w:rPr>
            </w:pPr>
          </w:p>
        </w:tc>
        <w:tc>
          <w:tcPr>
            <w:tcW w:w="1350" w:type="dxa"/>
            <w:vAlign w:val="center"/>
          </w:tcPr>
          <w:p w14:paraId="5C7CF396" w14:textId="77777777" w:rsidR="00FE6554" w:rsidRPr="00FE6554" w:rsidRDefault="00FE6554" w:rsidP="00FE6554">
            <w:pPr>
              <w:pStyle w:val="BodyText"/>
              <w:tabs>
                <w:tab w:val="left" w:pos="0"/>
                <w:tab w:val="decimal" w:pos="1138"/>
              </w:tabs>
              <w:spacing w:before="0"/>
              <w:jc w:val="right"/>
              <w:rPr>
                <w:sz w:val="22"/>
                <w:szCs w:val="22"/>
              </w:rPr>
            </w:pPr>
          </w:p>
        </w:tc>
        <w:tc>
          <w:tcPr>
            <w:tcW w:w="180" w:type="dxa"/>
          </w:tcPr>
          <w:p w14:paraId="4099A43F" w14:textId="77777777" w:rsidR="00FE6554" w:rsidRPr="00FE6554" w:rsidRDefault="00FE6554" w:rsidP="00FE6554">
            <w:pPr>
              <w:pStyle w:val="BodyText"/>
              <w:tabs>
                <w:tab w:val="left" w:pos="0"/>
                <w:tab w:val="decimal" w:pos="1138"/>
              </w:tabs>
              <w:spacing w:before="0"/>
              <w:jc w:val="right"/>
              <w:rPr>
                <w:sz w:val="22"/>
                <w:szCs w:val="22"/>
              </w:rPr>
            </w:pPr>
          </w:p>
        </w:tc>
        <w:tc>
          <w:tcPr>
            <w:tcW w:w="3004" w:type="dxa"/>
            <w:vAlign w:val="center"/>
          </w:tcPr>
          <w:p w14:paraId="613EEE29" w14:textId="77777777" w:rsidR="00FE6554" w:rsidRPr="00FE6554" w:rsidRDefault="00FE6554" w:rsidP="00FE6554">
            <w:pPr>
              <w:pStyle w:val="BodyText"/>
              <w:tabs>
                <w:tab w:val="left" w:pos="0"/>
                <w:tab w:val="left" w:pos="738"/>
              </w:tabs>
              <w:spacing w:before="0"/>
              <w:jc w:val="right"/>
              <w:rPr>
                <w:sz w:val="22"/>
                <w:szCs w:val="22"/>
              </w:rPr>
            </w:pPr>
            <w:r w:rsidRPr="00FE6554">
              <w:rPr>
                <w:sz w:val="22"/>
                <w:szCs w:val="22"/>
              </w:rPr>
              <w:tab/>
            </w:r>
          </w:p>
        </w:tc>
      </w:tr>
    </w:tbl>
    <w:p w14:paraId="72585902" w14:textId="77777777" w:rsidR="004709FB" w:rsidRDefault="004709FB" w:rsidP="00FE6554">
      <w:pPr>
        <w:rPr>
          <w:b/>
          <w:bCs/>
          <w:sz w:val="22"/>
          <w:szCs w:val="22"/>
        </w:rPr>
        <w:sectPr w:rsidR="004709FB" w:rsidSect="00FE6554">
          <w:headerReference w:type="default" r:id="rId36"/>
          <w:headerReference w:type="first" r:id="rId37"/>
          <w:pgSz w:w="12240" w:h="15840" w:code="1"/>
          <w:pgMar w:top="1440" w:right="1440" w:bottom="432" w:left="1440" w:header="720" w:footer="720" w:gutter="0"/>
          <w:cols w:space="720"/>
          <w:titlePg/>
          <w:docGrid w:linePitch="360"/>
        </w:sectPr>
      </w:pPr>
    </w:p>
    <w:p w14:paraId="3942883B" w14:textId="66474B92" w:rsidR="00FE6554" w:rsidRPr="00FE6554" w:rsidRDefault="00FE6554" w:rsidP="00FE6554">
      <w:pPr>
        <w:rPr>
          <w:b/>
          <w:bCs/>
          <w:sz w:val="22"/>
          <w:szCs w:val="22"/>
        </w:rPr>
      </w:pPr>
      <w:r w:rsidRPr="00FE6554">
        <w:rPr>
          <w:b/>
          <w:bCs/>
          <w:sz w:val="22"/>
          <w:szCs w:val="22"/>
        </w:rPr>
        <w:lastRenderedPageBreak/>
        <w:t xml:space="preserve">Risks and Uncertainties </w:t>
      </w:r>
    </w:p>
    <w:p w14:paraId="4870FEE6" w14:textId="77777777" w:rsidR="00FE6554" w:rsidRPr="00FE6554" w:rsidRDefault="00FE6554" w:rsidP="00FE6554">
      <w:pPr>
        <w:jc w:val="both"/>
        <w:rPr>
          <w:sz w:val="22"/>
          <w:szCs w:val="22"/>
        </w:rPr>
      </w:pPr>
    </w:p>
    <w:p w14:paraId="31EF91A0" w14:textId="77777777" w:rsidR="00FE6554" w:rsidRPr="00FE6554" w:rsidRDefault="00FE6554" w:rsidP="00FE6554">
      <w:pPr>
        <w:pStyle w:val="BodyText"/>
        <w:spacing w:before="0"/>
        <w:jc w:val="both"/>
        <w:rPr>
          <w:i/>
          <w:iCs/>
          <w:sz w:val="22"/>
          <w:szCs w:val="22"/>
        </w:rPr>
      </w:pPr>
      <w:r w:rsidRPr="00FE6554">
        <w:rPr>
          <w:i/>
          <w:iCs/>
          <w:sz w:val="22"/>
          <w:szCs w:val="22"/>
        </w:rPr>
        <w:t>Because of the unique difficulties and uncertainties inherent in mineral exploration ventures, the Company face a high risk of business failure.</w:t>
      </w:r>
    </w:p>
    <w:p w14:paraId="4EB27952" w14:textId="77777777" w:rsidR="00FE6554" w:rsidRPr="00FE6554" w:rsidRDefault="00FE6554" w:rsidP="00FE6554">
      <w:pPr>
        <w:pStyle w:val="BodyText"/>
        <w:spacing w:before="0"/>
        <w:jc w:val="both"/>
        <w:rPr>
          <w:sz w:val="22"/>
          <w:szCs w:val="22"/>
        </w:rPr>
      </w:pPr>
    </w:p>
    <w:p w14:paraId="2FE52298" w14:textId="77777777" w:rsidR="00FE6554" w:rsidRPr="00FE6554" w:rsidRDefault="00FE6554" w:rsidP="00FE6554">
      <w:pPr>
        <w:pStyle w:val="BodyText"/>
        <w:spacing w:before="0"/>
        <w:jc w:val="both"/>
        <w:rPr>
          <w:sz w:val="22"/>
          <w:szCs w:val="22"/>
        </w:rPr>
      </w:pPr>
      <w:r w:rsidRPr="00FE6554">
        <w:rPr>
          <w:sz w:val="22"/>
          <w:szCs w:val="22"/>
        </w:rPr>
        <w:t>Potential investors should be aware of the difficulties normally encountered by mineral exploration companies and the high rate of failure of such enterprises.  The likelihood of success must be considered in light of the problems, expenses, difficulties, complications and delays encountered in connection with the exploration program that the Company intend to undertake on its properties and any additional properties that the Company may acquire.  These potential problems include unanticipated problems relating to exploration, and additional costs and expenses that may exceed current estimates.  The expenditures to be made by the Company in the exploration of the properties may not result in the discovery of any mineral deposits.  Any expenditure that the Company may make in the exploration of any other mineral property that the Company may acquire may not result in the discovery of any commercially exploitable mineral deposits.  Problems such as unusual or unexpected geological formations and other conditions are involved in all mineral exploration and often result in unsuccessful and/or expensive exploration efforts.  If the results of the exploration do not reveal viable commercial mineralization, the Company may decide to abandon or sell some or all the property interests.</w:t>
      </w:r>
    </w:p>
    <w:p w14:paraId="046CF8F7" w14:textId="77777777" w:rsidR="00FE6554" w:rsidRPr="00FE6554" w:rsidRDefault="00FE6554" w:rsidP="00FE6554">
      <w:pPr>
        <w:pStyle w:val="BodyText"/>
        <w:spacing w:before="0"/>
        <w:jc w:val="both"/>
        <w:rPr>
          <w:sz w:val="22"/>
          <w:szCs w:val="22"/>
        </w:rPr>
      </w:pPr>
    </w:p>
    <w:p w14:paraId="6397C3BE" w14:textId="77777777" w:rsidR="00FE6554" w:rsidRPr="00FE6554" w:rsidRDefault="00FE6554" w:rsidP="00FE6554">
      <w:pPr>
        <w:pStyle w:val="BodyText"/>
        <w:spacing w:before="0"/>
        <w:jc w:val="both"/>
        <w:rPr>
          <w:i/>
          <w:iCs/>
          <w:sz w:val="22"/>
          <w:szCs w:val="22"/>
        </w:rPr>
      </w:pPr>
      <w:r w:rsidRPr="00FE6554">
        <w:rPr>
          <w:i/>
          <w:iCs/>
          <w:sz w:val="22"/>
          <w:szCs w:val="22"/>
        </w:rPr>
        <w:t>Because of the speculative nature of the exploration of mineral properties, there is no assurance that the exploration activities will result in the discovery of any quantities of mineral deposits on the current properties or any other additional properties the Company may acquire.</w:t>
      </w:r>
    </w:p>
    <w:p w14:paraId="503D29B6" w14:textId="77777777" w:rsidR="00FE6554" w:rsidRPr="00FE6554" w:rsidRDefault="00FE6554" w:rsidP="00FE6554">
      <w:pPr>
        <w:pStyle w:val="BodyText"/>
        <w:spacing w:before="0"/>
        <w:jc w:val="both"/>
        <w:rPr>
          <w:sz w:val="22"/>
          <w:szCs w:val="22"/>
        </w:rPr>
      </w:pPr>
    </w:p>
    <w:p w14:paraId="55761537" w14:textId="77777777" w:rsidR="00FE6554" w:rsidRPr="00FE6554" w:rsidRDefault="00FE6554" w:rsidP="00FE6554">
      <w:pPr>
        <w:pStyle w:val="BodyText"/>
        <w:spacing w:before="0"/>
        <w:jc w:val="both"/>
        <w:rPr>
          <w:sz w:val="22"/>
          <w:szCs w:val="22"/>
        </w:rPr>
      </w:pPr>
      <w:r w:rsidRPr="00FE6554">
        <w:rPr>
          <w:sz w:val="22"/>
          <w:szCs w:val="22"/>
        </w:rPr>
        <w:t>The Company intend to continue exploration on the current properties and the Company may or may not acquire additional interests in other mineral properties.  The search for mineral deposits as a business is extremely risky.  The Company can provide investors with no assurance that exploration on the current properties, or any other property that the Company may acquire, will establish that any commercially exploitable quantities of mineral deposits exist.  Additional potential problems may prevent the Company from discovering any mineral deposits.  These potential problems include unanticipated problems relating to exploration and additional costs and expenses that may exceed current estimates.  If the Company is unable to establish the presence of mineral deposits on the properties, the Company's ability to fund future exploration activities will be impeded, the Company will not be able to operate profitably, and investors may lose all their investment in the Company.</w:t>
      </w:r>
    </w:p>
    <w:p w14:paraId="2E18C09D" w14:textId="77777777" w:rsidR="00FE6554" w:rsidRPr="00FE6554" w:rsidRDefault="00FE6554" w:rsidP="00FE6554">
      <w:pPr>
        <w:pStyle w:val="BodyText"/>
        <w:spacing w:before="0"/>
        <w:jc w:val="both"/>
        <w:rPr>
          <w:i/>
          <w:iCs/>
          <w:sz w:val="22"/>
          <w:szCs w:val="22"/>
        </w:rPr>
      </w:pPr>
    </w:p>
    <w:p w14:paraId="06A21484" w14:textId="77777777" w:rsidR="00FE6554" w:rsidRPr="00FE6554" w:rsidRDefault="00FE6554" w:rsidP="00FE6554">
      <w:pPr>
        <w:pStyle w:val="BodyText"/>
        <w:spacing w:before="0"/>
        <w:jc w:val="both"/>
        <w:rPr>
          <w:i/>
          <w:iCs/>
          <w:sz w:val="22"/>
          <w:szCs w:val="22"/>
        </w:rPr>
      </w:pPr>
      <w:r w:rsidRPr="00FE6554">
        <w:rPr>
          <w:i/>
          <w:iCs/>
          <w:sz w:val="22"/>
          <w:szCs w:val="22"/>
        </w:rPr>
        <w:t>Because of the inherent dangers involved in mineral exploration and exploitation, there is a risk that the Company may incur</w:t>
      </w:r>
      <w:r w:rsidRPr="00FE6554">
        <w:rPr>
          <w:sz w:val="22"/>
          <w:szCs w:val="22"/>
        </w:rPr>
        <w:t xml:space="preserve"> </w:t>
      </w:r>
      <w:r w:rsidRPr="00FE6554">
        <w:rPr>
          <w:i/>
          <w:iCs/>
          <w:sz w:val="22"/>
          <w:szCs w:val="22"/>
        </w:rPr>
        <w:t>liability or damages as the Company conducts business.</w:t>
      </w:r>
    </w:p>
    <w:p w14:paraId="12F9B864" w14:textId="77777777" w:rsidR="00FE6554" w:rsidRPr="00FE6554" w:rsidRDefault="00FE6554" w:rsidP="00FE6554">
      <w:pPr>
        <w:pStyle w:val="BodyText"/>
        <w:spacing w:before="0"/>
        <w:jc w:val="both"/>
        <w:rPr>
          <w:sz w:val="22"/>
          <w:szCs w:val="22"/>
        </w:rPr>
      </w:pPr>
    </w:p>
    <w:p w14:paraId="11237CCB" w14:textId="77777777" w:rsidR="00FE6554" w:rsidRPr="00FE6554" w:rsidRDefault="00FE6554" w:rsidP="00FE6554">
      <w:pPr>
        <w:pStyle w:val="BodyText"/>
        <w:spacing w:before="0"/>
        <w:jc w:val="both"/>
        <w:rPr>
          <w:sz w:val="22"/>
          <w:szCs w:val="22"/>
        </w:rPr>
      </w:pPr>
      <w:r w:rsidRPr="00FE6554">
        <w:rPr>
          <w:sz w:val="22"/>
          <w:szCs w:val="22"/>
        </w:rPr>
        <w:t>The search for mineral deposits involves numerous hazards.  As a result, the Company may become subject to liability for such hazards, including pollution, cave-ins and other hazards against which the Company cannot insure or against which the Company may elect not to insure.  At the present time the Company have no coverage to insure against these hazards.  The payment of such liabilities may have a material adverse effect on the Company's financial position.</w:t>
      </w:r>
    </w:p>
    <w:p w14:paraId="19772E85" w14:textId="77777777" w:rsidR="00FE6554" w:rsidRPr="00FE6554" w:rsidRDefault="00FE6554" w:rsidP="00FE6554">
      <w:pPr>
        <w:pStyle w:val="BodyText"/>
        <w:spacing w:before="0"/>
        <w:jc w:val="both"/>
        <w:rPr>
          <w:i/>
          <w:iCs/>
          <w:sz w:val="22"/>
          <w:szCs w:val="22"/>
        </w:rPr>
      </w:pPr>
    </w:p>
    <w:p w14:paraId="0C4075B1" w14:textId="77777777" w:rsidR="00FE6554" w:rsidRPr="00FE6554" w:rsidRDefault="00FE6554" w:rsidP="00FE6554">
      <w:pPr>
        <w:pStyle w:val="BodyText"/>
        <w:spacing w:before="0"/>
        <w:jc w:val="both"/>
        <w:rPr>
          <w:i/>
          <w:iCs/>
          <w:sz w:val="22"/>
          <w:szCs w:val="22"/>
        </w:rPr>
      </w:pPr>
      <w:r w:rsidRPr="00FE6554">
        <w:rPr>
          <w:i/>
          <w:iCs/>
          <w:sz w:val="22"/>
          <w:szCs w:val="22"/>
        </w:rPr>
        <w:t>The potential profitability of mineral ventures depends in part upon factors beyond the control of the Company and even if the Company discover and exploit mineral deposits, the Company may never become commercially viable and the Company may be forced to cease operations.</w:t>
      </w:r>
    </w:p>
    <w:p w14:paraId="1FEFC4D2" w14:textId="77777777" w:rsidR="00FE6554" w:rsidRPr="00FE6554" w:rsidRDefault="00FE6554" w:rsidP="00FE6554">
      <w:pPr>
        <w:pStyle w:val="BodyText"/>
        <w:spacing w:before="0"/>
        <w:jc w:val="both"/>
        <w:rPr>
          <w:sz w:val="22"/>
          <w:szCs w:val="22"/>
        </w:rPr>
      </w:pPr>
    </w:p>
    <w:p w14:paraId="4C5E64A2" w14:textId="77777777" w:rsidR="00FE6554" w:rsidRPr="00FE6554" w:rsidRDefault="00FE6554" w:rsidP="00FE6554">
      <w:pPr>
        <w:pStyle w:val="BodyText"/>
        <w:spacing w:before="0"/>
        <w:jc w:val="both"/>
        <w:rPr>
          <w:sz w:val="22"/>
          <w:szCs w:val="22"/>
        </w:rPr>
      </w:pPr>
      <w:r w:rsidRPr="00FE6554">
        <w:rPr>
          <w:sz w:val="22"/>
          <w:szCs w:val="22"/>
        </w:rPr>
        <w:t xml:space="preserve">The commercial feasibility of an exploration program on a mineral property is dependent upon many factors beyond the Company's control, including the existence and size of mineral deposits in the properties the Company explore, the proximity and capacity of processing equipment, market fluctuations of prices, taxes, royalties, land tenure, allowable production and environmental regulation.  These factors cannot be accurately predicted and any one or a combination of these factors may result in the Company not receiving </w:t>
      </w:r>
      <w:r w:rsidRPr="00FE6554">
        <w:rPr>
          <w:sz w:val="22"/>
          <w:szCs w:val="22"/>
        </w:rPr>
        <w:lastRenderedPageBreak/>
        <w:t>any return on invested capital.  These factors may have material and negative effects on financial performance and the Company's ability to continue operations.</w:t>
      </w:r>
    </w:p>
    <w:p w14:paraId="5C478B78" w14:textId="77777777" w:rsidR="00FE6554" w:rsidRPr="00FE6554" w:rsidRDefault="00FE6554" w:rsidP="00FE6554">
      <w:pPr>
        <w:pStyle w:val="BodyText"/>
        <w:spacing w:before="0"/>
        <w:jc w:val="both"/>
        <w:rPr>
          <w:sz w:val="22"/>
          <w:szCs w:val="22"/>
        </w:rPr>
      </w:pPr>
    </w:p>
    <w:p w14:paraId="3FBE54A8" w14:textId="77777777" w:rsidR="00FE6554" w:rsidRPr="00FE6554" w:rsidRDefault="00FE6554" w:rsidP="00FE6554">
      <w:pPr>
        <w:pStyle w:val="BodyText"/>
        <w:keepNext/>
        <w:spacing w:before="0"/>
        <w:jc w:val="both"/>
        <w:rPr>
          <w:i/>
          <w:iCs/>
          <w:sz w:val="22"/>
          <w:szCs w:val="22"/>
        </w:rPr>
      </w:pPr>
      <w:r w:rsidRPr="00FE6554">
        <w:rPr>
          <w:i/>
          <w:iCs/>
          <w:sz w:val="22"/>
          <w:szCs w:val="22"/>
        </w:rPr>
        <w:t>Exploration and exploitation activities are subject to comprehensive regulation which may cause substantial delays</w:t>
      </w:r>
      <w:r w:rsidRPr="00FE6554">
        <w:rPr>
          <w:sz w:val="22"/>
          <w:szCs w:val="22"/>
        </w:rPr>
        <w:t xml:space="preserve"> </w:t>
      </w:r>
      <w:r w:rsidRPr="00FE6554">
        <w:rPr>
          <w:i/>
          <w:iCs/>
          <w:sz w:val="22"/>
          <w:szCs w:val="22"/>
        </w:rPr>
        <w:t>or require capital outlays in excess of those anticipated causing an adverse effect on the Company.</w:t>
      </w:r>
    </w:p>
    <w:p w14:paraId="03C2979D" w14:textId="77777777" w:rsidR="00FE6554" w:rsidRPr="00FE6554" w:rsidRDefault="00FE6554" w:rsidP="00FE6554">
      <w:pPr>
        <w:pStyle w:val="BodyText"/>
        <w:keepNext/>
        <w:spacing w:before="0"/>
        <w:jc w:val="both"/>
        <w:rPr>
          <w:i/>
          <w:iCs/>
          <w:sz w:val="22"/>
          <w:szCs w:val="22"/>
        </w:rPr>
      </w:pPr>
    </w:p>
    <w:p w14:paraId="5B3F08B2" w14:textId="77777777" w:rsidR="00FE6554" w:rsidRPr="00FE6554" w:rsidRDefault="00FE6554" w:rsidP="00FE6554">
      <w:pPr>
        <w:pStyle w:val="BodyText"/>
        <w:spacing w:before="0"/>
        <w:jc w:val="both"/>
        <w:rPr>
          <w:sz w:val="22"/>
          <w:szCs w:val="22"/>
        </w:rPr>
      </w:pPr>
      <w:r w:rsidRPr="00FE6554">
        <w:rPr>
          <w:sz w:val="22"/>
          <w:szCs w:val="22"/>
        </w:rPr>
        <w:t>Exploration and exploitation activities are subject to foreign, federal, provincial, and local laws, regulations and policies, including laws regulating the removal of natural resources from the ground and the discharge of materials into the environment.  Exploration and exploitation activities are also subject to foreign, federal, provincial, and local laws and regulations which seek to maintain health and safety standards by regulating the design and use of drilling methods and equipment.  Properties may also be subject to complex Aboriginal claims.</w:t>
      </w:r>
    </w:p>
    <w:p w14:paraId="1C3D8A61" w14:textId="77777777" w:rsidR="00FE6554" w:rsidRPr="00FE6554" w:rsidRDefault="00FE6554" w:rsidP="00FE6554">
      <w:pPr>
        <w:pStyle w:val="BodyText"/>
        <w:spacing w:before="0"/>
        <w:jc w:val="both"/>
        <w:rPr>
          <w:sz w:val="22"/>
          <w:szCs w:val="22"/>
        </w:rPr>
      </w:pPr>
    </w:p>
    <w:p w14:paraId="7FF26C6C" w14:textId="77777777" w:rsidR="00FE6554" w:rsidRPr="00FE6554" w:rsidRDefault="00FE6554" w:rsidP="00FE6554">
      <w:pPr>
        <w:pStyle w:val="BodyText"/>
        <w:spacing w:before="0"/>
        <w:jc w:val="both"/>
        <w:rPr>
          <w:sz w:val="22"/>
          <w:szCs w:val="22"/>
        </w:rPr>
      </w:pPr>
      <w:r w:rsidRPr="00FE6554">
        <w:rPr>
          <w:sz w:val="22"/>
          <w:szCs w:val="22"/>
        </w:rPr>
        <w:t>Environmental and other legal standards imposed by foreign, federal, provincial, or local authorities may be changed, and any such changes may prevent the Company from conducting planned activities or may increase costs of doing so, which would have material adverse effects on the Company's business.  Moreover, compliance with such laws may cause substantial delays or require capital outlays in excess of those anticipated, thus causing an adverse effect on the Company, especially, foreign laws and regulations.  Additionally, the Company may be subject to liability for pollution or other environmental damages that the Company may not be able to or elect not to insure against due to prohibitive premium costs and other reasons.  Any laws, regulations or policies of any government body or regulatory agency may be changed, applied or interpreted in a manner which will alter and negatively affect the Company's ability to carry on business.</w:t>
      </w:r>
    </w:p>
    <w:p w14:paraId="12366C7D" w14:textId="77777777" w:rsidR="00FE6554" w:rsidRPr="00FE6554" w:rsidRDefault="00FE6554" w:rsidP="00FE6554">
      <w:pPr>
        <w:pStyle w:val="BodyText"/>
        <w:spacing w:before="0"/>
        <w:jc w:val="both"/>
        <w:rPr>
          <w:sz w:val="22"/>
          <w:szCs w:val="22"/>
        </w:rPr>
      </w:pPr>
    </w:p>
    <w:p w14:paraId="4CECB7A0" w14:textId="77777777" w:rsidR="00FE6554" w:rsidRPr="00FE6554" w:rsidRDefault="00FE6554" w:rsidP="00FE6554">
      <w:pPr>
        <w:pStyle w:val="BodyText"/>
        <w:spacing w:before="0"/>
        <w:jc w:val="both"/>
        <w:rPr>
          <w:i/>
          <w:iCs/>
          <w:sz w:val="22"/>
          <w:szCs w:val="22"/>
        </w:rPr>
      </w:pPr>
      <w:r w:rsidRPr="00FE6554">
        <w:rPr>
          <w:i/>
          <w:iCs/>
          <w:sz w:val="22"/>
          <w:szCs w:val="22"/>
        </w:rPr>
        <w:t>Because the Company's property interests may not contain any mineral deposits and because the Company have never made a profit from operations, the Company's securities are highly speculative, and investors may lose all their investment in the Company.</w:t>
      </w:r>
    </w:p>
    <w:p w14:paraId="304D4227" w14:textId="77777777" w:rsidR="00FE6554" w:rsidRPr="00FE6554" w:rsidRDefault="00FE6554" w:rsidP="00FE6554">
      <w:pPr>
        <w:pStyle w:val="BodyText"/>
        <w:spacing w:before="0"/>
        <w:jc w:val="both"/>
        <w:rPr>
          <w:sz w:val="22"/>
          <w:szCs w:val="22"/>
        </w:rPr>
      </w:pPr>
    </w:p>
    <w:p w14:paraId="1EEFA185" w14:textId="77777777" w:rsidR="00FE6554" w:rsidRPr="00FE6554" w:rsidRDefault="00FE6554" w:rsidP="00FE6554">
      <w:pPr>
        <w:pStyle w:val="BodyText"/>
        <w:spacing w:before="0"/>
        <w:jc w:val="both"/>
        <w:rPr>
          <w:sz w:val="22"/>
          <w:szCs w:val="22"/>
        </w:rPr>
      </w:pPr>
      <w:r w:rsidRPr="00FE6554">
        <w:rPr>
          <w:sz w:val="22"/>
          <w:szCs w:val="22"/>
        </w:rPr>
        <w:t>The Company's securities must be considered highly speculative, generally because of the nature of its business and the stage of exploration.  The Company currently has exploration stage property interests which may not contain mineral deposits.  The Company may or may not acquire additional interests in other mineral properties, but the Company does not have plans to acquire rights in any specific mineral properties as of the date of this Management’s Discussion and Analysis.  Accordingly, the Company have not generated any revenues nor have the Company realized a profit from operations to date and there is little likelihood that the Company will generate any revenues or realize any profits in the short term.  Any profitability in the future from the Company's business will be dependent upon locating and exploiting mineral deposits on current properties or mineral deposits on any additional properties that the Company may acquire and subsequent development.  The likelihood that any mineral properties that the Company may acquire or have an interest in will contain commercially exploitable mineral deposits is extremely remote.  The Company may never discover mineral deposits in respect to current properties or any other area, or the Company may do so and still not be commercially successful if the Company is unable to exploit those mineral deposits profitably.  The Company may not be able to operate profitably and may have to cease operations, the price of the Company's securities may decline, and investors may lose all their investment in the Company.</w:t>
      </w:r>
    </w:p>
    <w:p w14:paraId="6A142C80" w14:textId="77777777" w:rsidR="00FE6554" w:rsidRPr="00FE6554" w:rsidRDefault="00FE6554" w:rsidP="00FE6554">
      <w:pPr>
        <w:pStyle w:val="BodyText"/>
        <w:spacing w:before="0"/>
        <w:jc w:val="both"/>
        <w:rPr>
          <w:sz w:val="22"/>
          <w:szCs w:val="22"/>
        </w:rPr>
      </w:pPr>
    </w:p>
    <w:p w14:paraId="22FC2BC1" w14:textId="77777777" w:rsidR="00FE6554" w:rsidRPr="00FE6554" w:rsidRDefault="00FE6554" w:rsidP="00FE6554">
      <w:pPr>
        <w:pStyle w:val="BodyText"/>
        <w:spacing w:before="0"/>
        <w:jc w:val="both"/>
        <w:rPr>
          <w:i/>
          <w:iCs/>
          <w:sz w:val="22"/>
          <w:szCs w:val="22"/>
        </w:rPr>
      </w:pPr>
      <w:r w:rsidRPr="00FE6554">
        <w:rPr>
          <w:i/>
          <w:iCs/>
          <w:sz w:val="22"/>
          <w:szCs w:val="22"/>
        </w:rPr>
        <w:t>As the Company face intense competition in the mineral exploration and exploitation industry, the Company will have to compete with</w:t>
      </w:r>
      <w:r w:rsidRPr="00FE6554">
        <w:rPr>
          <w:sz w:val="22"/>
          <w:szCs w:val="22"/>
        </w:rPr>
        <w:t xml:space="preserve"> </w:t>
      </w:r>
      <w:r w:rsidRPr="00FE6554">
        <w:rPr>
          <w:i/>
          <w:iCs/>
          <w:sz w:val="22"/>
          <w:szCs w:val="22"/>
        </w:rPr>
        <w:t>competitors for financing and for qualified managerial and technical employees.</w:t>
      </w:r>
    </w:p>
    <w:p w14:paraId="3F274B41" w14:textId="77777777" w:rsidR="00FE6554" w:rsidRPr="00FE6554" w:rsidRDefault="00FE6554" w:rsidP="00FE6554">
      <w:pPr>
        <w:pStyle w:val="BodyText"/>
        <w:spacing w:before="0"/>
        <w:jc w:val="both"/>
        <w:rPr>
          <w:i/>
          <w:iCs/>
          <w:sz w:val="22"/>
          <w:szCs w:val="22"/>
        </w:rPr>
      </w:pPr>
    </w:p>
    <w:p w14:paraId="0087E3B2" w14:textId="77777777" w:rsidR="004709FB" w:rsidRDefault="00FE6554" w:rsidP="00FE6554">
      <w:pPr>
        <w:pStyle w:val="BodyText"/>
        <w:spacing w:before="0"/>
        <w:jc w:val="both"/>
        <w:rPr>
          <w:sz w:val="22"/>
          <w:szCs w:val="22"/>
        </w:rPr>
        <w:sectPr w:rsidR="004709FB" w:rsidSect="00FE6554">
          <w:headerReference w:type="default" r:id="rId38"/>
          <w:headerReference w:type="first" r:id="rId39"/>
          <w:pgSz w:w="12240" w:h="15840" w:code="1"/>
          <w:pgMar w:top="1440" w:right="1440" w:bottom="432" w:left="1440" w:header="720" w:footer="720" w:gutter="0"/>
          <w:cols w:space="720"/>
          <w:titlePg/>
          <w:docGrid w:linePitch="360"/>
        </w:sectPr>
      </w:pPr>
      <w:r w:rsidRPr="00FE6554">
        <w:rPr>
          <w:sz w:val="22"/>
          <w:szCs w:val="22"/>
        </w:rPr>
        <w:t xml:space="preserve">Competition includes large established mining companies with substantial capabilities and with greater financial and technical resources than the Company have.  As a result of this competition, the Company may have to compete for financing and be unable to conduct any financing on terms the Company </w:t>
      </w:r>
    </w:p>
    <w:p w14:paraId="617EC2AB" w14:textId="690F06E1" w:rsidR="00FE6554" w:rsidRPr="00FE6554" w:rsidRDefault="00FE6554" w:rsidP="00FE6554">
      <w:pPr>
        <w:pStyle w:val="BodyText"/>
        <w:spacing w:before="0"/>
        <w:jc w:val="both"/>
        <w:rPr>
          <w:sz w:val="22"/>
          <w:szCs w:val="22"/>
        </w:rPr>
      </w:pPr>
      <w:r w:rsidRPr="00FE6554">
        <w:rPr>
          <w:sz w:val="22"/>
          <w:szCs w:val="22"/>
        </w:rPr>
        <w:lastRenderedPageBreak/>
        <w:t>consider acceptable.  The Company may also have to compete with the other mining companies for the recruitment and retention of qualified managerial and technical employees.  If the Company is unable to successfully compete for financing or for qualified employees, the exploration programs may be slowed down or suspended, which may cause operations to cease as a company.</w:t>
      </w:r>
    </w:p>
    <w:p w14:paraId="56FF13F4" w14:textId="77777777" w:rsidR="00FE6554" w:rsidRPr="00FE6554" w:rsidRDefault="00FE6554" w:rsidP="00FE6554">
      <w:pPr>
        <w:pStyle w:val="BodyText"/>
        <w:spacing w:before="0"/>
        <w:jc w:val="both"/>
        <w:rPr>
          <w:sz w:val="22"/>
          <w:szCs w:val="22"/>
        </w:rPr>
      </w:pPr>
    </w:p>
    <w:p w14:paraId="12AD5ED2" w14:textId="77777777" w:rsidR="00FE6554" w:rsidRPr="00FE6554" w:rsidRDefault="00FE6554" w:rsidP="00FE6554">
      <w:pPr>
        <w:pStyle w:val="BodyText"/>
        <w:spacing w:before="0"/>
        <w:jc w:val="both"/>
        <w:rPr>
          <w:i/>
          <w:iCs/>
          <w:sz w:val="22"/>
          <w:szCs w:val="22"/>
        </w:rPr>
      </w:pPr>
      <w:r w:rsidRPr="00FE6554">
        <w:rPr>
          <w:i/>
          <w:iCs/>
          <w:sz w:val="22"/>
          <w:szCs w:val="22"/>
        </w:rPr>
        <w:t>The Company have a history of losses and have a deficit, which raises substantial doubt about its ability to continue as a going concern.</w:t>
      </w:r>
    </w:p>
    <w:p w14:paraId="201B5656" w14:textId="77777777" w:rsidR="00FE6554" w:rsidRPr="00FE6554" w:rsidRDefault="00FE6554" w:rsidP="00FE6554">
      <w:pPr>
        <w:pStyle w:val="BodyText"/>
        <w:spacing w:before="0"/>
        <w:jc w:val="both"/>
        <w:rPr>
          <w:i/>
          <w:iCs/>
          <w:sz w:val="22"/>
          <w:szCs w:val="22"/>
        </w:rPr>
      </w:pPr>
    </w:p>
    <w:p w14:paraId="53CBF5FC" w14:textId="77777777" w:rsidR="00FE6554" w:rsidRPr="00FE6554" w:rsidRDefault="00FE6554" w:rsidP="00FE6554">
      <w:pPr>
        <w:autoSpaceDE w:val="0"/>
        <w:autoSpaceDN w:val="0"/>
        <w:adjustRightInd w:val="0"/>
        <w:jc w:val="both"/>
        <w:rPr>
          <w:sz w:val="22"/>
          <w:szCs w:val="22"/>
        </w:rPr>
      </w:pPr>
      <w:r w:rsidRPr="00FE6554">
        <w:rPr>
          <w:sz w:val="22"/>
          <w:szCs w:val="22"/>
        </w:rPr>
        <w:t>The Company has not generated any revenues during the three months ended October 31, 2019 and 2018. The Company will continue to incur operating expenses without revenues if and until the Company engages in commercial operations. Accumulated loss as of October 31, 2019 was $17,432,326 since inception.  The Company had cash and cash equivalents in the amount of $1,948,213 as at October 31, 2019. The Company estimates the average monthly operating expenses to be approximately $50,000 each month. This estimate depends on whether the Company is active or inactive with the work programs. The Company cannot provide assurances that the Company will be able to successfully explore and develop its property interests. These circumstances raise substantial doubt about its ability to continue as a going concern, which was also described in an explanatory paragraph to the independent auditors' report on the Company's audited financial statements, July 31, 2019. If the Company is unable to continue as a going concern, investors will likely lose all their investments in the Company.</w:t>
      </w:r>
    </w:p>
    <w:p w14:paraId="52A8AF18" w14:textId="77777777" w:rsidR="00FE6554" w:rsidRPr="00FE6554" w:rsidRDefault="00FE6554" w:rsidP="00FE6554">
      <w:pPr>
        <w:autoSpaceDE w:val="0"/>
        <w:autoSpaceDN w:val="0"/>
        <w:adjustRightInd w:val="0"/>
        <w:jc w:val="both"/>
        <w:rPr>
          <w:sz w:val="22"/>
          <w:szCs w:val="22"/>
        </w:rPr>
      </w:pPr>
    </w:p>
    <w:p w14:paraId="2C5210CC" w14:textId="77777777" w:rsidR="00FE6554" w:rsidRPr="00FE6554" w:rsidRDefault="00FE6554" w:rsidP="00FE6554">
      <w:pPr>
        <w:pStyle w:val="BodyText"/>
        <w:spacing w:before="0"/>
        <w:jc w:val="both"/>
        <w:rPr>
          <w:i/>
          <w:iCs/>
          <w:sz w:val="22"/>
          <w:szCs w:val="22"/>
        </w:rPr>
      </w:pPr>
      <w:r w:rsidRPr="00FE6554">
        <w:rPr>
          <w:i/>
          <w:iCs/>
          <w:sz w:val="22"/>
          <w:szCs w:val="22"/>
        </w:rPr>
        <w:t>The Company's future is dependent upon its ability to obtain financing and if the Company does not obtain such financing, the Company may have to cease its exploration activities and investors could lose their entire investment.</w:t>
      </w:r>
    </w:p>
    <w:p w14:paraId="635B3D38" w14:textId="77777777" w:rsidR="00FE6554" w:rsidRPr="00FE6554" w:rsidRDefault="00FE6554" w:rsidP="00FE6554">
      <w:pPr>
        <w:pStyle w:val="BodyText"/>
        <w:spacing w:before="0"/>
        <w:jc w:val="both"/>
        <w:rPr>
          <w:i/>
          <w:iCs/>
          <w:sz w:val="22"/>
          <w:szCs w:val="22"/>
        </w:rPr>
      </w:pPr>
    </w:p>
    <w:p w14:paraId="3E4888C0" w14:textId="77777777" w:rsidR="00FE6554" w:rsidRPr="00FE6554" w:rsidRDefault="00FE6554" w:rsidP="00FE6554">
      <w:pPr>
        <w:pStyle w:val="BodyText"/>
        <w:spacing w:before="0"/>
        <w:jc w:val="both"/>
        <w:rPr>
          <w:sz w:val="22"/>
          <w:szCs w:val="22"/>
        </w:rPr>
      </w:pPr>
      <w:r w:rsidRPr="00FE6554">
        <w:rPr>
          <w:sz w:val="22"/>
          <w:szCs w:val="22"/>
        </w:rPr>
        <w:t>There is no assurance that the Company will operate profitably or will generate any positive cash flow in the future.  The Company will require additional financing in order to proceed with the exploration and, if warranted, development of its properties.  The Company will also require additional financing for fees the Company must pay to maintain its status in relation to the rights to the properties and to pay the fees and expenses necessary to operate as a public company.  The Company will also need more funds if the costs of the exploration of its mineral claims are greater than the Company has anticipated.  The Company will require additional financing to sustain its business operations if the Company is not successful in earning revenues.  The Company will also need further financing if the Company decides to obtain additional mineral properties.  The Company currently does not have any arrangements for further financing as the Company believes that it is sufficiently funded for the current operations but in future the Company expects to raise additional capital as the needs arise.  The Company's future is dependent upon its ability to obtain financing.  If the Company does not obtain such financing, its business could fail, and investors could lose their entire investment.</w:t>
      </w:r>
    </w:p>
    <w:p w14:paraId="7FB30DCE" w14:textId="77777777" w:rsidR="00FE6554" w:rsidRPr="00FE6554" w:rsidRDefault="00FE6554" w:rsidP="00FE6554">
      <w:pPr>
        <w:pStyle w:val="BodyText"/>
        <w:spacing w:before="0"/>
        <w:jc w:val="both"/>
        <w:rPr>
          <w:sz w:val="22"/>
          <w:szCs w:val="22"/>
        </w:rPr>
      </w:pPr>
    </w:p>
    <w:p w14:paraId="132592CC" w14:textId="77777777" w:rsidR="00FE6554" w:rsidRPr="00FE6554" w:rsidRDefault="00FE6554" w:rsidP="00FE6554">
      <w:pPr>
        <w:pStyle w:val="BodyText"/>
        <w:spacing w:before="0"/>
        <w:jc w:val="both"/>
        <w:rPr>
          <w:i/>
          <w:iCs/>
          <w:sz w:val="22"/>
          <w:szCs w:val="22"/>
        </w:rPr>
      </w:pPr>
      <w:r w:rsidRPr="00FE6554">
        <w:rPr>
          <w:i/>
          <w:iCs/>
          <w:sz w:val="22"/>
          <w:szCs w:val="22"/>
        </w:rPr>
        <w:t>The Company's directors and officers are engaged in other business activities and accordingly may not devote sufficient time to the Company's business affairs, which may affect its ability to conduct operations and generate revenues.</w:t>
      </w:r>
    </w:p>
    <w:p w14:paraId="237D526F" w14:textId="77777777" w:rsidR="00FE6554" w:rsidRPr="00FE6554" w:rsidRDefault="00FE6554" w:rsidP="00FE6554">
      <w:pPr>
        <w:pStyle w:val="BodyText"/>
        <w:spacing w:before="0"/>
        <w:jc w:val="both"/>
        <w:rPr>
          <w:sz w:val="22"/>
          <w:szCs w:val="22"/>
        </w:rPr>
      </w:pPr>
    </w:p>
    <w:p w14:paraId="19D03A41" w14:textId="77777777" w:rsidR="00FE6554" w:rsidRPr="00FE6554" w:rsidRDefault="00FE6554" w:rsidP="00FE6554">
      <w:pPr>
        <w:pStyle w:val="BodyText"/>
        <w:spacing w:before="0"/>
        <w:jc w:val="both"/>
        <w:rPr>
          <w:sz w:val="22"/>
          <w:szCs w:val="22"/>
        </w:rPr>
      </w:pPr>
      <w:r w:rsidRPr="00FE6554">
        <w:rPr>
          <w:sz w:val="22"/>
          <w:szCs w:val="22"/>
        </w:rPr>
        <w:t>The Company's directors and officers are involved in other business activities.  As a result of their other business endeavours, the Company's directors and officers will exercise their fiduciary duties and duty of care but nonetheless may not be able to devote sufficient time to the Company's business affairs, which may negatively affect the Company's ability to conduct ongoing operations and its ability to generate revenues.  In addition, the management of the Company may be periodically interrupted or delayed as a result of the Company's officers’ other business interests.</w:t>
      </w:r>
    </w:p>
    <w:p w14:paraId="38941CEE" w14:textId="77777777" w:rsidR="004709FB" w:rsidRDefault="004709FB" w:rsidP="00FE6554">
      <w:pPr>
        <w:pStyle w:val="BodyText"/>
        <w:spacing w:before="0"/>
        <w:jc w:val="both"/>
        <w:rPr>
          <w:sz w:val="22"/>
          <w:szCs w:val="22"/>
        </w:rPr>
        <w:sectPr w:rsidR="004709FB" w:rsidSect="00FE6554">
          <w:headerReference w:type="first" r:id="rId40"/>
          <w:pgSz w:w="12240" w:h="15840" w:code="1"/>
          <w:pgMar w:top="1440" w:right="1440" w:bottom="432" w:left="1440" w:header="720" w:footer="720" w:gutter="0"/>
          <w:cols w:space="720"/>
          <w:titlePg/>
          <w:docGrid w:linePitch="360"/>
        </w:sectPr>
      </w:pPr>
    </w:p>
    <w:p w14:paraId="0BC2E13D" w14:textId="77777777" w:rsidR="00FE6554" w:rsidRPr="00FE6554" w:rsidRDefault="00FE6554" w:rsidP="00FE6554">
      <w:pPr>
        <w:keepNext/>
        <w:jc w:val="both"/>
        <w:rPr>
          <w:sz w:val="22"/>
          <w:szCs w:val="22"/>
        </w:rPr>
      </w:pPr>
      <w:r w:rsidRPr="00FE6554">
        <w:rPr>
          <w:sz w:val="22"/>
          <w:szCs w:val="22"/>
        </w:rPr>
        <w:lastRenderedPageBreak/>
        <w:t>RISKS RELATING TO THE COMPANY'S COMMON STOCK</w:t>
      </w:r>
    </w:p>
    <w:p w14:paraId="4E479A2E" w14:textId="77777777" w:rsidR="00FE6554" w:rsidRPr="00FE6554" w:rsidRDefault="00FE6554" w:rsidP="00FE6554">
      <w:pPr>
        <w:keepNext/>
        <w:jc w:val="both"/>
        <w:rPr>
          <w:sz w:val="22"/>
          <w:szCs w:val="22"/>
        </w:rPr>
      </w:pPr>
    </w:p>
    <w:p w14:paraId="2BF2B951" w14:textId="77777777" w:rsidR="00FE6554" w:rsidRPr="00FE6554" w:rsidRDefault="00FE6554" w:rsidP="00FE6554">
      <w:pPr>
        <w:keepNext/>
        <w:jc w:val="both"/>
        <w:rPr>
          <w:sz w:val="22"/>
          <w:szCs w:val="22"/>
        </w:rPr>
      </w:pPr>
      <w:r w:rsidRPr="00FE6554">
        <w:rPr>
          <w:i/>
          <w:iCs/>
          <w:sz w:val="22"/>
          <w:szCs w:val="22"/>
        </w:rPr>
        <w:t>A decline in the price of the Company's common stock could affect its ability to raise further working capital and adversely impact ability to continue operations</w:t>
      </w:r>
      <w:r w:rsidRPr="00FE6554">
        <w:rPr>
          <w:sz w:val="22"/>
          <w:szCs w:val="22"/>
        </w:rPr>
        <w:t>.</w:t>
      </w:r>
    </w:p>
    <w:p w14:paraId="19BC33C4" w14:textId="77777777" w:rsidR="00FE6554" w:rsidRPr="00FE6554" w:rsidRDefault="00FE6554" w:rsidP="00FE6554">
      <w:pPr>
        <w:keepNext/>
        <w:jc w:val="both"/>
        <w:rPr>
          <w:sz w:val="22"/>
          <w:szCs w:val="22"/>
        </w:rPr>
      </w:pPr>
    </w:p>
    <w:p w14:paraId="641AA9C9" w14:textId="77777777" w:rsidR="00FE6554" w:rsidRPr="00FE6554" w:rsidRDefault="00FE6554" w:rsidP="00FE6554">
      <w:pPr>
        <w:jc w:val="both"/>
        <w:rPr>
          <w:sz w:val="22"/>
          <w:szCs w:val="22"/>
        </w:rPr>
      </w:pPr>
      <w:r w:rsidRPr="00FE6554">
        <w:rPr>
          <w:sz w:val="22"/>
          <w:szCs w:val="22"/>
        </w:rPr>
        <w:t>A prolonged decline in the price of the Company's common stock could result in a reduction in the liquidity of its common stock and a reduction in its ability to raise capital. Because a significant portion of operations have been and will be financed through the continued sale of equity securities, a decline in the price of the common stock could be especially detrimental to liquidity and operations. Such reductions may force the Company to reallocate funds from other planned uses and may have a significant negative effect on business plans and operations, including the ability to continue current operations. If the Company's stock price declines, the Company can offer no assurance that it will be able to raise additional capital or generate funds from operations sufficient to meet its obligations. If the Company is unable to raise sufficient capital in the future, the Company may not be able to have the resources to continue normal operations or become insolvent.</w:t>
      </w:r>
    </w:p>
    <w:p w14:paraId="6DF07E13" w14:textId="77777777" w:rsidR="00FE6554" w:rsidRPr="00FE6554" w:rsidRDefault="00FE6554" w:rsidP="00FE6554">
      <w:pPr>
        <w:jc w:val="both"/>
        <w:rPr>
          <w:sz w:val="22"/>
          <w:szCs w:val="22"/>
        </w:rPr>
      </w:pPr>
    </w:p>
    <w:p w14:paraId="3E219AFC" w14:textId="77777777" w:rsidR="00FE6554" w:rsidRPr="00FE6554" w:rsidRDefault="00FE6554" w:rsidP="00FE6554">
      <w:pPr>
        <w:jc w:val="both"/>
        <w:rPr>
          <w:sz w:val="22"/>
          <w:szCs w:val="22"/>
        </w:rPr>
      </w:pPr>
      <w:r w:rsidRPr="00FE6554">
        <w:rPr>
          <w:sz w:val="22"/>
          <w:szCs w:val="22"/>
        </w:rPr>
        <w:t xml:space="preserve">The market price for the Company's common stock may also be affected by its ability to meet or exceed expectations of analysts or investors. Any failure to meet these expectations, even if minor, may have a material adverse effect on the market price of its common stock and its operations as a result. </w:t>
      </w:r>
    </w:p>
    <w:p w14:paraId="2A438798" w14:textId="77777777" w:rsidR="00FE6554" w:rsidRPr="00FE6554" w:rsidRDefault="00FE6554" w:rsidP="00FE6554">
      <w:pPr>
        <w:tabs>
          <w:tab w:val="left" w:pos="180"/>
        </w:tabs>
        <w:jc w:val="both"/>
        <w:rPr>
          <w:sz w:val="22"/>
          <w:szCs w:val="22"/>
        </w:rPr>
      </w:pPr>
    </w:p>
    <w:p w14:paraId="7BB5A815" w14:textId="77777777" w:rsidR="00FE6554" w:rsidRPr="00FE6554" w:rsidRDefault="00FE6554" w:rsidP="00FE6554">
      <w:pPr>
        <w:keepNext/>
        <w:tabs>
          <w:tab w:val="left" w:pos="180"/>
        </w:tabs>
        <w:jc w:val="both"/>
        <w:rPr>
          <w:b/>
          <w:bCs/>
          <w:sz w:val="22"/>
          <w:szCs w:val="22"/>
        </w:rPr>
      </w:pPr>
      <w:r w:rsidRPr="00FE6554">
        <w:rPr>
          <w:b/>
          <w:bCs/>
          <w:sz w:val="22"/>
          <w:szCs w:val="22"/>
        </w:rPr>
        <w:t>Additional Information</w:t>
      </w:r>
    </w:p>
    <w:p w14:paraId="02FE33FB" w14:textId="77777777" w:rsidR="00FE6554" w:rsidRPr="00FE6554" w:rsidRDefault="00FE6554" w:rsidP="00FE6554">
      <w:pPr>
        <w:keepNext/>
        <w:tabs>
          <w:tab w:val="left" w:pos="180"/>
        </w:tabs>
        <w:jc w:val="both"/>
        <w:rPr>
          <w:b/>
          <w:bCs/>
          <w:sz w:val="22"/>
          <w:szCs w:val="22"/>
        </w:rPr>
      </w:pPr>
    </w:p>
    <w:p w14:paraId="6D1CCB85" w14:textId="77777777" w:rsidR="00FE6554" w:rsidRPr="00FE6554" w:rsidRDefault="00FE6554" w:rsidP="00FE6554">
      <w:pPr>
        <w:tabs>
          <w:tab w:val="left" w:pos="180"/>
        </w:tabs>
        <w:jc w:val="both"/>
        <w:rPr>
          <w:sz w:val="22"/>
          <w:szCs w:val="22"/>
        </w:rPr>
      </w:pPr>
      <w:r w:rsidRPr="00FE6554">
        <w:rPr>
          <w:sz w:val="22"/>
          <w:szCs w:val="22"/>
        </w:rPr>
        <w:t>The Company files annual and interim reports, information circulars and other information with certain Canadian securities regulatory authorities.  The documents filed with the Canadian securities regulatory authorities are available at http://www.sedar.com.</w:t>
      </w:r>
    </w:p>
    <w:p w14:paraId="24D341FB" w14:textId="77777777" w:rsidR="00E240FA" w:rsidRPr="00FC3380" w:rsidRDefault="00E240FA" w:rsidP="005F42F4">
      <w:pPr>
        <w:jc w:val="center"/>
        <w:rPr>
          <w:sz w:val="24"/>
          <w:szCs w:val="24"/>
        </w:rPr>
      </w:pPr>
    </w:p>
    <w:sectPr w:rsidR="00E240FA" w:rsidRPr="00FC3380" w:rsidSect="00FE6554">
      <w:headerReference w:type="first" r:id="rId41"/>
      <w:pgSz w:w="12240" w:h="15840" w:code="1"/>
      <w:pgMar w:top="1440"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5AD2E" w14:textId="77777777" w:rsidR="00B566F3" w:rsidRDefault="00B566F3">
      <w:r>
        <w:separator/>
      </w:r>
    </w:p>
  </w:endnote>
  <w:endnote w:type="continuationSeparator" w:id="0">
    <w:p w14:paraId="2AD7D1EC" w14:textId="77777777" w:rsidR="00B566F3" w:rsidRDefault="00B5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C50B" w14:textId="77777777" w:rsidR="00FE6554" w:rsidRDefault="00FE6554">
    <w:pPr>
      <w:pStyle w:val="Footer"/>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E6A9B" w14:textId="77777777" w:rsidR="00FE6554" w:rsidRDefault="00FE6554" w:rsidP="00495559">
    <w:pPr>
      <w:jc w:val="center"/>
      <w:rPr>
        <w:sz w:val="22"/>
      </w:rPr>
    </w:pPr>
    <w:r w:rsidRPr="00CA016E">
      <w:rPr>
        <w:sz w:val="15"/>
        <w:szCs w:val="15"/>
      </w:rPr>
      <w:t xml:space="preserve">The accompanying notes </w:t>
    </w:r>
    <w:r>
      <w:rPr>
        <w:sz w:val="15"/>
        <w:szCs w:val="15"/>
      </w:rPr>
      <w:t>form</w:t>
    </w:r>
    <w:r w:rsidRPr="00CA016E">
      <w:rPr>
        <w:sz w:val="15"/>
        <w:szCs w:val="15"/>
      </w:rPr>
      <w:t xml:space="preserve"> an integral part of these</w:t>
    </w:r>
    <w:r>
      <w:rPr>
        <w:sz w:val="15"/>
        <w:szCs w:val="15"/>
      </w:rPr>
      <w:t xml:space="preserve"> condensed consolidated interim financial</w:t>
    </w:r>
    <w:r w:rsidRPr="00CA016E">
      <w:rPr>
        <w:sz w:val="15"/>
        <w:szCs w:val="15"/>
      </w:rPr>
      <w:t xml:space="preserve"> statements.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1FA8" w14:textId="77777777" w:rsidR="00FE6554" w:rsidRDefault="00FE6554" w:rsidP="00495559">
    <w:pPr>
      <w:jc w:val="center"/>
      <w:rPr>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87F0" w14:textId="77777777" w:rsidR="00FE6554" w:rsidRPr="00554459" w:rsidRDefault="00FE6554" w:rsidP="005544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C8CE" w14:textId="77777777" w:rsidR="00FE6554" w:rsidRPr="000A2C38" w:rsidRDefault="00FE6554" w:rsidP="000A2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C4AF8" w14:textId="77777777" w:rsidR="00B566F3" w:rsidRDefault="00B566F3">
      <w:r>
        <w:separator/>
      </w:r>
    </w:p>
  </w:footnote>
  <w:footnote w:type="continuationSeparator" w:id="0">
    <w:p w14:paraId="18B62A85" w14:textId="77777777" w:rsidR="00B566F3" w:rsidRDefault="00B56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8934" w14:textId="77777777" w:rsidR="00FE6554" w:rsidRDefault="00FE6554" w:rsidP="00495559">
    <w:pPr>
      <w:pStyle w:val="Style1"/>
    </w:pPr>
    <w:proofErr w:type="spellStart"/>
    <w:r>
      <w:t>Brookemont</w:t>
    </w:r>
    <w:proofErr w:type="spellEnd"/>
    <w:r>
      <w:t xml:space="preserve"> Capital Inc.</w:t>
    </w:r>
  </w:p>
  <w:p w14:paraId="13C659C6" w14:textId="77777777" w:rsidR="00FE6554" w:rsidRDefault="00FE6554" w:rsidP="00495559">
    <w:pPr>
      <w:jc w:val="both"/>
      <w:rPr>
        <w:sz w:val="22"/>
      </w:rPr>
    </w:pPr>
    <w:r>
      <w:rPr>
        <w:sz w:val="22"/>
      </w:rPr>
      <w:t>Notes to the Condensed consolidated interim financial Statements</w:t>
    </w:r>
  </w:p>
  <w:p w14:paraId="3B6EB827" w14:textId="77777777" w:rsidR="00FE6554" w:rsidRDefault="00FE6554" w:rsidP="00495559">
    <w:pPr>
      <w:jc w:val="both"/>
      <w:rPr>
        <w:sz w:val="22"/>
      </w:rPr>
    </w:pPr>
    <w:r>
      <w:rPr>
        <w:sz w:val="22"/>
      </w:rPr>
      <w:t>Unaudited – Prepared by Management</w:t>
    </w:r>
  </w:p>
  <w:p w14:paraId="219B84FD" w14:textId="77777777" w:rsidR="00FE6554" w:rsidRDefault="00FE6554" w:rsidP="00495559">
    <w:pPr>
      <w:jc w:val="both"/>
      <w:rPr>
        <w:sz w:val="22"/>
      </w:rPr>
    </w:pPr>
    <w:r>
      <w:rPr>
        <w:sz w:val="22"/>
      </w:rPr>
      <w:t>Years ended July 31, 2011</w:t>
    </w:r>
  </w:p>
  <w:p w14:paraId="6649A910" w14:textId="77777777" w:rsidR="00FE6554" w:rsidRDefault="00FE6554" w:rsidP="00495559">
    <w:pPr>
      <w:jc w:val="both"/>
      <w:rPr>
        <w:sz w:val="22"/>
      </w:rPr>
    </w:pPr>
    <w:r>
      <w:rPr>
        <w:sz w:val="22"/>
        <w:u w:val="single"/>
      </w:rPr>
      <w:t>Expressed in Canadian Dollars</w:t>
    </w:r>
    <w:r>
      <w:rPr>
        <w:sz w:val="22"/>
      </w:rPr>
      <w:t xml:space="preserve"> – Page </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p w14:paraId="32E7ABC5" w14:textId="77777777" w:rsidR="00FE6554" w:rsidRDefault="00FE655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ECA0" w14:textId="77777777" w:rsidR="00FE6554" w:rsidRDefault="00FE6554">
    <w:pPr>
      <w:pStyle w:val="Header"/>
      <w:framePr w:wrap="around" w:vAnchor="text" w:hAnchor="margin" w:xAlign="center" w:y="1"/>
      <w:rPr>
        <w:rStyle w:val="PageNumber"/>
        <w:sz w:val="24"/>
      </w:rPr>
    </w:pPr>
  </w:p>
  <w:p w14:paraId="3EB88E17" w14:textId="77777777" w:rsidR="00FE6554" w:rsidRDefault="00FE6554">
    <w:pPr>
      <w:pStyle w:val="Header"/>
      <w:tabs>
        <w:tab w:val="clear" w:pos="8640"/>
        <w:tab w:val="right" w:pos="7830"/>
      </w:tabs>
      <w:jc w:val="right"/>
      <w:rPr>
        <w:sz w:val="24"/>
      </w:rPr>
    </w:pPr>
  </w:p>
  <w:p w14:paraId="492FEBA3" w14:textId="77777777" w:rsidR="00FE6554" w:rsidRDefault="00FE6554" w:rsidP="00554459">
    <w:pPr>
      <w:pStyle w:val="Style1"/>
    </w:pPr>
    <w:r>
      <w:t>Cruz Cobalt Corp.</w:t>
    </w:r>
  </w:p>
  <w:p w14:paraId="4E6F998A" w14:textId="77777777" w:rsidR="00FE6554" w:rsidRDefault="00FE6554" w:rsidP="00554459">
    <w:pPr>
      <w:jc w:val="both"/>
      <w:rPr>
        <w:sz w:val="22"/>
      </w:rPr>
    </w:pPr>
    <w:r>
      <w:rPr>
        <w:sz w:val="22"/>
      </w:rPr>
      <w:t>Notes to the Condensed consolidated interim Financial Statements</w:t>
    </w:r>
  </w:p>
  <w:p w14:paraId="2A622E5B" w14:textId="77777777" w:rsidR="00FE6554" w:rsidRDefault="00FE6554" w:rsidP="00554459">
    <w:pPr>
      <w:jc w:val="both"/>
      <w:rPr>
        <w:sz w:val="22"/>
      </w:rPr>
    </w:pPr>
    <w:r>
      <w:rPr>
        <w:sz w:val="22"/>
      </w:rPr>
      <w:t>(Expressed in Canadian Dollars)</w:t>
    </w:r>
  </w:p>
  <w:p w14:paraId="13993021" w14:textId="29795297" w:rsidR="00FE6554" w:rsidRDefault="00FE6554" w:rsidP="00554459">
    <w:pPr>
      <w:jc w:val="both"/>
      <w:rPr>
        <w:rStyle w:val="PageNumber"/>
        <w:sz w:val="22"/>
        <w:szCs w:val="22"/>
      </w:rPr>
    </w:pPr>
    <w:r>
      <w:rPr>
        <w:sz w:val="22"/>
        <w:u w:val="single"/>
      </w:rPr>
      <w:t>October 31, 2019</w:t>
    </w:r>
    <w:r>
      <w:rPr>
        <w:sz w:val="22"/>
      </w:rPr>
      <w:t xml:space="preserve"> – Page 9</w:t>
    </w:r>
  </w:p>
  <w:p w14:paraId="76D81802" w14:textId="77777777" w:rsidR="00FE6554" w:rsidRDefault="00FE6554" w:rsidP="00554459">
    <w:pPr>
      <w:jc w:val="both"/>
      <w:rPr>
        <w:sz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0BF9" w14:textId="77777777" w:rsidR="00FE6554" w:rsidRDefault="00FE6554">
    <w:pPr>
      <w:pStyle w:val="Header"/>
      <w:framePr w:wrap="around" w:vAnchor="text" w:hAnchor="margin" w:xAlign="center" w:y="1"/>
      <w:rPr>
        <w:rStyle w:val="PageNumber"/>
        <w:sz w:val="24"/>
      </w:rPr>
    </w:pPr>
  </w:p>
  <w:p w14:paraId="0A470CAD" w14:textId="77777777" w:rsidR="00FE6554" w:rsidRDefault="00FE6554">
    <w:pPr>
      <w:pStyle w:val="Header"/>
      <w:tabs>
        <w:tab w:val="clear" w:pos="8640"/>
        <w:tab w:val="right" w:pos="7830"/>
      </w:tabs>
      <w:jc w:val="right"/>
      <w:rPr>
        <w:sz w:val="24"/>
      </w:rPr>
    </w:pPr>
  </w:p>
  <w:p w14:paraId="62BE0BAF" w14:textId="77777777" w:rsidR="00FE6554" w:rsidRDefault="00FE6554" w:rsidP="00554459">
    <w:pPr>
      <w:pStyle w:val="Style1"/>
    </w:pPr>
    <w:r>
      <w:t>Cruz Cobalt Corp.</w:t>
    </w:r>
  </w:p>
  <w:p w14:paraId="2FD31350" w14:textId="77777777" w:rsidR="00FE6554" w:rsidRDefault="00FE6554" w:rsidP="00554459">
    <w:pPr>
      <w:jc w:val="both"/>
      <w:rPr>
        <w:sz w:val="22"/>
      </w:rPr>
    </w:pPr>
    <w:r>
      <w:rPr>
        <w:sz w:val="22"/>
      </w:rPr>
      <w:t>Notes to the Condensed consolidated interim Financial Statements</w:t>
    </w:r>
  </w:p>
  <w:p w14:paraId="4F98BCA1" w14:textId="77777777" w:rsidR="00FE6554" w:rsidRDefault="00FE6554" w:rsidP="00554459">
    <w:pPr>
      <w:jc w:val="both"/>
      <w:rPr>
        <w:sz w:val="22"/>
      </w:rPr>
    </w:pPr>
    <w:r>
      <w:rPr>
        <w:sz w:val="22"/>
      </w:rPr>
      <w:t>(Expressed in Canadian Dollars)</w:t>
    </w:r>
  </w:p>
  <w:p w14:paraId="31893ACA" w14:textId="7820FC16" w:rsidR="00FE6554" w:rsidRDefault="00FE6554" w:rsidP="00554459">
    <w:pPr>
      <w:jc w:val="both"/>
      <w:rPr>
        <w:rStyle w:val="PageNumber"/>
        <w:sz w:val="22"/>
        <w:szCs w:val="22"/>
      </w:rPr>
    </w:pPr>
    <w:r>
      <w:rPr>
        <w:sz w:val="22"/>
        <w:u w:val="single"/>
      </w:rPr>
      <w:t>October 31, 2019</w:t>
    </w:r>
    <w:r>
      <w:rPr>
        <w:sz w:val="22"/>
      </w:rPr>
      <w:t xml:space="preserve"> – Page 10</w:t>
    </w:r>
  </w:p>
  <w:p w14:paraId="78A12A1A" w14:textId="77777777" w:rsidR="00FE6554" w:rsidRDefault="00FE6554" w:rsidP="00554459">
    <w:pPr>
      <w:jc w:val="both"/>
      <w:rPr>
        <w:sz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89506" w14:textId="77777777" w:rsidR="00FE6554" w:rsidRPr="00F934B9" w:rsidRDefault="00FE6554" w:rsidP="00FE6554">
    <w:pPr>
      <w:pStyle w:val="Header"/>
    </w:pPr>
    <w:r>
      <w:t xml:space="preserve">Cruz Cobalt Corp. </w:t>
    </w:r>
    <w:r w:rsidRPr="003803FA">
      <w:tab/>
    </w:r>
    <w:r w:rsidRPr="003803FA">
      <w:tab/>
    </w:r>
  </w:p>
  <w:p w14:paraId="3839BA5B" w14:textId="4F8C0AC3" w:rsidR="00FE6554" w:rsidRDefault="00FE6554"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w:t>
    </w:r>
  </w:p>
  <w:p w14:paraId="19AF1139" w14:textId="77777777" w:rsidR="00FE6554" w:rsidRPr="007B36C3" w:rsidRDefault="00FE6554">
    <w:pPr>
      <w:pStyle w:val="Header"/>
      <w:rPr>
        <w:lang w:val="en-CA"/>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16DF" w14:textId="77777777" w:rsidR="00FE6554" w:rsidRPr="00FE6554" w:rsidRDefault="00FE6554" w:rsidP="00FE655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41AA" w14:textId="77777777" w:rsidR="00FE6554" w:rsidRPr="00F934B9" w:rsidRDefault="00FE6554" w:rsidP="00FE6554">
    <w:pPr>
      <w:pStyle w:val="Header"/>
    </w:pPr>
    <w:r>
      <w:t xml:space="preserve">Cruz Cobalt Corp. </w:t>
    </w:r>
    <w:r w:rsidRPr="003803FA">
      <w:tab/>
    </w:r>
    <w:r w:rsidRPr="003803FA">
      <w:tab/>
    </w:r>
  </w:p>
  <w:p w14:paraId="1253FB77" w14:textId="21C77852" w:rsidR="00FE6554" w:rsidRDefault="00FE6554"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3</w:t>
    </w:r>
  </w:p>
  <w:p w14:paraId="3AE2BC81" w14:textId="77777777" w:rsidR="00FE6554" w:rsidRPr="007B36C3" w:rsidRDefault="00FE6554">
    <w:pPr>
      <w:pStyle w:val="Header"/>
      <w:rPr>
        <w:lang w:val="en-CA"/>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B5D7" w14:textId="77777777" w:rsidR="00FE6554" w:rsidRPr="00F934B9" w:rsidRDefault="00FE6554" w:rsidP="00FE6554">
    <w:pPr>
      <w:pStyle w:val="Header"/>
    </w:pPr>
    <w:r>
      <w:t xml:space="preserve">Cruz Cobalt Corp. </w:t>
    </w:r>
    <w:r w:rsidRPr="003803FA">
      <w:tab/>
    </w:r>
    <w:r w:rsidRPr="003803FA">
      <w:tab/>
    </w:r>
  </w:p>
  <w:p w14:paraId="27C4BB45" w14:textId="05156A42" w:rsidR="00FE6554" w:rsidRDefault="00FE6554"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w:t>
    </w:r>
    <w:r>
      <w:rPr>
        <w:rStyle w:val="PageNumber"/>
        <w:sz w:val="22"/>
        <w:szCs w:val="22"/>
      </w:rPr>
      <w:t>2</w:t>
    </w:r>
  </w:p>
  <w:p w14:paraId="41510874" w14:textId="77777777" w:rsidR="00FE6554" w:rsidRPr="00FE6554" w:rsidRDefault="00FE6554" w:rsidP="00FE655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A521" w14:textId="77777777" w:rsidR="00FE6554" w:rsidRPr="00F934B9" w:rsidRDefault="00FE6554" w:rsidP="00FE6554">
    <w:pPr>
      <w:pStyle w:val="Header"/>
    </w:pPr>
    <w:r>
      <w:t xml:space="preserve">Cruz Cobalt Corp. </w:t>
    </w:r>
    <w:r w:rsidRPr="003803FA">
      <w:tab/>
    </w:r>
    <w:r w:rsidRPr="003803FA">
      <w:tab/>
    </w:r>
  </w:p>
  <w:p w14:paraId="47AEDC4C" w14:textId="2A528ACC" w:rsidR="00FE6554" w:rsidRDefault="00FE6554"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w:t>
    </w:r>
    <w:r>
      <w:rPr>
        <w:rStyle w:val="PageNumber"/>
        <w:sz w:val="22"/>
        <w:szCs w:val="22"/>
      </w:rPr>
      <w:t>4</w:t>
    </w:r>
  </w:p>
  <w:p w14:paraId="1A462C73" w14:textId="77777777" w:rsidR="00FE6554" w:rsidRPr="00FE6554" w:rsidRDefault="00FE6554" w:rsidP="00FE655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2AC1" w14:textId="77777777" w:rsidR="00FE6554" w:rsidRPr="00F934B9" w:rsidRDefault="00FE6554" w:rsidP="00FE6554">
    <w:pPr>
      <w:pStyle w:val="Header"/>
    </w:pPr>
    <w:r>
      <w:t xml:space="preserve">Cruz Cobalt Corp. </w:t>
    </w:r>
    <w:r w:rsidRPr="003803FA">
      <w:tab/>
    </w:r>
    <w:r w:rsidRPr="003803FA">
      <w:tab/>
    </w:r>
  </w:p>
  <w:p w14:paraId="6CE5119E" w14:textId="1E84581C" w:rsidR="00FE6554" w:rsidRDefault="00FE6554"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6</w:t>
    </w:r>
  </w:p>
  <w:p w14:paraId="2AE1BCA2" w14:textId="77777777" w:rsidR="00FE6554" w:rsidRPr="007B36C3" w:rsidRDefault="00FE6554">
    <w:pPr>
      <w:pStyle w:val="Header"/>
      <w:rPr>
        <w:lang w:val="en-CA"/>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1D46" w14:textId="77777777" w:rsidR="00FE6554" w:rsidRPr="00F934B9" w:rsidRDefault="00FE6554" w:rsidP="00FE6554">
    <w:pPr>
      <w:pStyle w:val="Header"/>
    </w:pPr>
    <w:r>
      <w:t xml:space="preserve">Cruz Cobalt Corp. </w:t>
    </w:r>
    <w:r w:rsidRPr="003803FA">
      <w:tab/>
    </w:r>
    <w:r w:rsidRPr="003803FA">
      <w:tab/>
    </w:r>
  </w:p>
  <w:p w14:paraId="3BD1CE83" w14:textId="7FB544E3" w:rsidR="00FE6554" w:rsidRDefault="00FE6554"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w:t>
    </w:r>
    <w:r>
      <w:rPr>
        <w:rStyle w:val="PageNumber"/>
        <w:sz w:val="22"/>
        <w:szCs w:val="22"/>
      </w:rPr>
      <w:t>5</w:t>
    </w:r>
  </w:p>
  <w:p w14:paraId="7AEC4763" w14:textId="77777777" w:rsidR="00FE6554" w:rsidRPr="00FE6554" w:rsidRDefault="00FE6554" w:rsidP="00FE655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F7C3" w14:textId="77777777" w:rsidR="00FE6554" w:rsidRPr="00F934B9" w:rsidRDefault="00FE6554" w:rsidP="00FE6554">
    <w:pPr>
      <w:pStyle w:val="Header"/>
    </w:pPr>
    <w:r>
      <w:t xml:space="preserve">Cruz Cobalt Corp. </w:t>
    </w:r>
    <w:r w:rsidRPr="003803FA">
      <w:tab/>
    </w:r>
    <w:r w:rsidRPr="003803FA">
      <w:tab/>
    </w:r>
  </w:p>
  <w:p w14:paraId="6985ADAF" w14:textId="33DD8907" w:rsidR="00FE6554" w:rsidRDefault="00FE6554"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w:t>
    </w:r>
    <w:r>
      <w:rPr>
        <w:rStyle w:val="PageNumber"/>
        <w:sz w:val="22"/>
        <w:szCs w:val="22"/>
      </w:rPr>
      <w:t>7</w:t>
    </w:r>
  </w:p>
  <w:p w14:paraId="4864F51B" w14:textId="77777777" w:rsidR="00FE6554" w:rsidRPr="00FE6554" w:rsidRDefault="00FE6554" w:rsidP="00FE6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D817" w14:textId="77777777" w:rsidR="00FE6554" w:rsidRPr="0081643D" w:rsidRDefault="00FE6554" w:rsidP="00495559">
    <w:pPr>
      <w:rPr>
        <w:sz w:val="22"/>
      </w:rPr>
    </w:pPr>
    <w:r>
      <w:rPr>
        <w:sz w:val="22"/>
      </w:rPr>
      <w:t>Cruz Cobalt Corp.</w:t>
    </w:r>
  </w:p>
  <w:p w14:paraId="492EDBB9" w14:textId="77777777" w:rsidR="00FE6554" w:rsidRDefault="00FE6554" w:rsidP="00495559">
    <w:pPr>
      <w:jc w:val="both"/>
      <w:rPr>
        <w:sz w:val="22"/>
      </w:rPr>
    </w:pPr>
    <w:r>
      <w:rPr>
        <w:sz w:val="22"/>
      </w:rPr>
      <w:t>Notes to the Condensed consolidated interim Financial Statements</w:t>
    </w:r>
  </w:p>
  <w:p w14:paraId="25B01B3B" w14:textId="77777777" w:rsidR="00FE6554" w:rsidRDefault="00FE6554" w:rsidP="00495559">
    <w:pPr>
      <w:jc w:val="both"/>
      <w:rPr>
        <w:sz w:val="22"/>
      </w:rPr>
    </w:pPr>
    <w:r>
      <w:rPr>
        <w:sz w:val="22"/>
      </w:rPr>
      <w:t>(Expressed in Canadian Dollars)</w:t>
    </w:r>
  </w:p>
  <w:p w14:paraId="701163CC" w14:textId="77777777" w:rsidR="00FE6554" w:rsidRDefault="00FE6554" w:rsidP="00495559">
    <w:pPr>
      <w:jc w:val="both"/>
      <w:rPr>
        <w:sz w:val="22"/>
      </w:rPr>
    </w:pPr>
    <w:r>
      <w:rPr>
        <w:sz w:val="22"/>
        <w:u w:val="single"/>
      </w:rPr>
      <w:t>October 31, 2019</w:t>
    </w:r>
    <w:r>
      <w:rPr>
        <w:sz w:val="22"/>
      </w:rPr>
      <w:t xml:space="preserve"> – Page </w:t>
    </w:r>
    <w:r w:rsidRPr="00AA1856">
      <w:rPr>
        <w:rStyle w:val="PageNumber"/>
        <w:sz w:val="22"/>
        <w:szCs w:val="22"/>
      </w:rPr>
      <w:fldChar w:fldCharType="begin"/>
    </w:r>
    <w:r w:rsidRPr="00AA1856">
      <w:rPr>
        <w:rStyle w:val="PageNumber"/>
        <w:sz w:val="22"/>
        <w:szCs w:val="22"/>
      </w:rPr>
      <w:instrText xml:space="preserve"> PAGE </w:instrText>
    </w:r>
    <w:r w:rsidRPr="00AA1856">
      <w:rPr>
        <w:rStyle w:val="PageNumber"/>
        <w:sz w:val="22"/>
        <w:szCs w:val="22"/>
      </w:rPr>
      <w:fldChar w:fldCharType="separate"/>
    </w:r>
    <w:r w:rsidR="008C24D0">
      <w:rPr>
        <w:rStyle w:val="PageNumber"/>
        <w:noProof/>
        <w:sz w:val="22"/>
        <w:szCs w:val="22"/>
      </w:rPr>
      <w:t>3</w:t>
    </w:r>
    <w:r w:rsidRPr="00AA1856">
      <w:rPr>
        <w:rStyle w:val="PageNumber"/>
        <w:sz w:val="22"/>
        <w:szCs w:val="22"/>
      </w:rPr>
      <w:fldChar w:fldCharType="end"/>
    </w:r>
  </w:p>
  <w:p w14:paraId="662E803E" w14:textId="77777777" w:rsidR="00FE6554" w:rsidRDefault="00FE655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4C1E" w14:textId="77777777" w:rsidR="00186D62" w:rsidRPr="00F934B9" w:rsidRDefault="00186D62" w:rsidP="00FE6554">
    <w:pPr>
      <w:pStyle w:val="Header"/>
    </w:pPr>
    <w:r>
      <w:t xml:space="preserve">Cruz Cobalt Corp. </w:t>
    </w:r>
    <w:r w:rsidRPr="003803FA">
      <w:tab/>
    </w:r>
    <w:r w:rsidRPr="003803FA">
      <w:tab/>
    </w:r>
  </w:p>
  <w:p w14:paraId="0EAE1183" w14:textId="1A50578F" w:rsidR="00186D62" w:rsidRDefault="00186D62"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w:t>
    </w:r>
    <w:r w:rsidR="008C24D0">
      <w:rPr>
        <w:sz w:val="22"/>
        <w:szCs w:val="22"/>
      </w:rPr>
      <w:t>10</w:t>
    </w:r>
  </w:p>
  <w:p w14:paraId="46E296BF" w14:textId="77777777" w:rsidR="00186D62" w:rsidRPr="007B36C3" w:rsidRDefault="00186D62">
    <w:pPr>
      <w:pStyle w:val="Header"/>
      <w:rPr>
        <w:lang w:val="en-CA"/>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3100" w14:textId="77777777" w:rsidR="00186D62" w:rsidRPr="00F934B9" w:rsidRDefault="00186D62" w:rsidP="00FE6554">
    <w:pPr>
      <w:pStyle w:val="Header"/>
    </w:pPr>
    <w:r>
      <w:t xml:space="preserve">Cruz Cobalt Corp. </w:t>
    </w:r>
    <w:r w:rsidRPr="003803FA">
      <w:tab/>
    </w:r>
    <w:r w:rsidRPr="003803FA">
      <w:tab/>
    </w:r>
  </w:p>
  <w:p w14:paraId="1AC396F5" w14:textId="125A0AD1" w:rsidR="00186D62" w:rsidRDefault="00186D62"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w:t>
    </w:r>
    <w:r>
      <w:rPr>
        <w:rStyle w:val="PageNumber"/>
        <w:sz w:val="22"/>
        <w:szCs w:val="22"/>
      </w:rPr>
      <w:t>8</w:t>
    </w:r>
  </w:p>
  <w:p w14:paraId="5C82F331" w14:textId="77777777" w:rsidR="00186D62" w:rsidRPr="00FE6554" w:rsidRDefault="00186D62" w:rsidP="00FE655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76DF" w14:textId="77777777" w:rsidR="00186D62" w:rsidRPr="00F934B9" w:rsidRDefault="00186D62" w:rsidP="00FE6554">
    <w:pPr>
      <w:pStyle w:val="Header"/>
    </w:pPr>
    <w:r>
      <w:t xml:space="preserve">Cruz Cobalt Corp. </w:t>
    </w:r>
    <w:r w:rsidRPr="003803FA">
      <w:tab/>
    </w:r>
    <w:r w:rsidRPr="003803FA">
      <w:tab/>
    </w:r>
  </w:p>
  <w:p w14:paraId="7FE009E5" w14:textId="734068CD" w:rsidR="00186D62" w:rsidRDefault="00186D62"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w:t>
    </w:r>
    <w:r w:rsidR="008C24D0">
      <w:rPr>
        <w:rStyle w:val="PageNumber"/>
        <w:sz w:val="22"/>
        <w:szCs w:val="22"/>
      </w:rPr>
      <w:t>9</w:t>
    </w:r>
  </w:p>
  <w:p w14:paraId="50E8A1EF" w14:textId="77777777" w:rsidR="00186D62" w:rsidRPr="00FE6554" w:rsidRDefault="00186D62" w:rsidP="00FE655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5013" w14:textId="77777777" w:rsidR="008C24D0" w:rsidRPr="00F934B9" w:rsidRDefault="008C24D0" w:rsidP="00FE6554">
    <w:pPr>
      <w:pStyle w:val="Header"/>
    </w:pPr>
    <w:r>
      <w:t xml:space="preserve">Cruz Cobalt Corp. </w:t>
    </w:r>
    <w:r w:rsidRPr="003803FA">
      <w:tab/>
    </w:r>
    <w:r w:rsidRPr="003803FA">
      <w:tab/>
    </w:r>
  </w:p>
  <w:p w14:paraId="4E01CDD5" w14:textId="39900285" w:rsidR="008C24D0" w:rsidRDefault="008C24D0"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12</w:t>
    </w:r>
  </w:p>
  <w:p w14:paraId="3642318E" w14:textId="77777777" w:rsidR="008C24D0" w:rsidRPr="007B36C3" w:rsidRDefault="008C24D0">
    <w:pPr>
      <w:pStyle w:val="Header"/>
      <w:rPr>
        <w:lang w:val="en-CA"/>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3DB1" w14:textId="77777777" w:rsidR="008C24D0" w:rsidRPr="00F934B9" w:rsidRDefault="008C24D0" w:rsidP="00FE6554">
    <w:pPr>
      <w:pStyle w:val="Header"/>
    </w:pPr>
    <w:r>
      <w:t xml:space="preserve">Cruz Cobalt Corp. </w:t>
    </w:r>
    <w:r w:rsidRPr="003803FA">
      <w:tab/>
    </w:r>
    <w:r w:rsidRPr="003803FA">
      <w:tab/>
    </w:r>
  </w:p>
  <w:p w14:paraId="400F9162" w14:textId="5D157F9B" w:rsidR="008C24D0" w:rsidRDefault="008C24D0"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w:t>
    </w:r>
    <w:r>
      <w:rPr>
        <w:rStyle w:val="PageNumber"/>
        <w:sz w:val="22"/>
        <w:szCs w:val="22"/>
      </w:rPr>
      <w:t>11</w:t>
    </w:r>
  </w:p>
  <w:p w14:paraId="30492D87" w14:textId="77777777" w:rsidR="008C24D0" w:rsidRPr="00FE6554" w:rsidRDefault="008C24D0" w:rsidP="00FE655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4831" w14:textId="77777777" w:rsidR="004709FB" w:rsidRPr="00F934B9" w:rsidRDefault="004709FB" w:rsidP="00FE6554">
    <w:pPr>
      <w:pStyle w:val="Header"/>
    </w:pPr>
    <w:r>
      <w:t xml:space="preserve">Cruz Cobalt Corp. </w:t>
    </w:r>
    <w:r w:rsidRPr="003803FA">
      <w:tab/>
    </w:r>
    <w:r w:rsidRPr="003803FA">
      <w:tab/>
    </w:r>
  </w:p>
  <w:p w14:paraId="04EE6B2D" w14:textId="3ACA6B40" w:rsidR="004709FB" w:rsidRDefault="004709FB"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14</w:t>
    </w:r>
  </w:p>
  <w:p w14:paraId="49925BFD" w14:textId="77777777" w:rsidR="004709FB" w:rsidRPr="007B36C3" w:rsidRDefault="004709FB">
    <w:pPr>
      <w:pStyle w:val="Header"/>
      <w:rPr>
        <w:lang w:val="en-CA"/>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6CBD" w14:textId="77777777" w:rsidR="004709FB" w:rsidRPr="00F934B9" w:rsidRDefault="004709FB" w:rsidP="00FE6554">
    <w:pPr>
      <w:pStyle w:val="Header"/>
    </w:pPr>
    <w:r>
      <w:t xml:space="preserve">Cruz Cobalt Corp. </w:t>
    </w:r>
    <w:r w:rsidRPr="003803FA">
      <w:tab/>
    </w:r>
    <w:r w:rsidRPr="003803FA">
      <w:tab/>
    </w:r>
  </w:p>
  <w:p w14:paraId="4DCF5205" w14:textId="2537BC80" w:rsidR="004709FB" w:rsidRDefault="004709FB"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w:t>
    </w:r>
    <w:r>
      <w:rPr>
        <w:rStyle w:val="PageNumber"/>
        <w:sz w:val="22"/>
        <w:szCs w:val="22"/>
      </w:rPr>
      <w:t>13</w:t>
    </w:r>
  </w:p>
  <w:p w14:paraId="258A6EF9" w14:textId="77777777" w:rsidR="004709FB" w:rsidRPr="00FE6554" w:rsidRDefault="004709FB" w:rsidP="00FE655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BC43" w14:textId="77777777" w:rsidR="004709FB" w:rsidRPr="00F934B9" w:rsidRDefault="004709FB" w:rsidP="00FE6554">
    <w:pPr>
      <w:pStyle w:val="Header"/>
    </w:pPr>
    <w:r>
      <w:t xml:space="preserve">Cruz Cobalt Corp. </w:t>
    </w:r>
    <w:r w:rsidRPr="003803FA">
      <w:tab/>
    </w:r>
    <w:r w:rsidRPr="003803FA">
      <w:tab/>
    </w:r>
  </w:p>
  <w:p w14:paraId="3E273606" w14:textId="3DFB35EE" w:rsidR="004709FB" w:rsidRDefault="004709FB"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w:t>
    </w:r>
    <w:r w:rsidR="004F18CB">
      <w:rPr>
        <w:rStyle w:val="PageNumber"/>
        <w:sz w:val="22"/>
        <w:szCs w:val="22"/>
      </w:rPr>
      <w:t>15</w:t>
    </w:r>
  </w:p>
  <w:p w14:paraId="01505C60" w14:textId="77777777" w:rsidR="004709FB" w:rsidRPr="00FE6554" w:rsidRDefault="004709FB" w:rsidP="00FE655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BA47" w14:textId="77777777" w:rsidR="004709FB" w:rsidRPr="00F934B9" w:rsidRDefault="004709FB" w:rsidP="00FE6554">
    <w:pPr>
      <w:pStyle w:val="Header"/>
    </w:pPr>
    <w:r>
      <w:t xml:space="preserve">Cruz Cobalt Corp. </w:t>
    </w:r>
    <w:r w:rsidRPr="003803FA">
      <w:tab/>
    </w:r>
    <w:r w:rsidRPr="003803FA">
      <w:tab/>
    </w:r>
  </w:p>
  <w:p w14:paraId="765DE931" w14:textId="154C2E7F" w:rsidR="004709FB" w:rsidRDefault="004709FB" w:rsidP="00FE6554">
    <w:pPr>
      <w:jc w:val="both"/>
      <w:rPr>
        <w:rStyle w:val="PageNumber"/>
        <w:sz w:val="22"/>
        <w:szCs w:val="22"/>
      </w:rPr>
    </w:pPr>
    <w:r>
      <w:rPr>
        <w:u w:val="single"/>
      </w:rPr>
      <w:t>F</w:t>
    </w:r>
    <w:r w:rsidRPr="00B22ABF">
      <w:rPr>
        <w:u w:val="single"/>
      </w:rPr>
      <w:t xml:space="preserve">or </w:t>
    </w:r>
    <w:r>
      <w:rPr>
        <w:u w:val="single"/>
      </w:rPr>
      <w:t xml:space="preserve">the three months ended October 31, 2019 </w:t>
    </w:r>
    <w:r w:rsidRPr="00CD3344">
      <w:rPr>
        <w:sz w:val="22"/>
        <w:szCs w:val="22"/>
      </w:rPr>
      <w:t>– Page</w:t>
    </w:r>
    <w:r>
      <w:rPr>
        <w:sz w:val="22"/>
        <w:szCs w:val="22"/>
      </w:rPr>
      <w:t xml:space="preserve"> </w:t>
    </w:r>
    <w:r w:rsidR="004F18CB">
      <w:rPr>
        <w:rStyle w:val="PageNumber"/>
        <w:sz w:val="22"/>
        <w:szCs w:val="22"/>
      </w:rPr>
      <w:t>16</w:t>
    </w:r>
  </w:p>
  <w:p w14:paraId="0BC7EDDF" w14:textId="77777777" w:rsidR="004709FB" w:rsidRPr="00FE6554" w:rsidRDefault="004709FB" w:rsidP="00FE6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6DC4" w14:textId="77777777" w:rsidR="00FE6554" w:rsidRDefault="00FE65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2441" w14:textId="77777777" w:rsidR="00FE6554" w:rsidRDefault="00FE6554" w:rsidP="00495559">
    <w:pPr>
      <w:pStyle w:val="Style1"/>
    </w:pPr>
    <w:r>
      <w:t>Cruz Cobalt Corp.</w:t>
    </w:r>
  </w:p>
  <w:p w14:paraId="0BE4C575" w14:textId="77777777" w:rsidR="00FE6554" w:rsidRDefault="00FE6554" w:rsidP="00495559">
    <w:pPr>
      <w:jc w:val="both"/>
      <w:rPr>
        <w:sz w:val="22"/>
      </w:rPr>
    </w:pPr>
    <w:r>
      <w:rPr>
        <w:sz w:val="22"/>
      </w:rPr>
      <w:t>Notes to the Condensed consolidated interim Financial Statements</w:t>
    </w:r>
  </w:p>
  <w:p w14:paraId="6277C616" w14:textId="77777777" w:rsidR="00FE6554" w:rsidRDefault="00FE6554" w:rsidP="00495559">
    <w:pPr>
      <w:jc w:val="both"/>
      <w:rPr>
        <w:sz w:val="22"/>
      </w:rPr>
    </w:pPr>
    <w:r>
      <w:rPr>
        <w:sz w:val="22"/>
      </w:rPr>
      <w:t>(Expressed in Canadian Dollars)</w:t>
    </w:r>
  </w:p>
  <w:p w14:paraId="27F716C1" w14:textId="77777777" w:rsidR="00FE6554" w:rsidRDefault="00FE6554" w:rsidP="00495559">
    <w:pPr>
      <w:jc w:val="both"/>
      <w:rPr>
        <w:sz w:val="22"/>
      </w:rPr>
    </w:pPr>
    <w:r>
      <w:rPr>
        <w:sz w:val="22"/>
        <w:u w:val="single"/>
      </w:rPr>
      <w:t>October 31, 2019</w:t>
    </w:r>
    <w:r>
      <w:rPr>
        <w:sz w:val="22"/>
      </w:rPr>
      <w:t xml:space="preserve"> – Page </w:t>
    </w:r>
    <w:r w:rsidRPr="00AA1856">
      <w:rPr>
        <w:rStyle w:val="PageNumber"/>
        <w:sz w:val="22"/>
        <w:szCs w:val="22"/>
      </w:rPr>
      <w:fldChar w:fldCharType="begin"/>
    </w:r>
    <w:r w:rsidRPr="00AA1856">
      <w:rPr>
        <w:rStyle w:val="PageNumber"/>
        <w:sz w:val="22"/>
        <w:szCs w:val="22"/>
      </w:rPr>
      <w:instrText xml:space="preserve"> PAGE </w:instrText>
    </w:r>
    <w:r w:rsidRPr="00AA1856">
      <w:rPr>
        <w:rStyle w:val="PageNumber"/>
        <w:sz w:val="22"/>
        <w:szCs w:val="22"/>
      </w:rPr>
      <w:fldChar w:fldCharType="separate"/>
    </w:r>
    <w:r w:rsidR="008C24D0">
      <w:rPr>
        <w:rStyle w:val="PageNumber"/>
        <w:noProof/>
        <w:sz w:val="22"/>
        <w:szCs w:val="22"/>
      </w:rPr>
      <w:t>4</w:t>
    </w:r>
    <w:r w:rsidRPr="00AA1856">
      <w:rPr>
        <w:rStyle w:val="PageNumber"/>
        <w:sz w:val="22"/>
        <w:szCs w:val="22"/>
      </w:rPr>
      <w:fldChar w:fldCharType="end"/>
    </w:r>
  </w:p>
  <w:p w14:paraId="4D30BF02" w14:textId="77777777" w:rsidR="00FE6554" w:rsidRDefault="00FE65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5BC9" w14:textId="77777777" w:rsidR="00FE6554" w:rsidRDefault="00FE6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B5B2921" w14:textId="77777777" w:rsidR="00FE6554" w:rsidRDefault="00FE6554">
    <w:pPr>
      <w:pStyle w:val="Header"/>
    </w:pPr>
  </w:p>
  <w:p w14:paraId="33459B40" w14:textId="77777777" w:rsidR="00FE6554" w:rsidRDefault="00FE6554"/>
  <w:p w14:paraId="1061ABF0" w14:textId="77777777" w:rsidR="00FE6554" w:rsidRDefault="00FE6554"/>
  <w:p w14:paraId="0E0DC6D2" w14:textId="77777777" w:rsidR="00FE6554" w:rsidRDefault="00FE6554"/>
  <w:p w14:paraId="5A076904" w14:textId="77777777" w:rsidR="00FE6554" w:rsidRDefault="00FE655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AD81" w14:textId="77777777" w:rsidR="00FE6554" w:rsidRDefault="00FE6554">
    <w:pPr>
      <w:pStyle w:val="Header"/>
      <w:framePr w:wrap="around" w:vAnchor="text" w:hAnchor="margin" w:xAlign="center" w:y="1"/>
      <w:rPr>
        <w:rStyle w:val="PageNumber"/>
        <w:sz w:val="24"/>
      </w:rPr>
    </w:pPr>
  </w:p>
  <w:p w14:paraId="13C91438" w14:textId="77777777" w:rsidR="00FE6554" w:rsidRDefault="00FE6554">
    <w:pPr>
      <w:pStyle w:val="Header"/>
      <w:tabs>
        <w:tab w:val="clear" w:pos="8640"/>
        <w:tab w:val="right" w:pos="7830"/>
      </w:tabs>
      <w:jc w:val="right"/>
      <w:rPr>
        <w:sz w:val="24"/>
      </w:rPr>
    </w:pPr>
  </w:p>
  <w:p w14:paraId="04FF09F8" w14:textId="77777777" w:rsidR="00FE6554" w:rsidRDefault="00FE6554" w:rsidP="00554459">
    <w:pPr>
      <w:pStyle w:val="Style1"/>
    </w:pPr>
    <w:r>
      <w:t>Cruz Cobalt Corp.</w:t>
    </w:r>
  </w:p>
  <w:p w14:paraId="472E3560" w14:textId="77777777" w:rsidR="00FE6554" w:rsidRDefault="00FE6554" w:rsidP="00554459">
    <w:pPr>
      <w:jc w:val="both"/>
      <w:rPr>
        <w:sz w:val="22"/>
      </w:rPr>
    </w:pPr>
    <w:r>
      <w:rPr>
        <w:sz w:val="22"/>
      </w:rPr>
      <w:t>Notes to the Condensed consolidated interim Financial Statements</w:t>
    </w:r>
  </w:p>
  <w:p w14:paraId="52C28C40" w14:textId="77777777" w:rsidR="00FE6554" w:rsidRDefault="00FE6554" w:rsidP="00554459">
    <w:pPr>
      <w:jc w:val="both"/>
      <w:rPr>
        <w:sz w:val="22"/>
      </w:rPr>
    </w:pPr>
    <w:r>
      <w:rPr>
        <w:sz w:val="22"/>
      </w:rPr>
      <w:t>(Expressed in Canadian Dollars)</w:t>
    </w:r>
  </w:p>
  <w:p w14:paraId="5BA703C7" w14:textId="50D18746" w:rsidR="00FE6554" w:rsidRDefault="00FE6554" w:rsidP="00554459">
    <w:pPr>
      <w:jc w:val="both"/>
      <w:rPr>
        <w:rStyle w:val="PageNumber"/>
        <w:sz w:val="22"/>
        <w:szCs w:val="22"/>
      </w:rPr>
    </w:pPr>
    <w:r>
      <w:rPr>
        <w:sz w:val="22"/>
        <w:u w:val="single"/>
      </w:rPr>
      <w:t>October 31, 2019</w:t>
    </w:r>
    <w:r>
      <w:rPr>
        <w:sz w:val="22"/>
      </w:rPr>
      <w:t xml:space="preserve"> – Page </w:t>
    </w:r>
    <w:r>
      <w:rPr>
        <w:rStyle w:val="PageNumber"/>
        <w:sz w:val="22"/>
        <w:szCs w:val="22"/>
      </w:rPr>
      <w:t>5</w:t>
    </w:r>
  </w:p>
  <w:p w14:paraId="49F51ADD" w14:textId="77777777" w:rsidR="00FE6554" w:rsidRDefault="00FE6554" w:rsidP="00554459">
    <w:pPr>
      <w:jc w:val="both"/>
      <w:rPr>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37E9" w14:textId="77777777" w:rsidR="00FE6554" w:rsidRDefault="00FE6554">
    <w:pPr>
      <w:pStyle w:val="Header"/>
      <w:framePr w:wrap="around" w:vAnchor="text" w:hAnchor="margin" w:xAlign="center" w:y="1"/>
      <w:rPr>
        <w:rStyle w:val="PageNumber"/>
        <w:sz w:val="24"/>
      </w:rPr>
    </w:pPr>
  </w:p>
  <w:p w14:paraId="3383DC68" w14:textId="77777777" w:rsidR="00FE6554" w:rsidRDefault="00FE6554">
    <w:pPr>
      <w:pStyle w:val="Header"/>
      <w:tabs>
        <w:tab w:val="clear" w:pos="8640"/>
        <w:tab w:val="right" w:pos="7830"/>
      </w:tabs>
      <w:jc w:val="right"/>
      <w:rPr>
        <w:sz w:val="24"/>
      </w:rPr>
    </w:pPr>
  </w:p>
  <w:p w14:paraId="64AB57CC" w14:textId="77777777" w:rsidR="00FE6554" w:rsidRDefault="00FE6554" w:rsidP="00554459">
    <w:pPr>
      <w:pStyle w:val="Style1"/>
    </w:pPr>
    <w:r>
      <w:t>Cruz Cobalt Corp.</w:t>
    </w:r>
  </w:p>
  <w:p w14:paraId="1C541B08" w14:textId="77777777" w:rsidR="00FE6554" w:rsidRDefault="00FE6554" w:rsidP="00554459">
    <w:pPr>
      <w:jc w:val="both"/>
      <w:rPr>
        <w:sz w:val="22"/>
      </w:rPr>
    </w:pPr>
    <w:r>
      <w:rPr>
        <w:sz w:val="22"/>
      </w:rPr>
      <w:t>Notes to the Condensed consolidated interim Financial Statements</w:t>
    </w:r>
  </w:p>
  <w:p w14:paraId="619DC74A" w14:textId="77777777" w:rsidR="00FE6554" w:rsidRDefault="00FE6554" w:rsidP="00554459">
    <w:pPr>
      <w:jc w:val="both"/>
      <w:rPr>
        <w:sz w:val="22"/>
      </w:rPr>
    </w:pPr>
    <w:r>
      <w:rPr>
        <w:sz w:val="22"/>
      </w:rPr>
      <w:t>(Expressed in Canadian Dollars)</w:t>
    </w:r>
  </w:p>
  <w:p w14:paraId="7CF3435C" w14:textId="517B0E70" w:rsidR="00FE6554" w:rsidRDefault="00FE6554" w:rsidP="00554459">
    <w:pPr>
      <w:jc w:val="both"/>
      <w:rPr>
        <w:rStyle w:val="PageNumber"/>
        <w:sz w:val="22"/>
        <w:szCs w:val="22"/>
      </w:rPr>
    </w:pPr>
    <w:r>
      <w:rPr>
        <w:sz w:val="22"/>
        <w:u w:val="single"/>
      </w:rPr>
      <w:t>October 31, 2019</w:t>
    </w:r>
    <w:r>
      <w:rPr>
        <w:sz w:val="22"/>
      </w:rPr>
      <w:t xml:space="preserve"> – Page </w:t>
    </w:r>
    <w:r>
      <w:rPr>
        <w:rStyle w:val="PageNumber"/>
        <w:sz w:val="22"/>
        <w:szCs w:val="22"/>
      </w:rPr>
      <w:t>6</w:t>
    </w:r>
  </w:p>
  <w:p w14:paraId="1B6C2CB1" w14:textId="77777777" w:rsidR="00FE6554" w:rsidRDefault="00FE6554" w:rsidP="00554459">
    <w:pPr>
      <w:jc w:val="both"/>
      <w:rPr>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8B98" w14:textId="77777777" w:rsidR="00FE6554" w:rsidRDefault="00FE6554">
    <w:pPr>
      <w:pStyle w:val="Header"/>
      <w:framePr w:wrap="around" w:vAnchor="text" w:hAnchor="margin" w:xAlign="center" w:y="1"/>
      <w:rPr>
        <w:rStyle w:val="PageNumber"/>
        <w:sz w:val="24"/>
      </w:rPr>
    </w:pPr>
  </w:p>
  <w:p w14:paraId="731D138B" w14:textId="77777777" w:rsidR="00FE6554" w:rsidRDefault="00FE6554">
    <w:pPr>
      <w:pStyle w:val="Header"/>
      <w:tabs>
        <w:tab w:val="clear" w:pos="8640"/>
        <w:tab w:val="right" w:pos="7830"/>
      </w:tabs>
      <w:jc w:val="right"/>
      <w:rPr>
        <w:sz w:val="24"/>
      </w:rPr>
    </w:pPr>
  </w:p>
  <w:p w14:paraId="3D83A6B8" w14:textId="77777777" w:rsidR="00FE6554" w:rsidRDefault="00FE6554" w:rsidP="00554459">
    <w:pPr>
      <w:pStyle w:val="Style1"/>
    </w:pPr>
    <w:r>
      <w:t>Cruz Cobalt Corp.</w:t>
    </w:r>
  </w:p>
  <w:p w14:paraId="7E9FB7FB" w14:textId="77777777" w:rsidR="00FE6554" w:rsidRDefault="00FE6554" w:rsidP="00554459">
    <w:pPr>
      <w:jc w:val="both"/>
      <w:rPr>
        <w:sz w:val="22"/>
      </w:rPr>
    </w:pPr>
    <w:r>
      <w:rPr>
        <w:sz w:val="22"/>
      </w:rPr>
      <w:t>Notes to the Condensed consolidated interim Financial Statements</w:t>
    </w:r>
  </w:p>
  <w:p w14:paraId="506221E7" w14:textId="77777777" w:rsidR="00FE6554" w:rsidRDefault="00FE6554" w:rsidP="00554459">
    <w:pPr>
      <w:jc w:val="both"/>
      <w:rPr>
        <w:sz w:val="22"/>
      </w:rPr>
    </w:pPr>
    <w:r>
      <w:rPr>
        <w:sz w:val="22"/>
      </w:rPr>
      <w:t>(Expressed in Canadian Dollars)</w:t>
    </w:r>
  </w:p>
  <w:p w14:paraId="5FBB6F5C" w14:textId="1633766C" w:rsidR="00FE6554" w:rsidRDefault="00FE6554" w:rsidP="00554459">
    <w:pPr>
      <w:jc w:val="both"/>
      <w:rPr>
        <w:rStyle w:val="PageNumber"/>
        <w:sz w:val="22"/>
        <w:szCs w:val="22"/>
      </w:rPr>
    </w:pPr>
    <w:r>
      <w:rPr>
        <w:sz w:val="22"/>
        <w:u w:val="single"/>
      </w:rPr>
      <w:t>October 31, 2019</w:t>
    </w:r>
    <w:r>
      <w:rPr>
        <w:sz w:val="22"/>
      </w:rPr>
      <w:t xml:space="preserve"> – Page </w:t>
    </w:r>
    <w:r>
      <w:rPr>
        <w:rStyle w:val="PageNumber"/>
        <w:sz w:val="22"/>
        <w:szCs w:val="22"/>
      </w:rPr>
      <w:t>7</w:t>
    </w:r>
  </w:p>
  <w:p w14:paraId="34AC1176" w14:textId="77777777" w:rsidR="00FE6554" w:rsidRDefault="00FE6554" w:rsidP="00554459">
    <w:pPr>
      <w:jc w:val="both"/>
      <w:rPr>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56D1" w14:textId="77777777" w:rsidR="00FE6554" w:rsidRDefault="00FE6554">
    <w:pPr>
      <w:pStyle w:val="Header"/>
      <w:framePr w:wrap="around" w:vAnchor="text" w:hAnchor="margin" w:xAlign="center" w:y="1"/>
      <w:rPr>
        <w:rStyle w:val="PageNumber"/>
        <w:sz w:val="24"/>
      </w:rPr>
    </w:pPr>
  </w:p>
  <w:p w14:paraId="46BE8B42" w14:textId="77777777" w:rsidR="00FE6554" w:rsidRDefault="00FE6554">
    <w:pPr>
      <w:pStyle w:val="Header"/>
      <w:tabs>
        <w:tab w:val="clear" w:pos="8640"/>
        <w:tab w:val="right" w:pos="7830"/>
      </w:tabs>
      <w:jc w:val="right"/>
      <w:rPr>
        <w:sz w:val="24"/>
      </w:rPr>
    </w:pPr>
  </w:p>
  <w:p w14:paraId="16F13C38" w14:textId="77777777" w:rsidR="00FE6554" w:rsidRDefault="00FE6554" w:rsidP="00554459">
    <w:pPr>
      <w:pStyle w:val="Style1"/>
    </w:pPr>
    <w:r>
      <w:t>Cruz Cobalt Corp.</w:t>
    </w:r>
  </w:p>
  <w:p w14:paraId="3F9FF0A2" w14:textId="77777777" w:rsidR="00FE6554" w:rsidRDefault="00FE6554" w:rsidP="00554459">
    <w:pPr>
      <w:jc w:val="both"/>
      <w:rPr>
        <w:sz w:val="22"/>
      </w:rPr>
    </w:pPr>
    <w:r>
      <w:rPr>
        <w:sz w:val="22"/>
      </w:rPr>
      <w:t>Notes to the Condensed consolidated interim Financial Statements</w:t>
    </w:r>
  </w:p>
  <w:p w14:paraId="75DF4AD8" w14:textId="77777777" w:rsidR="00FE6554" w:rsidRDefault="00FE6554" w:rsidP="00554459">
    <w:pPr>
      <w:jc w:val="both"/>
      <w:rPr>
        <w:sz w:val="22"/>
      </w:rPr>
    </w:pPr>
    <w:r>
      <w:rPr>
        <w:sz w:val="22"/>
      </w:rPr>
      <w:t>(Expressed in Canadian Dollars)</w:t>
    </w:r>
  </w:p>
  <w:p w14:paraId="12473210" w14:textId="019F42CA" w:rsidR="00FE6554" w:rsidRDefault="00FE6554" w:rsidP="00554459">
    <w:pPr>
      <w:jc w:val="both"/>
      <w:rPr>
        <w:rStyle w:val="PageNumber"/>
        <w:sz w:val="22"/>
        <w:szCs w:val="22"/>
      </w:rPr>
    </w:pPr>
    <w:r>
      <w:rPr>
        <w:sz w:val="22"/>
        <w:u w:val="single"/>
      </w:rPr>
      <w:t>October 31, 2019</w:t>
    </w:r>
    <w:r>
      <w:rPr>
        <w:sz w:val="22"/>
      </w:rPr>
      <w:t xml:space="preserve"> – Page 8</w:t>
    </w:r>
  </w:p>
  <w:p w14:paraId="50585160" w14:textId="77777777" w:rsidR="00FE6554" w:rsidRDefault="00FE6554" w:rsidP="00554459">
    <w:pPr>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 w15:restartNumberingAfterBreak="0">
    <w:nsid w:val="22D15548"/>
    <w:multiLevelType w:val="hybridMultilevel"/>
    <w:tmpl w:val="B8B473F2"/>
    <w:lvl w:ilvl="0" w:tplc="1930C930">
      <w:start w:val="2"/>
      <w:numFmt w:val="decimal"/>
      <w:lvlText w:val="%1."/>
      <w:lvlJc w:val="left"/>
      <w:pPr>
        <w:tabs>
          <w:tab w:val="num" w:pos="1095"/>
        </w:tabs>
        <w:ind w:left="1095" w:hanging="1095"/>
      </w:pPr>
      <w:rPr>
        <w:rFonts w:hint="default"/>
      </w:rPr>
    </w:lvl>
    <w:lvl w:ilvl="1" w:tplc="A952563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3" w15:restartNumberingAfterBreak="0">
    <w:nsid w:val="2DEC784C"/>
    <w:multiLevelType w:val="hybridMultilevel"/>
    <w:tmpl w:val="AC8E4DDE"/>
    <w:lvl w:ilvl="0" w:tplc="A27E25A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3F3049"/>
    <w:multiLevelType w:val="hybridMultilevel"/>
    <w:tmpl w:val="31C8209E"/>
    <w:lvl w:ilvl="0" w:tplc="3618C7E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023E1"/>
    <w:multiLevelType w:val="hybridMultilevel"/>
    <w:tmpl w:val="3F16968C"/>
    <w:lvl w:ilvl="0" w:tplc="10090017">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C1A7761"/>
    <w:multiLevelType w:val="hybridMultilevel"/>
    <w:tmpl w:val="D64218CA"/>
    <w:lvl w:ilvl="0" w:tplc="06449B32">
      <w:start w:val="10"/>
      <w:numFmt w:val="decimal"/>
      <w:lvlText w:val="%1."/>
      <w:lvlJc w:val="left"/>
      <w:pPr>
        <w:ind w:left="1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8" w15:restartNumberingAfterBreak="0">
    <w:nsid w:val="46FF66FA"/>
    <w:multiLevelType w:val="hybridMultilevel"/>
    <w:tmpl w:val="B7BA020A"/>
    <w:lvl w:ilvl="0" w:tplc="01E87C6A">
      <w:start w:val="2"/>
      <w:numFmt w:val="lowerLetter"/>
      <w:lvlText w:val="%1)"/>
      <w:lvlJc w:val="left"/>
      <w:pPr>
        <w:tabs>
          <w:tab w:val="num" w:pos="1460"/>
        </w:tabs>
        <w:ind w:left="1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10" w15:restartNumberingAfterBreak="0">
    <w:nsid w:val="486935BA"/>
    <w:multiLevelType w:val="hybridMultilevel"/>
    <w:tmpl w:val="AECAFBCA"/>
    <w:lvl w:ilvl="0" w:tplc="1C60FC52">
      <w:start w:val="9"/>
      <w:numFmt w:val="decimal"/>
      <w:lvlText w:val="%1."/>
      <w:lvlJc w:val="left"/>
      <w:pPr>
        <w:ind w:left="1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6023E"/>
    <w:multiLevelType w:val="hybridMultilevel"/>
    <w:tmpl w:val="BA0624F4"/>
    <w:lvl w:ilvl="0" w:tplc="CE32DC1C">
      <w:start w:val="1"/>
      <w:numFmt w:val="lowerLetter"/>
      <w:lvlText w:val="(%1)"/>
      <w:lvlJc w:val="left"/>
      <w:pPr>
        <w:ind w:left="1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13" w15:restartNumberingAfterBreak="0">
    <w:nsid w:val="6199638F"/>
    <w:multiLevelType w:val="hybridMultilevel"/>
    <w:tmpl w:val="57FE0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FA6BE9"/>
    <w:multiLevelType w:val="hybridMultilevel"/>
    <w:tmpl w:val="4676AA44"/>
    <w:lvl w:ilvl="0" w:tplc="82E89DE4">
      <w:start w:val="4"/>
      <w:numFmt w:val="decimal"/>
      <w:lvlText w:val="%1."/>
      <w:lvlJc w:val="left"/>
      <w:pPr>
        <w:tabs>
          <w:tab w:val="num" w:pos="1455"/>
        </w:tabs>
        <w:ind w:left="1455" w:hanging="10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70FBD"/>
    <w:multiLevelType w:val="hybridMultilevel"/>
    <w:tmpl w:val="FB8CEA1C"/>
    <w:lvl w:ilvl="0" w:tplc="2020D3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E59A5"/>
    <w:multiLevelType w:val="hybridMultilevel"/>
    <w:tmpl w:val="AD02D15A"/>
    <w:lvl w:ilvl="0" w:tplc="A5D09DB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F65D9"/>
    <w:multiLevelType w:val="hybridMultilevel"/>
    <w:tmpl w:val="6FB613CE"/>
    <w:lvl w:ilvl="0" w:tplc="CAA48D88">
      <w:start w:val="2"/>
      <w:numFmt w:val="lowerLetter"/>
      <w:lvlText w:val="(%1)"/>
      <w:lvlJc w:val="left"/>
      <w:pPr>
        <w:ind w:left="1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2"/>
  </w:num>
  <w:num w:numId="2">
    <w:abstractNumId w:val="18"/>
  </w:num>
  <w:num w:numId="3">
    <w:abstractNumId w:val="2"/>
  </w:num>
  <w:num w:numId="4">
    <w:abstractNumId w:val="0"/>
  </w:num>
  <w:num w:numId="5">
    <w:abstractNumId w:val="7"/>
  </w:num>
  <w:num w:numId="6">
    <w:abstractNumId w:val="9"/>
  </w:num>
  <w:num w:numId="7">
    <w:abstractNumId w:val="1"/>
  </w:num>
  <w:num w:numId="8">
    <w:abstractNumId w:val="13"/>
  </w:num>
  <w:num w:numId="9">
    <w:abstractNumId w:val="3"/>
  </w:num>
  <w:num w:numId="10">
    <w:abstractNumId w:val="5"/>
  </w:num>
  <w:num w:numId="11">
    <w:abstractNumId w:val="11"/>
  </w:num>
  <w:num w:numId="12">
    <w:abstractNumId w:val="17"/>
  </w:num>
  <w:num w:numId="13">
    <w:abstractNumId w:val="8"/>
  </w:num>
  <w:num w:numId="14">
    <w:abstractNumId w:val="14"/>
  </w:num>
  <w:num w:numId="15">
    <w:abstractNumId w:val="4"/>
  </w:num>
  <w:num w:numId="16">
    <w:abstractNumId w:val="16"/>
  </w:num>
  <w:num w:numId="17">
    <w:abstractNumId w:val="15"/>
  </w:num>
  <w:num w:numId="18">
    <w:abstractNumId w:val="10"/>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76"/>
    <w:rsid w:val="00042FF2"/>
    <w:rsid w:val="00082550"/>
    <w:rsid w:val="000A1110"/>
    <w:rsid w:val="000A2C38"/>
    <w:rsid w:val="000A46ED"/>
    <w:rsid w:val="000E2B12"/>
    <w:rsid w:val="001211FF"/>
    <w:rsid w:val="001223D3"/>
    <w:rsid w:val="001239E5"/>
    <w:rsid w:val="00132CE2"/>
    <w:rsid w:val="00170AB0"/>
    <w:rsid w:val="001831F4"/>
    <w:rsid w:val="0018477D"/>
    <w:rsid w:val="00186D62"/>
    <w:rsid w:val="001B0095"/>
    <w:rsid w:val="001C27B3"/>
    <w:rsid w:val="001E2266"/>
    <w:rsid w:val="00246006"/>
    <w:rsid w:val="00303C5F"/>
    <w:rsid w:val="00367723"/>
    <w:rsid w:val="003850A5"/>
    <w:rsid w:val="003A43A0"/>
    <w:rsid w:val="003A672E"/>
    <w:rsid w:val="003B4B53"/>
    <w:rsid w:val="003D183D"/>
    <w:rsid w:val="003E6883"/>
    <w:rsid w:val="004308B9"/>
    <w:rsid w:val="00433DB0"/>
    <w:rsid w:val="004709FB"/>
    <w:rsid w:val="0048706B"/>
    <w:rsid w:val="00495559"/>
    <w:rsid w:val="004B45F6"/>
    <w:rsid w:val="004D1529"/>
    <w:rsid w:val="004F18CB"/>
    <w:rsid w:val="005007D2"/>
    <w:rsid w:val="005121C8"/>
    <w:rsid w:val="00514D52"/>
    <w:rsid w:val="0051559D"/>
    <w:rsid w:val="00527D0D"/>
    <w:rsid w:val="00530932"/>
    <w:rsid w:val="00554459"/>
    <w:rsid w:val="00581348"/>
    <w:rsid w:val="00586497"/>
    <w:rsid w:val="005A60D2"/>
    <w:rsid w:val="005B0801"/>
    <w:rsid w:val="005B5E54"/>
    <w:rsid w:val="005D0320"/>
    <w:rsid w:val="005E5E72"/>
    <w:rsid w:val="005F42F4"/>
    <w:rsid w:val="00621D06"/>
    <w:rsid w:val="00640D76"/>
    <w:rsid w:val="006565F3"/>
    <w:rsid w:val="0066185B"/>
    <w:rsid w:val="00662CD3"/>
    <w:rsid w:val="0066712E"/>
    <w:rsid w:val="006679AF"/>
    <w:rsid w:val="00676780"/>
    <w:rsid w:val="00691649"/>
    <w:rsid w:val="006F4865"/>
    <w:rsid w:val="00704C93"/>
    <w:rsid w:val="0075259F"/>
    <w:rsid w:val="00761192"/>
    <w:rsid w:val="00762F22"/>
    <w:rsid w:val="007701E9"/>
    <w:rsid w:val="00775217"/>
    <w:rsid w:val="007A107C"/>
    <w:rsid w:val="007B3EBB"/>
    <w:rsid w:val="007C5E76"/>
    <w:rsid w:val="007C71BF"/>
    <w:rsid w:val="007F4E8D"/>
    <w:rsid w:val="0082375A"/>
    <w:rsid w:val="00832A73"/>
    <w:rsid w:val="008460AF"/>
    <w:rsid w:val="008501B2"/>
    <w:rsid w:val="00853D7E"/>
    <w:rsid w:val="00856DEB"/>
    <w:rsid w:val="00863085"/>
    <w:rsid w:val="008A6398"/>
    <w:rsid w:val="008B7E40"/>
    <w:rsid w:val="008C24D0"/>
    <w:rsid w:val="008D4981"/>
    <w:rsid w:val="008F607A"/>
    <w:rsid w:val="00941E06"/>
    <w:rsid w:val="009443A6"/>
    <w:rsid w:val="00945387"/>
    <w:rsid w:val="00953CA3"/>
    <w:rsid w:val="009639A6"/>
    <w:rsid w:val="009830FC"/>
    <w:rsid w:val="009842EA"/>
    <w:rsid w:val="00A3128A"/>
    <w:rsid w:val="00A7014C"/>
    <w:rsid w:val="00AA2917"/>
    <w:rsid w:val="00B04900"/>
    <w:rsid w:val="00B11351"/>
    <w:rsid w:val="00B2789F"/>
    <w:rsid w:val="00B566F3"/>
    <w:rsid w:val="00B60C82"/>
    <w:rsid w:val="00B93144"/>
    <w:rsid w:val="00BA2BCC"/>
    <w:rsid w:val="00BB2D59"/>
    <w:rsid w:val="00BB6557"/>
    <w:rsid w:val="00BE00CD"/>
    <w:rsid w:val="00BF0F8D"/>
    <w:rsid w:val="00C335FC"/>
    <w:rsid w:val="00C43A66"/>
    <w:rsid w:val="00C71707"/>
    <w:rsid w:val="00C728EB"/>
    <w:rsid w:val="00C75AF9"/>
    <w:rsid w:val="00CA3C94"/>
    <w:rsid w:val="00CC11F0"/>
    <w:rsid w:val="00CE346F"/>
    <w:rsid w:val="00CF12A2"/>
    <w:rsid w:val="00D05507"/>
    <w:rsid w:val="00D41C4D"/>
    <w:rsid w:val="00D45BA0"/>
    <w:rsid w:val="00D6364F"/>
    <w:rsid w:val="00D86A9E"/>
    <w:rsid w:val="00D90660"/>
    <w:rsid w:val="00DA0DCD"/>
    <w:rsid w:val="00DB5A81"/>
    <w:rsid w:val="00E0297A"/>
    <w:rsid w:val="00E1428C"/>
    <w:rsid w:val="00E1677B"/>
    <w:rsid w:val="00E16D41"/>
    <w:rsid w:val="00E240FA"/>
    <w:rsid w:val="00E307DF"/>
    <w:rsid w:val="00E34C9A"/>
    <w:rsid w:val="00E548B1"/>
    <w:rsid w:val="00EB5D37"/>
    <w:rsid w:val="00EC04BF"/>
    <w:rsid w:val="00EF2BEA"/>
    <w:rsid w:val="00EF7D1D"/>
    <w:rsid w:val="00F02C5A"/>
    <w:rsid w:val="00F12BD7"/>
    <w:rsid w:val="00F154B7"/>
    <w:rsid w:val="00F26A88"/>
    <w:rsid w:val="00F71D65"/>
    <w:rsid w:val="00F92BD8"/>
    <w:rsid w:val="00FC3380"/>
    <w:rsid w:val="00FC6B37"/>
    <w:rsid w:val="00FE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DC82DF7"/>
  <w15:docId w15:val="{531F99D6-DD1C-47E0-BE06-89D69225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3A6"/>
  </w:style>
  <w:style w:type="paragraph" w:styleId="Heading1">
    <w:name w:val="heading 1"/>
    <w:basedOn w:val="Normal"/>
    <w:next w:val="Normal"/>
    <w:link w:val="Heading1Char"/>
    <w:uiPriority w:val="99"/>
    <w:qFormat/>
    <w:rsid w:val="009443A6"/>
    <w:pPr>
      <w:keepNext/>
      <w:outlineLvl w:val="0"/>
    </w:pPr>
    <w:rPr>
      <w:b/>
      <w:sz w:val="24"/>
    </w:rPr>
  </w:style>
  <w:style w:type="paragraph" w:styleId="Heading2">
    <w:name w:val="heading 2"/>
    <w:basedOn w:val="BodyText"/>
    <w:next w:val="BodyText"/>
    <w:link w:val="Heading2Char"/>
    <w:uiPriority w:val="99"/>
    <w:qFormat/>
    <w:rsid w:val="009443A6"/>
    <w:pPr>
      <w:keepNext/>
      <w:ind w:left="1080" w:hanging="1080"/>
      <w:outlineLvl w:val="1"/>
    </w:pPr>
    <w:rPr>
      <w:rFonts w:ascii="Arial" w:hAnsi="Arial"/>
      <w:b/>
      <w:sz w:val="28"/>
    </w:rPr>
  </w:style>
  <w:style w:type="paragraph" w:styleId="Heading3">
    <w:name w:val="heading 3"/>
    <w:basedOn w:val="Normal"/>
    <w:next w:val="Normal"/>
    <w:link w:val="Heading3Char"/>
    <w:qFormat/>
    <w:rsid w:val="009443A6"/>
    <w:pPr>
      <w:keepNext/>
      <w:spacing w:line="280" w:lineRule="exact"/>
      <w:outlineLvl w:val="2"/>
    </w:pPr>
    <w:rPr>
      <w:rFonts w:ascii="Arial" w:hAnsi="Arial"/>
      <w:b/>
      <w:sz w:val="22"/>
    </w:rPr>
  </w:style>
  <w:style w:type="paragraph" w:styleId="Heading4">
    <w:name w:val="heading 4"/>
    <w:basedOn w:val="Normal"/>
    <w:next w:val="Normal"/>
    <w:link w:val="Heading4Char"/>
    <w:qFormat/>
    <w:rsid w:val="009443A6"/>
    <w:pPr>
      <w:keepNext/>
      <w:spacing w:line="280" w:lineRule="exact"/>
      <w:outlineLvl w:val="3"/>
    </w:pPr>
    <w:rPr>
      <w:rFonts w:ascii="Arial" w:hAnsi="Arial"/>
      <w:b/>
    </w:rPr>
  </w:style>
  <w:style w:type="paragraph" w:styleId="Heading5">
    <w:name w:val="heading 5"/>
    <w:basedOn w:val="Normal"/>
    <w:next w:val="Normal"/>
    <w:link w:val="Heading5Char"/>
    <w:qFormat/>
    <w:rsid w:val="00676780"/>
    <w:pPr>
      <w:keepNext/>
      <w:jc w:val="center"/>
      <w:outlineLvl w:val="4"/>
    </w:pPr>
    <w:rPr>
      <w:b/>
      <w:sz w:val="22"/>
      <w:u w:val="single"/>
      <w:lang w:val="en-GB"/>
    </w:rPr>
  </w:style>
  <w:style w:type="paragraph" w:styleId="Heading6">
    <w:name w:val="heading 6"/>
    <w:basedOn w:val="Normal"/>
    <w:next w:val="Normal"/>
    <w:link w:val="Heading6Char"/>
    <w:qFormat/>
    <w:rsid w:val="00676780"/>
    <w:pPr>
      <w:keepNext/>
      <w:ind w:left="1440"/>
      <w:jc w:val="both"/>
      <w:outlineLvl w:val="5"/>
    </w:pPr>
    <w:rPr>
      <w:sz w:val="22"/>
      <w:u w:val="single"/>
      <w:lang w:val="en-GB"/>
    </w:rPr>
  </w:style>
  <w:style w:type="paragraph" w:styleId="Heading7">
    <w:name w:val="heading 7"/>
    <w:basedOn w:val="Normal"/>
    <w:next w:val="Normal"/>
    <w:link w:val="Heading7Char"/>
    <w:qFormat/>
    <w:rsid w:val="00676780"/>
    <w:pPr>
      <w:keepNext/>
      <w:tabs>
        <w:tab w:val="left" w:pos="1440"/>
      </w:tabs>
      <w:spacing w:before="120"/>
      <w:ind w:firstLine="1440"/>
      <w:jc w:val="both"/>
      <w:outlineLvl w:val="6"/>
    </w:pPr>
    <w:rPr>
      <w:sz w:val="22"/>
      <w:u w:val="single"/>
      <w:lang w:val="en-GB"/>
    </w:rPr>
  </w:style>
  <w:style w:type="paragraph" w:styleId="Heading8">
    <w:name w:val="heading 8"/>
    <w:basedOn w:val="Normal"/>
    <w:next w:val="Normal"/>
    <w:link w:val="Heading8Char"/>
    <w:qFormat/>
    <w:rsid w:val="00676780"/>
    <w:pPr>
      <w:keepNext/>
      <w:spacing w:before="60"/>
      <w:jc w:val="both"/>
      <w:outlineLvl w:val="7"/>
    </w:pPr>
    <w:rPr>
      <w:rFonts w:ascii="Arial" w:hAnsi="Arial"/>
      <w:i/>
      <w:sz w:val="15"/>
      <w:lang w:val="en-GB"/>
    </w:rPr>
  </w:style>
  <w:style w:type="paragraph" w:styleId="Heading9">
    <w:name w:val="heading 9"/>
    <w:basedOn w:val="Normal"/>
    <w:next w:val="Normal"/>
    <w:link w:val="Heading9Char"/>
    <w:qFormat/>
    <w:rsid w:val="00676780"/>
    <w:pPr>
      <w:keepNext/>
      <w:jc w:val="both"/>
      <w:outlineLvl w:val="8"/>
    </w:pPr>
    <w:rPr>
      <w:rFonts w:ascii="Arial" w:hAnsi="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76780"/>
    <w:rPr>
      <w:b/>
      <w:sz w:val="24"/>
    </w:rPr>
  </w:style>
  <w:style w:type="paragraph" w:styleId="BodyText">
    <w:name w:val="Body Text"/>
    <w:basedOn w:val="Normal"/>
    <w:link w:val="BodyTextChar"/>
    <w:uiPriority w:val="99"/>
    <w:rsid w:val="009443A6"/>
    <w:pPr>
      <w:spacing w:before="240"/>
    </w:pPr>
    <w:rPr>
      <w:sz w:val="24"/>
      <w:lang w:val="en-GB"/>
    </w:rPr>
  </w:style>
  <w:style w:type="character" w:customStyle="1" w:styleId="BodyTextChar">
    <w:name w:val="Body Text Char"/>
    <w:link w:val="BodyText"/>
    <w:uiPriority w:val="99"/>
    <w:rsid w:val="00941E06"/>
    <w:rPr>
      <w:sz w:val="24"/>
      <w:lang w:val="en-GB"/>
    </w:rPr>
  </w:style>
  <w:style w:type="character" w:customStyle="1" w:styleId="Heading2Char">
    <w:name w:val="Heading 2 Char"/>
    <w:basedOn w:val="DefaultParagraphFont"/>
    <w:link w:val="Heading2"/>
    <w:uiPriority w:val="99"/>
    <w:rsid w:val="00554459"/>
    <w:rPr>
      <w:rFonts w:ascii="Arial" w:hAnsi="Arial"/>
      <w:b/>
      <w:sz w:val="28"/>
      <w:lang w:val="en-GB"/>
    </w:rPr>
  </w:style>
  <w:style w:type="character" w:customStyle="1" w:styleId="Heading3Char">
    <w:name w:val="Heading 3 Char"/>
    <w:basedOn w:val="DefaultParagraphFont"/>
    <w:link w:val="Heading3"/>
    <w:rsid w:val="00554459"/>
    <w:rPr>
      <w:rFonts w:ascii="Arial" w:hAnsi="Arial"/>
      <w:b/>
      <w:sz w:val="22"/>
    </w:rPr>
  </w:style>
  <w:style w:type="character" w:customStyle="1" w:styleId="Heading4Char">
    <w:name w:val="Heading 4 Char"/>
    <w:link w:val="Heading4"/>
    <w:rsid w:val="00C335FC"/>
    <w:rPr>
      <w:rFonts w:ascii="Arial" w:hAnsi="Arial"/>
      <w:b/>
    </w:rPr>
  </w:style>
  <w:style w:type="character" w:customStyle="1" w:styleId="Heading5Char">
    <w:name w:val="Heading 5 Char"/>
    <w:basedOn w:val="DefaultParagraphFont"/>
    <w:link w:val="Heading5"/>
    <w:rsid w:val="00676780"/>
    <w:rPr>
      <w:b/>
      <w:sz w:val="22"/>
      <w:u w:val="single"/>
      <w:lang w:val="en-GB"/>
    </w:rPr>
  </w:style>
  <w:style w:type="character" w:customStyle="1" w:styleId="Heading6Char">
    <w:name w:val="Heading 6 Char"/>
    <w:basedOn w:val="DefaultParagraphFont"/>
    <w:link w:val="Heading6"/>
    <w:rsid w:val="00676780"/>
    <w:rPr>
      <w:sz w:val="22"/>
      <w:u w:val="single"/>
      <w:lang w:val="en-GB"/>
    </w:rPr>
  </w:style>
  <w:style w:type="character" w:customStyle="1" w:styleId="Heading7Char">
    <w:name w:val="Heading 7 Char"/>
    <w:basedOn w:val="DefaultParagraphFont"/>
    <w:link w:val="Heading7"/>
    <w:rsid w:val="00676780"/>
    <w:rPr>
      <w:sz w:val="22"/>
      <w:u w:val="single"/>
      <w:lang w:val="en-GB"/>
    </w:rPr>
  </w:style>
  <w:style w:type="character" w:customStyle="1" w:styleId="Heading8Char">
    <w:name w:val="Heading 8 Char"/>
    <w:basedOn w:val="DefaultParagraphFont"/>
    <w:link w:val="Heading8"/>
    <w:rsid w:val="00676780"/>
    <w:rPr>
      <w:rFonts w:ascii="Arial" w:hAnsi="Arial"/>
      <w:i/>
      <w:sz w:val="15"/>
      <w:lang w:val="en-GB"/>
    </w:rPr>
  </w:style>
  <w:style w:type="character" w:customStyle="1" w:styleId="Heading9Char">
    <w:name w:val="Heading 9 Char"/>
    <w:basedOn w:val="DefaultParagraphFont"/>
    <w:link w:val="Heading9"/>
    <w:rsid w:val="00676780"/>
    <w:rPr>
      <w:rFonts w:ascii="Arial" w:hAnsi="Arial"/>
      <w:b/>
      <w:sz w:val="32"/>
      <w:lang w:val="en-GB"/>
    </w:rPr>
  </w:style>
  <w:style w:type="paragraph" w:styleId="List">
    <w:name w:val="List"/>
    <w:basedOn w:val="BodyText"/>
    <w:rsid w:val="009443A6"/>
    <w:pPr>
      <w:ind w:left="1080" w:hanging="1080"/>
    </w:pPr>
  </w:style>
  <w:style w:type="paragraph" w:styleId="Title">
    <w:name w:val="Title"/>
    <w:basedOn w:val="BodyText"/>
    <w:qFormat/>
    <w:rsid w:val="009443A6"/>
    <w:pPr>
      <w:spacing w:after="240"/>
      <w:jc w:val="center"/>
    </w:pPr>
    <w:rPr>
      <w:rFonts w:ascii="Arial" w:hAnsi="Arial"/>
      <w:b/>
      <w:sz w:val="40"/>
    </w:rPr>
  </w:style>
  <w:style w:type="paragraph" w:customStyle="1" w:styleId="amend">
    <w:name w:val="amend"/>
    <w:basedOn w:val="Normal"/>
    <w:rsid w:val="009443A6"/>
    <w:pPr>
      <w:tabs>
        <w:tab w:val="left" w:pos="1080"/>
      </w:tabs>
      <w:spacing w:before="40" w:after="40"/>
      <w:jc w:val="right"/>
    </w:pPr>
    <w:rPr>
      <w:rFonts w:ascii="Arial" w:hAnsi="Arial"/>
      <w:b/>
      <w:sz w:val="24"/>
      <w:vertAlign w:val="superscript"/>
      <w:lang w:val="en-GB"/>
    </w:rPr>
  </w:style>
  <w:style w:type="paragraph" w:styleId="Header">
    <w:name w:val="header"/>
    <w:aliases w:val=" Char"/>
    <w:basedOn w:val="Normal"/>
    <w:link w:val="HeaderChar"/>
    <w:uiPriority w:val="99"/>
    <w:rsid w:val="009443A6"/>
    <w:pPr>
      <w:tabs>
        <w:tab w:val="center" w:pos="4320"/>
        <w:tab w:val="right" w:pos="8640"/>
      </w:tabs>
    </w:pPr>
  </w:style>
  <w:style w:type="character" w:customStyle="1" w:styleId="HeaderChar">
    <w:name w:val="Header Char"/>
    <w:aliases w:val=" Char Char"/>
    <w:link w:val="Header"/>
    <w:uiPriority w:val="99"/>
    <w:locked/>
    <w:rsid w:val="00676780"/>
  </w:style>
  <w:style w:type="paragraph" w:styleId="Footer">
    <w:name w:val="footer"/>
    <w:basedOn w:val="Normal"/>
    <w:link w:val="FooterChar"/>
    <w:uiPriority w:val="99"/>
    <w:rsid w:val="009443A6"/>
    <w:pPr>
      <w:tabs>
        <w:tab w:val="center" w:pos="4320"/>
        <w:tab w:val="right" w:pos="8640"/>
      </w:tabs>
    </w:pPr>
  </w:style>
  <w:style w:type="character" w:customStyle="1" w:styleId="FooterChar">
    <w:name w:val="Footer Char"/>
    <w:link w:val="Footer"/>
    <w:uiPriority w:val="99"/>
    <w:rsid w:val="00676780"/>
  </w:style>
  <w:style w:type="character" w:styleId="PageNumber">
    <w:name w:val="page number"/>
    <w:basedOn w:val="DefaultParagraphFont"/>
    <w:uiPriority w:val="99"/>
    <w:rsid w:val="009443A6"/>
  </w:style>
  <w:style w:type="paragraph" w:styleId="BodyText2">
    <w:name w:val="Body Text 2"/>
    <w:basedOn w:val="Normal"/>
    <w:link w:val="BodyText2Char"/>
    <w:uiPriority w:val="99"/>
    <w:rsid w:val="009443A6"/>
    <w:pPr>
      <w:jc w:val="both"/>
    </w:pPr>
    <w:rPr>
      <w:sz w:val="24"/>
    </w:rPr>
  </w:style>
  <w:style w:type="character" w:customStyle="1" w:styleId="BodyText2Char">
    <w:name w:val="Body Text 2 Char"/>
    <w:basedOn w:val="DefaultParagraphFont"/>
    <w:link w:val="BodyText2"/>
    <w:uiPriority w:val="99"/>
    <w:locked/>
    <w:rsid w:val="00C335FC"/>
    <w:rPr>
      <w:sz w:val="24"/>
    </w:rPr>
  </w:style>
  <w:style w:type="paragraph" w:styleId="BodyTextIndent">
    <w:name w:val="Body Text Indent"/>
    <w:basedOn w:val="Normal"/>
    <w:link w:val="BodyTextIndentChar"/>
    <w:uiPriority w:val="99"/>
    <w:rsid w:val="009443A6"/>
    <w:pPr>
      <w:ind w:left="720"/>
      <w:jc w:val="both"/>
    </w:pPr>
    <w:rPr>
      <w:sz w:val="24"/>
    </w:rPr>
  </w:style>
  <w:style w:type="character" w:customStyle="1" w:styleId="BodyTextIndentChar">
    <w:name w:val="Body Text Indent Char"/>
    <w:link w:val="BodyTextIndent"/>
    <w:uiPriority w:val="99"/>
    <w:rsid w:val="001239E5"/>
    <w:rPr>
      <w:sz w:val="24"/>
    </w:rPr>
  </w:style>
  <w:style w:type="paragraph" w:styleId="BalloonText">
    <w:name w:val="Balloon Text"/>
    <w:basedOn w:val="Normal"/>
    <w:link w:val="BalloonTextChar"/>
    <w:uiPriority w:val="99"/>
    <w:rsid w:val="009443A6"/>
    <w:rPr>
      <w:rFonts w:ascii="Tahoma" w:hAnsi="Tahoma" w:cs="Tahoma"/>
      <w:sz w:val="16"/>
      <w:szCs w:val="16"/>
    </w:rPr>
  </w:style>
  <w:style w:type="character" w:customStyle="1" w:styleId="BalloonTextChar">
    <w:name w:val="Balloon Text Char"/>
    <w:link w:val="BalloonText"/>
    <w:uiPriority w:val="99"/>
    <w:rsid w:val="00676780"/>
    <w:rPr>
      <w:rFonts w:ascii="Tahoma" w:hAnsi="Tahoma" w:cs="Tahoma"/>
      <w:sz w:val="16"/>
      <w:szCs w:val="16"/>
    </w:rPr>
  </w:style>
  <w:style w:type="paragraph" w:customStyle="1" w:styleId="Style1">
    <w:name w:val="Style1"/>
    <w:basedOn w:val="Normal"/>
    <w:link w:val="Style1Char"/>
    <w:rsid w:val="00676780"/>
    <w:pPr>
      <w:jc w:val="both"/>
    </w:pPr>
    <w:rPr>
      <w:sz w:val="22"/>
      <w:lang w:val="en-GB"/>
    </w:rPr>
  </w:style>
  <w:style w:type="character" w:customStyle="1" w:styleId="Style1Char">
    <w:name w:val="Style1 Char"/>
    <w:link w:val="Style1"/>
    <w:rsid w:val="00C335FC"/>
    <w:rPr>
      <w:sz w:val="22"/>
      <w:lang w:val="en-GB"/>
    </w:rPr>
  </w:style>
  <w:style w:type="paragraph" w:customStyle="1" w:styleId="dr">
    <w:name w:val="dr"/>
    <w:uiPriority w:val="99"/>
    <w:rsid w:val="00676780"/>
    <w:pPr>
      <w:jc w:val="both"/>
    </w:pPr>
    <w:rPr>
      <w:sz w:val="22"/>
      <w:lang w:val="en-GB"/>
    </w:rPr>
  </w:style>
  <w:style w:type="paragraph" w:customStyle="1" w:styleId="Pages">
    <w:name w:val="Pages"/>
    <w:basedOn w:val="BodyText"/>
    <w:next w:val="Heading1"/>
    <w:rsid w:val="00676780"/>
    <w:pPr>
      <w:spacing w:before="0" w:after="120"/>
      <w:jc w:val="both"/>
    </w:pPr>
    <w:rPr>
      <w:rFonts w:ascii="Arial" w:hAnsi="Arial"/>
      <w:sz w:val="22"/>
      <w:lang w:val="en-US"/>
    </w:rPr>
  </w:style>
  <w:style w:type="paragraph" w:styleId="BodyTextIndent3">
    <w:name w:val="Body Text Indent 3"/>
    <w:basedOn w:val="Normal"/>
    <w:link w:val="BodyTextIndent3Char"/>
    <w:uiPriority w:val="99"/>
    <w:rsid w:val="00676780"/>
    <w:pPr>
      <w:tabs>
        <w:tab w:val="left" w:pos="1800"/>
      </w:tabs>
      <w:spacing w:before="120"/>
      <w:ind w:left="1800" w:hanging="360"/>
      <w:jc w:val="both"/>
    </w:pPr>
    <w:rPr>
      <w:sz w:val="22"/>
      <w:lang w:val="en-GB"/>
    </w:rPr>
  </w:style>
  <w:style w:type="character" w:customStyle="1" w:styleId="BodyTextIndent3Char">
    <w:name w:val="Body Text Indent 3 Char"/>
    <w:basedOn w:val="DefaultParagraphFont"/>
    <w:link w:val="BodyTextIndent3"/>
    <w:uiPriority w:val="99"/>
    <w:rsid w:val="00676780"/>
    <w:rPr>
      <w:sz w:val="22"/>
      <w:lang w:val="en-GB"/>
    </w:rPr>
  </w:style>
  <w:style w:type="paragraph" w:styleId="BodyTextIndent2">
    <w:name w:val="Body Text Indent 2"/>
    <w:basedOn w:val="Normal"/>
    <w:link w:val="BodyTextIndent2Char"/>
    <w:uiPriority w:val="99"/>
    <w:rsid w:val="00676780"/>
    <w:pPr>
      <w:ind w:left="1080"/>
      <w:jc w:val="both"/>
    </w:pPr>
    <w:rPr>
      <w:sz w:val="22"/>
      <w:lang w:val="en-GB"/>
    </w:rPr>
  </w:style>
  <w:style w:type="character" w:customStyle="1" w:styleId="BodyTextIndent2Char">
    <w:name w:val="Body Text Indent 2 Char"/>
    <w:basedOn w:val="DefaultParagraphFont"/>
    <w:link w:val="BodyTextIndent2"/>
    <w:uiPriority w:val="99"/>
    <w:rsid w:val="00676780"/>
    <w:rPr>
      <w:sz w:val="22"/>
      <w:lang w:val="en-GB"/>
    </w:rPr>
  </w:style>
  <w:style w:type="paragraph" w:customStyle="1" w:styleId="Document1">
    <w:name w:val="Document 1"/>
    <w:rsid w:val="00676780"/>
    <w:pPr>
      <w:keepNext/>
      <w:keepLines/>
      <w:tabs>
        <w:tab w:val="left" w:pos="-720"/>
      </w:tabs>
      <w:suppressAutoHyphens/>
      <w:jc w:val="both"/>
    </w:pPr>
    <w:rPr>
      <w:rFonts w:ascii="Univers" w:hAnsi="Univers"/>
    </w:rPr>
  </w:style>
  <w:style w:type="paragraph" w:styleId="EnvelopeReturn">
    <w:name w:val="envelope return"/>
    <w:basedOn w:val="Normal"/>
    <w:rsid w:val="00676780"/>
    <w:pPr>
      <w:jc w:val="both"/>
    </w:pPr>
    <w:rPr>
      <w:sz w:val="18"/>
      <w:lang w:val="en-GB"/>
    </w:rPr>
  </w:style>
  <w:style w:type="paragraph" w:styleId="NormalWeb">
    <w:name w:val="Normal (Web)"/>
    <w:basedOn w:val="Normal"/>
    <w:rsid w:val="00676780"/>
    <w:pPr>
      <w:spacing w:before="100" w:after="100"/>
      <w:jc w:val="both"/>
    </w:pPr>
    <w:rPr>
      <w:color w:val="000000"/>
      <w:sz w:val="24"/>
      <w:lang w:val="en-CA"/>
    </w:rPr>
  </w:style>
  <w:style w:type="paragraph" w:customStyle="1" w:styleId="copy">
    <w:name w:val="copy"/>
    <w:rsid w:val="00676780"/>
    <w:pPr>
      <w:jc w:val="both"/>
    </w:pPr>
    <w:rPr>
      <w:sz w:val="22"/>
      <w:lang w:val="en-GB"/>
    </w:rPr>
  </w:style>
  <w:style w:type="paragraph" w:styleId="HTMLPreformatted">
    <w:name w:val="HTML Preformatted"/>
    <w:basedOn w:val="Normal"/>
    <w:link w:val="HTMLPreformattedChar"/>
    <w:rsid w:val="0067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rPr>
  </w:style>
  <w:style w:type="character" w:customStyle="1" w:styleId="HTMLPreformattedChar">
    <w:name w:val="HTML Preformatted Char"/>
    <w:basedOn w:val="DefaultParagraphFont"/>
    <w:link w:val="HTMLPreformatted"/>
    <w:rsid w:val="00676780"/>
    <w:rPr>
      <w:rFonts w:ascii="Arial Unicode MS" w:eastAsia="Arial Unicode MS" w:hAnsi="Arial Unicode MS"/>
    </w:rPr>
  </w:style>
  <w:style w:type="paragraph" w:styleId="BodyText3">
    <w:name w:val="Body Text 3"/>
    <w:basedOn w:val="Normal"/>
    <w:link w:val="BodyText3Char"/>
    <w:rsid w:val="00676780"/>
    <w:pPr>
      <w:jc w:val="both"/>
    </w:pPr>
    <w:rPr>
      <w:sz w:val="24"/>
      <w:lang w:val="en-GB"/>
    </w:rPr>
  </w:style>
  <w:style w:type="character" w:customStyle="1" w:styleId="BodyText3Char">
    <w:name w:val="Body Text 3 Char"/>
    <w:basedOn w:val="DefaultParagraphFont"/>
    <w:link w:val="BodyText3"/>
    <w:rsid w:val="00676780"/>
    <w:rPr>
      <w:sz w:val="24"/>
      <w:lang w:val="en-GB"/>
    </w:rPr>
  </w:style>
  <w:style w:type="paragraph" w:styleId="DocumentMap">
    <w:name w:val="Document Map"/>
    <w:basedOn w:val="Normal"/>
    <w:link w:val="DocumentMapChar"/>
    <w:semiHidden/>
    <w:rsid w:val="00676780"/>
    <w:pPr>
      <w:shd w:val="clear" w:color="auto" w:fill="000080"/>
      <w:jc w:val="both"/>
    </w:pPr>
    <w:rPr>
      <w:rFonts w:ascii="Tahoma" w:hAnsi="Tahoma" w:cs="Courier New"/>
      <w:lang w:val="en-GB"/>
    </w:rPr>
  </w:style>
  <w:style w:type="character" w:customStyle="1" w:styleId="DocumentMapChar">
    <w:name w:val="Document Map Char"/>
    <w:basedOn w:val="DefaultParagraphFont"/>
    <w:link w:val="DocumentMap"/>
    <w:semiHidden/>
    <w:rsid w:val="00676780"/>
    <w:rPr>
      <w:rFonts w:ascii="Tahoma" w:hAnsi="Tahoma" w:cs="Courier New"/>
      <w:shd w:val="clear" w:color="auto" w:fill="000080"/>
      <w:lang w:val="en-GB"/>
    </w:rPr>
  </w:style>
  <w:style w:type="character" w:customStyle="1" w:styleId="emailstyle15">
    <w:name w:val="emailstyle15"/>
    <w:rsid w:val="00676780"/>
    <w:rPr>
      <w:rFonts w:ascii="Arial" w:hAnsi="Arial" w:cs="Arial"/>
      <w:color w:val="000000"/>
      <w:sz w:val="20"/>
    </w:rPr>
  </w:style>
  <w:style w:type="paragraph" w:customStyle="1" w:styleId="ontax">
    <w:name w:val="ontax"/>
    <w:uiPriority w:val="99"/>
    <w:rsid w:val="00676780"/>
    <w:pPr>
      <w:jc w:val="both"/>
    </w:pPr>
    <w:rPr>
      <w:sz w:val="22"/>
      <w:lang w:val="en-GB"/>
    </w:rPr>
  </w:style>
  <w:style w:type="paragraph" w:customStyle="1" w:styleId="SignatureCompany">
    <w:name w:val="Signature Company"/>
    <w:basedOn w:val="Signature"/>
    <w:next w:val="Normal"/>
    <w:uiPriority w:val="99"/>
    <w:rsid w:val="00676780"/>
    <w:pPr>
      <w:keepNext/>
      <w:spacing w:line="220" w:lineRule="atLeast"/>
      <w:ind w:left="0"/>
      <w:jc w:val="left"/>
    </w:pPr>
    <w:rPr>
      <w:spacing w:val="-5"/>
      <w:lang w:val="en-CA"/>
    </w:rPr>
  </w:style>
  <w:style w:type="paragraph" w:styleId="Signature">
    <w:name w:val="Signature"/>
    <w:basedOn w:val="Normal"/>
    <w:link w:val="SignatureChar"/>
    <w:uiPriority w:val="99"/>
    <w:rsid w:val="00676780"/>
    <w:pPr>
      <w:ind w:left="4320"/>
      <w:jc w:val="both"/>
    </w:pPr>
    <w:rPr>
      <w:rFonts w:ascii="Arial" w:hAnsi="Arial"/>
      <w:lang w:val="en-GB"/>
    </w:rPr>
  </w:style>
  <w:style w:type="character" w:customStyle="1" w:styleId="SignatureChar">
    <w:name w:val="Signature Char"/>
    <w:basedOn w:val="DefaultParagraphFont"/>
    <w:link w:val="Signature"/>
    <w:uiPriority w:val="99"/>
    <w:rsid w:val="00676780"/>
    <w:rPr>
      <w:rFonts w:ascii="Arial" w:hAnsi="Arial"/>
      <w:lang w:val="en-GB"/>
    </w:rPr>
  </w:style>
  <w:style w:type="table" w:styleId="TableGrid">
    <w:name w:val="Table Grid"/>
    <w:basedOn w:val="TableNormal"/>
    <w:rsid w:val="006767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76780"/>
    <w:rPr>
      <w:sz w:val="16"/>
      <w:szCs w:val="16"/>
    </w:rPr>
  </w:style>
  <w:style w:type="paragraph" w:styleId="CommentText">
    <w:name w:val="annotation text"/>
    <w:basedOn w:val="Normal"/>
    <w:link w:val="CommentTextChar"/>
    <w:rsid w:val="00676780"/>
    <w:pPr>
      <w:jc w:val="both"/>
    </w:pPr>
    <w:rPr>
      <w:rFonts w:ascii="Arial" w:hAnsi="Arial"/>
      <w:lang w:val="en-GB"/>
    </w:rPr>
  </w:style>
  <w:style w:type="character" w:customStyle="1" w:styleId="CommentTextChar">
    <w:name w:val="Comment Text Char"/>
    <w:basedOn w:val="DefaultParagraphFont"/>
    <w:link w:val="CommentText"/>
    <w:rsid w:val="00676780"/>
    <w:rPr>
      <w:rFonts w:ascii="Arial" w:hAnsi="Arial"/>
      <w:lang w:val="en-GB"/>
    </w:rPr>
  </w:style>
  <w:style w:type="paragraph" w:styleId="CommentSubject">
    <w:name w:val="annotation subject"/>
    <w:basedOn w:val="CommentText"/>
    <w:next w:val="CommentText"/>
    <w:link w:val="CommentSubjectChar"/>
    <w:uiPriority w:val="99"/>
    <w:rsid w:val="00676780"/>
    <w:rPr>
      <w:b/>
      <w:bCs/>
    </w:rPr>
  </w:style>
  <w:style w:type="character" w:customStyle="1" w:styleId="CommentSubjectChar">
    <w:name w:val="Comment Subject Char"/>
    <w:basedOn w:val="CommentTextChar"/>
    <w:link w:val="CommentSubject"/>
    <w:uiPriority w:val="99"/>
    <w:rsid w:val="00676780"/>
    <w:rPr>
      <w:rFonts w:ascii="Arial" w:hAnsi="Arial"/>
      <w:b/>
      <w:bCs/>
      <w:lang w:val="en-GB"/>
    </w:rPr>
  </w:style>
  <w:style w:type="paragraph" w:customStyle="1" w:styleId="NormalJustified">
    <w:name w:val="Normal + Justified"/>
    <w:aliases w:val="Left:  0&quot;,Hanging:  0.25&quot;"/>
    <w:basedOn w:val="BodyText"/>
    <w:rsid w:val="00676780"/>
    <w:pPr>
      <w:spacing w:before="0"/>
      <w:jc w:val="both"/>
    </w:pPr>
    <w:rPr>
      <w:sz w:val="20"/>
      <w:lang w:val="en-US"/>
    </w:rPr>
  </w:style>
  <w:style w:type="paragraph" w:styleId="ListParagraph">
    <w:name w:val="List Paragraph"/>
    <w:basedOn w:val="Normal"/>
    <w:uiPriority w:val="99"/>
    <w:qFormat/>
    <w:rsid w:val="00676780"/>
    <w:pPr>
      <w:ind w:left="720"/>
    </w:pPr>
    <w:rPr>
      <w:rFonts w:ascii="Calibri" w:hAnsi="Calibri"/>
      <w:sz w:val="22"/>
      <w:szCs w:val="22"/>
    </w:rPr>
  </w:style>
  <w:style w:type="paragraph" w:customStyle="1" w:styleId="BDONormal">
    <w:name w:val="BDO_Normal"/>
    <w:rsid w:val="00676780"/>
    <w:rPr>
      <w:rFonts w:ascii="Trebuchet MS" w:hAnsi="Trebuchet MS"/>
      <w:szCs w:val="24"/>
      <w:lang w:eastAsia="en-GB"/>
    </w:rPr>
  </w:style>
  <w:style w:type="paragraph" w:customStyle="1" w:styleId="BDOAddress">
    <w:name w:val="BDO_Address"/>
    <w:basedOn w:val="BDONormal"/>
    <w:rsid w:val="00676780"/>
    <w:pPr>
      <w:spacing w:line="170" w:lineRule="exact"/>
    </w:pPr>
    <w:rPr>
      <w:color w:val="786860"/>
      <w:sz w:val="16"/>
    </w:rPr>
  </w:style>
  <w:style w:type="paragraph" w:customStyle="1" w:styleId="BDOAddressBold">
    <w:name w:val="BDO_Address (Bold)"/>
    <w:basedOn w:val="BDOAddress"/>
    <w:rsid w:val="00676780"/>
    <w:rPr>
      <w:b/>
    </w:rPr>
  </w:style>
  <w:style w:type="paragraph" w:customStyle="1" w:styleId="Default">
    <w:name w:val="Default"/>
    <w:rsid w:val="00676780"/>
    <w:pPr>
      <w:autoSpaceDE w:val="0"/>
      <w:autoSpaceDN w:val="0"/>
      <w:adjustRightInd w:val="0"/>
    </w:pPr>
    <w:rPr>
      <w:rFonts w:ascii="Trebuchet MS" w:hAnsi="Trebuchet MS" w:cs="Trebuchet MS"/>
      <w:color w:val="000000"/>
      <w:sz w:val="24"/>
      <w:szCs w:val="24"/>
      <w:lang w:val="en-CA" w:eastAsia="en-CA"/>
    </w:rPr>
  </w:style>
  <w:style w:type="paragraph" w:styleId="ListBullet">
    <w:name w:val="List Bullet"/>
    <w:basedOn w:val="Normal"/>
    <w:autoRedefine/>
    <w:rsid w:val="00676780"/>
    <w:pPr>
      <w:jc w:val="center"/>
    </w:pPr>
    <w:rPr>
      <w:b/>
      <w:sz w:val="24"/>
      <w:lang w:val="en-CA"/>
    </w:rPr>
  </w:style>
  <w:style w:type="paragraph" w:customStyle="1" w:styleId="Body">
    <w:name w:val="Body"/>
    <w:rsid w:val="00676780"/>
    <w:pPr>
      <w:pBdr>
        <w:top w:val="nil"/>
        <w:left w:val="nil"/>
        <w:bottom w:val="nil"/>
        <w:right w:val="nil"/>
        <w:between w:val="nil"/>
        <w:bar w:val="nil"/>
      </w:pBdr>
    </w:pPr>
    <w:rPr>
      <w:rFonts w:ascii="Cambria" w:eastAsia="Cambria" w:hAnsi="Cambria" w:cs="Cambria"/>
      <w:color w:val="000000"/>
      <w:sz w:val="24"/>
      <w:szCs w:val="24"/>
      <w:u w:color="000000"/>
      <w:bdr w:val="nil"/>
      <w:lang w:val="en-CA" w:eastAsia="en-CA"/>
    </w:rPr>
  </w:style>
  <w:style w:type="paragraph" w:customStyle="1" w:styleId="Ne2">
    <w:name w:val="Ne2"/>
    <w:basedOn w:val="Normal"/>
    <w:link w:val="Ne2Char1"/>
    <w:rsid w:val="00676780"/>
    <w:pPr>
      <w:overflowPunct w:val="0"/>
      <w:autoSpaceDE w:val="0"/>
      <w:autoSpaceDN w:val="0"/>
      <w:adjustRightInd w:val="0"/>
      <w:spacing w:before="120" w:line="280" w:lineRule="atLeast"/>
      <w:ind w:left="360"/>
      <w:jc w:val="both"/>
      <w:textAlignment w:val="baseline"/>
    </w:pPr>
    <w:rPr>
      <w:rFonts w:ascii="Arial" w:eastAsia="PMingLiU" w:hAnsi="Arial"/>
    </w:rPr>
  </w:style>
  <w:style w:type="character" w:customStyle="1" w:styleId="Ne2Char1">
    <w:name w:val="Ne2 Char1"/>
    <w:link w:val="Ne2"/>
    <w:rsid w:val="00676780"/>
    <w:rPr>
      <w:rFonts w:ascii="Arial" w:eastAsia="PMingLiU" w:hAnsi="Arial"/>
    </w:rPr>
  </w:style>
  <w:style w:type="character" w:styleId="Emphasis">
    <w:name w:val="Emphasis"/>
    <w:uiPriority w:val="99"/>
    <w:qFormat/>
    <w:rsid w:val="00C335FC"/>
    <w:rPr>
      <w:i/>
      <w:iCs/>
    </w:rPr>
  </w:style>
  <w:style w:type="character" w:styleId="Hyperlink">
    <w:name w:val="Hyperlink"/>
    <w:uiPriority w:val="99"/>
    <w:unhideWhenUsed/>
    <w:rsid w:val="00C335FC"/>
    <w:rPr>
      <w:color w:val="0000FF"/>
      <w:u w:val="single"/>
    </w:rPr>
  </w:style>
  <w:style w:type="paragraph" w:customStyle="1" w:styleId="paragraph">
    <w:name w:val="paragraph"/>
    <w:basedOn w:val="Normal"/>
    <w:uiPriority w:val="99"/>
    <w:rsid w:val="00C335FC"/>
    <w:pPr>
      <w:spacing w:before="86" w:after="86"/>
      <w:ind w:left="305"/>
    </w:pPr>
    <w:rPr>
      <w:rFonts w:ascii="Arial" w:hAnsi="Arial" w:cs="Arial"/>
      <w:color w:val="000000"/>
      <w:sz w:val="22"/>
      <w:szCs w:val="22"/>
    </w:rPr>
  </w:style>
  <w:style w:type="character" w:customStyle="1" w:styleId="EmailStyle33">
    <w:name w:val="EmailStyle33"/>
    <w:basedOn w:val="DefaultParagraphFont"/>
    <w:rsid w:val="00554459"/>
    <w:rPr>
      <w:rFonts w:ascii="Arial" w:hAnsi="Arial" w:cs="Arial"/>
      <w:color w:val="000000"/>
      <w:sz w:val="20"/>
    </w:rPr>
  </w:style>
  <w:style w:type="paragraph" w:customStyle="1" w:styleId="N1text">
    <w:name w:val="N1 text"/>
    <w:rsid w:val="00554459"/>
    <w:pPr>
      <w:widowControl w:val="0"/>
      <w:tabs>
        <w:tab w:val="center" w:pos="3401"/>
        <w:tab w:val="center" w:pos="7560"/>
        <w:tab w:val="center" w:pos="8640"/>
        <w:tab w:val="left" w:pos="9648"/>
      </w:tabs>
      <w:autoSpaceDE w:val="0"/>
      <w:autoSpaceDN w:val="0"/>
      <w:adjustRightInd w:val="0"/>
      <w:spacing w:before="230"/>
      <w:ind w:left="432"/>
      <w:jc w:val="both"/>
    </w:pPr>
    <w:rPr>
      <w:color w:val="000000"/>
    </w:rPr>
  </w:style>
  <w:style w:type="character" w:styleId="FollowedHyperlink">
    <w:name w:val="FollowedHyperlink"/>
    <w:basedOn w:val="DefaultParagraphFont"/>
    <w:rsid w:val="00554459"/>
    <w:rPr>
      <w:rFonts w:cs="Times New Roman"/>
      <w:color w:val="800080"/>
      <w:u w:val="single"/>
    </w:rPr>
  </w:style>
  <w:style w:type="paragraph" w:customStyle="1" w:styleId="textnotes">
    <w:name w:val="text notes"/>
    <w:aliases w:val="TN,tn"/>
    <w:basedOn w:val="Normal"/>
    <w:rsid w:val="00554459"/>
    <w:pPr>
      <w:tabs>
        <w:tab w:val="decimal" w:pos="6380"/>
        <w:tab w:val="decimal" w:pos="7920"/>
      </w:tabs>
      <w:overflowPunct w:val="0"/>
      <w:autoSpaceDE w:val="0"/>
      <w:autoSpaceDN w:val="0"/>
      <w:adjustRightInd w:val="0"/>
      <w:jc w:val="both"/>
      <w:textAlignment w:val="baseline"/>
    </w:pPr>
  </w:style>
  <w:style w:type="paragraph" w:customStyle="1" w:styleId="Bodyindent05">
    <w:name w:val="Body indent 0.5"/>
    <w:basedOn w:val="Normal"/>
    <w:link w:val="Bodyindent05Char"/>
    <w:qFormat/>
    <w:rsid w:val="00554459"/>
    <w:pPr>
      <w:widowControl w:val="0"/>
      <w:tabs>
        <w:tab w:val="left" w:pos="1100"/>
        <w:tab w:val="left" w:pos="1440"/>
        <w:tab w:val="left" w:pos="1800"/>
      </w:tabs>
      <w:autoSpaceDE w:val="0"/>
      <w:autoSpaceDN w:val="0"/>
      <w:spacing w:after="200"/>
      <w:ind w:left="1080"/>
      <w:jc w:val="both"/>
    </w:pPr>
    <w:rPr>
      <w:rFonts w:ascii="Arial" w:hAnsi="Arial"/>
      <w:szCs w:val="22"/>
    </w:rPr>
  </w:style>
  <w:style w:type="character" w:customStyle="1" w:styleId="Bodyindent05Char">
    <w:name w:val="Body indent 0.5 Char"/>
    <w:basedOn w:val="DefaultParagraphFont"/>
    <w:link w:val="Bodyindent05"/>
    <w:rsid w:val="00554459"/>
    <w:rPr>
      <w:rFonts w:ascii="Arial" w:hAnsi="Arial"/>
      <w:szCs w:val="22"/>
    </w:rPr>
  </w:style>
  <w:style w:type="character" w:customStyle="1" w:styleId="PlainTextChar">
    <w:name w:val="Plain Text Char"/>
    <w:basedOn w:val="DefaultParagraphFont"/>
    <w:link w:val="PlainText"/>
    <w:uiPriority w:val="99"/>
    <w:semiHidden/>
    <w:rsid w:val="00554459"/>
    <w:rPr>
      <w:rFonts w:ascii="Calibri" w:eastAsiaTheme="minorEastAsia" w:hAnsi="Calibri" w:cstheme="minorBidi"/>
      <w:sz w:val="22"/>
      <w:szCs w:val="21"/>
      <w:lang w:eastAsia="zh-CN"/>
    </w:rPr>
  </w:style>
  <w:style w:type="paragraph" w:styleId="PlainText">
    <w:name w:val="Plain Text"/>
    <w:basedOn w:val="Normal"/>
    <w:link w:val="PlainTextChar"/>
    <w:uiPriority w:val="99"/>
    <w:semiHidden/>
    <w:unhideWhenUsed/>
    <w:rsid w:val="00554459"/>
    <w:rPr>
      <w:rFonts w:ascii="Calibri" w:eastAsiaTheme="minorEastAsia" w:hAnsi="Calibri" w:cstheme="minorBidi"/>
      <w:sz w:val="22"/>
      <w:szCs w:val="21"/>
      <w:lang w:eastAsia="zh-CN"/>
    </w:rPr>
  </w:style>
  <w:style w:type="paragraph" w:customStyle="1" w:styleId="style10">
    <w:name w:val="style1"/>
    <w:basedOn w:val="Normal"/>
    <w:uiPriority w:val="99"/>
    <w:rsid w:val="00FE6554"/>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FE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edar.com" TargetMode="Externa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FE0C-2C25-4243-84C0-9819D35D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11966</Words>
  <Characters>68208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James Nelson</cp:lastModifiedBy>
  <cp:revision>2</cp:revision>
  <cp:lastPrinted>2018-12-21T19:34:00Z</cp:lastPrinted>
  <dcterms:created xsi:type="dcterms:W3CDTF">2019-12-09T22:20:00Z</dcterms:created>
  <dcterms:modified xsi:type="dcterms:W3CDTF">2019-12-09T22:20:00Z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