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208F5" w14:textId="77777777" w:rsidR="007E0300" w:rsidRDefault="00211490" w:rsidP="002024E3">
      <w:pPr>
        <w:jc w:val="center"/>
        <w:rPr>
          <w:rFonts w:ascii="Arial" w:hAnsi="Arial" w:cs="Arial"/>
          <w:b/>
        </w:rPr>
      </w:pPr>
      <w:r>
        <w:rPr>
          <w:rFonts w:ascii="Arial" w:hAnsi="Arial" w:cs="Arial"/>
          <w:b/>
        </w:rPr>
        <w:t xml:space="preserve">CB2 Insights </w:t>
      </w:r>
      <w:r w:rsidR="00D82775">
        <w:rPr>
          <w:rFonts w:ascii="Arial" w:hAnsi="Arial" w:cs="Arial"/>
          <w:b/>
        </w:rPr>
        <w:t>Posts</w:t>
      </w:r>
      <w:r w:rsidR="006C5191">
        <w:rPr>
          <w:rFonts w:ascii="Arial" w:hAnsi="Arial" w:cs="Arial"/>
          <w:b/>
        </w:rPr>
        <w:t xml:space="preserve"> S</w:t>
      </w:r>
      <w:r w:rsidR="00A079D6">
        <w:rPr>
          <w:rFonts w:ascii="Arial" w:hAnsi="Arial" w:cs="Arial"/>
          <w:b/>
        </w:rPr>
        <w:t>trong</w:t>
      </w:r>
      <w:r w:rsidR="006C5191">
        <w:rPr>
          <w:rFonts w:ascii="Arial" w:hAnsi="Arial" w:cs="Arial"/>
          <w:b/>
        </w:rPr>
        <w:t xml:space="preserve"> Growth in Clinical </w:t>
      </w:r>
      <w:r w:rsidR="00213FF1">
        <w:rPr>
          <w:rFonts w:ascii="Arial" w:hAnsi="Arial" w:cs="Arial"/>
          <w:b/>
        </w:rPr>
        <w:t>Revenue</w:t>
      </w:r>
      <w:r>
        <w:rPr>
          <w:rFonts w:ascii="Arial" w:hAnsi="Arial" w:cs="Arial"/>
          <w:b/>
        </w:rPr>
        <w:t xml:space="preserve"> </w:t>
      </w:r>
      <w:r w:rsidR="00213FF1">
        <w:rPr>
          <w:rFonts w:ascii="Arial" w:hAnsi="Arial" w:cs="Arial"/>
          <w:b/>
        </w:rPr>
        <w:t xml:space="preserve">and </w:t>
      </w:r>
      <w:r w:rsidR="008375F5">
        <w:rPr>
          <w:rFonts w:ascii="Arial" w:hAnsi="Arial" w:cs="Arial"/>
          <w:b/>
        </w:rPr>
        <w:t xml:space="preserve">Drives </w:t>
      </w:r>
      <w:r w:rsidR="00A079D6">
        <w:rPr>
          <w:rFonts w:ascii="Arial" w:hAnsi="Arial" w:cs="Arial"/>
          <w:b/>
        </w:rPr>
        <w:t xml:space="preserve">Operating </w:t>
      </w:r>
      <w:r w:rsidR="008375F5">
        <w:rPr>
          <w:rFonts w:ascii="Arial" w:hAnsi="Arial" w:cs="Arial"/>
          <w:b/>
        </w:rPr>
        <w:t>Efficiencies</w:t>
      </w:r>
      <w:r w:rsidR="00A079D6">
        <w:rPr>
          <w:rFonts w:ascii="Arial" w:hAnsi="Arial" w:cs="Arial"/>
          <w:b/>
        </w:rPr>
        <w:t xml:space="preserve"> </w:t>
      </w:r>
      <w:r w:rsidR="008375F5">
        <w:rPr>
          <w:rFonts w:ascii="Arial" w:hAnsi="Arial" w:cs="Arial"/>
          <w:b/>
        </w:rPr>
        <w:t xml:space="preserve">in </w:t>
      </w:r>
      <w:r w:rsidR="00A079D6">
        <w:rPr>
          <w:rFonts w:ascii="Arial" w:hAnsi="Arial" w:cs="Arial"/>
          <w:b/>
        </w:rPr>
        <w:t>Q1 2019</w:t>
      </w:r>
    </w:p>
    <w:p w14:paraId="48CE4E82" w14:textId="77777777" w:rsidR="00536F3F" w:rsidRPr="007472F2" w:rsidRDefault="00213FF1" w:rsidP="002024E3">
      <w:pPr>
        <w:jc w:val="center"/>
        <w:rPr>
          <w:rFonts w:ascii="Arial" w:hAnsi="Arial" w:cs="Arial"/>
          <w:i/>
        </w:rPr>
      </w:pPr>
      <w:r w:rsidRPr="007472F2">
        <w:rPr>
          <w:rFonts w:ascii="Arial" w:hAnsi="Arial" w:cs="Arial"/>
          <w:i/>
        </w:rPr>
        <w:t>16</w:t>
      </w:r>
      <w:r w:rsidR="006C5191" w:rsidRPr="007472F2">
        <w:rPr>
          <w:rFonts w:ascii="Arial" w:hAnsi="Arial" w:cs="Arial"/>
          <w:i/>
        </w:rPr>
        <w:t xml:space="preserve">% </w:t>
      </w:r>
      <w:r w:rsidR="00722612" w:rsidRPr="007472F2">
        <w:rPr>
          <w:rFonts w:ascii="Arial" w:hAnsi="Arial" w:cs="Arial"/>
          <w:i/>
        </w:rPr>
        <w:t>Increase in Q</w:t>
      </w:r>
      <w:r w:rsidR="00EF464C" w:rsidRPr="007472F2">
        <w:rPr>
          <w:rFonts w:ascii="Arial" w:hAnsi="Arial" w:cs="Arial"/>
          <w:i/>
        </w:rPr>
        <w:t>uarter-</w:t>
      </w:r>
      <w:r w:rsidR="00722612" w:rsidRPr="007472F2">
        <w:rPr>
          <w:rFonts w:ascii="Arial" w:hAnsi="Arial" w:cs="Arial"/>
          <w:i/>
        </w:rPr>
        <w:t>over</w:t>
      </w:r>
      <w:r w:rsidR="00EF464C" w:rsidRPr="007472F2">
        <w:rPr>
          <w:rFonts w:ascii="Arial" w:hAnsi="Arial" w:cs="Arial"/>
          <w:i/>
        </w:rPr>
        <w:t>-</w:t>
      </w:r>
      <w:r w:rsidR="00722612" w:rsidRPr="007472F2">
        <w:rPr>
          <w:rFonts w:ascii="Arial" w:hAnsi="Arial" w:cs="Arial"/>
          <w:i/>
        </w:rPr>
        <w:t>Q</w:t>
      </w:r>
      <w:r w:rsidR="00EF464C" w:rsidRPr="007472F2">
        <w:rPr>
          <w:rFonts w:ascii="Arial" w:hAnsi="Arial" w:cs="Arial"/>
          <w:i/>
        </w:rPr>
        <w:t>uarter</w:t>
      </w:r>
      <w:r w:rsidR="00722612" w:rsidRPr="007472F2">
        <w:rPr>
          <w:rFonts w:ascii="Arial" w:hAnsi="Arial" w:cs="Arial"/>
          <w:i/>
        </w:rPr>
        <w:t xml:space="preserve"> Revenue</w:t>
      </w:r>
      <w:r w:rsidR="0010746A" w:rsidRPr="007472F2">
        <w:rPr>
          <w:rFonts w:ascii="Arial" w:hAnsi="Arial" w:cs="Arial"/>
          <w:i/>
        </w:rPr>
        <w:t xml:space="preserve">; </w:t>
      </w:r>
      <w:r w:rsidR="00722612" w:rsidRPr="007472F2">
        <w:rPr>
          <w:rFonts w:ascii="Arial" w:hAnsi="Arial" w:cs="Arial"/>
          <w:i/>
        </w:rPr>
        <w:t xml:space="preserve">Quarterly Expense </w:t>
      </w:r>
      <w:r w:rsidR="00722612" w:rsidRPr="00243FAD">
        <w:rPr>
          <w:rFonts w:ascii="Arial" w:hAnsi="Arial" w:cs="Arial"/>
          <w:i/>
        </w:rPr>
        <w:t xml:space="preserve">Reduction of </w:t>
      </w:r>
      <w:r w:rsidR="00243FAD" w:rsidRPr="00243FAD">
        <w:rPr>
          <w:rFonts w:ascii="Arial" w:hAnsi="Arial" w:cs="Arial"/>
          <w:i/>
        </w:rPr>
        <w:t>17</w:t>
      </w:r>
      <w:r w:rsidR="00DB410D" w:rsidRPr="00243FAD">
        <w:rPr>
          <w:rFonts w:ascii="Arial" w:hAnsi="Arial" w:cs="Arial"/>
          <w:i/>
        </w:rPr>
        <w:t>%</w:t>
      </w:r>
    </w:p>
    <w:p w14:paraId="2DA6B136" w14:textId="77777777" w:rsidR="00213FF1" w:rsidRDefault="004219B4" w:rsidP="00213FF1">
      <w:pPr>
        <w:rPr>
          <w:rFonts w:ascii="Arial" w:hAnsi="Arial" w:cs="Arial"/>
          <w:sz w:val="20"/>
        </w:rPr>
      </w:pPr>
      <w:r w:rsidRPr="007472F2">
        <w:rPr>
          <w:rFonts w:ascii="Arial" w:hAnsi="Arial" w:cs="Arial"/>
          <w:b/>
          <w:sz w:val="20"/>
        </w:rPr>
        <w:t xml:space="preserve">TORONTO, ON </w:t>
      </w:r>
      <w:r w:rsidRPr="007472F2">
        <w:rPr>
          <w:rFonts w:ascii="Arial" w:hAnsi="Arial" w:cs="Arial"/>
          <w:sz w:val="20"/>
        </w:rPr>
        <w:t xml:space="preserve">– </w:t>
      </w:r>
      <w:r w:rsidR="006C5191" w:rsidRPr="007472F2">
        <w:rPr>
          <w:rFonts w:ascii="Arial" w:hAnsi="Arial" w:cs="Arial"/>
          <w:sz w:val="20"/>
        </w:rPr>
        <w:t>May 3</w:t>
      </w:r>
      <w:r w:rsidR="00213FF1" w:rsidRPr="007472F2">
        <w:rPr>
          <w:rFonts w:ascii="Arial" w:hAnsi="Arial" w:cs="Arial"/>
          <w:sz w:val="20"/>
        </w:rPr>
        <w:t>0</w:t>
      </w:r>
      <w:r w:rsidRPr="007472F2">
        <w:rPr>
          <w:rFonts w:ascii="Arial" w:hAnsi="Arial" w:cs="Arial"/>
          <w:sz w:val="20"/>
        </w:rPr>
        <w:t>, 201</w:t>
      </w:r>
      <w:r w:rsidR="00591A85" w:rsidRPr="007472F2">
        <w:rPr>
          <w:rFonts w:ascii="Arial" w:hAnsi="Arial" w:cs="Arial"/>
          <w:sz w:val="20"/>
        </w:rPr>
        <w:t>9</w:t>
      </w:r>
      <w:r w:rsidRPr="007472F2">
        <w:rPr>
          <w:rFonts w:ascii="Arial" w:hAnsi="Arial" w:cs="Arial"/>
          <w:b/>
          <w:sz w:val="20"/>
        </w:rPr>
        <w:t xml:space="preserve"> –</w:t>
      </w:r>
      <w:r w:rsidR="00766DB8" w:rsidRPr="007472F2">
        <w:rPr>
          <w:rFonts w:ascii="Arial" w:hAnsi="Arial" w:cs="Arial"/>
          <w:b/>
          <w:sz w:val="20"/>
        </w:rPr>
        <w:t xml:space="preserve"> </w:t>
      </w:r>
      <w:hyperlink r:id="rId11" w:history="1">
        <w:r w:rsidR="00CC5DB0" w:rsidRPr="007472F2">
          <w:rPr>
            <w:rStyle w:val="Hyperlink"/>
            <w:rFonts w:ascii="Arial" w:hAnsi="Arial" w:cs="Arial"/>
            <w:sz w:val="20"/>
          </w:rPr>
          <w:t>CB2 Insights</w:t>
        </w:r>
      </w:hyperlink>
      <w:r w:rsidR="00CC5DB0" w:rsidRPr="007472F2">
        <w:rPr>
          <w:rFonts w:ascii="Arial" w:hAnsi="Arial" w:cs="Arial"/>
          <w:sz w:val="20"/>
        </w:rPr>
        <w:t xml:space="preserve"> (CSE:CBII</w:t>
      </w:r>
      <w:r w:rsidR="008D68E3" w:rsidRPr="007472F2">
        <w:rPr>
          <w:rFonts w:ascii="Arial" w:hAnsi="Arial" w:cs="Arial"/>
          <w:sz w:val="20"/>
        </w:rPr>
        <w:t>; OTCQB:CB</w:t>
      </w:r>
      <w:r w:rsidR="006C5191" w:rsidRPr="007472F2">
        <w:rPr>
          <w:rFonts w:ascii="Arial" w:hAnsi="Arial" w:cs="Arial"/>
          <w:sz w:val="20"/>
        </w:rPr>
        <w:t>II</w:t>
      </w:r>
      <w:r w:rsidR="008D68E3" w:rsidRPr="007472F2">
        <w:rPr>
          <w:rFonts w:ascii="Arial" w:hAnsi="Arial" w:cs="Arial"/>
          <w:sz w:val="20"/>
        </w:rPr>
        <w:t>F</w:t>
      </w:r>
      <w:r w:rsidR="00CC5DB0" w:rsidRPr="007472F2">
        <w:rPr>
          <w:rFonts w:ascii="Arial" w:hAnsi="Arial" w:cs="Arial"/>
          <w:sz w:val="20"/>
        </w:rPr>
        <w:t>) (“</w:t>
      </w:r>
      <w:r w:rsidR="00CC5DB0" w:rsidRPr="007472F2">
        <w:rPr>
          <w:rFonts w:ascii="Arial" w:hAnsi="Arial" w:cs="Arial"/>
          <w:b/>
          <w:sz w:val="20"/>
        </w:rPr>
        <w:t>CB2</w:t>
      </w:r>
      <w:r w:rsidR="00CC5DB0" w:rsidRPr="007472F2">
        <w:rPr>
          <w:rFonts w:ascii="Arial" w:hAnsi="Arial" w:cs="Arial"/>
          <w:sz w:val="20"/>
        </w:rPr>
        <w:t>” or the “</w:t>
      </w:r>
      <w:r w:rsidR="00CC5DB0" w:rsidRPr="007472F2">
        <w:rPr>
          <w:rFonts w:ascii="Arial" w:hAnsi="Arial" w:cs="Arial"/>
          <w:b/>
          <w:sz w:val="20"/>
        </w:rPr>
        <w:t>Company</w:t>
      </w:r>
      <w:r w:rsidR="00CC5DB0" w:rsidRPr="007472F2">
        <w:rPr>
          <w:rFonts w:ascii="Arial" w:hAnsi="Arial" w:cs="Arial"/>
          <w:sz w:val="20"/>
        </w:rPr>
        <w:t xml:space="preserve">”), a leading </w:t>
      </w:r>
      <w:r w:rsidR="00722612" w:rsidRPr="007472F2">
        <w:rPr>
          <w:rFonts w:ascii="Arial" w:hAnsi="Arial" w:cs="Arial"/>
          <w:sz w:val="20"/>
        </w:rPr>
        <w:t>technology company focused on mainstreaming medical cannabis to the healthcare industry through Real World Evidence</w:t>
      </w:r>
      <w:r w:rsidR="00EF464C" w:rsidRPr="007472F2">
        <w:rPr>
          <w:rFonts w:ascii="Arial" w:hAnsi="Arial" w:cs="Arial"/>
          <w:sz w:val="20"/>
        </w:rPr>
        <w:t xml:space="preserve"> (“RWE”)</w:t>
      </w:r>
      <w:r w:rsidR="001A6F37" w:rsidRPr="007472F2">
        <w:rPr>
          <w:rFonts w:ascii="Arial" w:hAnsi="Arial" w:cs="Arial"/>
          <w:sz w:val="20"/>
        </w:rPr>
        <w:t>,</w:t>
      </w:r>
      <w:r w:rsidR="00CC5DB0" w:rsidRPr="007472F2">
        <w:rPr>
          <w:rFonts w:ascii="Arial" w:hAnsi="Arial" w:cs="Arial"/>
          <w:sz w:val="20"/>
        </w:rPr>
        <w:t xml:space="preserve"> today </w:t>
      </w:r>
      <w:r w:rsidR="007826E7" w:rsidRPr="007472F2">
        <w:rPr>
          <w:rFonts w:ascii="Arial" w:hAnsi="Arial" w:cs="Arial"/>
          <w:sz w:val="20"/>
        </w:rPr>
        <w:t xml:space="preserve">reported </w:t>
      </w:r>
      <w:r w:rsidR="00213FF1" w:rsidRPr="007472F2">
        <w:rPr>
          <w:rFonts w:ascii="Arial" w:hAnsi="Arial" w:cs="Arial"/>
          <w:sz w:val="20"/>
        </w:rPr>
        <w:t xml:space="preserve">its results for </w:t>
      </w:r>
      <w:r w:rsidR="009250C8" w:rsidRPr="007472F2">
        <w:rPr>
          <w:rFonts w:ascii="Arial" w:hAnsi="Arial" w:cs="Arial"/>
          <w:sz w:val="20"/>
        </w:rPr>
        <w:t>the first quarter of</w:t>
      </w:r>
      <w:r w:rsidR="00213FF1" w:rsidRPr="007472F2">
        <w:rPr>
          <w:rFonts w:ascii="Arial" w:hAnsi="Arial" w:cs="Arial"/>
          <w:sz w:val="20"/>
        </w:rPr>
        <w:t xml:space="preserve"> 2019.  Additional information concerning the Company, including its unaudited financial statements and related management’s discussion and analysis (“MD&amp;A”) for the </w:t>
      </w:r>
      <w:r w:rsidR="00373584" w:rsidRPr="007472F2">
        <w:rPr>
          <w:rFonts w:ascii="Arial" w:hAnsi="Arial" w:cs="Arial"/>
          <w:sz w:val="20"/>
        </w:rPr>
        <w:t>quarter</w:t>
      </w:r>
      <w:r w:rsidR="00213FF1" w:rsidRPr="007472F2">
        <w:rPr>
          <w:rFonts w:ascii="Arial" w:hAnsi="Arial" w:cs="Arial"/>
          <w:sz w:val="20"/>
        </w:rPr>
        <w:t xml:space="preserve"> ended </w:t>
      </w:r>
      <w:r w:rsidR="00373584" w:rsidRPr="007472F2">
        <w:rPr>
          <w:rFonts w:ascii="Arial" w:hAnsi="Arial" w:cs="Arial"/>
          <w:sz w:val="20"/>
        </w:rPr>
        <w:t>March</w:t>
      </w:r>
      <w:r w:rsidR="00213FF1" w:rsidRPr="007472F2">
        <w:rPr>
          <w:rFonts w:ascii="Arial" w:hAnsi="Arial" w:cs="Arial"/>
          <w:sz w:val="20"/>
        </w:rPr>
        <w:t xml:space="preserve"> 31, 201</w:t>
      </w:r>
      <w:r w:rsidR="00373584" w:rsidRPr="007472F2">
        <w:rPr>
          <w:rFonts w:ascii="Arial" w:hAnsi="Arial" w:cs="Arial"/>
          <w:sz w:val="20"/>
        </w:rPr>
        <w:t>9</w:t>
      </w:r>
      <w:r w:rsidR="00213FF1" w:rsidRPr="007472F2">
        <w:rPr>
          <w:rFonts w:ascii="Arial" w:hAnsi="Arial" w:cs="Arial"/>
          <w:sz w:val="20"/>
        </w:rPr>
        <w:t xml:space="preserve">, can be found at </w:t>
      </w:r>
      <w:hyperlink r:id="rId12" w:history="1">
        <w:r w:rsidR="00213FF1" w:rsidRPr="007472F2">
          <w:rPr>
            <w:rStyle w:val="Hyperlink"/>
            <w:rFonts w:ascii="Arial" w:hAnsi="Arial" w:cs="Arial"/>
            <w:sz w:val="20"/>
          </w:rPr>
          <w:t>www.sedar.com</w:t>
        </w:r>
      </w:hyperlink>
      <w:r w:rsidR="00213FF1" w:rsidRPr="007472F2">
        <w:rPr>
          <w:rFonts w:ascii="Arial" w:hAnsi="Arial" w:cs="Arial"/>
          <w:sz w:val="20"/>
        </w:rPr>
        <w:t xml:space="preserve"> and on the Company’s website. </w:t>
      </w:r>
      <w:r w:rsidR="00722612" w:rsidRPr="007472F2">
        <w:rPr>
          <w:rFonts w:ascii="Arial" w:hAnsi="Arial" w:cs="Arial"/>
          <w:sz w:val="20"/>
        </w:rPr>
        <w:t xml:space="preserve"> </w:t>
      </w:r>
      <w:r w:rsidR="00213FF1" w:rsidRPr="007472F2">
        <w:rPr>
          <w:rFonts w:ascii="Arial" w:hAnsi="Arial" w:cs="Arial"/>
          <w:sz w:val="20"/>
        </w:rPr>
        <w:t>All amounts are expressed in Canadian dollars unless otherwise noted.</w:t>
      </w:r>
    </w:p>
    <w:p w14:paraId="6EE9323E" w14:textId="77777777" w:rsidR="00DE231A" w:rsidRPr="00E10530" w:rsidRDefault="00213FF1" w:rsidP="00D21CF7">
      <w:pPr>
        <w:pStyle w:val="NormalWeb"/>
        <w:rPr>
          <w:rFonts w:ascii="Arial" w:hAnsi="Arial" w:cs="Arial"/>
          <w:b/>
          <w:sz w:val="20"/>
        </w:rPr>
      </w:pPr>
      <w:r>
        <w:rPr>
          <w:rFonts w:ascii="Arial" w:hAnsi="Arial" w:cs="Arial"/>
          <w:b/>
          <w:sz w:val="20"/>
          <w:szCs w:val="20"/>
          <w:lang w:val="en"/>
        </w:rPr>
        <w:t>Q1</w:t>
      </w:r>
      <w:r w:rsidR="00DE231A" w:rsidRPr="00E10530">
        <w:rPr>
          <w:rFonts w:ascii="Arial" w:hAnsi="Arial" w:cs="Arial"/>
          <w:b/>
          <w:sz w:val="20"/>
        </w:rPr>
        <w:t>201</w:t>
      </w:r>
      <w:r>
        <w:rPr>
          <w:rFonts w:ascii="Arial" w:hAnsi="Arial" w:cs="Arial"/>
          <w:b/>
          <w:sz w:val="20"/>
        </w:rPr>
        <w:t>9</w:t>
      </w:r>
      <w:r w:rsidR="00DE231A" w:rsidRPr="00E10530">
        <w:rPr>
          <w:rFonts w:ascii="Arial" w:hAnsi="Arial" w:cs="Arial"/>
          <w:b/>
          <w:sz w:val="20"/>
        </w:rPr>
        <w:t xml:space="preserve"> </w:t>
      </w:r>
      <w:r w:rsidR="00D82C95">
        <w:rPr>
          <w:rFonts w:ascii="Arial" w:hAnsi="Arial" w:cs="Arial"/>
          <w:b/>
          <w:sz w:val="20"/>
        </w:rPr>
        <w:t xml:space="preserve">Financial </w:t>
      </w:r>
      <w:r w:rsidR="00DE231A" w:rsidRPr="00E10530">
        <w:rPr>
          <w:rFonts w:ascii="Arial" w:hAnsi="Arial" w:cs="Arial"/>
          <w:b/>
          <w:sz w:val="20"/>
        </w:rPr>
        <w:t>Highlights</w:t>
      </w:r>
    </w:p>
    <w:p w14:paraId="03395543" w14:textId="77777777" w:rsidR="00213FF1" w:rsidRPr="007472F2" w:rsidRDefault="00213FF1" w:rsidP="00F12F6A">
      <w:pPr>
        <w:pStyle w:val="ListParagraph"/>
        <w:numPr>
          <w:ilvl w:val="0"/>
          <w:numId w:val="2"/>
        </w:numPr>
        <w:rPr>
          <w:rFonts w:ascii="Arial" w:hAnsi="Arial" w:cs="Arial"/>
          <w:sz w:val="20"/>
          <w:szCs w:val="20"/>
        </w:rPr>
      </w:pPr>
      <w:r>
        <w:rPr>
          <w:rFonts w:ascii="Arial" w:hAnsi="Arial" w:cs="Arial"/>
          <w:sz w:val="20"/>
        </w:rPr>
        <w:t xml:space="preserve">Revenue for the </w:t>
      </w:r>
      <w:r w:rsidRPr="007472F2">
        <w:rPr>
          <w:rFonts w:ascii="Arial" w:hAnsi="Arial" w:cs="Arial"/>
          <w:sz w:val="20"/>
        </w:rPr>
        <w:t>quarter was $2.9 million, a</w:t>
      </w:r>
      <w:r w:rsidR="00EF464C" w:rsidRPr="007472F2">
        <w:rPr>
          <w:rFonts w:ascii="Arial" w:hAnsi="Arial" w:cs="Arial"/>
          <w:sz w:val="20"/>
        </w:rPr>
        <w:t xml:space="preserve"> 16</w:t>
      </w:r>
      <w:r w:rsidR="00796863">
        <w:rPr>
          <w:rFonts w:ascii="Arial" w:hAnsi="Arial" w:cs="Arial"/>
          <w:sz w:val="20"/>
        </w:rPr>
        <w:t>.</w:t>
      </w:r>
      <w:r w:rsidR="00B519AC">
        <w:rPr>
          <w:rFonts w:ascii="Arial" w:hAnsi="Arial" w:cs="Arial"/>
          <w:sz w:val="20"/>
        </w:rPr>
        <w:t>4</w:t>
      </w:r>
      <w:r w:rsidR="00EF464C" w:rsidRPr="007472F2">
        <w:rPr>
          <w:rFonts w:ascii="Arial" w:hAnsi="Arial" w:cs="Arial"/>
          <w:sz w:val="20"/>
        </w:rPr>
        <w:t xml:space="preserve">% </w:t>
      </w:r>
      <w:r w:rsidRPr="007472F2">
        <w:rPr>
          <w:rFonts w:ascii="Arial" w:hAnsi="Arial" w:cs="Arial"/>
          <w:sz w:val="20"/>
        </w:rPr>
        <w:t xml:space="preserve">increase </w:t>
      </w:r>
      <w:r w:rsidR="00EF464C" w:rsidRPr="007472F2">
        <w:rPr>
          <w:rFonts w:ascii="Arial" w:hAnsi="Arial" w:cs="Arial"/>
          <w:sz w:val="20"/>
        </w:rPr>
        <w:t>over</w:t>
      </w:r>
      <w:r w:rsidR="0010746A" w:rsidRPr="007472F2">
        <w:rPr>
          <w:rFonts w:ascii="Arial" w:hAnsi="Arial" w:cs="Arial"/>
          <w:sz w:val="20"/>
        </w:rPr>
        <w:t xml:space="preserve"> the previous quarter</w:t>
      </w:r>
      <w:r w:rsidRPr="007472F2">
        <w:rPr>
          <w:rFonts w:ascii="Arial" w:hAnsi="Arial" w:cs="Arial"/>
          <w:sz w:val="20"/>
        </w:rPr>
        <w:t xml:space="preserve"> and based </w:t>
      </w:r>
      <w:r w:rsidRPr="007472F2">
        <w:rPr>
          <w:rFonts w:ascii="Arial" w:hAnsi="Arial" w:cs="Arial"/>
          <w:sz w:val="20"/>
          <w:szCs w:val="20"/>
        </w:rPr>
        <w:t xml:space="preserve">solely on organic growth within </w:t>
      </w:r>
      <w:r w:rsidR="0010746A" w:rsidRPr="007472F2">
        <w:rPr>
          <w:rFonts w:ascii="Arial" w:hAnsi="Arial" w:cs="Arial"/>
          <w:sz w:val="20"/>
          <w:szCs w:val="20"/>
        </w:rPr>
        <w:t>the Company’s</w:t>
      </w:r>
      <w:r w:rsidRPr="007472F2">
        <w:rPr>
          <w:rFonts w:ascii="Arial" w:hAnsi="Arial" w:cs="Arial"/>
          <w:sz w:val="20"/>
          <w:szCs w:val="20"/>
        </w:rPr>
        <w:t xml:space="preserve"> Canna Care Docs brand</w:t>
      </w:r>
      <w:r w:rsidR="00EF464C" w:rsidRPr="007472F2">
        <w:rPr>
          <w:rFonts w:ascii="Arial" w:hAnsi="Arial" w:cs="Arial"/>
          <w:sz w:val="20"/>
          <w:szCs w:val="20"/>
        </w:rPr>
        <w:t>;</w:t>
      </w:r>
    </w:p>
    <w:p w14:paraId="49888BA2" w14:textId="77777777" w:rsidR="00213FF1" w:rsidRPr="00796863" w:rsidRDefault="00213FF1" w:rsidP="00F12F6A">
      <w:pPr>
        <w:pStyle w:val="ListParagraph"/>
        <w:numPr>
          <w:ilvl w:val="0"/>
          <w:numId w:val="2"/>
        </w:numPr>
        <w:rPr>
          <w:rFonts w:ascii="Arial" w:hAnsi="Arial" w:cs="Arial"/>
          <w:sz w:val="20"/>
          <w:szCs w:val="20"/>
        </w:rPr>
      </w:pPr>
      <w:r w:rsidRPr="007472F2">
        <w:rPr>
          <w:rFonts w:ascii="Arial" w:hAnsi="Arial" w:cs="Arial"/>
          <w:sz w:val="20"/>
          <w:szCs w:val="20"/>
        </w:rPr>
        <w:t xml:space="preserve">Revenue contribution from its newly acquired </w:t>
      </w:r>
      <w:r w:rsidR="00EF464C" w:rsidRPr="007472F2">
        <w:rPr>
          <w:rFonts w:ascii="Arial" w:hAnsi="Arial" w:cs="Arial"/>
          <w:sz w:val="20"/>
        </w:rPr>
        <w:t>MedEval and Relaxed Clarity</w:t>
      </w:r>
      <w:r w:rsidR="00EF464C" w:rsidRPr="007472F2">
        <w:rPr>
          <w:rFonts w:ascii="Arial" w:hAnsi="Arial" w:cs="Arial"/>
          <w:sz w:val="20"/>
          <w:szCs w:val="20"/>
        </w:rPr>
        <w:t xml:space="preserve"> </w:t>
      </w:r>
      <w:r w:rsidRPr="007472F2">
        <w:rPr>
          <w:rFonts w:ascii="Arial" w:hAnsi="Arial" w:cs="Arial"/>
          <w:sz w:val="20"/>
          <w:szCs w:val="20"/>
        </w:rPr>
        <w:t>clinic group</w:t>
      </w:r>
      <w:r w:rsidR="00722612" w:rsidRPr="007472F2">
        <w:rPr>
          <w:rFonts w:ascii="Arial" w:hAnsi="Arial" w:cs="Arial"/>
          <w:sz w:val="20"/>
          <w:szCs w:val="20"/>
        </w:rPr>
        <w:t>s</w:t>
      </w:r>
      <w:r w:rsidRPr="007472F2">
        <w:rPr>
          <w:rFonts w:ascii="Arial" w:hAnsi="Arial" w:cs="Arial"/>
          <w:sz w:val="20"/>
          <w:szCs w:val="20"/>
        </w:rPr>
        <w:t xml:space="preserve"> would have </w:t>
      </w:r>
      <w:r w:rsidR="00D5463F">
        <w:rPr>
          <w:rFonts w:ascii="Arial" w:hAnsi="Arial" w:cs="Arial"/>
          <w:sz w:val="20"/>
          <w:szCs w:val="20"/>
        </w:rPr>
        <w:t>been</w:t>
      </w:r>
      <w:r w:rsidRPr="007472F2">
        <w:rPr>
          <w:rFonts w:ascii="Arial" w:hAnsi="Arial" w:cs="Arial"/>
          <w:sz w:val="20"/>
          <w:szCs w:val="20"/>
        </w:rPr>
        <w:t xml:space="preserve"> </w:t>
      </w:r>
      <w:r w:rsidRPr="00796863">
        <w:rPr>
          <w:rFonts w:ascii="Arial" w:hAnsi="Arial" w:cs="Arial"/>
          <w:sz w:val="20"/>
          <w:szCs w:val="20"/>
        </w:rPr>
        <w:t>an estimated $</w:t>
      </w:r>
      <w:r w:rsidR="007472F2" w:rsidRPr="00796863">
        <w:rPr>
          <w:rFonts w:ascii="Arial" w:hAnsi="Arial" w:cs="Arial"/>
          <w:sz w:val="20"/>
          <w:szCs w:val="20"/>
        </w:rPr>
        <w:t>500</w:t>
      </w:r>
      <w:r w:rsidRPr="00796863">
        <w:rPr>
          <w:rFonts w:ascii="Arial" w:hAnsi="Arial" w:cs="Arial"/>
          <w:sz w:val="20"/>
          <w:szCs w:val="20"/>
        </w:rPr>
        <w:t xml:space="preserve"> thousand for the quarter</w:t>
      </w:r>
      <w:r w:rsidR="008375F5" w:rsidRPr="00796863">
        <w:rPr>
          <w:rFonts w:ascii="Arial" w:hAnsi="Arial" w:cs="Arial"/>
          <w:sz w:val="20"/>
          <w:szCs w:val="20"/>
        </w:rPr>
        <w:t>,</w:t>
      </w:r>
      <w:r w:rsidRPr="00796863">
        <w:rPr>
          <w:rFonts w:ascii="Arial" w:hAnsi="Arial" w:cs="Arial"/>
          <w:sz w:val="20"/>
          <w:szCs w:val="20"/>
        </w:rPr>
        <w:t xml:space="preserve"> which would have </w:t>
      </w:r>
      <w:r w:rsidR="00E5439A">
        <w:rPr>
          <w:rFonts w:ascii="Arial" w:hAnsi="Arial" w:cs="Arial"/>
          <w:sz w:val="20"/>
          <w:szCs w:val="20"/>
        </w:rPr>
        <w:t>boosted revenue to</w:t>
      </w:r>
      <w:r w:rsidR="00796863">
        <w:rPr>
          <w:rFonts w:ascii="Arial" w:hAnsi="Arial" w:cs="Arial"/>
          <w:sz w:val="20"/>
          <w:szCs w:val="20"/>
        </w:rPr>
        <w:t xml:space="preserve"> $3.4 </w:t>
      </w:r>
      <w:r w:rsidR="00E5439A">
        <w:rPr>
          <w:rFonts w:ascii="Arial" w:hAnsi="Arial" w:cs="Arial"/>
          <w:sz w:val="20"/>
          <w:szCs w:val="20"/>
        </w:rPr>
        <w:t>million</w:t>
      </w:r>
      <w:r w:rsidR="00796863">
        <w:rPr>
          <w:rFonts w:ascii="Arial" w:hAnsi="Arial" w:cs="Arial"/>
          <w:sz w:val="20"/>
          <w:szCs w:val="20"/>
        </w:rPr>
        <w:t xml:space="preserve"> </w:t>
      </w:r>
      <w:r w:rsidR="00E5439A">
        <w:rPr>
          <w:rFonts w:ascii="Arial" w:hAnsi="Arial" w:cs="Arial"/>
          <w:sz w:val="20"/>
          <w:szCs w:val="20"/>
        </w:rPr>
        <w:t>for the quarter</w:t>
      </w:r>
      <w:r w:rsidR="00796863">
        <w:rPr>
          <w:rFonts w:ascii="Arial" w:hAnsi="Arial" w:cs="Arial"/>
          <w:sz w:val="20"/>
          <w:szCs w:val="20"/>
        </w:rPr>
        <w:t xml:space="preserve"> and </w:t>
      </w:r>
      <w:r w:rsidRPr="00796863">
        <w:rPr>
          <w:rFonts w:ascii="Arial" w:hAnsi="Arial" w:cs="Arial"/>
          <w:sz w:val="20"/>
          <w:szCs w:val="20"/>
        </w:rPr>
        <w:t xml:space="preserve">increased </w:t>
      </w:r>
      <w:r w:rsidR="00373584" w:rsidRPr="00796863">
        <w:rPr>
          <w:rFonts w:ascii="Arial" w:hAnsi="Arial" w:cs="Arial"/>
          <w:sz w:val="20"/>
          <w:szCs w:val="20"/>
        </w:rPr>
        <w:t>the Company’s revenue</w:t>
      </w:r>
      <w:r w:rsidRPr="00796863">
        <w:rPr>
          <w:rFonts w:ascii="Arial" w:hAnsi="Arial" w:cs="Arial"/>
          <w:sz w:val="20"/>
          <w:szCs w:val="20"/>
        </w:rPr>
        <w:t xml:space="preserve"> growth rate to </w:t>
      </w:r>
      <w:r w:rsidR="00EF464C" w:rsidRPr="00796863">
        <w:rPr>
          <w:rFonts w:ascii="Arial" w:hAnsi="Arial" w:cs="Arial"/>
          <w:sz w:val="20"/>
          <w:szCs w:val="20"/>
        </w:rPr>
        <w:t>over</w:t>
      </w:r>
      <w:r w:rsidR="00722612" w:rsidRPr="00796863">
        <w:rPr>
          <w:rFonts w:ascii="Arial" w:hAnsi="Arial" w:cs="Arial"/>
          <w:sz w:val="20"/>
          <w:szCs w:val="20"/>
        </w:rPr>
        <w:t xml:space="preserve"> </w:t>
      </w:r>
      <w:r w:rsidR="007472F2" w:rsidRPr="00796863">
        <w:rPr>
          <w:rFonts w:ascii="Arial" w:hAnsi="Arial" w:cs="Arial"/>
          <w:sz w:val="20"/>
          <w:szCs w:val="20"/>
        </w:rPr>
        <w:t>37</w:t>
      </w:r>
      <w:r w:rsidRPr="00796863">
        <w:rPr>
          <w:rFonts w:ascii="Arial" w:hAnsi="Arial" w:cs="Arial"/>
          <w:sz w:val="20"/>
          <w:szCs w:val="20"/>
        </w:rPr>
        <w:t>%</w:t>
      </w:r>
      <w:r w:rsidR="00B968F7" w:rsidRPr="00796863">
        <w:rPr>
          <w:rFonts w:ascii="Arial" w:hAnsi="Arial" w:cs="Arial"/>
          <w:sz w:val="20"/>
          <w:szCs w:val="20"/>
        </w:rPr>
        <w:t xml:space="preserve"> quarter-over-quarter</w:t>
      </w:r>
      <w:r w:rsidR="00EF464C" w:rsidRPr="00796863">
        <w:rPr>
          <w:rFonts w:ascii="Arial" w:hAnsi="Arial" w:cs="Arial"/>
          <w:sz w:val="20"/>
          <w:szCs w:val="20"/>
        </w:rPr>
        <w:t>;</w:t>
      </w:r>
    </w:p>
    <w:p w14:paraId="1661AAB6" w14:textId="77777777" w:rsidR="00213FF1" w:rsidRPr="00796863" w:rsidRDefault="00213FF1" w:rsidP="00F12F6A">
      <w:pPr>
        <w:pStyle w:val="ListParagraph"/>
        <w:numPr>
          <w:ilvl w:val="0"/>
          <w:numId w:val="2"/>
        </w:numPr>
        <w:rPr>
          <w:rFonts w:ascii="Arial" w:hAnsi="Arial" w:cs="Arial"/>
          <w:sz w:val="20"/>
          <w:szCs w:val="20"/>
        </w:rPr>
      </w:pPr>
      <w:r w:rsidRPr="00796863">
        <w:rPr>
          <w:rFonts w:ascii="Arial" w:hAnsi="Arial" w:cs="Arial"/>
          <w:sz w:val="20"/>
          <w:szCs w:val="20"/>
        </w:rPr>
        <w:t xml:space="preserve">Gross profit of $2.2 million for the quarter, or </w:t>
      </w:r>
      <w:r w:rsidR="007472F2" w:rsidRPr="00796863">
        <w:rPr>
          <w:rFonts w:ascii="Arial" w:hAnsi="Arial" w:cs="Arial"/>
          <w:sz w:val="20"/>
          <w:szCs w:val="20"/>
        </w:rPr>
        <w:t>g</w:t>
      </w:r>
      <w:r w:rsidR="0010746A" w:rsidRPr="00796863">
        <w:rPr>
          <w:rFonts w:ascii="Arial" w:hAnsi="Arial" w:cs="Arial"/>
          <w:sz w:val="20"/>
          <w:szCs w:val="20"/>
        </w:rPr>
        <w:t xml:space="preserve">ross </w:t>
      </w:r>
      <w:r w:rsidR="007472F2" w:rsidRPr="00796863">
        <w:rPr>
          <w:rFonts w:ascii="Arial" w:hAnsi="Arial" w:cs="Arial"/>
          <w:sz w:val="20"/>
          <w:szCs w:val="20"/>
        </w:rPr>
        <w:t>m</w:t>
      </w:r>
      <w:r w:rsidR="0010746A" w:rsidRPr="00796863">
        <w:rPr>
          <w:rFonts w:ascii="Arial" w:hAnsi="Arial" w:cs="Arial"/>
          <w:sz w:val="20"/>
          <w:szCs w:val="20"/>
        </w:rPr>
        <w:t xml:space="preserve">argin of </w:t>
      </w:r>
      <w:r w:rsidRPr="00796863">
        <w:rPr>
          <w:rFonts w:ascii="Arial" w:hAnsi="Arial" w:cs="Arial"/>
          <w:sz w:val="20"/>
          <w:szCs w:val="20"/>
        </w:rPr>
        <w:t xml:space="preserve">77% represents an increase from </w:t>
      </w:r>
      <w:r w:rsidR="00D82775" w:rsidRPr="00796863">
        <w:rPr>
          <w:rFonts w:ascii="Arial" w:hAnsi="Arial" w:cs="Arial"/>
          <w:sz w:val="20"/>
          <w:szCs w:val="20"/>
        </w:rPr>
        <w:t>70</w:t>
      </w:r>
      <w:r w:rsidRPr="00796863">
        <w:rPr>
          <w:rFonts w:ascii="Arial" w:hAnsi="Arial" w:cs="Arial"/>
          <w:sz w:val="20"/>
          <w:szCs w:val="20"/>
        </w:rPr>
        <w:t xml:space="preserve">% from the </w:t>
      </w:r>
      <w:r w:rsidR="00592E35" w:rsidRPr="00796863">
        <w:rPr>
          <w:rFonts w:ascii="Arial" w:hAnsi="Arial" w:cs="Arial"/>
          <w:sz w:val="20"/>
          <w:szCs w:val="20"/>
        </w:rPr>
        <w:t xml:space="preserve">prior </w:t>
      </w:r>
      <w:r w:rsidRPr="00796863">
        <w:rPr>
          <w:rFonts w:ascii="Arial" w:hAnsi="Arial" w:cs="Arial"/>
          <w:sz w:val="20"/>
          <w:szCs w:val="20"/>
        </w:rPr>
        <w:t>quarter</w:t>
      </w:r>
      <w:r w:rsidR="00FD6377" w:rsidRPr="00796863">
        <w:rPr>
          <w:rFonts w:ascii="Arial" w:hAnsi="Arial" w:cs="Arial"/>
          <w:sz w:val="20"/>
          <w:szCs w:val="20"/>
        </w:rPr>
        <w:t>;</w:t>
      </w:r>
    </w:p>
    <w:p w14:paraId="3BDEBEF7" w14:textId="77777777" w:rsidR="005C320E" w:rsidRPr="00796863" w:rsidRDefault="005C320E" w:rsidP="00F12F6A">
      <w:pPr>
        <w:pStyle w:val="ListParagraph"/>
        <w:numPr>
          <w:ilvl w:val="0"/>
          <w:numId w:val="2"/>
        </w:numPr>
        <w:rPr>
          <w:rFonts w:ascii="Arial" w:hAnsi="Arial" w:cs="Arial"/>
          <w:sz w:val="20"/>
          <w:szCs w:val="20"/>
        </w:rPr>
      </w:pPr>
      <w:r w:rsidRPr="00796863">
        <w:rPr>
          <w:rFonts w:ascii="Arial" w:hAnsi="Arial" w:cs="Arial"/>
          <w:sz w:val="20"/>
          <w:szCs w:val="20"/>
        </w:rPr>
        <w:t>Operating expenses for the quarter were reduced by more than $</w:t>
      </w:r>
      <w:r w:rsidR="00B519AC">
        <w:rPr>
          <w:rFonts w:ascii="Arial" w:hAnsi="Arial" w:cs="Arial"/>
          <w:sz w:val="20"/>
          <w:szCs w:val="20"/>
        </w:rPr>
        <w:t>785</w:t>
      </w:r>
      <w:r w:rsidR="005B5A36" w:rsidRPr="00796863">
        <w:rPr>
          <w:rFonts w:ascii="Arial" w:hAnsi="Arial" w:cs="Arial"/>
          <w:sz w:val="20"/>
          <w:szCs w:val="20"/>
        </w:rPr>
        <w:t xml:space="preserve"> thousand</w:t>
      </w:r>
      <w:r w:rsidRPr="00796863">
        <w:rPr>
          <w:rFonts w:ascii="Arial" w:hAnsi="Arial" w:cs="Arial"/>
          <w:sz w:val="20"/>
          <w:szCs w:val="20"/>
        </w:rPr>
        <w:t xml:space="preserve"> from t</w:t>
      </w:r>
      <w:bookmarkStart w:id="0" w:name="_GoBack"/>
      <w:bookmarkEnd w:id="0"/>
      <w:r w:rsidRPr="00796863">
        <w:rPr>
          <w:rFonts w:ascii="Arial" w:hAnsi="Arial" w:cs="Arial"/>
          <w:sz w:val="20"/>
          <w:szCs w:val="20"/>
        </w:rPr>
        <w:t xml:space="preserve">he </w:t>
      </w:r>
      <w:r w:rsidR="0007213F" w:rsidRPr="00796863">
        <w:rPr>
          <w:rFonts w:ascii="Arial" w:hAnsi="Arial" w:cs="Arial"/>
          <w:sz w:val="20"/>
          <w:szCs w:val="20"/>
        </w:rPr>
        <w:t xml:space="preserve">prior </w:t>
      </w:r>
      <w:r w:rsidRPr="00796863">
        <w:rPr>
          <w:rFonts w:ascii="Arial" w:hAnsi="Arial" w:cs="Arial"/>
          <w:sz w:val="20"/>
          <w:szCs w:val="20"/>
        </w:rPr>
        <w:t>quarter</w:t>
      </w:r>
      <w:r w:rsidR="008375F5" w:rsidRPr="00796863">
        <w:rPr>
          <w:rFonts w:ascii="Arial" w:hAnsi="Arial" w:cs="Arial"/>
          <w:sz w:val="20"/>
          <w:szCs w:val="20"/>
        </w:rPr>
        <w:t xml:space="preserve"> as</w:t>
      </w:r>
      <w:r w:rsidR="00F45F86" w:rsidRPr="00796863">
        <w:rPr>
          <w:rFonts w:ascii="Arial" w:hAnsi="Arial" w:cs="Arial"/>
          <w:sz w:val="20"/>
          <w:szCs w:val="20"/>
        </w:rPr>
        <w:t xml:space="preserve"> a result of management’s operational efficiency analysis</w:t>
      </w:r>
      <w:r w:rsidR="00DE300E">
        <w:rPr>
          <w:rFonts w:ascii="Arial" w:hAnsi="Arial" w:cs="Arial"/>
          <w:sz w:val="20"/>
          <w:szCs w:val="20"/>
        </w:rPr>
        <w:t>;</w:t>
      </w:r>
    </w:p>
    <w:p w14:paraId="6B50E212" w14:textId="77777777" w:rsidR="008375F5" w:rsidRPr="00796863" w:rsidRDefault="008375F5" w:rsidP="00F12F6A">
      <w:pPr>
        <w:pStyle w:val="ListParagraph"/>
        <w:numPr>
          <w:ilvl w:val="0"/>
          <w:numId w:val="2"/>
        </w:numPr>
        <w:rPr>
          <w:rFonts w:ascii="Arial" w:hAnsi="Arial" w:cs="Arial"/>
          <w:sz w:val="20"/>
          <w:szCs w:val="20"/>
        </w:rPr>
      </w:pPr>
      <w:r w:rsidRPr="00796863">
        <w:rPr>
          <w:rFonts w:ascii="Arial" w:hAnsi="Arial" w:cs="Arial"/>
          <w:sz w:val="20"/>
          <w:szCs w:val="20"/>
        </w:rPr>
        <w:t>A</w:t>
      </w:r>
      <w:r w:rsidR="007472F2" w:rsidRPr="00796863">
        <w:rPr>
          <w:rFonts w:ascii="Arial" w:hAnsi="Arial" w:cs="Arial"/>
          <w:sz w:val="20"/>
          <w:szCs w:val="20"/>
        </w:rPr>
        <w:t>t</w:t>
      </w:r>
      <w:r w:rsidRPr="00796863">
        <w:rPr>
          <w:rFonts w:ascii="Arial" w:hAnsi="Arial" w:cs="Arial"/>
          <w:sz w:val="20"/>
          <w:szCs w:val="20"/>
        </w:rPr>
        <w:t xml:space="preserve"> quarter end the Company had cash of $</w:t>
      </w:r>
      <w:r w:rsidR="00B968F7" w:rsidRPr="00796863">
        <w:rPr>
          <w:rFonts w:ascii="Arial" w:hAnsi="Arial" w:cs="Arial"/>
          <w:sz w:val="20"/>
          <w:szCs w:val="20"/>
        </w:rPr>
        <w:t xml:space="preserve">1.6 million </w:t>
      </w:r>
      <w:r w:rsidR="007472F2" w:rsidRPr="00796863">
        <w:rPr>
          <w:rFonts w:ascii="Arial" w:hAnsi="Arial" w:cs="Arial"/>
          <w:sz w:val="20"/>
          <w:szCs w:val="20"/>
        </w:rPr>
        <w:t>on hand compared to $433 thousand from the prior quarter</w:t>
      </w:r>
      <w:r w:rsidR="00B968F7" w:rsidRPr="00796863">
        <w:rPr>
          <w:rFonts w:ascii="Arial" w:hAnsi="Arial" w:cs="Arial"/>
          <w:sz w:val="20"/>
          <w:szCs w:val="20"/>
        </w:rPr>
        <w:t>; and</w:t>
      </w:r>
    </w:p>
    <w:p w14:paraId="18FDAC4D" w14:textId="77777777" w:rsidR="00177F1F" w:rsidRPr="00796863" w:rsidRDefault="005C320E" w:rsidP="005C320E">
      <w:pPr>
        <w:pStyle w:val="ListParagraph"/>
        <w:numPr>
          <w:ilvl w:val="0"/>
          <w:numId w:val="2"/>
        </w:numPr>
        <w:rPr>
          <w:rFonts w:ascii="Arial" w:hAnsi="Arial" w:cs="Arial"/>
          <w:sz w:val="20"/>
          <w:szCs w:val="20"/>
        </w:rPr>
      </w:pPr>
      <w:r w:rsidRPr="00796863">
        <w:rPr>
          <w:rFonts w:ascii="Arial" w:hAnsi="Arial" w:cs="Arial"/>
          <w:sz w:val="20"/>
          <w:szCs w:val="20"/>
        </w:rPr>
        <w:t>Adjusted EBITDA</w:t>
      </w:r>
      <w:r w:rsidR="0007213F" w:rsidRPr="00796863">
        <w:rPr>
          <w:rStyle w:val="FootnoteReference"/>
          <w:rFonts w:ascii="Arial" w:hAnsi="Arial" w:cs="Arial"/>
          <w:sz w:val="20"/>
          <w:szCs w:val="20"/>
        </w:rPr>
        <w:t>1</w:t>
      </w:r>
      <w:r w:rsidRPr="00796863">
        <w:rPr>
          <w:rFonts w:ascii="Arial" w:hAnsi="Arial" w:cs="Arial"/>
          <w:sz w:val="20"/>
          <w:szCs w:val="20"/>
        </w:rPr>
        <w:t xml:space="preserve"> loss of $</w:t>
      </w:r>
      <w:r w:rsidR="005509B0" w:rsidRPr="00796863">
        <w:rPr>
          <w:rFonts w:ascii="Arial" w:hAnsi="Arial" w:cs="Arial"/>
          <w:sz w:val="20"/>
          <w:szCs w:val="20"/>
        </w:rPr>
        <w:t>713</w:t>
      </w:r>
      <w:r w:rsidR="00B0784C" w:rsidRPr="00796863">
        <w:rPr>
          <w:rFonts w:ascii="Arial" w:hAnsi="Arial" w:cs="Arial"/>
          <w:sz w:val="20"/>
          <w:szCs w:val="20"/>
        </w:rPr>
        <w:t xml:space="preserve"> </w:t>
      </w:r>
      <w:r w:rsidR="000170C0" w:rsidRPr="00796863">
        <w:rPr>
          <w:rFonts w:ascii="Arial" w:hAnsi="Arial" w:cs="Arial"/>
          <w:sz w:val="20"/>
          <w:szCs w:val="20"/>
        </w:rPr>
        <w:t>thousand</w:t>
      </w:r>
      <w:r w:rsidRPr="00796863">
        <w:rPr>
          <w:rFonts w:ascii="Arial" w:hAnsi="Arial" w:cs="Arial"/>
          <w:sz w:val="20"/>
          <w:szCs w:val="20"/>
        </w:rPr>
        <w:t xml:space="preserve"> in Q1 2019 versus </w:t>
      </w:r>
      <w:r w:rsidR="0019168C" w:rsidRPr="00796863">
        <w:rPr>
          <w:rFonts w:ascii="Arial" w:hAnsi="Arial" w:cs="Arial"/>
          <w:sz w:val="20"/>
          <w:szCs w:val="20"/>
        </w:rPr>
        <w:t>A</w:t>
      </w:r>
      <w:r w:rsidRPr="00796863">
        <w:rPr>
          <w:rFonts w:ascii="Arial" w:hAnsi="Arial" w:cs="Arial"/>
          <w:sz w:val="20"/>
          <w:szCs w:val="20"/>
        </w:rPr>
        <w:t>djusted EBITDA loss of $</w:t>
      </w:r>
      <w:r w:rsidR="00B0784C" w:rsidRPr="00796863">
        <w:rPr>
          <w:rFonts w:ascii="Arial" w:hAnsi="Arial" w:cs="Arial"/>
          <w:sz w:val="20"/>
          <w:szCs w:val="20"/>
        </w:rPr>
        <w:t>1.</w:t>
      </w:r>
      <w:r w:rsidR="005509B0" w:rsidRPr="00796863">
        <w:rPr>
          <w:rFonts w:ascii="Arial" w:hAnsi="Arial" w:cs="Arial"/>
          <w:sz w:val="20"/>
          <w:szCs w:val="20"/>
        </w:rPr>
        <w:t>81</w:t>
      </w:r>
      <w:r w:rsidR="00B0784C" w:rsidRPr="00796863">
        <w:rPr>
          <w:rFonts w:ascii="Arial" w:hAnsi="Arial" w:cs="Arial"/>
          <w:sz w:val="20"/>
          <w:szCs w:val="20"/>
        </w:rPr>
        <w:t xml:space="preserve"> million </w:t>
      </w:r>
      <w:r w:rsidRPr="00796863">
        <w:rPr>
          <w:rFonts w:ascii="Arial" w:hAnsi="Arial" w:cs="Arial"/>
          <w:sz w:val="20"/>
          <w:szCs w:val="20"/>
        </w:rPr>
        <w:t>in Q4 2018*</w:t>
      </w:r>
      <w:r w:rsidR="00FD6377" w:rsidRPr="00796863">
        <w:rPr>
          <w:rFonts w:ascii="Arial" w:hAnsi="Arial" w:cs="Arial"/>
          <w:sz w:val="20"/>
          <w:szCs w:val="20"/>
        </w:rPr>
        <w:t>.</w:t>
      </w:r>
    </w:p>
    <w:p w14:paraId="56C7BED8" w14:textId="77777777" w:rsidR="00F12F6A" w:rsidRDefault="00E352F9" w:rsidP="00F12F6A">
      <w:pPr>
        <w:rPr>
          <w:rFonts w:ascii="Arial" w:hAnsi="Arial" w:cs="Arial"/>
          <w:sz w:val="20"/>
        </w:rPr>
      </w:pPr>
      <w:bookmarkStart w:id="1" w:name="_Hlk7511813"/>
      <w:r w:rsidRPr="008D68E3">
        <w:rPr>
          <w:rFonts w:ascii="Arial" w:hAnsi="Arial" w:cs="Arial"/>
          <w:sz w:val="20"/>
        </w:rPr>
        <w:t>*</w:t>
      </w:r>
      <w:r w:rsidR="00F12F6A" w:rsidRPr="008D68E3">
        <w:rPr>
          <w:rFonts w:ascii="Arial" w:hAnsi="Arial" w:cs="Arial"/>
          <w:sz w:val="20"/>
        </w:rPr>
        <w:t xml:space="preserve">Note: </w:t>
      </w:r>
      <w:r w:rsidR="00D82775">
        <w:rPr>
          <w:rFonts w:ascii="Arial" w:hAnsi="Arial" w:cs="Arial"/>
          <w:sz w:val="20"/>
        </w:rPr>
        <w:t>Q1 2019</w:t>
      </w:r>
      <w:r w:rsidR="00F12F6A" w:rsidRPr="008D68E3">
        <w:rPr>
          <w:rFonts w:ascii="Arial" w:hAnsi="Arial" w:cs="Arial"/>
          <w:sz w:val="20"/>
        </w:rPr>
        <w:t xml:space="preserve"> </w:t>
      </w:r>
      <w:r w:rsidR="00B07DB6">
        <w:rPr>
          <w:rFonts w:ascii="Arial" w:hAnsi="Arial" w:cs="Arial"/>
          <w:sz w:val="20"/>
        </w:rPr>
        <w:t xml:space="preserve">Adjusted </w:t>
      </w:r>
      <w:r w:rsidR="00F12F6A" w:rsidRPr="008D68E3">
        <w:rPr>
          <w:rFonts w:ascii="Arial" w:hAnsi="Arial" w:cs="Arial"/>
          <w:sz w:val="20"/>
        </w:rPr>
        <w:t>EBITDA</w:t>
      </w:r>
      <w:r w:rsidR="00B07DB6">
        <w:rPr>
          <w:rStyle w:val="FootnoteReference"/>
          <w:rFonts w:ascii="Arial" w:hAnsi="Arial" w:cs="Arial"/>
          <w:sz w:val="20"/>
        </w:rPr>
        <w:footnoteReference w:customMarkFollows="1" w:id="1"/>
        <w:t>1</w:t>
      </w:r>
      <w:r w:rsidR="00F12F6A" w:rsidRPr="00252BC2">
        <w:rPr>
          <w:rFonts w:ascii="Arial" w:hAnsi="Arial" w:cs="Arial"/>
          <w:sz w:val="20"/>
        </w:rPr>
        <w:t xml:space="preserve"> from US clinical operations</w:t>
      </w:r>
      <w:r w:rsidR="00AD7464">
        <w:rPr>
          <w:rFonts w:ascii="Arial" w:hAnsi="Arial" w:cs="Arial"/>
          <w:sz w:val="20"/>
        </w:rPr>
        <w:t xml:space="preserve"> </w:t>
      </w:r>
      <w:r w:rsidR="0007213F">
        <w:rPr>
          <w:rFonts w:ascii="Arial" w:hAnsi="Arial" w:cs="Arial"/>
          <w:sz w:val="20"/>
        </w:rPr>
        <w:t>(not inclusive of any subsequent-to-quarter</w:t>
      </w:r>
      <w:r w:rsidR="00722612">
        <w:rPr>
          <w:rFonts w:ascii="Arial" w:hAnsi="Arial" w:cs="Arial"/>
          <w:sz w:val="20"/>
        </w:rPr>
        <w:t xml:space="preserve">-end </w:t>
      </w:r>
      <w:r w:rsidR="0007213F">
        <w:rPr>
          <w:rFonts w:ascii="Arial" w:hAnsi="Arial" w:cs="Arial"/>
          <w:sz w:val="20"/>
        </w:rPr>
        <w:t>acquisitions)</w:t>
      </w:r>
      <w:r w:rsidR="005C320E">
        <w:rPr>
          <w:rFonts w:ascii="Arial" w:hAnsi="Arial" w:cs="Arial"/>
          <w:sz w:val="20"/>
        </w:rPr>
        <w:t xml:space="preserve"> </w:t>
      </w:r>
      <w:r w:rsidR="00AD7464" w:rsidRPr="00796863">
        <w:rPr>
          <w:rFonts w:ascii="Arial" w:hAnsi="Arial" w:cs="Arial"/>
          <w:sz w:val="20"/>
        </w:rPr>
        <w:t>resulted</w:t>
      </w:r>
      <w:r w:rsidR="005432DD" w:rsidRPr="00796863">
        <w:rPr>
          <w:rFonts w:ascii="Arial" w:hAnsi="Arial" w:cs="Arial"/>
          <w:sz w:val="20"/>
        </w:rPr>
        <w:t xml:space="preserve"> in </w:t>
      </w:r>
      <w:r w:rsidR="000170C0" w:rsidRPr="00796863">
        <w:rPr>
          <w:rFonts w:ascii="Arial" w:hAnsi="Arial" w:cs="Arial"/>
          <w:sz w:val="20"/>
        </w:rPr>
        <w:t xml:space="preserve">a gain of </w:t>
      </w:r>
      <w:r w:rsidR="00B07DB6" w:rsidRPr="00796863">
        <w:rPr>
          <w:rFonts w:ascii="Arial" w:hAnsi="Arial" w:cs="Arial"/>
          <w:sz w:val="20"/>
        </w:rPr>
        <w:t>$</w:t>
      </w:r>
      <w:r w:rsidR="005509B0" w:rsidRPr="00796863">
        <w:rPr>
          <w:rFonts w:ascii="Arial" w:hAnsi="Arial" w:cs="Arial"/>
          <w:sz w:val="20"/>
        </w:rPr>
        <w:t>578</w:t>
      </w:r>
      <w:r w:rsidR="000170C0" w:rsidRPr="00796863">
        <w:rPr>
          <w:rFonts w:ascii="Arial" w:hAnsi="Arial" w:cs="Arial"/>
          <w:sz w:val="20"/>
        </w:rPr>
        <w:t xml:space="preserve"> thousand</w:t>
      </w:r>
      <w:r w:rsidR="00AD7464" w:rsidRPr="00796863">
        <w:rPr>
          <w:rFonts w:ascii="Arial" w:hAnsi="Arial" w:cs="Arial"/>
          <w:sz w:val="20"/>
        </w:rPr>
        <w:t xml:space="preserve">. CB2 </w:t>
      </w:r>
      <w:r w:rsidR="00D82775" w:rsidRPr="00796863">
        <w:rPr>
          <w:rFonts w:ascii="Arial" w:hAnsi="Arial" w:cs="Arial"/>
          <w:sz w:val="20"/>
        </w:rPr>
        <w:t xml:space="preserve">currently </w:t>
      </w:r>
      <w:r w:rsidR="00B07DB6" w:rsidRPr="00796863">
        <w:rPr>
          <w:rFonts w:ascii="Arial" w:hAnsi="Arial" w:cs="Arial"/>
          <w:sz w:val="20"/>
        </w:rPr>
        <w:t>uses this surplus in</w:t>
      </w:r>
      <w:r w:rsidR="00AD7464" w:rsidRPr="00796863">
        <w:rPr>
          <w:rFonts w:ascii="Arial" w:hAnsi="Arial" w:cs="Arial"/>
          <w:sz w:val="20"/>
        </w:rPr>
        <w:t xml:space="preserve"> cash flow </w:t>
      </w:r>
      <w:r w:rsidR="00B07DB6" w:rsidRPr="00796863">
        <w:rPr>
          <w:rFonts w:ascii="Arial" w:hAnsi="Arial" w:cs="Arial"/>
          <w:sz w:val="20"/>
        </w:rPr>
        <w:t>to fuel</w:t>
      </w:r>
      <w:r w:rsidR="00AD7464" w:rsidRPr="00796863">
        <w:rPr>
          <w:rFonts w:ascii="Arial" w:hAnsi="Arial" w:cs="Arial"/>
          <w:sz w:val="20"/>
        </w:rPr>
        <w:t xml:space="preserve"> its Data and Analytics business</w:t>
      </w:r>
      <w:r w:rsidR="008375F5" w:rsidRPr="00796863">
        <w:rPr>
          <w:rFonts w:ascii="Arial" w:hAnsi="Arial" w:cs="Arial"/>
          <w:sz w:val="20"/>
        </w:rPr>
        <w:t>,</w:t>
      </w:r>
      <w:r w:rsidR="00AD7464" w:rsidRPr="00796863">
        <w:rPr>
          <w:rFonts w:ascii="Arial" w:hAnsi="Arial" w:cs="Arial"/>
          <w:sz w:val="20"/>
        </w:rPr>
        <w:t xml:space="preserve"> which include</w:t>
      </w:r>
      <w:r w:rsidR="00B07DB6" w:rsidRPr="00796863">
        <w:rPr>
          <w:rFonts w:ascii="Arial" w:hAnsi="Arial" w:cs="Arial"/>
          <w:sz w:val="20"/>
        </w:rPr>
        <w:t>s</w:t>
      </w:r>
      <w:r w:rsidR="00AD7464" w:rsidRPr="00796863">
        <w:rPr>
          <w:rFonts w:ascii="Arial" w:hAnsi="Arial" w:cs="Arial"/>
          <w:sz w:val="20"/>
        </w:rPr>
        <w:t xml:space="preserve"> but </w:t>
      </w:r>
      <w:r w:rsidR="00B07DB6" w:rsidRPr="00796863">
        <w:rPr>
          <w:rFonts w:ascii="Arial" w:hAnsi="Arial" w:cs="Arial"/>
          <w:sz w:val="20"/>
        </w:rPr>
        <w:t xml:space="preserve">is </w:t>
      </w:r>
      <w:r w:rsidR="00AD7464" w:rsidRPr="00796863">
        <w:rPr>
          <w:rFonts w:ascii="Arial" w:hAnsi="Arial" w:cs="Arial"/>
          <w:sz w:val="20"/>
        </w:rPr>
        <w:t>not limited to</w:t>
      </w:r>
      <w:r w:rsidR="00AD7464">
        <w:rPr>
          <w:rFonts w:ascii="Arial" w:hAnsi="Arial" w:cs="Arial"/>
          <w:sz w:val="20"/>
        </w:rPr>
        <w:t xml:space="preserve"> software development, product development, analytical and commercialization teams. </w:t>
      </w:r>
    </w:p>
    <w:p w14:paraId="47F13923" w14:textId="77777777" w:rsidR="005C320E" w:rsidRPr="007725A6" w:rsidRDefault="005C320E" w:rsidP="00F12F6A">
      <w:pPr>
        <w:rPr>
          <w:rFonts w:ascii="Arial" w:hAnsi="Arial" w:cs="Arial"/>
          <w:sz w:val="20"/>
          <w:szCs w:val="20"/>
        </w:rPr>
      </w:pPr>
      <w:r>
        <w:rPr>
          <w:rFonts w:ascii="Arial" w:hAnsi="Arial" w:cs="Arial"/>
          <w:sz w:val="20"/>
        </w:rPr>
        <w:t>“CB2 saw a strong</w:t>
      </w:r>
      <w:r w:rsidR="008375F5">
        <w:rPr>
          <w:rFonts w:ascii="Arial" w:hAnsi="Arial" w:cs="Arial"/>
          <w:sz w:val="20"/>
        </w:rPr>
        <w:t xml:space="preserve"> organic</w:t>
      </w:r>
      <w:r>
        <w:rPr>
          <w:rFonts w:ascii="Arial" w:hAnsi="Arial" w:cs="Arial"/>
          <w:sz w:val="20"/>
        </w:rPr>
        <w:t xml:space="preserve"> growth in </w:t>
      </w:r>
      <w:r w:rsidR="00592E35">
        <w:rPr>
          <w:rFonts w:ascii="Arial" w:hAnsi="Arial" w:cs="Arial"/>
          <w:sz w:val="20"/>
        </w:rPr>
        <w:t xml:space="preserve">our </w:t>
      </w:r>
      <w:r>
        <w:rPr>
          <w:rFonts w:ascii="Arial" w:hAnsi="Arial" w:cs="Arial"/>
          <w:sz w:val="20"/>
        </w:rPr>
        <w:t xml:space="preserve">top line paired with a </w:t>
      </w:r>
      <w:r w:rsidR="00592E35">
        <w:rPr>
          <w:rFonts w:ascii="Arial" w:hAnsi="Arial" w:cs="Arial"/>
          <w:sz w:val="20"/>
        </w:rPr>
        <w:t xml:space="preserve">substantial </w:t>
      </w:r>
      <w:r>
        <w:rPr>
          <w:rFonts w:ascii="Arial" w:hAnsi="Arial" w:cs="Arial"/>
          <w:sz w:val="20"/>
        </w:rPr>
        <w:t xml:space="preserve">reduction in our operating expenses </w:t>
      </w:r>
      <w:r w:rsidR="008375F5">
        <w:rPr>
          <w:rFonts w:ascii="Arial" w:hAnsi="Arial" w:cs="Arial"/>
          <w:sz w:val="20"/>
        </w:rPr>
        <w:t xml:space="preserve">in </w:t>
      </w:r>
      <w:r>
        <w:rPr>
          <w:rFonts w:ascii="Arial" w:hAnsi="Arial" w:cs="Arial"/>
          <w:sz w:val="20"/>
        </w:rPr>
        <w:t>the quarte</w:t>
      </w:r>
      <w:r w:rsidR="00592E35">
        <w:rPr>
          <w:rFonts w:ascii="Arial" w:hAnsi="Arial" w:cs="Arial"/>
          <w:sz w:val="20"/>
        </w:rPr>
        <w:t>r.  This</w:t>
      </w:r>
      <w:r>
        <w:rPr>
          <w:rFonts w:ascii="Arial" w:hAnsi="Arial" w:cs="Arial"/>
          <w:sz w:val="20"/>
        </w:rPr>
        <w:t xml:space="preserve"> </w:t>
      </w:r>
      <w:r w:rsidR="00592E35">
        <w:rPr>
          <w:rFonts w:ascii="Arial" w:hAnsi="Arial" w:cs="Arial"/>
          <w:sz w:val="20"/>
        </w:rPr>
        <w:t xml:space="preserve">growth </w:t>
      </w:r>
      <w:r>
        <w:rPr>
          <w:rFonts w:ascii="Arial" w:hAnsi="Arial" w:cs="Arial"/>
          <w:sz w:val="20"/>
        </w:rPr>
        <w:t xml:space="preserve">did not include contributions from our new, profitable clinical acquisitions </w:t>
      </w:r>
      <w:r w:rsidR="00592E35">
        <w:rPr>
          <w:rFonts w:ascii="Arial" w:hAnsi="Arial" w:cs="Arial"/>
          <w:sz w:val="20"/>
        </w:rPr>
        <w:t xml:space="preserve">of </w:t>
      </w:r>
      <w:r>
        <w:rPr>
          <w:rFonts w:ascii="Arial" w:hAnsi="Arial" w:cs="Arial"/>
          <w:sz w:val="20"/>
        </w:rPr>
        <w:t>MedEval and Relaxed Clarity,” said Prad Sekar, CEO, CB2 Insights.  “</w:t>
      </w:r>
      <w:r w:rsidR="00B968F7" w:rsidRPr="00B968F7">
        <w:rPr>
          <w:rFonts w:ascii="Arial" w:hAnsi="Arial" w:cs="Arial"/>
          <w:sz w:val="20"/>
        </w:rPr>
        <w:t>W</w:t>
      </w:r>
      <w:r w:rsidR="00A72E97" w:rsidRPr="00B968F7">
        <w:rPr>
          <w:rFonts w:ascii="Arial" w:hAnsi="Arial" w:cs="Arial"/>
          <w:sz w:val="20"/>
        </w:rPr>
        <w:t>e remain committed to growing our clinical business, reducing our burn rate and work</w:t>
      </w:r>
      <w:r w:rsidR="00592E35" w:rsidRPr="00B968F7">
        <w:rPr>
          <w:rFonts w:ascii="Arial" w:hAnsi="Arial" w:cs="Arial"/>
          <w:sz w:val="20"/>
        </w:rPr>
        <w:t>ing</w:t>
      </w:r>
      <w:r w:rsidR="00A72E97" w:rsidRPr="00B968F7">
        <w:rPr>
          <w:rFonts w:ascii="Arial" w:hAnsi="Arial" w:cs="Arial"/>
          <w:sz w:val="20"/>
        </w:rPr>
        <w:t xml:space="preserve"> towards commercializing our RWE / data asset.  We have made significant progress in each of these areas over the past quarter and are confident that our valuation should begin to reflect this.</w:t>
      </w:r>
      <w:r w:rsidR="00FB3590" w:rsidRPr="00B968F7">
        <w:rPr>
          <w:rFonts w:ascii="Arial" w:hAnsi="Arial" w:cs="Arial"/>
          <w:sz w:val="20"/>
        </w:rPr>
        <w:t xml:space="preserve"> Over the past several</w:t>
      </w:r>
      <w:r w:rsidR="00FB3590" w:rsidRPr="00D82775">
        <w:rPr>
          <w:rFonts w:ascii="Arial" w:hAnsi="Arial" w:cs="Arial"/>
          <w:sz w:val="20"/>
        </w:rPr>
        <w:t xml:space="preserve"> months, we have </w:t>
      </w:r>
      <w:r w:rsidR="00FB3590" w:rsidRPr="007725A6">
        <w:rPr>
          <w:rFonts w:ascii="Arial" w:hAnsi="Arial" w:cs="Arial"/>
          <w:sz w:val="20"/>
          <w:szCs w:val="20"/>
        </w:rPr>
        <w:t>had meaningful conversations with many large-scale traditional Life Sciences stakeholders and are working towards commercialization of our data assets to help usher in a new level of understanding regarding cannabinoid therapy across the traditional healthcare sector.  As we look to continue acquiring additional clinical groups in the coming quarters, we are excited to have received validation by major industry players that the path that we are on holds significant prospective value to those both inside and even more so, outside the medical cannabis industry.”</w:t>
      </w:r>
    </w:p>
    <w:bookmarkEnd w:id="1"/>
    <w:p w14:paraId="0C29D74C" w14:textId="77777777" w:rsidR="00D82C95" w:rsidRPr="007725A6" w:rsidRDefault="00A72E97" w:rsidP="00DE231A">
      <w:pPr>
        <w:rPr>
          <w:rFonts w:ascii="Arial" w:hAnsi="Arial" w:cs="Arial"/>
          <w:b/>
          <w:sz w:val="20"/>
          <w:szCs w:val="20"/>
        </w:rPr>
      </w:pPr>
      <w:r w:rsidRPr="007725A6">
        <w:rPr>
          <w:rFonts w:ascii="Arial" w:hAnsi="Arial" w:cs="Arial"/>
          <w:b/>
          <w:sz w:val="20"/>
          <w:szCs w:val="20"/>
        </w:rPr>
        <w:t>Q1 2019</w:t>
      </w:r>
      <w:r w:rsidR="00D82C95" w:rsidRPr="007725A6">
        <w:rPr>
          <w:rFonts w:ascii="Arial" w:hAnsi="Arial" w:cs="Arial"/>
          <w:b/>
          <w:sz w:val="20"/>
          <w:szCs w:val="20"/>
        </w:rPr>
        <w:t xml:space="preserve"> Opera</w:t>
      </w:r>
      <w:r w:rsidR="00041760" w:rsidRPr="007725A6">
        <w:rPr>
          <w:rFonts w:ascii="Arial" w:hAnsi="Arial" w:cs="Arial"/>
          <w:b/>
          <w:sz w:val="20"/>
          <w:szCs w:val="20"/>
        </w:rPr>
        <w:t>ti</w:t>
      </w:r>
      <w:r w:rsidR="00D82C95" w:rsidRPr="007725A6">
        <w:rPr>
          <w:rFonts w:ascii="Arial" w:hAnsi="Arial" w:cs="Arial"/>
          <w:b/>
          <w:sz w:val="20"/>
          <w:szCs w:val="20"/>
        </w:rPr>
        <w:t>onal and Strategic Highlights</w:t>
      </w:r>
    </w:p>
    <w:p w14:paraId="3C354172" w14:textId="77777777" w:rsidR="00FD6377" w:rsidRPr="007725A6" w:rsidRDefault="00FD6377" w:rsidP="00FD6377">
      <w:pPr>
        <w:pStyle w:val="ListParagraph"/>
        <w:numPr>
          <w:ilvl w:val="0"/>
          <w:numId w:val="7"/>
        </w:numPr>
        <w:rPr>
          <w:rFonts w:ascii="Arial" w:hAnsi="Arial" w:cs="Arial"/>
          <w:sz w:val="20"/>
          <w:szCs w:val="20"/>
        </w:rPr>
      </w:pPr>
      <w:r w:rsidRPr="007725A6">
        <w:rPr>
          <w:rFonts w:ascii="Arial" w:hAnsi="Arial" w:cs="Arial"/>
          <w:sz w:val="20"/>
          <w:szCs w:val="20"/>
        </w:rPr>
        <w:t xml:space="preserve">Company </w:t>
      </w:r>
      <w:hyperlink r:id="rId13" w:history="1">
        <w:r w:rsidRPr="007725A6">
          <w:rPr>
            <w:rStyle w:val="Hyperlink"/>
            <w:rFonts w:ascii="Arial" w:hAnsi="Arial" w:cs="Arial"/>
            <w:sz w:val="20"/>
            <w:szCs w:val="20"/>
          </w:rPr>
          <w:t>commences trading</w:t>
        </w:r>
      </w:hyperlink>
      <w:r w:rsidRPr="007725A6">
        <w:rPr>
          <w:rFonts w:ascii="Arial" w:hAnsi="Arial" w:cs="Arial"/>
          <w:sz w:val="20"/>
          <w:szCs w:val="20"/>
        </w:rPr>
        <w:t xml:space="preserve"> as a public company;</w:t>
      </w:r>
      <w:r w:rsidR="00D5463F">
        <w:rPr>
          <w:rFonts w:ascii="Arial" w:hAnsi="Arial" w:cs="Arial"/>
          <w:sz w:val="20"/>
          <w:szCs w:val="20"/>
        </w:rPr>
        <w:t xml:space="preserve"> and</w:t>
      </w:r>
    </w:p>
    <w:p w14:paraId="621C8D27" w14:textId="77777777" w:rsidR="00FD6377" w:rsidRPr="007725A6" w:rsidRDefault="00EF3BDA" w:rsidP="00B968F7">
      <w:pPr>
        <w:pStyle w:val="ListParagraph"/>
        <w:numPr>
          <w:ilvl w:val="0"/>
          <w:numId w:val="7"/>
        </w:numPr>
        <w:rPr>
          <w:rFonts w:ascii="Arial" w:hAnsi="Arial" w:cs="Arial"/>
          <w:sz w:val="20"/>
          <w:szCs w:val="20"/>
        </w:rPr>
      </w:pPr>
      <w:hyperlink r:id="rId14" w:history="1">
        <w:r w:rsidR="00FD6377" w:rsidRPr="00F45F86">
          <w:rPr>
            <w:rStyle w:val="Hyperlink"/>
            <w:rFonts w:ascii="Arial" w:hAnsi="Arial" w:cs="Arial"/>
            <w:sz w:val="20"/>
            <w:szCs w:val="20"/>
          </w:rPr>
          <w:t>Agreement with Premier Health</w:t>
        </w:r>
      </w:hyperlink>
      <w:r w:rsidR="00FD6377" w:rsidRPr="007725A6">
        <w:rPr>
          <w:rFonts w:ascii="Arial" w:hAnsi="Arial" w:cs="Arial"/>
          <w:sz w:val="20"/>
          <w:szCs w:val="20"/>
        </w:rPr>
        <w:t xml:space="preserve"> </w:t>
      </w:r>
      <w:r w:rsidR="00FD6377" w:rsidRPr="00F45F86">
        <w:rPr>
          <w:rFonts w:ascii="Arial" w:hAnsi="Arial" w:cs="Arial"/>
          <w:sz w:val="20"/>
          <w:szCs w:val="20"/>
        </w:rPr>
        <w:t xml:space="preserve">to </w:t>
      </w:r>
      <w:r w:rsidR="00FD6377" w:rsidRPr="007725A6">
        <w:rPr>
          <w:rFonts w:ascii="Arial" w:hAnsi="Arial" w:cs="Arial"/>
          <w:sz w:val="20"/>
          <w:szCs w:val="20"/>
        </w:rPr>
        <w:t>integrate medical cannabis clinical decision support tool</w:t>
      </w:r>
      <w:r w:rsidR="00D5463F">
        <w:rPr>
          <w:rFonts w:ascii="Arial" w:hAnsi="Arial" w:cs="Arial"/>
          <w:sz w:val="20"/>
          <w:szCs w:val="20"/>
        </w:rPr>
        <w:t>.</w:t>
      </w:r>
    </w:p>
    <w:p w14:paraId="7C5FE9BB" w14:textId="77777777" w:rsidR="00FD6377" w:rsidRPr="007725A6" w:rsidRDefault="00FD6377" w:rsidP="00FD6377">
      <w:pPr>
        <w:rPr>
          <w:rFonts w:ascii="Arial" w:hAnsi="Arial" w:cs="Arial"/>
          <w:b/>
          <w:sz w:val="20"/>
          <w:szCs w:val="20"/>
        </w:rPr>
      </w:pPr>
      <w:r w:rsidRPr="007725A6">
        <w:rPr>
          <w:rFonts w:ascii="Arial" w:hAnsi="Arial" w:cs="Arial"/>
          <w:b/>
          <w:sz w:val="20"/>
          <w:szCs w:val="20"/>
        </w:rPr>
        <w:t>Operational and Strategic Highlights Subsequent to Quarter End</w:t>
      </w:r>
    </w:p>
    <w:p w14:paraId="06969F9A" w14:textId="77777777" w:rsidR="00FD6377" w:rsidRPr="007725A6" w:rsidRDefault="00EF3BDA" w:rsidP="00FD6377">
      <w:pPr>
        <w:pStyle w:val="ListParagraph"/>
        <w:numPr>
          <w:ilvl w:val="0"/>
          <w:numId w:val="6"/>
        </w:numPr>
        <w:rPr>
          <w:rFonts w:ascii="Arial" w:hAnsi="Arial" w:cs="Arial"/>
          <w:sz w:val="20"/>
          <w:szCs w:val="20"/>
        </w:rPr>
      </w:pPr>
      <w:hyperlink r:id="rId15" w:history="1">
        <w:r w:rsidR="00FD6377" w:rsidRPr="007725A6">
          <w:rPr>
            <w:rStyle w:val="Hyperlink"/>
            <w:rFonts w:ascii="Arial" w:hAnsi="Arial" w:cs="Arial"/>
            <w:sz w:val="20"/>
            <w:szCs w:val="20"/>
          </w:rPr>
          <w:t>Complete</w:t>
        </w:r>
        <w:r w:rsidR="00FB3590" w:rsidRPr="007725A6">
          <w:rPr>
            <w:rStyle w:val="Hyperlink"/>
            <w:rFonts w:ascii="Arial" w:hAnsi="Arial" w:cs="Arial"/>
            <w:sz w:val="20"/>
            <w:szCs w:val="20"/>
          </w:rPr>
          <w:t>d</w:t>
        </w:r>
        <w:r w:rsidR="00FD6377" w:rsidRPr="007725A6">
          <w:rPr>
            <w:rStyle w:val="Hyperlink"/>
            <w:rFonts w:ascii="Arial" w:hAnsi="Arial" w:cs="Arial"/>
            <w:sz w:val="20"/>
            <w:szCs w:val="20"/>
          </w:rPr>
          <w:t xml:space="preserve"> acquisition</w:t>
        </w:r>
      </w:hyperlink>
      <w:r w:rsidR="00FD6377" w:rsidRPr="007725A6">
        <w:rPr>
          <w:rFonts w:ascii="Arial" w:hAnsi="Arial" w:cs="Arial"/>
          <w:sz w:val="20"/>
          <w:szCs w:val="20"/>
        </w:rPr>
        <w:t xml:space="preserve"> of cannabis evaluation clinics in Arizona and Colorado;</w:t>
      </w:r>
    </w:p>
    <w:p w14:paraId="5B758360" w14:textId="77777777" w:rsidR="00FD6377" w:rsidRPr="007725A6" w:rsidRDefault="00EF3BDA" w:rsidP="00FD6377">
      <w:pPr>
        <w:pStyle w:val="ListParagraph"/>
        <w:numPr>
          <w:ilvl w:val="0"/>
          <w:numId w:val="6"/>
        </w:numPr>
        <w:rPr>
          <w:rFonts w:ascii="Arial" w:hAnsi="Arial" w:cs="Arial"/>
          <w:sz w:val="20"/>
          <w:szCs w:val="20"/>
        </w:rPr>
      </w:pPr>
      <w:hyperlink r:id="rId16" w:history="1">
        <w:r w:rsidR="00F45F86">
          <w:rPr>
            <w:rStyle w:val="Hyperlink"/>
            <w:rFonts w:ascii="Arial" w:hAnsi="Arial" w:cs="Arial"/>
            <w:sz w:val="20"/>
            <w:szCs w:val="20"/>
          </w:rPr>
          <w:t>Completed</w:t>
        </w:r>
        <w:r w:rsidR="00F45F86" w:rsidRPr="00F45F86">
          <w:rPr>
            <w:rStyle w:val="Hyperlink"/>
            <w:rFonts w:ascii="Arial" w:hAnsi="Arial" w:cs="Arial"/>
            <w:sz w:val="20"/>
            <w:szCs w:val="20"/>
          </w:rPr>
          <w:t xml:space="preserve"> acquisition</w:t>
        </w:r>
      </w:hyperlink>
      <w:r w:rsidR="00FD6377" w:rsidRPr="007725A6">
        <w:rPr>
          <w:rFonts w:ascii="Arial" w:hAnsi="Arial" w:cs="Arial"/>
          <w:sz w:val="20"/>
          <w:szCs w:val="20"/>
        </w:rPr>
        <w:t xml:space="preserve"> of multi-location medical cannabis clinic group Relaxed Clarity;</w:t>
      </w:r>
      <w:r w:rsidR="00D5463F">
        <w:rPr>
          <w:rFonts w:ascii="Arial" w:hAnsi="Arial" w:cs="Arial"/>
          <w:sz w:val="20"/>
          <w:szCs w:val="20"/>
        </w:rPr>
        <w:t xml:space="preserve"> and</w:t>
      </w:r>
    </w:p>
    <w:p w14:paraId="463DEF10" w14:textId="77777777" w:rsidR="0007213F" w:rsidRPr="007725A6" w:rsidRDefault="00EF3BDA" w:rsidP="00B968F7">
      <w:pPr>
        <w:pStyle w:val="ListParagraph"/>
        <w:numPr>
          <w:ilvl w:val="0"/>
          <w:numId w:val="6"/>
        </w:numPr>
        <w:rPr>
          <w:rFonts w:ascii="Arial" w:hAnsi="Arial" w:cs="Arial"/>
          <w:b/>
          <w:sz w:val="20"/>
          <w:szCs w:val="20"/>
        </w:rPr>
      </w:pPr>
      <w:hyperlink r:id="rId17" w:history="1">
        <w:r w:rsidR="00FD6377" w:rsidRPr="007725A6">
          <w:rPr>
            <w:rStyle w:val="Hyperlink"/>
            <w:rFonts w:ascii="Arial" w:hAnsi="Arial" w:cs="Arial"/>
            <w:sz w:val="20"/>
            <w:szCs w:val="20"/>
          </w:rPr>
          <w:t>E</w:t>
        </w:r>
        <w:r w:rsidR="0007213F" w:rsidRPr="007725A6">
          <w:rPr>
            <w:rStyle w:val="Hyperlink"/>
            <w:rFonts w:ascii="Arial" w:hAnsi="Arial" w:cs="Arial"/>
            <w:sz w:val="20"/>
            <w:szCs w:val="20"/>
          </w:rPr>
          <w:t>xpansion of Board of Directors</w:t>
        </w:r>
      </w:hyperlink>
      <w:r w:rsidR="0007213F" w:rsidRPr="007725A6">
        <w:rPr>
          <w:rFonts w:ascii="Arial" w:hAnsi="Arial" w:cs="Arial"/>
          <w:sz w:val="20"/>
          <w:szCs w:val="20"/>
        </w:rPr>
        <w:t xml:space="preserve"> with the addition of Teladoc Executive, Marc Adelson as Director and the appointment of MNP LLC Executive, David Danziger as Chairman of the Board</w:t>
      </w:r>
      <w:r w:rsidR="00DE300E">
        <w:rPr>
          <w:rFonts w:ascii="Arial" w:hAnsi="Arial" w:cs="Arial"/>
          <w:sz w:val="20"/>
          <w:szCs w:val="20"/>
        </w:rPr>
        <w:t>.</w:t>
      </w:r>
    </w:p>
    <w:p w14:paraId="510915F3" w14:textId="77777777" w:rsidR="00FB3590" w:rsidRPr="00F45F86" w:rsidRDefault="00FB3590" w:rsidP="00536F3F">
      <w:pPr>
        <w:rPr>
          <w:rFonts w:ascii="Arial" w:hAnsi="Arial" w:cs="Arial"/>
          <w:b/>
          <w:sz w:val="20"/>
          <w:szCs w:val="20"/>
          <w:lang w:val="en"/>
        </w:rPr>
      </w:pPr>
      <w:r w:rsidRPr="00F45F86">
        <w:rPr>
          <w:rFonts w:ascii="Arial" w:hAnsi="Arial" w:cs="Arial"/>
          <w:b/>
          <w:sz w:val="20"/>
          <w:szCs w:val="20"/>
          <w:lang w:val="en"/>
        </w:rPr>
        <w:t>CB2 Insights’ Divisional Highlights</w:t>
      </w:r>
    </w:p>
    <w:p w14:paraId="649BDCA6" w14:textId="77777777" w:rsidR="00536F3F" w:rsidRPr="007725A6" w:rsidRDefault="00536F3F" w:rsidP="00536F3F">
      <w:pPr>
        <w:rPr>
          <w:rFonts w:ascii="Arial" w:hAnsi="Arial" w:cs="Arial"/>
          <w:sz w:val="20"/>
          <w:szCs w:val="20"/>
          <w:lang w:val="en"/>
        </w:rPr>
      </w:pPr>
      <w:r w:rsidRPr="007725A6">
        <w:rPr>
          <w:rFonts w:ascii="Arial" w:hAnsi="Arial" w:cs="Arial"/>
          <w:sz w:val="20"/>
          <w:szCs w:val="20"/>
          <w:lang w:val="en"/>
        </w:rPr>
        <w:t>CB2 Insights operates 3 primary divisions in the generation of health outcome data. These divisions are:</w:t>
      </w:r>
    </w:p>
    <w:p w14:paraId="4A6CB02F" w14:textId="77777777" w:rsidR="00536F3F" w:rsidRPr="007725A6" w:rsidRDefault="00536F3F" w:rsidP="00CA567E">
      <w:pPr>
        <w:rPr>
          <w:rFonts w:ascii="Arial" w:hAnsi="Arial" w:cs="Arial"/>
          <w:sz w:val="20"/>
          <w:szCs w:val="20"/>
          <w:lang w:val="en"/>
        </w:rPr>
      </w:pPr>
      <w:r w:rsidRPr="007725A6">
        <w:rPr>
          <w:rFonts w:ascii="Arial" w:hAnsi="Arial" w:cs="Arial"/>
          <w:b/>
          <w:i/>
          <w:sz w:val="20"/>
          <w:szCs w:val="20"/>
          <w:lang w:val="en"/>
        </w:rPr>
        <w:t>Clinical Operations</w:t>
      </w:r>
      <w:r w:rsidRPr="007725A6">
        <w:rPr>
          <w:rFonts w:ascii="Arial" w:hAnsi="Arial" w:cs="Arial"/>
          <w:sz w:val="20"/>
          <w:szCs w:val="20"/>
          <w:lang w:val="en"/>
        </w:rPr>
        <w:t xml:space="preserve">: CB2 currently operates the largest network of physician-staffed medical centers in the US specializing in qualifying and supporting patients who are treating their indications with medical cannabis. </w:t>
      </w:r>
    </w:p>
    <w:p w14:paraId="46AFD9C9" w14:textId="77777777" w:rsidR="00536F3F" w:rsidRPr="007725A6" w:rsidRDefault="00A72E97" w:rsidP="00536F3F">
      <w:pPr>
        <w:pStyle w:val="ListParagraph"/>
        <w:numPr>
          <w:ilvl w:val="0"/>
          <w:numId w:val="4"/>
        </w:numPr>
        <w:rPr>
          <w:rFonts w:ascii="Arial" w:hAnsi="Arial" w:cs="Arial"/>
          <w:i/>
          <w:sz w:val="20"/>
          <w:szCs w:val="20"/>
        </w:rPr>
      </w:pPr>
      <w:r w:rsidRPr="007725A6">
        <w:rPr>
          <w:rFonts w:ascii="Arial" w:hAnsi="Arial" w:cs="Arial"/>
          <w:sz w:val="20"/>
          <w:szCs w:val="20"/>
        </w:rPr>
        <w:t xml:space="preserve">Added </w:t>
      </w:r>
      <w:r w:rsidR="00BF1F14" w:rsidRPr="007725A6">
        <w:rPr>
          <w:rFonts w:ascii="Arial" w:hAnsi="Arial" w:cs="Arial"/>
          <w:sz w:val="20"/>
          <w:szCs w:val="20"/>
        </w:rPr>
        <w:t xml:space="preserve">4 </w:t>
      </w:r>
      <w:r w:rsidR="00536F3F" w:rsidRPr="007725A6">
        <w:rPr>
          <w:rFonts w:ascii="Arial" w:hAnsi="Arial" w:cs="Arial"/>
          <w:sz w:val="20"/>
          <w:szCs w:val="20"/>
        </w:rPr>
        <w:t xml:space="preserve">new </w:t>
      </w:r>
      <w:r w:rsidR="0010746A" w:rsidRPr="007725A6">
        <w:rPr>
          <w:rFonts w:ascii="Arial" w:hAnsi="Arial" w:cs="Arial"/>
          <w:sz w:val="20"/>
          <w:szCs w:val="20"/>
        </w:rPr>
        <w:t xml:space="preserve">clinic </w:t>
      </w:r>
      <w:r w:rsidR="00536F3F" w:rsidRPr="007725A6">
        <w:rPr>
          <w:rFonts w:ascii="Arial" w:hAnsi="Arial" w:cs="Arial"/>
          <w:sz w:val="20"/>
          <w:szCs w:val="20"/>
        </w:rPr>
        <w:t xml:space="preserve">locations </w:t>
      </w:r>
      <w:r w:rsidRPr="007725A6">
        <w:rPr>
          <w:rFonts w:ascii="Arial" w:hAnsi="Arial" w:cs="Arial"/>
          <w:sz w:val="20"/>
          <w:szCs w:val="20"/>
        </w:rPr>
        <w:t>within the quarter</w:t>
      </w:r>
      <w:r w:rsidR="00536F3F" w:rsidRPr="007725A6">
        <w:rPr>
          <w:rFonts w:ascii="Arial" w:hAnsi="Arial" w:cs="Arial"/>
          <w:sz w:val="20"/>
          <w:szCs w:val="20"/>
        </w:rPr>
        <w:t xml:space="preserve"> under Canna Care Docs brand</w:t>
      </w:r>
      <w:r w:rsidR="00FD6377" w:rsidRPr="007725A6">
        <w:rPr>
          <w:rFonts w:ascii="Arial" w:hAnsi="Arial" w:cs="Arial"/>
          <w:sz w:val="20"/>
          <w:szCs w:val="20"/>
        </w:rPr>
        <w:t>;</w:t>
      </w:r>
    </w:p>
    <w:p w14:paraId="6342BE46" w14:textId="77777777" w:rsidR="00536F3F" w:rsidRPr="007725A6" w:rsidRDefault="00B605D2" w:rsidP="00536F3F">
      <w:pPr>
        <w:pStyle w:val="ListParagraph"/>
        <w:numPr>
          <w:ilvl w:val="0"/>
          <w:numId w:val="4"/>
        </w:numPr>
        <w:rPr>
          <w:rFonts w:ascii="Arial" w:hAnsi="Arial" w:cs="Arial"/>
          <w:sz w:val="20"/>
          <w:szCs w:val="20"/>
        </w:rPr>
      </w:pPr>
      <w:r w:rsidRPr="007725A6">
        <w:rPr>
          <w:rFonts w:ascii="Arial" w:hAnsi="Arial" w:cs="Arial"/>
          <w:sz w:val="20"/>
          <w:szCs w:val="20"/>
        </w:rPr>
        <w:t>Subsequent</w:t>
      </w:r>
      <w:r w:rsidR="00536F3F" w:rsidRPr="007725A6">
        <w:rPr>
          <w:rFonts w:ascii="Arial" w:hAnsi="Arial" w:cs="Arial"/>
          <w:sz w:val="20"/>
          <w:szCs w:val="20"/>
        </w:rPr>
        <w:t xml:space="preserve"> to </w:t>
      </w:r>
      <w:r w:rsidR="00A079D6" w:rsidRPr="007725A6">
        <w:rPr>
          <w:rFonts w:ascii="Arial" w:hAnsi="Arial" w:cs="Arial"/>
          <w:sz w:val="20"/>
          <w:szCs w:val="20"/>
        </w:rPr>
        <w:t>quarter</w:t>
      </w:r>
      <w:r w:rsidR="00536F3F" w:rsidRPr="007725A6">
        <w:rPr>
          <w:rFonts w:ascii="Arial" w:hAnsi="Arial" w:cs="Arial"/>
          <w:sz w:val="20"/>
          <w:szCs w:val="20"/>
        </w:rPr>
        <w:t>-end, successfu</w:t>
      </w:r>
      <w:r w:rsidR="0010746A" w:rsidRPr="007725A6">
        <w:rPr>
          <w:rFonts w:ascii="Arial" w:hAnsi="Arial" w:cs="Arial"/>
          <w:sz w:val="20"/>
          <w:szCs w:val="20"/>
        </w:rPr>
        <w:t>l</w:t>
      </w:r>
      <w:r w:rsidR="00536F3F" w:rsidRPr="007725A6">
        <w:rPr>
          <w:rFonts w:ascii="Arial" w:hAnsi="Arial" w:cs="Arial"/>
          <w:sz w:val="20"/>
          <w:szCs w:val="20"/>
        </w:rPr>
        <w:t>l</w:t>
      </w:r>
      <w:r w:rsidR="0010746A" w:rsidRPr="007725A6">
        <w:rPr>
          <w:rFonts w:ascii="Arial" w:hAnsi="Arial" w:cs="Arial"/>
          <w:sz w:val="20"/>
          <w:szCs w:val="20"/>
        </w:rPr>
        <w:t>y</w:t>
      </w:r>
      <w:r w:rsidR="00536F3F" w:rsidRPr="007725A6">
        <w:rPr>
          <w:rFonts w:ascii="Arial" w:hAnsi="Arial" w:cs="Arial"/>
          <w:sz w:val="20"/>
          <w:szCs w:val="20"/>
        </w:rPr>
        <w:t xml:space="preserve"> acqui</w:t>
      </w:r>
      <w:r w:rsidR="0010746A" w:rsidRPr="007725A6">
        <w:rPr>
          <w:rFonts w:ascii="Arial" w:hAnsi="Arial" w:cs="Arial"/>
          <w:sz w:val="20"/>
          <w:szCs w:val="20"/>
        </w:rPr>
        <w:t>red</w:t>
      </w:r>
      <w:r w:rsidR="00536F3F" w:rsidRPr="007725A6">
        <w:rPr>
          <w:rFonts w:ascii="Arial" w:hAnsi="Arial" w:cs="Arial"/>
          <w:sz w:val="20"/>
          <w:szCs w:val="20"/>
        </w:rPr>
        <w:t xml:space="preserve"> Colorado-based Relaxed Clarity</w:t>
      </w:r>
      <w:r w:rsidR="00FD6377" w:rsidRPr="007725A6">
        <w:rPr>
          <w:rFonts w:ascii="Arial" w:hAnsi="Arial" w:cs="Arial"/>
          <w:sz w:val="20"/>
          <w:szCs w:val="20"/>
        </w:rPr>
        <w:t>;</w:t>
      </w:r>
      <w:r w:rsidR="00D5463F">
        <w:rPr>
          <w:rFonts w:ascii="Arial" w:hAnsi="Arial" w:cs="Arial"/>
          <w:sz w:val="20"/>
          <w:szCs w:val="20"/>
        </w:rPr>
        <w:t xml:space="preserve"> and</w:t>
      </w:r>
    </w:p>
    <w:p w14:paraId="128A5D7F" w14:textId="77777777" w:rsidR="00536F3F" w:rsidRPr="007725A6" w:rsidRDefault="00536F3F" w:rsidP="00C63623">
      <w:pPr>
        <w:pStyle w:val="ListParagraph"/>
        <w:numPr>
          <w:ilvl w:val="0"/>
          <w:numId w:val="4"/>
        </w:numPr>
        <w:rPr>
          <w:rFonts w:ascii="Arial" w:hAnsi="Arial" w:cs="Arial"/>
          <w:sz w:val="20"/>
          <w:szCs w:val="20"/>
          <w:lang w:val="en"/>
        </w:rPr>
      </w:pPr>
      <w:r w:rsidRPr="007725A6">
        <w:rPr>
          <w:rFonts w:ascii="Arial" w:hAnsi="Arial" w:cs="Arial"/>
          <w:sz w:val="20"/>
          <w:szCs w:val="20"/>
        </w:rPr>
        <w:t xml:space="preserve">Subsequent to year-end, </w:t>
      </w:r>
      <w:r w:rsidR="0010746A" w:rsidRPr="007725A6">
        <w:rPr>
          <w:rFonts w:ascii="Arial" w:hAnsi="Arial" w:cs="Arial"/>
          <w:sz w:val="20"/>
          <w:szCs w:val="20"/>
        </w:rPr>
        <w:t>successfully acquired</w:t>
      </w:r>
      <w:r w:rsidRPr="007725A6">
        <w:rPr>
          <w:rFonts w:ascii="Arial" w:hAnsi="Arial" w:cs="Arial"/>
          <w:sz w:val="20"/>
          <w:szCs w:val="20"/>
        </w:rPr>
        <w:t xml:space="preserve"> Colorado and Arizona-based MedEval Clinics LLC</w:t>
      </w:r>
      <w:r w:rsidR="00FD6377" w:rsidRPr="007725A6">
        <w:rPr>
          <w:rFonts w:ascii="Arial" w:hAnsi="Arial" w:cs="Arial"/>
          <w:sz w:val="20"/>
          <w:szCs w:val="20"/>
        </w:rPr>
        <w:t>.</w:t>
      </w:r>
    </w:p>
    <w:p w14:paraId="61319159" w14:textId="77777777" w:rsidR="00536F3F" w:rsidRDefault="00536F3F" w:rsidP="00536F3F">
      <w:pPr>
        <w:rPr>
          <w:rFonts w:ascii="Arial" w:hAnsi="Arial" w:cs="Arial"/>
          <w:sz w:val="20"/>
          <w:szCs w:val="20"/>
          <w:lang w:val="en"/>
        </w:rPr>
      </w:pPr>
      <w:r w:rsidRPr="00CA567E">
        <w:rPr>
          <w:rFonts w:ascii="Arial" w:hAnsi="Arial" w:cs="Arial"/>
          <w:b/>
          <w:i/>
          <w:sz w:val="20"/>
          <w:szCs w:val="20"/>
          <w:lang w:val="en"/>
        </w:rPr>
        <w:t>Technology</w:t>
      </w:r>
      <w:r w:rsidRPr="00CA567E">
        <w:rPr>
          <w:rFonts w:ascii="Arial" w:hAnsi="Arial" w:cs="Arial"/>
          <w:sz w:val="20"/>
          <w:szCs w:val="20"/>
          <w:lang w:val="en"/>
        </w:rPr>
        <w:t xml:space="preserve">: CB2 has developed and deployed its proprietary cannabis-specific Electronic Health Record (EHR) technology platform to standardize the patient and clinical workflows within its clinics ensuring valid and structured </w:t>
      </w:r>
      <w:r w:rsidR="00B605D2" w:rsidRPr="00CA567E">
        <w:rPr>
          <w:rFonts w:ascii="Arial" w:hAnsi="Arial" w:cs="Arial"/>
          <w:sz w:val="20"/>
          <w:szCs w:val="20"/>
          <w:lang w:val="en"/>
        </w:rPr>
        <w:t>anonymized</w:t>
      </w:r>
      <w:r w:rsidRPr="00CA567E">
        <w:rPr>
          <w:rFonts w:ascii="Arial" w:hAnsi="Arial" w:cs="Arial"/>
          <w:sz w:val="20"/>
          <w:szCs w:val="20"/>
          <w:lang w:val="en"/>
        </w:rPr>
        <w:t xml:space="preserve"> and aggregate data collection protocols to support Real-World Data collection. </w:t>
      </w:r>
    </w:p>
    <w:p w14:paraId="45A1F6B9" w14:textId="77777777" w:rsidR="00536F3F" w:rsidRDefault="00536F3F" w:rsidP="00A079D6">
      <w:pPr>
        <w:pStyle w:val="ListParagraph"/>
        <w:numPr>
          <w:ilvl w:val="0"/>
          <w:numId w:val="2"/>
        </w:numPr>
        <w:rPr>
          <w:rFonts w:ascii="Arial" w:hAnsi="Arial" w:cs="Arial"/>
          <w:sz w:val="20"/>
        </w:rPr>
      </w:pPr>
      <w:r w:rsidRPr="00DE231A">
        <w:rPr>
          <w:rFonts w:ascii="Arial" w:hAnsi="Arial" w:cs="Arial"/>
          <w:sz w:val="20"/>
        </w:rPr>
        <w:t>Successful integration of</w:t>
      </w:r>
      <w:r>
        <w:rPr>
          <w:rFonts w:ascii="Arial" w:hAnsi="Arial" w:cs="Arial"/>
          <w:sz w:val="20"/>
        </w:rPr>
        <w:t xml:space="preserve"> proprietary</w:t>
      </w:r>
      <w:r w:rsidRPr="00DE231A">
        <w:rPr>
          <w:rFonts w:ascii="Arial" w:hAnsi="Arial" w:cs="Arial"/>
          <w:sz w:val="20"/>
        </w:rPr>
        <w:t xml:space="preserve"> Sail </w:t>
      </w:r>
      <w:r>
        <w:rPr>
          <w:rFonts w:ascii="Arial" w:hAnsi="Arial" w:cs="Arial"/>
          <w:sz w:val="20"/>
        </w:rPr>
        <w:t>EHR</w:t>
      </w:r>
      <w:r w:rsidRPr="00DE231A">
        <w:rPr>
          <w:rFonts w:ascii="Arial" w:hAnsi="Arial" w:cs="Arial"/>
          <w:sz w:val="20"/>
        </w:rPr>
        <w:t xml:space="preserve"> platform into </w:t>
      </w:r>
      <w:r w:rsidR="00A079D6">
        <w:rPr>
          <w:rFonts w:ascii="Arial" w:hAnsi="Arial" w:cs="Arial"/>
          <w:sz w:val="20"/>
        </w:rPr>
        <w:t>Relaxed Clarity and MedEval Clinics LLC</w:t>
      </w:r>
      <w:r w:rsidR="00FD6377">
        <w:rPr>
          <w:rFonts w:ascii="Arial" w:hAnsi="Arial" w:cs="Arial"/>
          <w:sz w:val="20"/>
        </w:rPr>
        <w:t>;</w:t>
      </w:r>
      <w:r w:rsidR="00D5463F">
        <w:rPr>
          <w:rFonts w:ascii="Arial" w:hAnsi="Arial" w:cs="Arial"/>
          <w:sz w:val="20"/>
        </w:rPr>
        <w:t xml:space="preserve"> and</w:t>
      </w:r>
    </w:p>
    <w:p w14:paraId="7182E68E" w14:textId="77777777" w:rsidR="00536F3F" w:rsidRDefault="00A079D6" w:rsidP="00536F3F">
      <w:pPr>
        <w:pStyle w:val="ListParagraph"/>
        <w:numPr>
          <w:ilvl w:val="0"/>
          <w:numId w:val="2"/>
        </w:numPr>
        <w:rPr>
          <w:rFonts w:ascii="Arial" w:hAnsi="Arial" w:cs="Arial"/>
          <w:sz w:val="20"/>
        </w:rPr>
      </w:pPr>
      <w:r>
        <w:rPr>
          <w:rFonts w:ascii="Arial" w:hAnsi="Arial" w:cs="Arial"/>
          <w:sz w:val="20"/>
        </w:rPr>
        <w:t>Began i</w:t>
      </w:r>
      <w:r w:rsidR="00536F3F">
        <w:rPr>
          <w:rFonts w:ascii="Arial" w:hAnsi="Arial" w:cs="Arial"/>
          <w:sz w:val="20"/>
        </w:rPr>
        <w:t>ntegration</w:t>
      </w:r>
      <w:r>
        <w:rPr>
          <w:rFonts w:ascii="Arial" w:hAnsi="Arial" w:cs="Arial"/>
          <w:sz w:val="20"/>
        </w:rPr>
        <w:t xml:space="preserve"> </w:t>
      </w:r>
      <w:r w:rsidR="00536F3F">
        <w:rPr>
          <w:rFonts w:ascii="Arial" w:hAnsi="Arial" w:cs="Arial"/>
          <w:sz w:val="20"/>
        </w:rPr>
        <w:t>with large EMR platform, Premier Health Group to provide access of CDS tool to nearly 5,000 physicians</w:t>
      </w:r>
      <w:r w:rsidR="00FD6377">
        <w:rPr>
          <w:rFonts w:ascii="Arial" w:hAnsi="Arial" w:cs="Arial"/>
          <w:sz w:val="20"/>
        </w:rPr>
        <w:t>.</w:t>
      </w:r>
    </w:p>
    <w:p w14:paraId="45D3BD23" w14:textId="77777777" w:rsidR="00536F3F" w:rsidRPr="00CA567E" w:rsidRDefault="00D43857">
      <w:pPr>
        <w:rPr>
          <w:rFonts w:ascii="Arial" w:hAnsi="Arial" w:cs="Arial"/>
          <w:sz w:val="20"/>
          <w:szCs w:val="20"/>
          <w:lang w:val="en"/>
        </w:rPr>
      </w:pPr>
      <w:r>
        <w:rPr>
          <w:rFonts w:ascii="Arial" w:hAnsi="Arial" w:cs="Arial"/>
          <w:b/>
          <w:i/>
          <w:sz w:val="20"/>
          <w:szCs w:val="20"/>
          <w:lang w:val="en"/>
        </w:rPr>
        <w:t>Data Insights</w:t>
      </w:r>
      <w:r w:rsidR="00536F3F" w:rsidRPr="00CA567E">
        <w:rPr>
          <w:rFonts w:ascii="Arial" w:hAnsi="Arial" w:cs="Arial"/>
          <w:sz w:val="20"/>
          <w:szCs w:val="20"/>
          <w:lang w:val="en"/>
        </w:rPr>
        <w:t xml:space="preserve">: Applies analytical, machine learning and artificial intelligence (AI) technologies to the data the Company generates to derive insights that support stakeholders within the Life Sciences industry including drug manufacturers, patients, doctors/HCPs, regulators and payors. </w:t>
      </w:r>
    </w:p>
    <w:p w14:paraId="670BC2C0" w14:textId="77777777" w:rsidR="00536F3F" w:rsidRPr="00A079D6" w:rsidRDefault="00536F3F" w:rsidP="00536F3F">
      <w:pPr>
        <w:pStyle w:val="ListParagraph"/>
        <w:numPr>
          <w:ilvl w:val="0"/>
          <w:numId w:val="2"/>
        </w:numPr>
        <w:rPr>
          <w:rFonts w:ascii="Arial" w:hAnsi="Arial" w:cs="Arial"/>
          <w:i/>
          <w:sz w:val="20"/>
        </w:rPr>
      </w:pPr>
      <w:r>
        <w:rPr>
          <w:rFonts w:ascii="Arial" w:hAnsi="Arial" w:cs="Arial"/>
          <w:sz w:val="20"/>
        </w:rPr>
        <w:t>Artificial Intelligence expert, Dr. Randy Goebel joins CB2 Insights as Sr. Advisor to Data Insights Division</w:t>
      </w:r>
      <w:r w:rsidR="00FD6377">
        <w:rPr>
          <w:rFonts w:ascii="Arial" w:hAnsi="Arial" w:cs="Arial"/>
          <w:sz w:val="20"/>
        </w:rPr>
        <w:t>;</w:t>
      </w:r>
      <w:r w:rsidR="00D5463F">
        <w:rPr>
          <w:rFonts w:ascii="Arial" w:hAnsi="Arial" w:cs="Arial"/>
          <w:sz w:val="20"/>
        </w:rPr>
        <w:t xml:space="preserve"> and</w:t>
      </w:r>
    </w:p>
    <w:p w14:paraId="493B3430" w14:textId="77777777" w:rsidR="00A079D6" w:rsidRPr="003F1C69" w:rsidRDefault="009250C8" w:rsidP="00536F3F">
      <w:pPr>
        <w:pStyle w:val="ListParagraph"/>
        <w:numPr>
          <w:ilvl w:val="0"/>
          <w:numId w:val="2"/>
        </w:numPr>
        <w:rPr>
          <w:rFonts w:ascii="Arial" w:hAnsi="Arial" w:cs="Arial"/>
          <w:i/>
          <w:sz w:val="20"/>
        </w:rPr>
      </w:pPr>
      <w:r>
        <w:rPr>
          <w:rFonts w:ascii="Arial" w:hAnsi="Arial" w:cs="Arial"/>
          <w:sz w:val="20"/>
        </w:rPr>
        <w:t>Company engaged in successful exploratory</w:t>
      </w:r>
      <w:r w:rsidR="00A079D6">
        <w:rPr>
          <w:rFonts w:ascii="Arial" w:hAnsi="Arial" w:cs="Arial"/>
          <w:sz w:val="20"/>
        </w:rPr>
        <w:t xml:space="preserve"> sessions with </w:t>
      </w:r>
      <w:r>
        <w:rPr>
          <w:rFonts w:ascii="Arial" w:hAnsi="Arial" w:cs="Arial"/>
          <w:sz w:val="20"/>
        </w:rPr>
        <w:t>international</w:t>
      </w:r>
      <w:r w:rsidR="00A079D6">
        <w:rPr>
          <w:rFonts w:ascii="Arial" w:hAnsi="Arial" w:cs="Arial"/>
          <w:sz w:val="20"/>
        </w:rPr>
        <w:t xml:space="preserve"> regulatory bodies, pharmaceutical companies and insurance firms to discuss Real World Evidence support for issues related to cannabis-based drug development, regulatory frameworks and drug spend</w:t>
      </w:r>
      <w:r w:rsidR="00D5463F">
        <w:rPr>
          <w:rFonts w:ascii="Arial" w:hAnsi="Arial" w:cs="Arial"/>
          <w:sz w:val="20"/>
        </w:rPr>
        <w:t>.</w:t>
      </w:r>
    </w:p>
    <w:tbl>
      <w:tblPr>
        <w:tblStyle w:val="TableGrid"/>
        <w:tblW w:w="10155" w:type="dxa"/>
        <w:tblLook w:val="04A0" w:firstRow="1" w:lastRow="0" w:firstColumn="1" w:lastColumn="0" w:noHBand="0" w:noVBand="1"/>
      </w:tblPr>
      <w:tblGrid>
        <w:gridCol w:w="3539"/>
        <w:gridCol w:w="3119"/>
        <w:gridCol w:w="3497"/>
      </w:tblGrid>
      <w:tr w:rsidR="00E10530" w:rsidRPr="003238A2" w14:paraId="084A9C0C" w14:textId="77777777" w:rsidTr="00DB410D">
        <w:trPr>
          <w:trHeight w:val="359"/>
        </w:trPr>
        <w:tc>
          <w:tcPr>
            <w:tcW w:w="3539" w:type="dxa"/>
            <w:vAlign w:val="center"/>
          </w:tcPr>
          <w:p w14:paraId="7F4DF99D" w14:textId="77777777" w:rsidR="00E10530" w:rsidRPr="009A3E22" w:rsidRDefault="00E10530" w:rsidP="00D82775">
            <w:pPr>
              <w:pStyle w:val="NormalWeb"/>
              <w:rPr>
                <w:rFonts w:ascii="Arial" w:hAnsi="Arial" w:cs="Arial"/>
                <w:b/>
                <w:sz w:val="20"/>
              </w:rPr>
            </w:pPr>
          </w:p>
        </w:tc>
        <w:tc>
          <w:tcPr>
            <w:tcW w:w="3119" w:type="dxa"/>
            <w:vAlign w:val="center"/>
          </w:tcPr>
          <w:p w14:paraId="6D6DF69E" w14:textId="77777777" w:rsidR="00E10530" w:rsidRPr="009A3E22" w:rsidRDefault="00D82775" w:rsidP="00D82775">
            <w:pPr>
              <w:pStyle w:val="NormalWeb"/>
              <w:spacing w:before="0" w:beforeAutospacing="0" w:after="0" w:afterAutospacing="0"/>
              <w:rPr>
                <w:rFonts w:ascii="Arial" w:hAnsi="Arial" w:cs="Arial"/>
                <w:b/>
                <w:sz w:val="20"/>
              </w:rPr>
            </w:pPr>
            <w:r w:rsidRPr="009A3E22">
              <w:rPr>
                <w:rFonts w:ascii="Arial" w:hAnsi="Arial" w:cs="Arial"/>
                <w:b/>
                <w:sz w:val="20"/>
              </w:rPr>
              <w:t>Quarter ended March 31</w:t>
            </w:r>
            <w:r w:rsidR="00E10530" w:rsidRPr="009A3E22">
              <w:rPr>
                <w:rFonts w:ascii="Arial" w:hAnsi="Arial" w:cs="Arial"/>
                <w:b/>
                <w:sz w:val="20"/>
              </w:rPr>
              <w:t>, 201</w:t>
            </w:r>
            <w:r w:rsidRPr="009A3E22">
              <w:rPr>
                <w:rFonts w:ascii="Arial" w:hAnsi="Arial" w:cs="Arial"/>
                <w:b/>
                <w:sz w:val="20"/>
              </w:rPr>
              <w:t>9</w:t>
            </w:r>
          </w:p>
        </w:tc>
        <w:tc>
          <w:tcPr>
            <w:tcW w:w="3497" w:type="dxa"/>
            <w:vAlign w:val="center"/>
          </w:tcPr>
          <w:p w14:paraId="2E9AEB88" w14:textId="77777777" w:rsidR="00E10530" w:rsidRPr="009A3E22" w:rsidRDefault="00D82775" w:rsidP="00D82775">
            <w:pPr>
              <w:pStyle w:val="NormalWeb"/>
              <w:spacing w:before="0" w:beforeAutospacing="0" w:after="0" w:afterAutospacing="0"/>
              <w:rPr>
                <w:rFonts w:ascii="Arial" w:hAnsi="Arial" w:cs="Arial"/>
                <w:b/>
                <w:sz w:val="20"/>
              </w:rPr>
            </w:pPr>
            <w:r w:rsidRPr="009A3E22">
              <w:rPr>
                <w:rFonts w:ascii="Arial" w:hAnsi="Arial" w:cs="Arial"/>
                <w:b/>
                <w:sz w:val="20"/>
              </w:rPr>
              <w:t>Quarter</w:t>
            </w:r>
            <w:r w:rsidR="00E10530" w:rsidRPr="009A3E22">
              <w:rPr>
                <w:rFonts w:ascii="Arial" w:hAnsi="Arial" w:cs="Arial"/>
                <w:b/>
                <w:sz w:val="20"/>
              </w:rPr>
              <w:t xml:space="preserve"> ended</w:t>
            </w:r>
            <w:r w:rsidRPr="009A3E22">
              <w:rPr>
                <w:rFonts w:ascii="Arial" w:hAnsi="Arial" w:cs="Arial"/>
                <w:b/>
                <w:sz w:val="20"/>
              </w:rPr>
              <w:t xml:space="preserve"> </w:t>
            </w:r>
            <w:r w:rsidR="005F66E6">
              <w:rPr>
                <w:rFonts w:ascii="Arial" w:hAnsi="Arial" w:cs="Arial"/>
                <w:b/>
                <w:sz w:val="20"/>
              </w:rPr>
              <w:t>December</w:t>
            </w:r>
            <w:r w:rsidR="00E10530" w:rsidRPr="009A3E22">
              <w:rPr>
                <w:rFonts w:ascii="Arial" w:hAnsi="Arial" w:cs="Arial"/>
                <w:b/>
                <w:sz w:val="20"/>
              </w:rPr>
              <w:t xml:space="preserve"> 31, 201</w:t>
            </w:r>
            <w:r w:rsidRPr="009A3E22">
              <w:rPr>
                <w:rFonts w:ascii="Arial" w:hAnsi="Arial" w:cs="Arial"/>
                <w:b/>
                <w:sz w:val="20"/>
              </w:rPr>
              <w:t>8</w:t>
            </w:r>
          </w:p>
        </w:tc>
      </w:tr>
      <w:tr w:rsidR="00E10530" w:rsidRPr="003238A2" w14:paraId="57BFC5FC" w14:textId="77777777" w:rsidTr="00DB410D">
        <w:trPr>
          <w:trHeight w:val="179"/>
        </w:trPr>
        <w:tc>
          <w:tcPr>
            <w:tcW w:w="3539" w:type="dxa"/>
            <w:vAlign w:val="center"/>
          </w:tcPr>
          <w:p w14:paraId="31513175" w14:textId="77777777" w:rsidR="00E10530" w:rsidRPr="009A3E22" w:rsidRDefault="00E10530" w:rsidP="00D82775">
            <w:pPr>
              <w:pStyle w:val="NormalWeb"/>
              <w:rPr>
                <w:rFonts w:ascii="Arial" w:hAnsi="Arial" w:cs="Arial"/>
                <w:sz w:val="20"/>
              </w:rPr>
            </w:pPr>
            <w:r w:rsidRPr="009A3E22">
              <w:rPr>
                <w:rFonts w:ascii="Arial" w:hAnsi="Arial" w:cs="Arial"/>
                <w:sz w:val="20"/>
              </w:rPr>
              <w:t>Revenue</w:t>
            </w:r>
          </w:p>
        </w:tc>
        <w:tc>
          <w:tcPr>
            <w:tcW w:w="3119" w:type="dxa"/>
            <w:vAlign w:val="center"/>
          </w:tcPr>
          <w:p w14:paraId="12E318B8" w14:textId="77777777" w:rsidR="00E10530" w:rsidRPr="009A3E22" w:rsidRDefault="00E10530" w:rsidP="00D82775">
            <w:pPr>
              <w:pStyle w:val="NormalWeb"/>
              <w:rPr>
                <w:rFonts w:ascii="Arial" w:hAnsi="Arial" w:cs="Arial"/>
                <w:sz w:val="20"/>
              </w:rPr>
            </w:pPr>
            <w:r w:rsidRPr="009A3E22">
              <w:rPr>
                <w:rFonts w:ascii="Arial" w:hAnsi="Arial" w:cs="Arial"/>
                <w:sz w:val="20"/>
              </w:rPr>
              <w:t>$</w:t>
            </w:r>
            <w:r w:rsidR="00D82775" w:rsidRPr="009A3E22">
              <w:rPr>
                <w:rFonts w:ascii="Arial" w:hAnsi="Arial" w:cs="Arial"/>
                <w:sz w:val="20"/>
              </w:rPr>
              <w:t>2</w:t>
            </w:r>
            <w:r w:rsidRPr="009A3E22">
              <w:rPr>
                <w:rFonts w:ascii="Arial" w:hAnsi="Arial" w:cs="Arial"/>
                <w:sz w:val="20"/>
              </w:rPr>
              <w:t>,</w:t>
            </w:r>
            <w:r w:rsidR="00D82775" w:rsidRPr="009A3E22">
              <w:rPr>
                <w:rFonts w:ascii="Arial" w:hAnsi="Arial" w:cs="Arial"/>
                <w:sz w:val="20"/>
              </w:rPr>
              <w:t>849</w:t>
            </w:r>
            <w:r w:rsidRPr="009A3E22">
              <w:rPr>
                <w:rFonts w:ascii="Arial" w:hAnsi="Arial" w:cs="Arial"/>
                <w:sz w:val="20"/>
              </w:rPr>
              <w:t>,</w:t>
            </w:r>
            <w:r w:rsidR="00D82775" w:rsidRPr="009A3E22">
              <w:rPr>
                <w:rFonts w:ascii="Arial" w:hAnsi="Arial" w:cs="Arial"/>
                <w:sz w:val="20"/>
              </w:rPr>
              <w:t>811</w:t>
            </w:r>
          </w:p>
        </w:tc>
        <w:tc>
          <w:tcPr>
            <w:tcW w:w="3497" w:type="dxa"/>
            <w:vAlign w:val="center"/>
          </w:tcPr>
          <w:p w14:paraId="2D37FBB3" w14:textId="77777777" w:rsidR="00E10530" w:rsidRPr="00D82775" w:rsidRDefault="00E10530" w:rsidP="00D82775">
            <w:pPr>
              <w:pStyle w:val="NormalWeb"/>
              <w:rPr>
                <w:rFonts w:ascii="Arial" w:hAnsi="Arial" w:cs="Arial"/>
                <w:sz w:val="20"/>
              </w:rPr>
            </w:pPr>
            <w:r w:rsidRPr="00D82775">
              <w:rPr>
                <w:rFonts w:ascii="Arial" w:hAnsi="Arial" w:cs="Arial"/>
                <w:sz w:val="20"/>
              </w:rPr>
              <w:t>$</w:t>
            </w:r>
            <w:r w:rsidR="00D82775" w:rsidRPr="00D82775">
              <w:rPr>
                <w:rFonts w:ascii="Arial" w:hAnsi="Arial" w:cs="Arial"/>
                <w:sz w:val="20"/>
              </w:rPr>
              <w:t>2,449,020</w:t>
            </w:r>
          </w:p>
        </w:tc>
      </w:tr>
      <w:tr w:rsidR="00E10530" w:rsidRPr="003238A2" w14:paraId="20BA5924" w14:textId="77777777" w:rsidTr="00DB410D">
        <w:trPr>
          <w:trHeight w:val="179"/>
        </w:trPr>
        <w:tc>
          <w:tcPr>
            <w:tcW w:w="3539" w:type="dxa"/>
            <w:vAlign w:val="center"/>
          </w:tcPr>
          <w:p w14:paraId="731B4B15" w14:textId="77777777" w:rsidR="00E10530" w:rsidRPr="009A3E22" w:rsidRDefault="00E10530" w:rsidP="00D82775">
            <w:pPr>
              <w:pStyle w:val="NormalWeb"/>
              <w:rPr>
                <w:rFonts w:ascii="Arial" w:hAnsi="Arial" w:cs="Arial"/>
                <w:sz w:val="20"/>
              </w:rPr>
            </w:pPr>
            <w:r w:rsidRPr="009A3E22">
              <w:rPr>
                <w:rFonts w:ascii="Arial" w:hAnsi="Arial" w:cs="Arial"/>
                <w:sz w:val="20"/>
              </w:rPr>
              <w:t>Cost of sales</w:t>
            </w:r>
          </w:p>
        </w:tc>
        <w:tc>
          <w:tcPr>
            <w:tcW w:w="3119" w:type="dxa"/>
            <w:vAlign w:val="center"/>
          </w:tcPr>
          <w:p w14:paraId="791C4C1A" w14:textId="77777777" w:rsidR="00E10530" w:rsidRPr="00796863" w:rsidRDefault="00E10530" w:rsidP="00D82775">
            <w:pPr>
              <w:pStyle w:val="NormalWeb"/>
              <w:rPr>
                <w:rFonts w:ascii="Arial" w:hAnsi="Arial" w:cs="Arial"/>
                <w:sz w:val="20"/>
              </w:rPr>
            </w:pPr>
            <w:r w:rsidRPr="00796863">
              <w:rPr>
                <w:rFonts w:ascii="Arial" w:hAnsi="Arial" w:cs="Arial"/>
                <w:sz w:val="20"/>
              </w:rPr>
              <w:t>$</w:t>
            </w:r>
            <w:r w:rsidR="00D82775" w:rsidRPr="00796863">
              <w:rPr>
                <w:rFonts w:ascii="Arial" w:hAnsi="Arial" w:cs="Arial"/>
                <w:sz w:val="20"/>
              </w:rPr>
              <w:t>655</w:t>
            </w:r>
            <w:r w:rsidRPr="00796863">
              <w:rPr>
                <w:rFonts w:ascii="Arial" w:hAnsi="Arial" w:cs="Arial"/>
                <w:sz w:val="20"/>
              </w:rPr>
              <w:t>,</w:t>
            </w:r>
            <w:r w:rsidR="00D82775" w:rsidRPr="00796863">
              <w:rPr>
                <w:rFonts w:ascii="Arial" w:hAnsi="Arial" w:cs="Arial"/>
                <w:sz w:val="20"/>
              </w:rPr>
              <w:t>688</w:t>
            </w:r>
          </w:p>
        </w:tc>
        <w:tc>
          <w:tcPr>
            <w:tcW w:w="3497" w:type="dxa"/>
            <w:vAlign w:val="center"/>
          </w:tcPr>
          <w:p w14:paraId="4DA07BCD" w14:textId="77777777" w:rsidR="00E10530" w:rsidRPr="00796863" w:rsidRDefault="00E10530" w:rsidP="00D82775">
            <w:pPr>
              <w:pStyle w:val="NormalWeb"/>
              <w:rPr>
                <w:rFonts w:ascii="Arial" w:hAnsi="Arial" w:cs="Arial"/>
                <w:sz w:val="20"/>
              </w:rPr>
            </w:pPr>
            <w:r w:rsidRPr="00796863">
              <w:rPr>
                <w:rFonts w:ascii="Arial" w:hAnsi="Arial" w:cs="Arial"/>
                <w:sz w:val="20"/>
              </w:rPr>
              <w:t>$</w:t>
            </w:r>
            <w:r w:rsidR="00D82775" w:rsidRPr="00796863">
              <w:rPr>
                <w:rFonts w:ascii="Arial" w:hAnsi="Arial" w:cs="Arial"/>
                <w:sz w:val="20"/>
              </w:rPr>
              <w:t>747,496</w:t>
            </w:r>
          </w:p>
        </w:tc>
      </w:tr>
      <w:tr w:rsidR="00E10530" w:rsidRPr="003238A2" w14:paraId="5676585A" w14:textId="77777777" w:rsidTr="00DB410D">
        <w:trPr>
          <w:trHeight w:val="179"/>
        </w:trPr>
        <w:tc>
          <w:tcPr>
            <w:tcW w:w="3539" w:type="dxa"/>
            <w:vAlign w:val="center"/>
          </w:tcPr>
          <w:p w14:paraId="27FA829C" w14:textId="77777777" w:rsidR="00E10530" w:rsidRPr="009A3E22" w:rsidRDefault="00E10530" w:rsidP="00D82775">
            <w:pPr>
              <w:pStyle w:val="NormalWeb"/>
              <w:rPr>
                <w:rFonts w:ascii="Arial" w:hAnsi="Arial" w:cs="Arial"/>
                <w:sz w:val="20"/>
              </w:rPr>
            </w:pPr>
            <w:r w:rsidRPr="009A3E22">
              <w:rPr>
                <w:rFonts w:ascii="Arial" w:hAnsi="Arial" w:cs="Arial"/>
                <w:sz w:val="20"/>
              </w:rPr>
              <w:t>Gross Profit</w:t>
            </w:r>
          </w:p>
        </w:tc>
        <w:tc>
          <w:tcPr>
            <w:tcW w:w="3119" w:type="dxa"/>
            <w:vAlign w:val="center"/>
          </w:tcPr>
          <w:p w14:paraId="50716DEB" w14:textId="77777777" w:rsidR="00E10530" w:rsidRPr="00796863" w:rsidRDefault="00E10530" w:rsidP="00D82775">
            <w:pPr>
              <w:pStyle w:val="NormalWeb"/>
              <w:rPr>
                <w:rFonts w:ascii="Arial" w:hAnsi="Arial" w:cs="Arial"/>
                <w:sz w:val="20"/>
              </w:rPr>
            </w:pPr>
            <w:r w:rsidRPr="00796863">
              <w:rPr>
                <w:rFonts w:ascii="Arial" w:hAnsi="Arial" w:cs="Arial"/>
                <w:sz w:val="20"/>
              </w:rPr>
              <w:t>$</w:t>
            </w:r>
            <w:r w:rsidR="00D82775" w:rsidRPr="00796863">
              <w:rPr>
                <w:rFonts w:ascii="Arial" w:hAnsi="Arial" w:cs="Arial"/>
                <w:sz w:val="20"/>
              </w:rPr>
              <w:t>2</w:t>
            </w:r>
            <w:r w:rsidRPr="00796863">
              <w:rPr>
                <w:rFonts w:ascii="Arial" w:hAnsi="Arial" w:cs="Arial"/>
                <w:sz w:val="20"/>
              </w:rPr>
              <w:t>,</w:t>
            </w:r>
            <w:r w:rsidR="00D82775" w:rsidRPr="00796863">
              <w:rPr>
                <w:rFonts w:ascii="Arial" w:hAnsi="Arial" w:cs="Arial"/>
                <w:sz w:val="20"/>
              </w:rPr>
              <w:t>194</w:t>
            </w:r>
            <w:r w:rsidRPr="00796863">
              <w:rPr>
                <w:rFonts w:ascii="Arial" w:hAnsi="Arial" w:cs="Arial"/>
                <w:sz w:val="20"/>
              </w:rPr>
              <w:t>,</w:t>
            </w:r>
            <w:r w:rsidR="00D82775" w:rsidRPr="00796863">
              <w:rPr>
                <w:rFonts w:ascii="Arial" w:hAnsi="Arial" w:cs="Arial"/>
                <w:sz w:val="20"/>
              </w:rPr>
              <w:t>123</w:t>
            </w:r>
          </w:p>
        </w:tc>
        <w:tc>
          <w:tcPr>
            <w:tcW w:w="3497" w:type="dxa"/>
            <w:vAlign w:val="center"/>
          </w:tcPr>
          <w:p w14:paraId="2A92A2A5" w14:textId="77777777" w:rsidR="00E10530" w:rsidRPr="00796863" w:rsidRDefault="00E10530" w:rsidP="00D82775">
            <w:pPr>
              <w:pStyle w:val="NormalWeb"/>
              <w:rPr>
                <w:rFonts w:ascii="Arial" w:hAnsi="Arial" w:cs="Arial"/>
                <w:sz w:val="20"/>
              </w:rPr>
            </w:pPr>
            <w:r w:rsidRPr="00796863">
              <w:rPr>
                <w:rFonts w:ascii="Arial" w:hAnsi="Arial" w:cs="Arial"/>
                <w:sz w:val="20"/>
              </w:rPr>
              <w:t>$</w:t>
            </w:r>
            <w:r w:rsidR="00D82775" w:rsidRPr="00796863">
              <w:rPr>
                <w:rFonts w:ascii="Arial" w:hAnsi="Arial" w:cs="Arial"/>
                <w:sz w:val="20"/>
              </w:rPr>
              <w:t>1,701,524</w:t>
            </w:r>
          </w:p>
        </w:tc>
      </w:tr>
      <w:tr w:rsidR="00E10530" w:rsidRPr="003238A2" w14:paraId="527ECB72" w14:textId="77777777" w:rsidTr="00DB410D">
        <w:trPr>
          <w:trHeight w:val="179"/>
        </w:trPr>
        <w:tc>
          <w:tcPr>
            <w:tcW w:w="3539" w:type="dxa"/>
            <w:vAlign w:val="center"/>
          </w:tcPr>
          <w:p w14:paraId="15284851" w14:textId="77777777" w:rsidR="00E10530" w:rsidRPr="009A3E22" w:rsidRDefault="00E10530" w:rsidP="00D82775">
            <w:pPr>
              <w:pStyle w:val="NormalWeb"/>
              <w:rPr>
                <w:rFonts w:ascii="Arial" w:hAnsi="Arial" w:cs="Arial"/>
                <w:sz w:val="20"/>
              </w:rPr>
            </w:pPr>
            <w:r w:rsidRPr="009A3E22">
              <w:rPr>
                <w:rFonts w:ascii="Arial" w:hAnsi="Arial" w:cs="Arial"/>
                <w:sz w:val="20"/>
              </w:rPr>
              <w:t>Gross Margin</w:t>
            </w:r>
          </w:p>
        </w:tc>
        <w:tc>
          <w:tcPr>
            <w:tcW w:w="3119" w:type="dxa"/>
            <w:vAlign w:val="center"/>
          </w:tcPr>
          <w:p w14:paraId="456B1A2D" w14:textId="77777777" w:rsidR="00E10530" w:rsidRPr="00796863" w:rsidRDefault="009A3E22" w:rsidP="00D82775">
            <w:pPr>
              <w:pStyle w:val="NormalWeb"/>
              <w:rPr>
                <w:rFonts w:ascii="Arial" w:hAnsi="Arial" w:cs="Arial"/>
                <w:sz w:val="20"/>
              </w:rPr>
            </w:pPr>
            <w:r w:rsidRPr="00796863">
              <w:rPr>
                <w:rFonts w:ascii="Arial" w:hAnsi="Arial" w:cs="Arial"/>
                <w:sz w:val="20"/>
              </w:rPr>
              <w:t>76</w:t>
            </w:r>
            <w:r w:rsidR="00E10530" w:rsidRPr="00796863">
              <w:rPr>
                <w:rFonts w:ascii="Arial" w:hAnsi="Arial" w:cs="Arial"/>
                <w:sz w:val="20"/>
              </w:rPr>
              <w:t>.</w:t>
            </w:r>
            <w:r w:rsidRPr="00796863">
              <w:rPr>
                <w:rFonts w:ascii="Arial" w:hAnsi="Arial" w:cs="Arial"/>
                <w:sz w:val="20"/>
              </w:rPr>
              <w:t>9</w:t>
            </w:r>
            <w:r w:rsidR="00E10530" w:rsidRPr="00796863">
              <w:rPr>
                <w:rFonts w:ascii="Arial" w:hAnsi="Arial" w:cs="Arial"/>
                <w:sz w:val="20"/>
              </w:rPr>
              <w:t>%</w:t>
            </w:r>
          </w:p>
        </w:tc>
        <w:tc>
          <w:tcPr>
            <w:tcW w:w="3497" w:type="dxa"/>
            <w:vAlign w:val="center"/>
          </w:tcPr>
          <w:p w14:paraId="38D80684" w14:textId="77777777" w:rsidR="00E10530" w:rsidRPr="00796863" w:rsidRDefault="00D82775" w:rsidP="00D82775">
            <w:pPr>
              <w:pStyle w:val="NormalWeb"/>
              <w:rPr>
                <w:rFonts w:ascii="Arial" w:hAnsi="Arial" w:cs="Arial"/>
                <w:sz w:val="20"/>
              </w:rPr>
            </w:pPr>
            <w:r w:rsidRPr="00796863">
              <w:rPr>
                <w:rFonts w:ascii="Arial" w:hAnsi="Arial" w:cs="Arial"/>
                <w:sz w:val="20"/>
              </w:rPr>
              <w:t>69</w:t>
            </w:r>
            <w:r w:rsidR="00E10530" w:rsidRPr="00796863">
              <w:rPr>
                <w:rFonts w:ascii="Arial" w:hAnsi="Arial" w:cs="Arial"/>
                <w:sz w:val="20"/>
              </w:rPr>
              <w:t>.</w:t>
            </w:r>
            <w:r w:rsidRPr="00796863">
              <w:rPr>
                <w:rFonts w:ascii="Arial" w:hAnsi="Arial" w:cs="Arial"/>
                <w:sz w:val="20"/>
              </w:rPr>
              <w:t>5</w:t>
            </w:r>
            <w:r w:rsidR="00E10530" w:rsidRPr="00796863">
              <w:rPr>
                <w:rFonts w:ascii="Arial" w:hAnsi="Arial" w:cs="Arial"/>
                <w:sz w:val="20"/>
              </w:rPr>
              <w:t>%</w:t>
            </w:r>
          </w:p>
        </w:tc>
      </w:tr>
      <w:tr w:rsidR="00E10530" w:rsidRPr="003238A2" w14:paraId="65E5D506" w14:textId="77777777" w:rsidTr="00DB410D">
        <w:trPr>
          <w:trHeight w:val="179"/>
        </w:trPr>
        <w:tc>
          <w:tcPr>
            <w:tcW w:w="3539" w:type="dxa"/>
            <w:vAlign w:val="center"/>
          </w:tcPr>
          <w:p w14:paraId="654FB7EB" w14:textId="77777777" w:rsidR="00E10530" w:rsidRPr="005F53E3" w:rsidRDefault="00E10530" w:rsidP="00D82775">
            <w:pPr>
              <w:pStyle w:val="NormalWeb"/>
              <w:rPr>
                <w:rFonts w:ascii="Arial" w:hAnsi="Arial" w:cs="Arial"/>
                <w:sz w:val="20"/>
              </w:rPr>
            </w:pPr>
            <w:r w:rsidRPr="005F53E3">
              <w:rPr>
                <w:rFonts w:ascii="Arial" w:hAnsi="Arial" w:cs="Arial"/>
                <w:sz w:val="20"/>
              </w:rPr>
              <w:t>Adjusted EBITDA</w:t>
            </w:r>
            <w:r w:rsidRPr="005F53E3">
              <w:rPr>
                <w:rStyle w:val="FootnoteReference"/>
                <w:rFonts w:ascii="Arial" w:hAnsi="Arial" w:cs="Arial"/>
                <w:sz w:val="20"/>
              </w:rPr>
              <w:footnoteReference w:customMarkFollows="1" w:id="2"/>
              <w:t>1</w:t>
            </w:r>
          </w:p>
        </w:tc>
        <w:tc>
          <w:tcPr>
            <w:tcW w:w="3119" w:type="dxa"/>
            <w:vAlign w:val="center"/>
          </w:tcPr>
          <w:p w14:paraId="3E4F949A" w14:textId="77777777" w:rsidR="00E10530" w:rsidRPr="00796863" w:rsidRDefault="00E10530" w:rsidP="00D82775">
            <w:pPr>
              <w:pStyle w:val="NormalWeb"/>
              <w:rPr>
                <w:rFonts w:ascii="Arial" w:hAnsi="Arial" w:cs="Arial"/>
                <w:sz w:val="20"/>
              </w:rPr>
            </w:pPr>
            <w:r w:rsidRPr="00796863">
              <w:rPr>
                <w:rFonts w:ascii="Arial" w:hAnsi="Arial" w:cs="Arial"/>
                <w:sz w:val="20"/>
              </w:rPr>
              <w:t>$(</w:t>
            </w:r>
            <w:r w:rsidR="00B519AC">
              <w:rPr>
                <w:rFonts w:ascii="Arial" w:hAnsi="Arial" w:cs="Arial"/>
                <w:sz w:val="20"/>
              </w:rPr>
              <w:t>712,582</w:t>
            </w:r>
            <w:r w:rsidRPr="00796863">
              <w:rPr>
                <w:rFonts w:ascii="Arial" w:hAnsi="Arial" w:cs="Arial"/>
                <w:sz w:val="20"/>
              </w:rPr>
              <w:t>)</w:t>
            </w:r>
          </w:p>
        </w:tc>
        <w:tc>
          <w:tcPr>
            <w:tcW w:w="3497" w:type="dxa"/>
            <w:vAlign w:val="center"/>
          </w:tcPr>
          <w:p w14:paraId="0E04B6CF" w14:textId="77777777" w:rsidR="00E10530" w:rsidRPr="00796863" w:rsidRDefault="00E10530" w:rsidP="00D82775">
            <w:pPr>
              <w:pStyle w:val="NormalWeb"/>
              <w:rPr>
                <w:rFonts w:ascii="Arial" w:hAnsi="Arial" w:cs="Arial"/>
                <w:sz w:val="20"/>
              </w:rPr>
            </w:pPr>
            <w:r w:rsidRPr="00796863">
              <w:rPr>
                <w:rFonts w:ascii="Arial" w:hAnsi="Arial" w:cs="Arial"/>
                <w:sz w:val="20"/>
              </w:rPr>
              <w:t>$(</w:t>
            </w:r>
            <w:r w:rsidR="007472F2" w:rsidRPr="00796863">
              <w:rPr>
                <w:rFonts w:ascii="Arial" w:hAnsi="Arial" w:cs="Arial"/>
                <w:sz w:val="20"/>
              </w:rPr>
              <w:t>1,</w:t>
            </w:r>
            <w:r w:rsidR="00B519AC">
              <w:rPr>
                <w:rFonts w:ascii="Arial" w:hAnsi="Arial" w:cs="Arial"/>
                <w:sz w:val="20"/>
              </w:rPr>
              <w:t>811</w:t>
            </w:r>
            <w:r w:rsidR="007472F2" w:rsidRPr="00796863">
              <w:rPr>
                <w:rFonts w:ascii="Arial" w:hAnsi="Arial" w:cs="Arial"/>
                <w:sz w:val="20"/>
              </w:rPr>
              <w:t>,</w:t>
            </w:r>
            <w:r w:rsidR="00B519AC">
              <w:rPr>
                <w:rFonts w:ascii="Arial" w:hAnsi="Arial" w:cs="Arial"/>
                <w:sz w:val="20"/>
              </w:rPr>
              <w:t>463</w:t>
            </w:r>
            <w:r w:rsidRPr="00796863">
              <w:rPr>
                <w:rFonts w:ascii="Arial" w:hAnsi="Arial" w:cs="Arial"/>
                <w:sz w:val="20"/>
              </w:rPr>
              <w:t>)</w:t>
            </w:r>
          </w:p>
        </w:tc>
      </w:tr>
      <w:tr w:rsidR="00E10530" w:rsidRPr="003238A2" w14:paraId="1CA5AAD2" w14:textId="77777777" w:rsidTr="00DB410D">
        <w:trPr>
          <w:trHeight w:val="179"/>
        </w:trPr>
        <w:tc>
          <w:tcPr>
            <w:tcW w:w="3539" w:type="dxa"/>
            <w:vAlign w:val="center"/>
          </w:tcPr>
          <w:p w14:paraId="3D2A3F5D" w14:textId="77777777" w:rsidR="00E10530" w:rsidRPr="005F53E3" w:rsidRDefault="00E10530" w:rsidP="00D82775">
            <w:pPr>
              <w:pStyle w:val="NormalWeb"/>
              <w:rPr>
                <w:rFonts w:ascii="Arial" w:hAnsi="Arial" w:cs="Arial"/>
                <w:sz w:val="20"/>
              </w:rPr>
            </w:pPr>
            <w:r w:rsidRPr="005F53E3">
              <w:rPr>
                <w:rFonts w:ascii="Arial" w:hAnsi="Arial" w:cs="Arial"/>
                <w:sz w:val="20"/>
              </w:rPr>
              <w:t>Net Income (Loss)</w:t>
            </w:r>
          </w:p>
        </w:tc>
        <w:tc>
          <w:tcPr>
            <w:tcW w:w="3119" w:type="dxa"/>
            <w:vAlign w:val="center"/>
          </w:tcPr>
          <w:p w14:paraId="18CDBA1D" w14:textId="77777777" w:rsidR="00E10530" w:rsidRPr="00796863" w:rsidRDefault="00E10530" w:rsidP="00D82775">
            <w:pPr>
              <w:pStyle w:val="NormalWeb"/>
              <w:rPr>
                <w:rFonts w:ascii="Arial" w:hAnsi="Arial" w:cs="Arial"/>
                <w:sz w:val="20"/>
              </w:rPr>
            </w:pPr>
            <w:r w:rsidRPr="00796863">
              <w:rPr>
                <w:rFonts w:ascii="Arial" w:hAnsi="Arial" w:cs="Arial"/>
                <w:sz w:val="20"/>
              </w:rPr>
              <w:t>$(</w:t>
            </w:r>
            <w:r w:rsidR="009A3E22" w:rsidRPr="00796863">
              <w:rPr>
                <w:rFonts w:ascii="Arial" w:hAnsi="Arial" w:cs="Arial"/>
                <w:sz w:val="20"/>
              </w:rPr>
              <w:t>2</w:t>
            </w:r>
            <w:r w:rsidRPr="00796863">
              <w:rPr>
                <w:rFonts w:ascii="Arial" w:hAnsi="Arial" w:cs="Arial"/>
                <w:sz w:val="20"/>
              </w:rPr>
              <w:t>,</w:t>
            </w:r>
            <w:r w:rsidR="009A3E22" w:rsidRPr="00796863">
              <w:rPr>
                <w:rFonts w:ascii="Arial" w:hAnsi="Arial" w:cs="Arial"/>
                <w:sz w:val="20"/>
              </w:rPr>
              <w:t>1</w:t>
            </w:r>
            <w:r w:rsidR="007472F2" w:rsidRPr="00796863">
              <w:rPr>
                <w:rFonts w:ascii="Arial" w:hAnsi="Arial" w:cs="Arial"/>
                <w:sz w:val="20"/>
              </w:rPr>
              <w:t>61</w:t>
            </w:r>
            <w:r w:rsidRPr="00796863">
              <w:rPr>
                <w:rFonts w:ascii="Arial" w:hAnsi="Arial" w:cs="Arial"/>
                <w:sz w:val="20"/>
              </w:rPr>
              <w:t>,</w:t>
            </w:r>
            <w:r w:rsidR="007472F2" w:rsidRPr="00796863">
              <w:rPr>
                <w:rFonts w:ascii="Arial" w:hAnsi="Arial" w:cs="Arial"/>
                <w:sz w:val="20"/>
              </w:rPr>
              <w:t>546</w:t>
            </w:r>
            <w:r w:rsidRPr="00796863">
              <w:rPr>
                <w:rFonts w:ascii="Arial" w:hAnsi="Arial" w:cs="Arial"/>
                <w:sz w:val="20"/>
              </w:rPr>
              <w:t>)</w:t>
            </w:r>
          </w:p>
        </w:tc>
        <w:tc>
          <w:tcPr>
            <w:tcW w:w="3497" w:type="dxa"/>
            <w:vAlign w:val="center"/>
          </w:tcPr>
          <w:p w14:paraId="2769B085" w14:textId="77777777" w:rsidR="00E10530" w:rsidRPr="00796863" w:rsidRDefault="00E10530" w:rsidP="00D82775">
            <w:pPr>
              <w:pStyle w:val="NormalWeb"/>
              <w:rPr>
                <w:rFonts w:ascii="Arial" w:hAnsi="Arial" w:cs="Arial"/>
                <w:sz w:val="20"/>
              </w:rPr>
            </w:pPr>
            <w:r w:rsidRPr="00796863">
              <w:rPr>
                <w:rFonts w:ascii="Arial" w:hAnsi="Arial" w:cs="Arial"/>
                <w:sz w:val="20"/>
              </w:rPr>
              <w:t>$(</w:t>
            </w:r>
            <w:r w:rsidR="00D82775" w:rsidRPr="00796863">
              <w:rPr>
                <w:rFonts w:ascii="Arial" w:hAnsi="Arial" w:cs="Arial"/>
                <w:sz w:val="20"/>
              </w:rPr>
              <w:t>2</w:t>
            </w:r>
            <w:r w:rsidRPr="00796863">
              <w:rPr>
                <w:rFonts w:ascii="Arial" w:hAnsi="Arial" w:cs="Arial"/>
                <w:sz w:val="20"/>
              </w:rPr>
              <w:t>,</w:t>
            </w:r>
            <w:r w:rsidR="00D82775" w:rsidRPr="00796863">
              <w:rPr>
                <w:rFonts w:ascii="Arial" w:hAnsi="Arial" w:cs="Arial"/>
                <w:sz w:val="20"/>
              </w:rPr>
              <w:t>539</w:t>
            </w:r>
            <w:r w:rsidRPr="00796863">
              <w:rPr>
                <w:rFonts w:ascii="Arial" w:hAnsi="Arial" w:cs="Arial"/>
                <w:sz w:val="20"/>
              </w:rPr>
              <w:t>,</w:t>
            </w:r>
            <w:r w:rsidR="00D82775" w:rsidRPr="00796863">
              <w:rPr>
                <w:rFonts w:ascii="Arial" w:hAnsi="Arial" w:cs="Arial"/>
                <w:sz w:val="20"/>
              </w:rPr>
              <w:t>776</w:t>
            </w:r>
            <w:r w:rsidRPr="00796863">
              <w:rPr>
                <w:rFonts w:ascii="Arial" w:hAnsi="Arial" w:cs="Arial"/>
                <w:sz w:val="20"/>
              </w:rPr>
              <w:t>)</w:t>
            </w:r>
          </w:p>
        </w:tc>
      </w:tr>
      <w:tr w:rsidR="00E10530" w:rsidRPr="003238A2" w14:paraId="6DE1FFAC" w14:textId="77777777" w:rsidTr="00DB410D">
        <w:trPr>
          <w:trHeight w:val="359"/>
        </w:trPr>
        <w:tc>
          <w:tcPr>
            <w:tcW w:w="3539" w:type="dxa"/>
            <w:vAlign w:val="center"/>
          </w:tcPr>
          <w:p w14:paraId="1A96FF3A" w14:textId="77777777" w:rsidR="00E10530" w:rsidRPr="005F53E3" w:rsidRDefault="00E10530" w:rsidP="00D82775">
            <w:pPr>
              <w:pStyle w:val="NormalWeb"/>
              <w:spacing w:before="0" w:beforeAutospacing="0" w:after="0" w:afterAutospacing="0"/>
              <w:rPr>
                <w:rFonts w:ascii="Arial" w:hAnsi="Arial" w:cs="Arial"/>
                <w:sz w:val="20"/>
              </w:rPr>
            </w:pPr>
            <w:r w:rsidRPr="005F53E3">
              <w:rPr>
                <w:rFonts w:ascii="Arial" w:hAnsi="Arial" w:cs="Arial"/>
                <w:sz w:val="20"/>
              </w:rPr>
              <w:t>Basic and diluted net loss per share</w:t>
            </w:r>
          </w:p>
        </w:tc>
        <w:tc>
          <w:tcPr>
            <w:tcW w:w="3119" w:type="dxa"/>
            <w:vAlign w:val="center"/>
          </w:tcPr>
          <w:p w14:paraId="2DCA0BBE" w14:textId="77777777" w:rsidR="00E10530" w:rsidRPr="00796863" w:rsidRDefault="00E10530" w:rsidP="00D82775">
            <w:pPr>
              <w:pStyle w:val="NormalWeb"/>
              <w:spacing w:before="0" w:beforeAutospacing="0" w:after="0" w:afterAutospacing="0"/>
              <w:rPr>
                <w:rFonts w:ascii="Arial" w:hAnsi="Arial" w:cs="Arial"/>
                <w:sz w:val="20"/>
              </w:rPr>
            </w:pPr>
            <w:r w:rsidRPr="00796863">
              <w:rPr>
                <w:rFonts w:ascii="Arial" w:hAnsi="Arial" w:cs="Arial"/>
                <w:sz w:val="20"/>
              </w:rPr>
              <w:t>$(0.0</w:t>
            </w:r>
            <w:r w:rsidR="009A3E22" w:rsidRPr="00796863">
              <w:rPr>
                <w:rFonts w:ascii="Arial" w:hAnsi="Arial" w:cs="Arial"/>
                <w:sz w:val="20"/>
              </w:rPr>
              <w:t>31</w:t>
            </w:r>
            <w:r w:rsidRPr="00796863">
              <w:rPr>
                <w:rFonts w:ascii="Arial" w:hAnsi="Arial" w:cs="Arial"/>
                <w:sz w:val="20"/>
              </w:rPr>
              <w:t>)</w:t>
            </w:r>
          </w:p>
        </w:tc>
        <w:tc>
          <w:tcPr>
            <w:tcW w:w="3497" w:type="dxa"/>
            <w:vAlign w:val="center"/>
          </w:tcPr>
          <w:p w14:paraId="3B31504A" w14:textId="77777777" w:rsidR="00E10530" w:rsidRPr="00796863" w:rsidRDefault="00E10530" w:rsidP="00D82775">
            <w:pPr>
              <w:pStyle w:val="NormalWeb"/>
              <w:spacing w:before="0" w:beforeAutospacing="0" w:after="0" w:afterAutospacing="0"/>
              <w:rPr>
                <w:rFonts w:ascii="Arial" w:hAnsi="Arial" w:cs="Arial"/>
                <w:sz w:val="20"/>
              </w:rPr>
            </w:pPr>
            <w:r w:rsidRPr="00796863">
              <w:rPr>
                <w:rFonts w:ascii="Arial" w:hAnsi="Arial" w:cs="Arial"/>
                <w:sz w:val="20"/>
              </w:rPr>
              <w:t>$(0.0</w:t>
            </w:r>
            <w:r w:rsidR="00D82775" w:rsidRPr="00796863">
              <w:rPr>
                <w:rFonts w:ascii="Arial" w:hAnsi="Arial" w:cs="Arial"/>
                <w:sz w:val="20"/>
              </w:rPr>
              <w:t>452</w:t>
            </w:r>
            <w:r w:rsidRPr="00796863">
              <w:rPr>
                <w:rFonts w:ascii="Arial" w:hAnsi="Arial" w:cs="Arial"/>
                <w:sz w:val="20"/>
              </w:rPr>
              <w:t>)</w:t>
            </w:r>
          </w:p>
        </w:tc>
      </w:tr>
    </w:tbl>
    <w:p w14:paraId="121A4CB1" w14:textId="77777777" w:rsidR="00722612" w:rsidRPr="00722612" w:rsidRDefault="00722612" w:rsidP="00722612">
      <w:pPr>
        <w:widowControl w:val="0"/>
        <w:autoSpaceDE w:val="0"/>
        <w:autoSpaceDN w:val="0"/>
        <w:adjustRightInd w:val="0"/>
        <w:spacing w:before="200" w:after="0" w:line="240" w:lineRule="auto"/>
        <w:jc w:val="both"/>
        <w:rPr>
          <w:rFonts w:ascii="Arial" w:hAnsi="Arial" w:cs="Arial"/>
          <w:color w:val="000000"/>
          <w:sz w:val="20"/>
          <w:szCs w:val="20"/>
        </w:rPr>
      </w:pPr>
      <w:r w:rsidRPr="00722612">
        <w:rPr>
          <w:rFonts w:ascii="Arial" w:hAnsi="Arial" w:cs="Arial"/>
          <w:sz w:val="20"/>
          <w:szCs w:val="20"/>
        </w:rPr>
        <w:t xml:space="preserve">CB2 is also announcing that it has completed a </w:t>
      </w:r>
      <w:proofErr w:type="gramStart"/>
      <w:r w:rsidRPr="00722612">
        <w:rPr>
          <w:rFonts w:ascii="Arial" w:hAnsi="Arial" w:cs="Arial"/>
          <w:sz w:val="20"/>
          <w:szCs w:val="20"/>
        </w:rPr>
        <w:t>rights</w:t>
      </w:r>
      <w:proofErr w:type="gramEnd"/>
      <w:r w:rsidRPr="00722612">
        <w:rPr>
          <w:rFonts w:ascii="Arial" w:hAnsi="Arial" w:cs="Arial"/>
          <w:sz w:val="20"/>
          <w:szCs w:val="20"/>
        </w:rPr>
        <w:t xml:space="preserve"> offering which was previously </w:t>
      </w:r>
      <w:r w:rsidRPr="00722612">
        <w:rPr>
          <w:rFonts w:ascii="Arial" w:hAnsi="Arial" w:cs="Arial"/>
          <w:color w:val="000000"/>
          <w:sz w:val="20"/>
          <w:szCs w:val="20"/>
        </w:rPr>
        <w:t>announced on February 27, 2019. Under the terms of the rights offering, CB2 issued a total of 7,281 common shares at a price of $0.45 per share for aggregate gross proceeds of $3,276.45.</w:t>
      </w:r>
    </w:p>
    <w:p w14:paraId="15FCE8A9" w14:textId="77777777" w:rsidR="00722612" w:rsidRPr="00722612" w:rsidRDefault="00722612" w:rsidP="00722612">
      <w:pPr>
        <w:widowControl w:val="0"/>
        <w:autoSpaceDE w:val="0"/>
        <w:autoSpaceDN w:val="0"/>
        <w:adjustRightInd w:val="0"/>
        <w:spacing w:before="200" w:after="0" w:line="240" w:lineRule="auto"/>
        <w:jc w:val="both"/>
        <w:rPr>
          <w:rFonts w:ascii="Arial" w:hAnsi="Arial" w:cs="Arial"/>
          <w:color w:val="000000"/>
          <w:sz w:val="20"/>
          <w:szCs w:val="20"/>
        </w:rPr>
      </w:pPr>
      <w:r w:rsidRPr="00722612">
        <w:rPr>
          <w:rFonts w:ascii="Arial" w:hAnsi="Arial" w:cs="Arial"/>
          <w:color w:val="000000"/>
          <w:sz w:val="20"/>
          <w:szCs w:val="20"/>
        </w:rPr>
        <w:lastRenderedPageBreak/>
        <w:t>The rights were issued to holders of record on February 15, 2019, prior to the completion of the Company’s reverse take over transaction with MVC Technologies Inc. No stand-by commitment or additional subscription privilege had been agreed and no commission was payable in connection with the rights offering. All unexercised rights are now null and void.</w:t>
      </w:r>
    </w:p>
    <w:p w14:paraId="22766460" w14:textId="77777777" w:rsidR="00722612" w:rsidRPr="00722612" w:rsidRDefault="00722612" w:rsidP="00722612">
      <w:pPr>
        <w:widowControl w:val="0"/>
        <w:autoSpaceDE w:val="0"/>
        <w:autoSpaceDN w:val="0"/>
        <w:adjustRightInd w:val="0"/>
        <w:spacing w:before="200" w:after="0" w:line="240" w:lineRule="auto"/>
        <w:jc w:val="both"/>
        <w:rPr>
          <w:rFonts w:ascii="Arial" w:hAnsi="Arial" w:cs="Arial"/>
          <w:color w:val="000000"/>
          <w:sz w:val="20"/>
          <w:szCs w:val="20"/>
        </w:rPr>
      </w:pPr>
      <w:r w:rsidRPr="00D32A25">
        <w:rPr>
          <w:rFonts w:ascii="Arial" w:hAnsi="Arial" w:cs="Arial"/>
          <w:color w:val="000000"/>
          <w:sz w:val="20"/>
          <w:szCs w:val="20"/>
        </w:rPr>
        <w:t xml:space="preserve">Following the completion of the rights offering, CB2 will have a total of </w:t>
      </w:r>
      <w:r w:rsidR="00D32A25" w:rsidRPr="00D32A25">
        <w:rPr>
          <w:rFonts w:ascii="Arial" w:hAnsi="Arial" w:cs="Arial"/>
          <w:color w:val="000000"/>
          <w:sz w:val="20"/>
          <w:szCs w:val="20"/>
        </w:rPr>
        <w:t>78,778,036</w:t>
      </w:r>
      <w:r w:rsidRPr="00D32A25">
        <w:rPr>
          <w:rFonts w:ascii="Arial" w:hAnsi="Arial" w:cs="Arial"/>
          <w:color w:val="000000"/>
          <w:sz w:val="20"/>
          <w:szCs w:val="20"/>
        </w:rPr>
        <w:t xml:space="preserve"> common shares issued and outstanding.</w:t>
      </w:r>
    </w:p>
    <w:p w14:paraId="32F58D91" w14:textId="77777777" w:rsidR="00722612" w:rsidRPr="00722612" w:rsidRDefault="00722612" w:rsidP="00722612">
      <w:pPr>
        <w:pStyle w:val="NormalWeb"/>
        <w:rPr>
          <w:rFonts w:ascii="Arial" w:hAnsi="Arial" w:cs="Arial"/>
          <w:sz w:val="20"/>
          <w:szCs w:val="20"/>
        </w:rPr>
      </w:pPr>
      <w:r w:rsidRPr="00722612">
        <w:rPr>
          <w:rFonts w:ascii="Arial" w:hAnsi="Arial" w:cs="Arial"/>
          <w:color w:val="000000"/>
          <w:sz w:val="20"/>
          <w:szCs w:val="20"/>
        </w:rPr>
        <w:t>The net proceeds of the offering will be used for general working capital.</w:t>
      </w:r>
    </w:p>
    <w:p w14:paraId="1144D396" w14:textId="77777777" w:rsidR="00FE7F55" w:rsidRPr="00722612" w:rsidRDefault="00D45AE8" w:rsidP="00D21CF7">
      <w:pPr>
        <w:pStyle w:val="NormalWeb"/>
        <w:rPr>
          <w:rFonts w:ascii="Arial" w:hAnsi="Arial" w:cs="Arial"/>
          <w:b/>
          <w:sz w:val="20"/>
          <w:szCs w:val="20"/>
        </w:rPr>
      </w:pPr>
      <w:r w:rsidRPr="00722612">
        <w:rPr>
          <w:rFonts w:ascii="Arial" w:hAnsi="Arial" w:cs="Arial"/>
          <w:b/>
          <w:sz w:val="20"/>
          <w:szCs w:val="20"/>
        </w:rPr>
        <w:t>Earnings Conference</w:t>
      </w:r>
      <w:r w:rsidR="00E10530" w:rsidRPr="00722612">
        <w:rPr>
          <w:rFonts w:ascii="Arial" w:hAnsi="Arial" w:cs="Arial"/>
          <w:b/>
          <w:sz w:val="20"/>
          <w:szCs w:val="20"/>
        </w:rPr>
        <w:t xml:space="preserve"> Call</w:t>
      </w:r>
    </w:p>
    <w:p w14:paraId="1875E827" w14:textId="77777777" w:rsidR="00E10530" w:rsidRDefault="00E10530" w:rsidP="00D21CF7">
      <w:pPr>
        <w:pStyle w:val="NormalWeb"/>
        <w:rPr>
          <w:rFonts w:ascii="Arial" w:hAnsi="Arial" w:cs="Arial"/>
          <w:sz w:val="20"/>
        </w:rPr>
      </w:pPr>
      <w:r>
        <w:rPr>
          <w:rFonts w:ascii="Arial" w:hAnsi="Arial" w:cs="Arial"/>
          <w:sz w:val="20"/>
        </w:rPr>
        <w:t xml:space="preserve">CB2 Insights’ management team will hold a conference call to discuss our </w:t>
      </w:r>
      <w:r w:rsidR="009A3E22">
        <w:rPr>
          <w:rFonts w:ascii="Arial" w:hAnsi="Arial" w:cs="Arial"/>
          <w:sz w:val="20"/>
        </w:rPr>
        <w:t>2019 Q1</w:t>
      </w:r>
      <w:r>
        <w:rPr>
          <w:rFonts w:ascii="Arial" w:hAnsi="Arial" w:cs="Arial"/>
          <w:sz w:val="20"/>
        </w:rPr>
        <w:t xml:space="preserve"> </w:t>
      </w:r>
      <w:r w:rsidR="00D45AE8">
        <w:rPr>
          <w:rFonts w:ascii="Arial" w:hAnsi="Arial" w:cs="Arial"/>
          <w:sz w:val="20"/>
        </w:rPr>
        <w:t>Earnings</w:t>
      </w:r>
      <w:r>
        <w:rPr>
          <w:rFonts w:ascii="Arial" w:hAnsi="Arial" w:cs="Arial"/>
          <w:sz w:val="20"/>
        </w:rPr>
        <w:t xml:space="preserve"> </w:t>
      </w:r>
      <w:r w:rsidR="00D45AE8">
        <w:rPr>
          <w:rFonts w:ascii="Arial" w:hAnsi="Arial" w:cs="Arial"/>
          <w:sz w:val="20"/>
        </w:rPr>
        <w:t xml:space="preserve">on May </w:t>
      </w:r>
      <w:r w:rsidR="00D82775">
        <w:rPr>
          <w:rFonts w:ascii="Arial" w:hAnsi="Arial" w:cs="Arial"/>
          <w:sz w:val="20"/>
        </w:rPr>
        <w:t>3</w:t>
      </w:r>
      <w:r w:rsidR="00D45AE8">
        <w:rPr>
          <w:rFonts w:ascii="Arial" w:hAnsi="Arial" w:cs="Arial"/>
          <w:sz w:val="20"/>
        </w:rPr>
        <w:t xml:space="preserve">1, 2019 at </w:t>
      </w:r>
      <w:r w:rsidR="00D82775">
        <w:rPr>
          <w:rFonts w:ascii="Arial" w:hAnsi="Arial" w:cs="Arial"/>
          <w:sz w:val="20"/>
        </w:rPr>
        <w:t>9</w:t>
      </w:r>
      <w:r w:rsidR="00D45AE8">
        <w:rPr>
          <w:rFonts w:ascii="Arial" w:hAnsi="Arial" w:cs="Arial"/>
          <w:sz w:val="20"/>
        </w:rPr>
        <w:t>:00</w:t>
      </w:r>
      <w:r w:rsidR="00D82775">
        <w:rPr>
          <w:rFonts w:ascii="Arial" w:hAnsi="Arial" w:cs="Arial"/>
          <w:sz w:val="20"/>
        </w:rPr>
        <w:t>a</w:t>
      </w:r>
      <w:r w:rsidR="00D45AE8">
        <w:rPr>
          <w:rFonts w:ascii="Arial" w:hAnsi="Arial" w:cs="Arial"/>
          <w:sz w:val="20"/>
        </w:rPr>
        <w:t>m E</w:t>
      </w:r>
      <w:r w:rsidR="00FB3590">
        <w:rPr>
          <w:rFonts w:ascii="Arial" w:hAnsi="Arial" w:cs="Arial"/>
          <w:sz w:val="20"/>
        </w:rPr>
        <w:t>D</w:t>
      </w:r>
      <w:r w:rsidR="00D45AE8">
        <w:rPr>
          <w:rFonts w:ascii="Arial" w:hAnsi="Arial" w:cs="Arial"/>
          <w:sz w:val="20"/>
        </w:rPr>
        <w:t>T</w:t>
      </w:r>
      <w:r w:rsidR="00FB3590">
        <w:rPr>
          <w:rFonts w:ascii="Arial" w:hAnsi="Arial" w:cs="Arial"/>
          <w:sz w:val="20"/>
        </w:rPr>
        <w:t xml:space="preserve"> (details below)</w:t>
      </w:r>
      <w:r w:rsidR="00D45AE8">
        <w:rPr>
          <w:rFonts w:ascii="Arial" w:hAnsi="Arial"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5"/>
        <w:gridCol w:w="4675"/>
      </w:tblGrid>
      <w:tr w:rsidR="00FB3590" w:rsidRPr="00FB3590" w14:paraId="5394586D" w14:textId="77777777" w:rsidTr="007725A6">
        <w:tc>
          <w:tcPr>
            <w:tcW w:w="4680" w:type="dxa"/>
            <w:shd w:val="clear" w:color="auto" w:fill="FFFFFF"/>
            <w:vAlign w:val="center"/>
            <w:hideMark/>
          </w:tcPr>
          <w:p w14:paraId="7E57DEA8" w14:textId="77777777" w:rsidR="00FB3590" w:rsidRPr="007725A6" w:rsidRDefault="00FB3590" w:rsidP="007725A6">
            <w:pPr>
              <w:pStyle w:val="NormalWeb"/>
              <w:rPr>
                <w:rFonts w:ascii="Arial" w:hAnsi="Arial" w:cs="Arial"/>
                <w:sz w:val="20"/>
              </w:rPr>
            </w:pPr>
            <w:r w:rsidRPr="007725A6">
              <w:rPr>
                <w:rFonts w:ascii="Arial" w:hAnsi="Arial" w:cs="Arial"/>
                <w:sz w:val="20"/>
              </w:rPr>
              <w:t>Date:</w:t>
            </w:r>
          </w:p>
        </w:tc>
        <w:tc>
          <w:tcPr>
            <w:tcW w:w="4680" w:type="dxa"/>
            <w:shd w:val="clear" w:color="auto" w:fill="FFFFFF"/>
            <w:vAlign w:val="center"/>
            <w:hideMark/>
          </w:tcPr>
          <w:p w14:paraId="0C05BF9B" w14:textId="77777777" w:rsidR="00FB3590" w:rsidRPr="007725A6" w:rsidRDefault="00FB3590" w:rsidP="007725A6">
            <w:pPr>
              <w:pStyle w:val="NormalWeb"/>
              <w:rPr>
                <w:rFonts w:ascii="Arial" w:hAnsi="Arial" w:cs="Arial"/>
                <w:sz w:val="20"/>
              </w:rPr>
            </w:pPr>
            <w:r w:rsidRPr="007725A6">
              <w:rPr>
                <w:rFonts w:ascii="Arial" w:hAnsi="Arial" w:cs="Arial"/>
                <w:sz w:val="20"/>
              </w:rPr>
              <w:t>Friday, May 31, 2019</w:t>
            </w:r>
          </w:p>
        </w:tc>
      </w:tr>
      <w:tr w:rsidR="00FB3590" w:rsidRPr="00FB3590" w14:paraId="2942CC49" w14:textId="77777777" w:rsidTr="007725A6">
        <w:tc>
          <w:tcPr>
            <w:tcW w:w="4680" w:type="dxa"/>
            <w:shd w:val="clear" w:color="auto" w:fill="FFFFFF"/>
            <w:vAlign w:val="center"/>
            <w:hideMark/>
          </w:tcPr>
          <w:p w14:paraId="7D11337F" w14:textId="77777777" w:rsidR="00FB3590" w:rsidRPr="007725A6" w:rsidRDefault="00FB3590" w:rsidP="007725A6">
            <w:pPr>
              <w:pStyle w:val="NormalWeb"/>
              <w:rPr>
                <w:rFonts w:ascii="Arial" w:hAnsi="Arial" w:cs="Arial"/>
                <w:sz w:val="20"/>
              </w:rPr>
            </w:pPr>
            <w:r w:rsidRPr="007725A6">
              <w:rPr>
                <w:rFonts w:ascii="Arial" w:hAnsi="Arial" w:cs="Arial"/>
                <w:sz w:val="20"/>
              </w:rPr>
              <w:t>Time:</w:t>
            </w:r>
          </w:p>
        </w:tc>
        <w:tc>
          <w:tcPr>
            <w:tcW w:w="4680" w:type="dxa"/>
            <w:shd w:val="clear" w:color="auto" w:fill="FFFFFF"/>
            <w:vAlign w:val="center"/>
            <w:hideMark/>
          </w:tcPr>
          <w:p w14:paraId="17F1908A" w14:textId="77777777" w:rsidR="00FB3590" w:rsidRPr="007725A6" w:rsidRDefault="00FB3590" w:rsidP="007725A6">
            <w:pPr>
              <w:pStyle w:val="NormalWeb"/>
              <w:rPr>
                <w:rFonts w:ascii="Arial" w:hAnsi="Arial" w:cs="Arial"/>
                <w:sz w:val="20"/>
              </w:rPr>
            </w:pPr>
            <w:r w:rsidRPr="007725A6">
              <w:rPr>
                <w:rFonts w:ascii="Arial" w:hAnsi="Arial" w:cs="Arial"/>
                <w:sz w:val="20"/>
              </w:rPr>
              <w:t>9:00 a.m. (EDT)</w:t>
            </w:r>
          </w:p>
        </w:tc>
      </w:tr>
      <w:tr w:rsidR="00FB3590" w:rsidRPr="00FB3590" w14:paraId="08F01BD6" w14:textId="77777777" w:rsidTr="007725A6">
        <w:tc>
          <w:tcPr>
            <w:tcW w:w="4680" w:type="dxa"/>
            <w:shd w:val="clear" w:color="auto" w:fill="FFFFFF"/>
            <w:vAlign w:val="center"/>
            <w:hideMark/>
          </w:tcPr>
          <w:p w14:paraId="02A3D14F" w14:textId="77777777" w:rsidR="00FB3590" w:rsidRPr="007725A6" w:rsidRDefault="00FB3590" w:rsidP="007725A6">
            <w:pPr>
              <w:pStyle w:val="NormalWeb"/>
              <w:rPr>
                <w:rFonts w:ascii="Arial" w:hAnsi="Arial" w:cs="Arial"/>
                <w:sz w:val="20"/>
              </w:rPr>
            </w:pPr>
            <w:r w:rsidRPr="007725A6">
              <w:rPr>
                <w:rFonts w:ascii="Arial" w:hAnsi="Arial" w:cs="Arial"/>
                <w:sz w:val="20"/>
              </w:rPr>
              <w:t>US/Canada Toll Free Dial In:</w:t>
            </w:r>
          </w:p>
        </w:tc>
        <w:tc>
          <w:tcPr>
            <w:tcW w:w="4680" w:type="dxa"/>
            <w:shd w:val="clear" w:color="auto" w:fill="FFFFFF"/>
            <w:vAlign w:val="center"/>
            <w:hideMark/>
          </w:tcPr>
          <w:p w14:paraId="61A16D6F" w14:textId="77777777" w:rsidR="00FB3590" w:rsidRPr="007725A6" w:rsidRDefault="00FB3590" w:rsidP="007725A6">
            <w:pPr>
              <w:pStyle w:val="NormalWeb"/>
              <w:rPr>
                <w:rFonts w:ascii="Arial" w:hAnsi="Arial" w:cs="Arial"/>
                <w:sz w:val="20"/>
              </w:rPr>
            </w:pPr>
            <w:r w:rsidRPr="007725A6">
              <w:rPr>
                <w:rFonts w:ascii="Arial" w:hAnsi="Arial" w:cs="Arial"/>
                <w:sz w:val="20"/>
              </w:rPr>
              <w:t>1-800-319-4610</w:t>
            </w:r>
          </w:p>
        </w:tc>
      </w:tr>
      <w:tr w:rsidR="00FB3590" w:rsidRPr="00FB3590" w14:paraId="60FD53F9" w14:textId="77777777" w:rsidTr="007725A6">
        <w:tc>
          <w:tcPr>
            <w:tcW w:w="4680" w:type="dxa"/>
            <w:shd w:val="clear" w:color="auto" w:fill="FFFFFF"/>
            <w:vAlign w:val="center"/>
            <w:hideMark/>
          </w:tcPr>
          <w:p w14:paraId="7E68A96B" w14:textId="77777777" w:rsidR="00FB3590" w:rsidRPr="007725A6" w:rsidRDefault="00FB3590" w:rsidP="007725A6">
            <w:pPr>
              <w:pStyle w:val="NormalWeb"/>
              <w:rPr>
                <w:rFonts w:ascii="Arial" w:hAnsi="Arial" w:cs="Arial"/>
                <w:sz w:val="20"/>
              </w:rPr>
            </w:pPr>
            <w:r w:rsidRPr="007725A6">
              <w:rPr>
                <w:rFonts w:ascii="Arial" w:hAnsi="Arial" w:cs="Arial"/>
                <w:sz w:val="20"/>
              </w:rPr>
              <w:t>Toronto Local Dial In:</w:t>
            </w:r>
          </w:p>
        </w:tc>
        <w:tc>
          <w:tcPr>
            <w:tcW w:w="4680" w:type="dxa"/>
            <w:shd w:val="clear" w:color="auto" w:fill="FFFFFF"/>
            <w:vAlign w:val="center"/>
            <w:hideMark/>
          </w:tcPr>
          <w:p w14:paraId="1038756B" w14:textId="77777777" w:rsidR="00FB3590" w:rsidRPr="007725A6" w:rsidRDefault="00FB3590" w:rsidP="007725A6">
            <w:pPr>
              <w:pStyle w:val="NormalWeb"/>
              <w:rPr>
                <w:rFonts w:ascii="Arial" w:hAnsi="Arial" w:cs="Arial"/>
                <w:sz w:val="20"/>
              </w:rPr>
            </w:pPr>
            <w:r w:rsidRPr="007725A6">
              <w:rPr>
                <w:rFonts w:ascii="Arial" w:hAnsi="Arial" w:cs="Arial"/>
                <w:sz w:val="20"/>
              </w:rPr>
              <w:t>1-416-915-3239</w:t>
            </w:r>
          </w:p>
        </w:tc>
      </w:tr>
      <w:tr w:rsidR="00FB3590" w:rsidRPr="00FB3590" w14:paraId="336E93A6" w14:textId="77777777" w:rsidTr="007725A6">
        <w:tc>
          <w:tcPr>
            <w:tcW w:w="4680" w:type="dxa"/>
            <w:shd w:val="clear" w:color="auto" w:fill="FFFFFF"/>
            <w:vAlign w:val="center"/>
            <w:hideMark/>
          </w:tcPr>
          <w:p w14:paraId="718B69F2" w14:textId="77777777" w:rsidR="00FB3590" w:rsidRPr="007725A6" w:rsidRDefault="00FB3590" w:rsidP="007725A6">
            <w:pPr>
              <w:pStyle w:val="NormalWeb"/>
              <w:rPr>
                <w:rFonts w:ascii="Arial" w:hAnsi="Arial" w:cs="Arial"/>
                <w:sz w:val="20"/>
              </w:rPr>
            </w:pPr>
            <w:r w:rsidRPr="007725A6">
              <w:rPr>
                <w:rFonts w:ascii="Arial" w:hAnsi="Arial" w:cs="Arial"/>
                <w:sz w:val="20"/>
              </w:rPr>
              <w:t>International Dial In:</w:t>
            </w:r>
          </w:p>
        </w:tc>
        <w:tc>
          <w:tcPr>
            <w:tcW w:w="4680" w:type="dxa"/>
            <w:shd w:val="clear" w:color="auto" w:fill="FFFFFF"/>
            <w:vAlign w:val="center"/>
            <w:hideMark/>
          </w:tcPr>
          <w:p w14:paraId="0C6C57BD" w14:textId="77777777" w:rsidR="00FB3590" w:rsidRPr="007725A6" w:rsidRDefault="00FB3590" w:rsidP="007725A6">
            <w:pPr>
              <w:pStyle w:val="NormalWeb"/>
              <w:rPr>
                <w:rFonts w:ascii="Arial" w:hAnsi="Arial" w:cs="Arial"/>
                <w:sz w:val="20"/>
              </w:rPr>
            </w:pPr>
            <w:r w:rsidRPr="007725A6">
              <w:rPr>
                <w:rFonts w:ascii="Arial" w:hAnsi="Arial" w:cs="Arial"/>
                <w:sz w:val="20"/>
              </w:rPr>
              <w:t>1-604-638-5340</w:t>
            </w:r>
          </w:p>
        </w:tc>
      </w:tr>
      <w:tr w:rsidR="00FB3590" w:rsidRPr="00FB3590" w14:paraId="676A54C9" w14:textId="77777777" w:rsidTr="007725A6">
        <w:tc>
          <w:tcPr>
            <w:tcW w:w="4680" w:type="dxa"/>
            <w:shd w:val="clear" w:color="auto" w:fill="FFFFFF"/>
            <w:vAlign w:val="center"/>
            <w:hideMark/>
          </w:tcPr>
          <w:p w14:paraId="342324AB" w14:textId="77777777" w:rsidR="00FB3590" w:rsidRPr="007725A6" w:rsidRDefault="00FB3590" w:rsidP="007725A6">
            <w:pPr>
              <w:pStyle w:val="NormalWeb"/>
              <w:rPr>
                <w:rFonts w:ascii="Arial" w:hAnsi="Arial" w:cs="Arial"/>
                <w:sz w:val="20"/>
              </w:rPr>
            </w:pPr>
            <w:r w:rsidRPr="007725A6">
              <w:rPr>
                <w:rFonts w:ascii="Arial" w:hAnsi="Arial" w:cs="Arial"/>
                <w:sz w:val="20"/>
              </w:rPr>
              <w:t>Call Name:</w:t>
            </w:r>
          </w:p>
        </w:tc>
        <w:tc>
          <w:tcPr>
            <w:tcW w:w="4680" w:type="dxa"/>
            <w:shd w:val="clear" w:color="auto" w:fill="FFFFFF"/>
            <w:vAlign w:val="center"/>
            <w:hideMark/>
          </w:tcPr>
          <w:p w14:paraId="43427409" w14:textId="77777777" w:rsidR="00FB3590" w:rsidRPr="007725A6" w:rsidRDefault="00FB3590" w:rsidP="007725A6">
            <w:pPr>
              <w:pStyle w:val="NormalWeb"/>
              <w:rPr>
                <w:rFonts w:ascii="Arial" w:hAnsi="Arial" w:cs="Arial"/>
                <w:sz w:val="20"/>
              </w:rPr>
            </w:pPr>
            <w:r w:rsidRPr="007725A6">
              <w:rPr>
                <w:rFonts w:ascii="Arial" w:hAnsi="Arial" w:cs="Arial"/>
                <w:sz w:val="20"/>
              </w:rPr>
              <w:t>CB2 Insights Earnings Call</w:t>
            </w:r>
          </w:p>
        </w:tc>
      </w:tr>
    </w:tbl>
    <w:p w14:paraId="754382DA" w14:textId="77777777" w:rsidR="007725A6" w:rsidRDefault="007725A6" w:rsidP="005C4998">
      <w:pPr>
        <w:textAlignment w:val="baseline"/>
        <w:rPr>
          <w:rFonts w:ascii="Arial" w:hAnsi="Arial" w:cs="Arial"/>
          <w:sz w:val="20"/>
        </w:rPr>
      </w:pPr>
    </w:p>
    <w:p w14:paraId="39FFCB40" w14:textId="77777777" w:rsidR="00FB3590" w:rsidRDefault="00FB3590" w:rsidP="005C4998">
      <w:pPr>
        <w:textAlignment w:val="baseline"/>
        <w:rPr>
          <w:rFonts w:ascii="Arial" w:eastAsia="Times New Roman" w:hAnsi="Arial" w:cs="Arial"/>
          <w:b/>
          <w:bCs/>
          <w:sz w:val="20"/>
          <w:szCs w:val="20"/>
          <w:bdr w:val="none" w:sz="0" w:space="0" w:color="auto" w:frame="1"/>
          <w:lang w:eastAsia="en-CA"/>
        </w:rPr>
      </w:pPr>
      <w:r>
        <w:rPr>
          <w:rFonts w:ascii="Arial" w:hAnsi="Arial" w:cs="Arial"/>
          <w:sz w:val="20"/>
        </w:rPr>
        <w:t xml:space="preserve">An archived replay of the conference call will be available </w:t>
      </w:r>
      <w:r w:rsidR="007725A6">
        <w:rPr>
          <w:rFonts w:ascii="Arial" w:hAnsi="Arial" w:cs="Arial"/>
          <w:sz w:val="20"/>
        </w:rPr>
        <w:t xml:space="preserve">on the Company’s website within 24 hours </w:t>
      </w:r>
      <w:r>
        <w:rPr>
          <w:rFonts w:ascii="Arial" w:hAnsi="Arial" w:cs="Arial"/>
          <w:sz w:val="20"/>
        </w:rPr>
        <w:t xml:space="preserve">following the conclusion of the call.  </w:t>
      </w:r>
    </w:p>
    <w:p w14:paraId="25251903" w14:textId="77777777" w:rsidR="005C4998" w:rsidRPr="00177F1F" w:rsidRDefault="005C4998" w:rsidP="005C4998">
      <w:pPr>
        <w:textAlignment w:val="baseline"/>
        <w:rPr>
          <w:rFonts w:ascii="Arial" w:eastAsia="Times New Roman" w:hAnsi="Arial" w:cs="Arial"/>
          <w:sz w:val="20"/>
          <w:szCs w:val="20"/>
          <w:lang w:eastAsia="en-CA"/>
        </w:rPr>
      </w:pPr>
      <w:r w:rsidRPr="00177F1F">
        <w:rPr>
          <w:rFonts w:ascii="Arial" w:eastAsia="Times New Roman" w:hAnsi="Arial" w:cs="Arial"/>
          <w:b/>
          <w:bCs/>
          <w:sz w:val="20"/>
          <w:szCs w:val="20"/>
          <w:bdr w:val="none" w:sz="0" w:space="0" w:color="auto" w:frame="1"/>
          <w:lang w:eastAsia="en-CA"/>
        </w:rPr>
        <w:t>Non-GAAP Financial Measures</w:t>
      </w:r>
      <w:r w:rsidRPr="00177F1F">
        <w:rPr>
          <w:rFonts w:ascii="Arial" w:eastAsia="Times New Roman" w:hAnsi="Arial" w:cs="Arial"/>
          <w:sz w:val="20"/>
          <w:szCs w:val="20"/>
          <w:lang w:eastAsia="en-CA"/>
        </w:rPr>
        <w:t xml:space="preserve"> </w:t>
      </w:r>
    </w:p>
    <w:p w14:paraId="1B3D5BDD" w14:textId="77777777" w:rsidR="00E352F9" w:rsidRDefault="00CA567E" w:rsidP="00CA567E">
      <w:pPr>
        <w:textAlignment w:val="baseline"/>
        <w:rPr>
          <w:rFonts w:ascii="Arial" w:hAnsi="Arial" w:cs="Arial"/>
          <w:bCs/>
          <w:color w:val="000000" w:themeColor="text1"/>
          <w:sz w:val="20"/>
          <w:szCs w:val="20"/>
          <w:lang w:val="en-US"/>
        </w:rPr>
      </w:pPr>
      <w:r w:rsidRPr="00CA567E">
        <w:rPr>
          <w:rFonts w:ascii="Arial" w:hAnsi="Arial" w:cs="Arial"/>
          <w:bCs/>
          <w:color w:val="000000" w:themeColor="text1"/>
          <w:sz w:val="20"/>
          <w:szCs w:val="20"/>
          <w:lang w:val="en-US"/>
        </w:rPr>
        <w:t xml:space="preserve">This Press Release contains references to Adjusted EBITDA and Gross </w:t>
      </w:r>
      <w:r>
        <w:rPr>
          <w:rFonts w:ascii="Arial" w:hAnsi="Arial" w:cs="Arial"/>
          <w:bCs/>
          <w:color w:val="000000" w:themeColor="text1"/>
          <w:sz w:val="20"/>
          <w:szCs w:val="20"/>
          <w:lang w:val="en-US"/>
        </w:rPr>
        <w:t>M</w:t>
      </w:r>
      <w:r w:rsidRPr="00CA567E">
        <w:rPr>
          <w:rFonts w:ascii="Arial" w:hAnsi="Arial" w:cs="Arial"/>
          <w:bCs/>
          <w:color w:val="000000" w:themeColor="text1"/>
          <w:sz w:val="20"/>
          <w:szCs w:val="20"/>
          <w:lang w:val="en-US"/>
        </w:rPr>
        <w:t>argin. These financial measures are not measures that have any standardized meaning prescribed by IFRS and are therefore referred to as non-GAAP measures. The non</w:t>
      </w:r>
      <w:r>
        <w:rPr>
          <w:rFonts w:ascii="Arial" w:hAnsi="Arial" w:cs="Arial"/>
          <w:bCs/>
          <w:color w:val="000000" w:themeColor="text1"/>
          <w:sz w:val="20"/>
          <w:szCs w:val="20"/>
          <w:lang w:val="en-US"/>
        </w:rPr>
        <w:t>-</w:t>
      </w:r>
      <w:r w:rsidRPr="00CA567E">
        <w:rPr>
          <w:rFonts w:ascii="Arial" w:hAnsi="Arial" w:cs="Arial"/>
          <w:bCs/>
          <w:color w:val="000000" w:themeColor="text1"/>
          <w:sz w:val="20"/>
          <w:szCs w:val="20"/>
          <w:lang w:val="en-US"/>
        </w:rPr>
        <w:t xml:space="preserve">GAAP measures used by the corporation may not be comparable to similar measures used by other companies. Adjusted EBITDA is defined as “income (loss) </w:t>
      </w:r>
      <w:r w:rsidRPr="005F53E3">
        <w:rPr>
          <w:rFonts w:ascii="Arial" w:hAnsi="Arial" w:cs="Arial"/>
          <w:bCs/>
          <w:color w:val="000000" w:themeColor="text1"/>
          <w:sz w:val="20"/>
          <w:szCs w:val="20"/>
          <w:lang w:val="en-US"/>
        </w:rPr>
        <w:t xml:space="preserve">before interest expenses, taxes, expenses related to listing on the Canadian Securities Exchange, depreciation, foreign exchange and financial expenses. </w:t>
      </w:r>
    </w:p>
    <w:p w14:paraId="1BF9E39C" w14:textId="77777777" w:rsidR="005C4998" w:rsidRPr="005F53E3" w:rsidRDefault="00CA567E" w:rsidP="00CA567E">
      <w:pPr>
        <w:textAlignment w:val="baseline"/>
        <w:rPr>
          <w:rFonts w:ascii="Arial" w:eastAsia="Times New Roman" w:hAnsi="Arial" w:cs="Arial"/>
          <w:sz w:val="20"/>
          <w:szCs w:val="20"/>
          <w:lang w:eastAsia="en-CA"/>
        </w:rPr>
      </w:pPr>
      <w:r w:rsidRPr="005F53E3">
        <w:rPr>
          <w:rFonts w:ascii="Arial" w:hAnsi="Arial" w:cs="Arial"/>
          <w:bCs/>
          <w:color w:val="000000" w:themeColor="text1"/>
          <w:sz w:val="20"/>
          <w:szCs w:val="20"/>
          <w:lang w:val="en-US"/>
        </w:rPr>
        <w:t>The Company uses these non-GAAP measures because they provide additional information on the performance of its commercial operations. Such tools are frequently used in the business world to analyze and compare the performance of businesses; however, the Company’s definition of these metrics may differ from those of other businesses.</w:t>
      </w:r>
      <w:r w:rsidR="005C4998" w:rsidRPr="005F53E3">
        <w:rPr>
          <w:rFonts w:ascii="Arial" w:eastAsia="Times New Roman" w:hAnsi="Arial" w:cs="Arial"/>
          <w:color w:val="000000" w:themeColor="text1"/>
          <w:sz w:val="20"/>
          <w:szCs w:val="20"/>
          <w:lang w:eastAsia="en-CA"/>
        </w:rPr>
        <w:t xml:space="preserve"> CB2 Insights will, at times, use certain non-GAAP financial measures to provide readers with additional information in order to assist </w:t>
      </w:r>
      <w:r w:rsidR="005C4998" w:rsidRPr="005F53E3">
        <w:rPr>
          <w:rFonts w:ascii="Arial" w:eastAsia="Times New Roman" w:hAnsi="Arial" w:cs="Arial"/>
          <w:sz w:val="20"/>
          <w:szCs w:val="20"/>
          <w:lang w:eastAsia="en-CA"/>
        </w:rPr>
        <w:t xml:space="preserve">investors in understanding our financial and operating performance. </w:t>
      </w:r>
      <w:r w:rsidRPr="005F53E3">
        <w:rPr>
          <w:rFonts w:ascii="Arial" w:eastAsia="Times New Roman" w:hAnsi="Arial" w:cs="Arial"/>
          <w:sz w:val="20"/>
          <w:szCs w:val="20"/>
          <w:lang w:eastAsia="en-CA"/>
        </w:rPr>
        <w:t xml:space="preserve"> CB2 Insights believes that these non-GAAP measures provide readers with useful information about the Company’s operating results, enhance the overall understanding of past financial performance and future prospects, and allow for greater transparency with respect to key metrics used by management in its financial and operational decision making.</w:t>
      </w:r>
    </w:p>
    <w:p w14:paraId="5C9DA599" w14:textId="77777777" w:rsidR="005C4998" w:rsidRPr="00177F1F" w:rsidRDefault="005C4998" w:rsidP="005C4998">
      <w:pPr>
        <w:textAlignment w:val="baseline"/>
        <w:rPr>
          <w:rFonts w:ascii="Arial" w:eastAsia="Times New Roman" w:hAnsi="Arial" w:cs="Arial"/>
          <w:sz w:val="20"/>
          <w:szCs w:val="20"/>
          <w:lang w:eastAsia="en-CA"/>
        </w:rPr>
      </w:pPr>
      <w:r w:rsidRPr="005F53E3">
        <w:rPr>
          <w:rFonts w:ascii="Arial" w:eastAsia="Times New Roman" w:hAnsi="Arial" w:cs="Arial"/>
          <w:sz w:val="20"/>
          <w:szCs w:val="20"/>
          <w:lang w:eastAsia="en-CA"/>
        </w:rPr>
        <w:t xml:space="preserve">Adjusted </w:t>
      </w:r>
      <w:r w:rsidR="00E10530" w:rsidRPr="005F53E3">
        <w:rPr>
          <w:rFonts w:ascii="Arial" w:eastAsia="Times New Roman" w:hAnsi="Arial" w:cs="Arial"/>
          <w:sz w:val="20"/>
          <w:szCs w:val="20"/>
          <w:lang w:eastAsia="en-CA"/>
        </w:rPr>
        <w:t xml:space="preserve">EBITDA </w:t>
      </w:r>
      <w:r w:rsidRPr="005F53E3">
        <w:rPr>
          <w:rFonts w:ascii="Arial" w:eastAsia="Times New Roman" w:hAnsi="Arial" w:cs="Arial"/>
          <w:sz w:val="20"/>
          <w:szCs w:val="20"/>
          <w:lang w:eastAsia="en-CA"/>
        </w:rPr>
        <w:t>exclude</w:t>
      </w:r>
      <w:r w:rsidR="00E10530" w:rsidRPr="005F53E3">
        <w:rPr>
          <w:rFonts w:ascii="Arial" w:eastAsia="Times New Roman" w:hAnsi="Arial" w:cs="Arial"/>
          <w:sz w:val="20"/>
          <w:szCs w:val="20"/>
          <w:lang w:eastAsia="en-CA"/>
        </w:rPr>
        <w:t>s</w:t>
      </w:r>
      <w:r w:rsidRPr="005F53E3">
        <w:rPr>
          <w:rFonts w:ascii="Arial" w:eastAsia="Times New Roman" w:hAnsi="Arial" w:cs="Arial"/>
          <w:sz w:val="20"/>
          <w:szCs w:val="20"/>
          <w:lang w:eastAsia="en-CA"/>
        </w:rPr>
        <w:t xml:space="preserve"> the effect of share-based compensation expenses and related payroll taxes</w:t>
      </w:r>
      <w:r w:rsidR="00E10530" w:rsidRPr="005F53E3">
        <w:rPr>
          <w:rFonts w:ascii="Arial" w:eastAsia="Times New Roman" w:hAnsi="Arial" w:cs="Arial"/>
          <w:sz w:val="20"/>
          <w:szCs w:val="20"/>
          <w:lang w:eastAsia="en-CA"/>
        </w:rPr>
        <w:t xml:space="preserve"> as well as removes substantial one-time costs for unusual business activities</w:t>
      </w:r>
      <w:r w:rsidRPr="005F53E3">
        <w:rPr>
          <w:rFonts w:ascii="Arial" w:eastAsia="Times New Roman" w:hAnsi="Arial" w:cs="Arial"/>
          <w:sz w:val="20"/>
          <w:szCs w:val="20"/>
          <w:lang w:eastAsia="en-CA"/>
        </w:rPr>
        <w:t>.</w:t>
      </w:r>
      <w:r w:rsidR="00E10530" w:rsidRPr="005F53E3">
        <w:rPr>
          <w:rFonts w:ascii="Arial" w:eastAsia="Times New Roman" w:hAnsi="Arial" w:cs="Arial"/>
          <w:sz w:val="20"/>
          <w:szCs w:val="20"/>
          <w:lang w:eastAsia="en-CA"/>
        </w:rPr>
        <w:t xml:space="preserve">  Within the 2018 reporting period, one-time costs associated with fees pertaining to the Company’s public listing are excluded from this figure.   Additional discussion on this can be found in CB2 Insights’ Management Discussion and Analysis filed on SEDAR.</w:t>
      </w:r>
      <w:r w:rsidRPr="00177F1F">
        <w:rPr>
          <w:rFonts w:ascii="Arial" w:eastAsia="Times New Roman" w:hAnsi="Arial" w:cs="Arial"/>
          <w:sz w:val="20"/>
          <w:szCs w:val="20"/>
          <w:lang w:eastAsia="en-CA"/>
        </w:rPr>
        <w:t xml:space="preserve"> </w:t>
      </w:r>
    </w:p>
    <w:p w14:paraId="26E6B4D4" w14:textId="77777777" w:rsidR="005C4998" w:rsidRPr="00177F1F" w:rsidRDefault="005C4998" w:rsidP="005C4998">
      <w:pPr>
        <w:textAlignment w:val="baseline"/>
        <w:rPr>
          <w:rFonts w:ascii="Arial" w:eastAsia="Times New Roman" w:hAnsi="Arial" w:cs="Arial"/>
          <w:sz w:val="20"/>
          <w:szCs w:val="20"/>
          <w:lang w:eastAsia="en-CA"/>
        </w:rPr>
      </w:pPr>
      <w:r w:rsidRPr="00177F1F">
        <w:rPr>
          <w:rFonts w:ascii="Arial" w:eastAsia="Times New Roman" w:hAnsi="Arial" w:cs="Arial"/>
          <w:sz w:val="20"/>
          <w:szCs w:val="20"/>
          <w:lang w:eastAsia="en-CA"/>
        </w:rPr>
        <w:t xml:space="preserve">Such non-GAAP financial measures should be considered as a supplement to, and not as a substitute for, the corresponding measures calculated in accordance with </w:t>
      </w:r>
      <w:r w:rsidR="00E352F9">
        <w:rPr>
          <w:rFonts w:ascii="Arial" w:eastAsia="Times New Roman" w:hAnsi="Arial" w:cs="Arial"/>
          <w:sz w:val="20"/>
          <w:szCs w:val="20"/>
          <w:lang w:eastAsia="en-CA"/>
        </w:rPr>
        <w:t>IFRS</w:t>
      </w:r>
      <w:r w:rsidRPr="00177F1F">
        <w:rPr>
          <w:rFonts w:ascii="Arial" w:eastAsia="Times New Roman" w:hAnsi="Arial" w:cs="Arial"/>
          <w:sz w:val="20"/>
          <w:szCs w:val="20"/>
          <w:lang w:eastAsia="en-CA"/>
        </w:rPr>
        <w:t xml:space="preserve">. See the </w:t>
      </w:r>
      <w:r w:rsidR="00CA567E">
        <w:rPr>
          <w:rFonts w:ascii="Arial" w:eastAsia="Times New Roman" w:hAnsi="Arial" w:cs="Arial"/>
          <w:sz w:val="20"/>
          <w:szCs w:val="20"/>
          <w:lang w:eastAsia="en-CA"/>
        </w:rPr>
        <w:t>Company’s audited Financial Statements</w:t>
      </w:r>
      <w:r w:rsidRPr="00177F1F">
        <w:rPr>
          <w:rFonts w:ascii="Arial" w:eastAsia="Times New Roman" w:hAnsi="Arial" w:cs="Arial"/>
          <w:sz w:val="20"/>
          <w:szCs w:val="20"/>
          <w:lang w:eastAsia="en-CA"/>
        </w:rPr>
        <w:t xml:space="preserve"> for a reconciliation of the non-GAAP measures. </w:t>
      </w:r>
    </w:p>
    <w:p w14:paraId="7BB3DF1C" w14:textId="77777777" w:rsidR="0089536A" w:rsidRPr="002D104E" w:rsidRDefault="0089536A" w:rsidP="0089536A">
      <w:pPr>
        <w:rPr>
          <w:rFonts w:ascii="Arial" w:hAnsi="Arial" w:cs="Arial"/>
          <w:b/>
          <w:sz w:val="20"/>
        </w:rPr>
      </w:pPr>
      <w:r w:rsidRPr="002D104E">
        <w:rPr>
          <w:rFonts w:ascii="Arial" w:hAnsi="Arial" w:cs="Arial"/>
          <w:b/>
          <w:sz w:val="20"/>
        </w:rPr>
        <w:lastRenderedPageBreak/>
        <w:t xml:space="preserve">About </w:t>
      </w:r>
      <w:r>
        <w:rPr>
          <w:rFonts w:ascii="Arial" w:hAnsi="Arial" w:cs="Arial"/>
          <w:b/>
          <w:sz w:val="20"/>
        </w:rPr>
        <w:t>CB2 Insights</w:t>
      </w:r>
    </w:p>
    <w:p w14:paraId="3E833AEB" w14:textId="77777777" w:rsidR="0041645C" w:rsidRDefault="0041645C" w:rsidP="0041645C">
      <w:pPr>
        <w:jc w:val="both"/>
        <w:rPr>
          <w:rFonts w:ascii="Arial" w:hAnsi="Arial" w:cs="Arial"/>
          <w:color w:val="262626"/>
          <w:sz w:val="20"/>
          <w:szCs w:val="20"/>
          <w:shd w:val="clear" w:color="auto" w:fill="FFFFFF"/>
        </w:rPr>
      </w:pPr>
      <w:bookmarkStart w:id="2" w:name="_Hlk538872"/>
      <w:bookmarkStart w:id="3" w:name="_Hlk525635288"/>
      <w:r>
        <w:rPr>
          <w:rFonts w:ascii="Arial" w:hAnsi="Arial" w:cs="Arial"/>
          <w:color w:val="262626"/>
          <w:sz w:val="20"/>
          <w:szCs w:val="20"/>
          <w:shd w:val="clear" w:color="auto" w:fill="FFFFFF"/>
        </w:rPr>
        <w:t>CB2 Insights</w:t>
      </w:r>
      <w:r w:rsidRPr="004321C2">
        <w:rPr>
          <w:rFonts w:ascii="Arial" w:hAnsi="Arial" w:cs="Arial"/>
          <w:color w:val="262626"/>
          <w:sz w:val="20"/>
          <w:szCs w:val="20"/>
          <w:shd w:val="clear" w:color="auto" w:fill="FFFFFF"/>
        </w:rPr>
        <w:t xml:space="preserve"> has a mission to </w:t>
      </w:r>
      <w:r>
        <w:rPr>
          <w:rFonts w:ascii="Arial" w:hAnsi="Arial" w:cs="Arial"/>
          <w:color w:val="262626"/>
          <w:sz w:val="20"/>
          <w:szCs w:val="20"/>
          <w:shd w:val="clear" w:color="auto" w:fill="FFFFFF"/>
        </w:rPr>
        <w:t xml:space="preserve">mainstream medical cannabis into traditional healthcare.  We do so by gathering data and creating objective real-world evidence through our proprietary software and service brands.  Using clinical management and data collection software at the point-of-care, CB2 Insights and its group of sub-brands has become a leading force behind bringing traditional healthcare protocols to the rapidly evolving global cannabis industry.  </w:t>
      </w:r>
    </w:p>
    <w:bookmarkEnd w:id="2"/>
    <w:p w14:paraId="4B782C0D" w14:textId="77777777" w:rsidR="0041645C" w:rsidRDefault="0041645C" w:rsidP="0041645C">
      <w:pPr>
        <w:jc w:val="both"/>
        <w:rPr>
          <w:rFonts w:ascii="Arial" w:hAnsi="Arial" w:cs="Arial"/>
          <w:color w:val="262626"/>
          <w:sz w:val="20"/>
          <w:szCs w:val="20"/>
          <w:shd w:val="clear" w:color="auto" w:fill="FFFFFF"/>
        </w:rPr>
      </w:pPr>
      <w:r>
        <w:rPr>
          <w:rFonts w:ascii="Arial" w:hAnsi="Arial" w:cs="Arial"/>
          <w:color w:val="262626"/>
          <w:sz w:val="20"/>
          <w:szCs w:val="20"/>
          <w:shd w:val="clear" w:color="auto" w:fill="FFFFFF"/>
        </w:rPr>
        <w:t xml:space="preserve">For more information please visit </w:t>
      </w:r>
      <w:hyperlink r:id="rId18" w:history="1">
        <w:r w:rsidRPr="00C04C60">
          <w:rPr>
            <w:rStyle w:val="Hyperlink"/>
            <w:rFonts w:ascii="Arial" w:hAnsi="Arial" w:cs="Arial"/>
            <w:sz w:val="20"/>
            <w:szCs w:val="20"/>
            <w:shd w:val="clear" w:color="auto" w:fill="FFFFFF"/>
          </w:rPr>
          <w:t>www.cb2insights.com</w:t>
        </w:r>
      </w:hyperlink>
      <w:r>
        <w:rPr>
          <w:rFonts w:ascii="Arial" w:hAnsi="Arial" w:cs="Arial"/>
          <w:color w:val="262626"/>
          <w:sz w:val="20"/>
          <w:szCs w:val="20"/>
          <w:shd w:val="clear" w:color="auto" w:fill="FFFFFF"/>
        </w:rPr>
        <w:t>.</w:t>
      </w:r>
    </w:p>
    <w:bookmarkEnd w:id="3"/>
    <w:p w14:paraId="5C3ED107" w14:textId="77777777" w:rsidR="008F708D" w:rsidRDefault="008F708D" w:rsidP="0089536A">
      <w:pPr>
        <w:spacing w:after="0" w:line="240" w:lineRule="auto"/>
        <w:rPr>
          <w:rFonts w:ascii="Arial" w:hAnsi="Arial" w:cs="Arial"/>
          <w:b/>
          <w:sz w:val="20"/>
        </w:rPr>
      </w:pPr>
    </w:p>
    <w:p w14:paraId="70E5DF5E" w14:textId="77777777" w:rsidR="00CC5DB0" w:rsidRDefault="00CC5DB0" w:rsidP="0089536A">
      <w:pPr>
        <w:spacing w:after="0" w:line="240" w:lineRule="auto"/>
        <w:rPr>
          <w:rFonts w:ascii="Arial" w:hAnsi="Arial" w:cs="Arial"/>
          <w:b/>
          <w:sz w:val="20"/>
        </w:rPr>
      </w:pPr>
      <w:bookmarkStart w:id="4" w:name="_Hlk9854888"/>
      <w:r>
        <w:rPr>
          <w:rFonts w:ascii="Arial" w:hAnsi="Arial" w:cs="Arial"/>
          <w:b/>
          <w:sz w:val="20"/>
        </w:rPr>
        <w:t>Primary Contact:</w:t>
      </w:r>
    </w:p>
    <w:p w14:paraId="3DB71395" w14:textId="77777777" w:rsidR="008F708D" w:rsidRPr="008F708D" w:rsidRDefault="008F708D" w:rsidP="0089536A">
      <w:pPr>
        <w:spacing w:after="0" w:line="240" w:lineRule="auto"/>
        <w:rPr>
          <w:rFonts w:ascii="Arial" w:hAnsi="Arial" w:cs="Arial"/>
          <w:sz w:val="20"/>
        </w:rPr>
      </w:pPr>
      <w:r w:rsidRPr="008F708D">
        <w:rPr>
          <w:rFonts w:ascii="Arial" w:hAnsi="Arial" w:cs="Arial"/>
          <w:sz w:val="20"/>
        </w:rPr>
        <w:t>Dan Thompson</w:t>
      </w:r>
    </w:p>
    <w:p w14:paraId="33770D7A" w14:textId="77777777" w:rsidR="008F708D" w:rsidRPr="008F708D" w:rsidRDefault="008F708D" w:rsidP="0089536A">
      <w:pPr>
        <w:spacing w:after="0" w:line="240" w:lineRule="auto"/>
        <w:rPr>
          <w:rFonts w:ascii="Arial" w:hAnsi="Arial" w:cs="Arial"/>
          <w:sz w:val="20"/>
        </w:rPr>
      </w:pPr>
      <w:r w:rsidRPr="008F708D">
        <w:rPr>
          <w:rFonts w:ascii="Arial" w:hAnsi="Arial" w:cs="Arial"/>
          <w:sz w:val="20"/>
        </w:rPr>
        <w:t>Chief Marketing Officer</w:t>
      </w:r>
    </w:p>
    <w:p w14:paraId="794CCCB2" w14:textId="77777777" w:rsidR="008F708D" w:rsidRPr="008F708D" w:rsidRDefault="008F708D" w:rsidP="0089536A">
      <w:pPr>
        <w:spacing w:after="0" w:line="240" w:lineRule="auto"/>
        <w:rPr>
          <w:rFonts w:ascii="Arial" w:hAnsi="Arial" w:cs="Arial"/>
          <w:sz w:val="20"/>
        </w:rPr>
      </w:pPr>
      <w:r w:rsidRPr="008F708D">
        <w:rPr>
          <w:rFonts w:ascii="Arial" w:hAnsi="Arial" w:cs="Arial"/>
          <w:sz w:val="20"/>
        </w:rPr>
        <w:t>1.416.670.9316</w:t>
      </w:r>
    </w:p>
    <w:p w14:paraId="1255BE88" w14:textId="77777777" w:rsidR="008F708D" w:rsidRPr="008F708D" w:rsidRDefault="00EF3BDA" w:rsidP="0089536A">
      <w:pPr>
        <w:spacing w:after="0" w:line="240" w:lineRule="auto"/>
        <w:rPr>
          <w:rFonts w:ascii="Arial" w:hAnsi="Arial" w:cs="Arial"/>
          <w:sz w:val="20"/>
        </w:rPr>
      </w:pPr>
      <w:hyperlink r:id="rId19" w:history="1">
        <w:r w:rsidR="008F708D" w:rsidRPr="008F708D">
          <w:rPr>
            <w:rStyle w:val="Hyperlink"/>
            <w:rFonts w:ascii="Arial" w:hAnsi="Arial" w:cs="Arial"/>
            <w:sz w:val="20"/>
          </w:rPr>
          <w:t>dan.thompson@cb2insights.com</w:t>
        </w:r>
      </w:hyperlink>
      <w:r w:rsidR="008F708D" w:rsidRPr="008F708D">
        <w:rPr>
          <w:rFonts w:ascii="Arial" w:hAnsi="Arial" w:cs="Arial"/>
          <w:sz w:val="20"/>
        </w:rPr>
        <w:t xml:space="preserve"> </w:t>
      </w:r>
    </w:p>
    <w:p w14:paraId="7E7B103D" w14:textId="77777777" w:rsidR="00CC5DB0" w:rsidRDefault="00CC5DB0" w:rsidP="0089536A">
      <w:pPr>
        <w:spacing w:after="0" w:line="240" w:lineRule="auto"/>
        <w:rPr>
          <w:rFonts w:ascii="Arial" w:hAnsi="Arial" w:cs="Arial"/>
          <w:b/>
          <w:sz w:val="20"/>
        </w:rPr>
      </w:pPr>
    </w:p>
    <w:p w14:paraId="522AF423" w14:textId="77777777" w:rsidR="0089536A" w:rsidRPr="00F57AF9" w:rsidRDefault="0089536A" w:rsidP="0089536A">
      <w:pPr>
        <w:spacing w:after="0" w:line="240" w:lineRule="auto"/>
        <w:rPr>
          <w:rFonts w:ascii="Arial" w:hAnsi="Arial" w:cs="Arial"/>
          <w:b/>
          <w:sz w:val="20"/>
        </w:rPr>
      </w:pPr>
      <w:r>
        <w:rPr>
          <w:rFonts w:ascii="Arial" w:hAnsi="Arial" w:cs="Arial"/>
          <w:b/>
          <w:sz w:val="20"/>
        </w:rPr>
        <w:t xml:space="preserve">For </w:t>
      </w:r>
      <w:r w:rsidRPr="00F57AF9">
        <w:rPr>
          <w:rFonts w:ascii="Arial" w:hAnsi="Arial" w:cs="Arial"/>
          <w:b/>
          <w:sz w:val="20"/>
        </w:rPr>
        <w:t xml:space="preserve">Investor </w:t>
      </w:r>
      <w:r>
        <w:rPr>
          <w:rFonts w:ascii="Arial" w:hAnsi="Arial" w:cs="Arial"/>
          <w:b/>
          <w:sz w:val="20"/>
        </w:rPr>
        <w:t>Inquiries</w:t>
      </w:r>
      <w:r w:rsidR="007922BF">
        <w:rPr>
          <w:rFonts w:ascii="Arial" w:hAnsi="Arial" w:cs="Arial"/>
          <w:b/>
          <w:sz w:val="20"/>
        </w:rPr>
        <w:t>:</w:t>
      </w:r>
    </w:p>
    <w:p w14:paraId="54E4C5D8" w14:textId="77777777" w:rsidR="0089536A" w:rsidRDefault="008F708D" w:rsidP="0089536A">
      <w:pPr>
        <w:spacing w:after="0" w:line="240" w:lineRule="auto"/>
        <w:rPr>
          <w:rFonts w:ascii="Arial" w:hAnsi="Arial" w:cs="Arial"/>
          <w:sz w:val="20"/>
        </w:rPr>
      </w:pPr>
      <w:r>
        <w:rPr>
          <w:rFonts w:ascii="Arial" w:hAnsi="Arial" w:cs="Arial"/>
          <w:sz w:val="20"/>
        </w:rPr>
        <w:t>Sean Peasgood</w:t>
      </w:r>
    </w:p>
    <w:p w14:paraId="6786D538" w14:textId="77777777" w:rsidR="0089536A" w:rsidRDefault="007922BF" w:rsidP="0089536A">
      <w:pPr>
        <w:spacing w:after="0" w:line="240" w:lineRule="auto"/>
        <w:rPr>
          <w:rFonts w:ascii="Arial" w:hAnsi="Arial" w:cs="Arial"/>
          <w:sz w:val="20"/>
        </w:rPr>
      </w:pPr>
      <w:r>
        <w:rPr>
          <w:rFonts w:ascii="Arial" w:hAnsi="Arial" w:cs="Arial"/>
          <w:sz w:val="20"/>
        </w:rPr>
        <w:t>+</w:t>
      </w:r>
      <w:r w:rsidR="0089536A">
        <w:rPr>
          <w:rFonts w:ascii="Arial" w:hAnsi="Arial" w:cs="Arial"/>
          <w:sz w:val="20"/>
        </w:rPr>
        <w:t>1.647.362.8286</w:t>
      </w:r>
    </w:p>
    <w:p w14:paraId="3AAEB8CF" w14:textId="77777777" w:rsidR="0089536A" w:rsidRDefault="00EF3BDA" w:rsidP="0089536A">
      <w:pPr>
        <w:spacing w:after="0" w:line="240" w:lineRule="auto"/>
        <w:rPr>
          <w:rStyle w:val="Hyperlink"/>
          <w:rFonts w:ascii="Arial" w:hAnsi="Arial" w:cs="Arial"/>
          <w:sz w:val="20"/>
        </w:rPr>
      </w:pPr>
      <w:hyperlink r:id="rId20" w:history="1">
        <w:r w:rsidR="0089536A" w:rsidRPr="004F0457">
          <w:rPr>
            <w:rStyle w:val="Hyperlink"/>
            <w:rFonts w:ascii="Arial" w:hAnsi="Arial" w:cs="Arial"/>
            <w:sz w:val="20"/>
          </w:rPr>
          <w:t>investors@cb2insights.com</w:t>
        </w:r>
      </w:hyperlink>
      <w:r w:rsidR="0089536A">
        <w:rPr>
          <w:rStyle w:val="Hyperlink"/>
          <w:rFonts w:ascii="Arial" w:hAnsi="Arial" w:cs="Arial"/>
          <w:sz w:val="20"/>
        </w:rPr>
        <w:t xml:space="preserve"> </w:t>
      </w:r>
    </w:p>
    <w:bookmarkEnd w:id="4"/>
    <w:p w14:paraId="5BF4B384" w14:textId="77777777" w:rsidR="0089536A" w:rsidRDefault="0089536A" w:rsidP="0089536A">
      <w:pPr>
        <w:spacing w:after="0" w:line="240" w:lineRule="auto"/>
        <w:rPr>
          <w:rFonts w:ascii="Arial" w:hAnsi="Arial" w:cs="Arial"/>
          <w:sz w:val="20"/>
        </w:rPr>
      </w:pPr>
    </w:p>
    <w:p w14:paraId="5597B262" w14:textId="77777777" w:rsidR="0089536A" w:rsidRPr="00F57AF9" w:rsidRDefault="0089536A" w:rsidP="0089536A">
      <w:pPr>
        <w:spacing w:after="0" w:line="240" w:lineRule="auto"/>
        <w:rPr>
          <w:rFonts w:ascii="Arial" w:hAnsi="Arial" w:cs="Arial"/>
          <w:b/>
          <w:sz w:val="20"/>
        </w:rPr>
      </w:pPr>
      <w:r w:rsidRPr="00F57AF9">
        <w:rPr>
          <w:rFonts w:ascii="Arial" w:hAnsi="Arial" w:cs="Arial"/>
          <w:b/>
          <w:sz w:val="20"/>
        </w:rPr>
        <w:t>For Media Inquiries:</w:t>
      </w:r>
    </w:p>
    <w:p w14:paraId="37A334DD" w14:textId="77777777" w:rsidR="0089536A" w:rsidRDefault="0089536A" w:rsidP="0089536A">
      <w:pPr>
        <w:spacing w:after="0" w:line="240" w:lineRule="auto"/>
        <w:rPr>
          <w:rFonts w:ascii="Arial" w:hAnsi="Arial" w:cs="Arial"/>
          <w:sz w:val="20"/>
        </w:rPr>
      </w:pPr>
      <w:r>
        <w:rPr>
          <w:rFonts w:ascii="Arial" w:hAnsi="Arial" w:cs="Arial"/>
          <w:sz w:val="20"/>
        </w:rPr>
        <w:t>KCSA Strategic Communications</w:t>
      </w:r>
    </w:p>
    <w:p w14:paraId="0B2FE545" w14:textId="77777777" w:rsidR="0089536A" w:rsidRPr="000C593F" w:rsidRDefault="00EF3BDA" w:rsidP="0089536A">
      <w:pPr>
        <w:spacing w:after="0" w:line="240" w:lineRule="auto"/>
        <w:rPr>
          <w:rFonts w:ascii="Arial" w:hAnsi="Arial" w:cs="Arial"/>
          <w:sz w:val="20"/>
        </w:rPr>
      </w:pPr>
      <w:hyperlink r:id="rId21" w:history="1">
        <w:r w:rsidR="0089536A" w:rsidRPr="004F0457">
          <w:rPr>
            <w:rStyle w:val="Hyperlink"/>
            <w:rFonts w:ascii="Arial" w:hAnsi="Arial" w:cs="Arial"/>
            <w:sz w:val="20"/>
          </w:rPr>
          <w:t>cb2@kcsa.com</w:t>
        </w:r>
      </w:hyperlink>
      <w:r w:rsidR="0089536A">
        <w:rPr>
          <w:rFonts w:ascii="Arial" w:hAnsi="Arial" w:cs="Arial"/>
          <w:sz w:val="20"/>
        </w:rPr>
        <w:t xml:space="preserve"> </w:t>
      </w:r>
    </w:p>
    <w:p w14:paraId="477B3985" w14:textId="77777777" w:rsidR="000C593F" w:rsidRDefault="000C593F" w:rsidP="004219B4">
      <w:pPr>
        <w:rPr>
          <w:rFonts w:ascii="Arial" w:hAnsi="Arial" w:cs="Arial"/>
          <w:b/>
          <w:sz w:val="20"/>
        </w:rPr>
      </w:pPr>
    </w:p>
    <w:p w14:paraId="5D5A78A9" w14:textId="77777777" w:rsidR="00897F4F" w:rsidRPr="00A303BB" w:rsidRDefault="00897F4F" w:rsidP="00897F4F">
      <w:pPr>
        <w:keepNext/>
        <w:rPr>
          <w:rFonts w:ascii="Arial" w:hAnsi="Arial" w:cs="Arial"/>
          <w:b/>
          <w:sz w:val="16"/>
        </w:rPr>
      </w:pPr>
      <w:r w:rsidRPr="00A303BB">
        <w:rPr>
          <w:rFonts w:ascii="Arial" w:hAnsi="Arial" w:cs="Arial"/>
          <w:b/>
          <w:sz w:val="16"/>
        </w:rPr>
        <w:t>Forward Looking Statements</w:t>
      </w:r>
    </w:p>
    <w:p w14:paraId="72D3C0F6" w14:textId="77777777" w:rsidR="00897F4F" w:rsidRPr="00A303BB" w:rsidRDefault="00897F4F" w:rsidP="00897F4F">
      <w:pPr>
        <w:keepLines/>
        <w:rPr>
          <w:rFonts w:ascii="Arial" w:hAnsi="Arial" w:cs="Arial"/>
          <w:i/>
          <w:color w:val="262626"/>
          <w:sz w:val="16"/>
          <w:szCs w:val="20"/>
          <w:shd w:val="clear" w:color="auto" w:fill="FFFFFF"/>
        </w:rPr>
      </w:pPr>
      <w:r w:rsidRPr="00A303BB">
        <w:rPr>
          <w:rFonts w:ascii="Arial" w:hAnsi="Arial" w:cs="Arial"/>
          <w:i/>
          <w:color w:val="262626"/>
          <w:sz w:val="16"/>
          <w:szCs w:val="20"/>
          <w:shd w:val="clear" w:color="auto" w:fill="FFFFFF"/>
        </w:rPr>
        <w:t xml:space="preserve">Statements in this news release that are forward-looking statements are subject to various risks and uncertainties concerning the specific factors disclosed here and elsewhere in CB2’s filings with Canadian securities regulators. When used in this news release, words such as "will, could, plan, estimate, expect, intend, may, potential, believe, should," and similar expressions, are forward-looking statements. </w:t>
      </w:r>
    </w:p>
    <w:p w14:paraId="409E87D7" w14:textId="77777777" w:rsidR="00897F4F" w:rsidRPr="00A303BB" w:rsidRDefault="00897F4F" w:rsidP="00897F4F">
      <w:pPr>
        <w:keepLines/>
        <w:rPr>
          <w:rFonts w:ascii="Arial" w:hAnsi="Arial" w:cs="Arial"/>
          <w:i/>
          <w:color w:val="262626"/>
          <w:sz w:val="16"/>
          <w:szCs w:val="20"/>
          <w:shd w:val="clear" w:color="auto" w:fill="FFFFFF"/>
        </w:rPr>
      </w:pPr>
      <w:r w:rsidRPr="00A303BB">
        <w:rPr>
          <w:rFonts w:ascii="Arial" w:hAnsi="Arial" w:cs="Arial"/>
          <w:i/>
          <w:color w:val="262626"/>
          <w:sz w:val="16"/>
          <w:szCs w:val="20"/>
          <w:shd w:val="clear" w:color="auto" w:fill="FFFFFF"/>
        </w:rPr>
        <w:t xml:space="preserve">Forward-looking statements may include, without limitation, statements regarding the opportunity to provide services and software to the U.S. cannabis industry. </w:t>
      </w:r>
    </w:p>
    <w:p w14:paraId="1CCE214B" w14:textId="77777777" w:rsidR="00897F4F" w:rsidRPr="00A303BB" w:rsidRDefault="00897F4F" w:rsidP="00897F4F">
      <w:pPr>
        <w:keepLines/>
        <w:rPr>
          <w:rFonts w:ascii="Arial" w:hAnsi="Arial" w:cs="Arial"/>
          <w:i/>
          <w:color w:val="262626"/>
          <w:sz w:val="16"/>
          <w:szCs w:val="20"/>
          <w:shd w:val="clear" w:color="auto" w:fill="FFFFFF"/>
        </w:rPr>
      </w:pPr>
      <w:r w:rsidRPr="00A303BB">
        <w:rPr>
          <w:rFonts w:ascii="Arial" w:hAnsi="Arial" w:cs="Arial"/>
          <w:i/>
          <w:color w:val="262626"/>
          <w:sz w:val="16"/>
          <w:szCs w:val="20"/>
          <w:shd w:val="clear" w:color="auto" w:fill="FFFFFF"/>
        </w:rPr>
        <w:t xml:space="preserve">Although CB2 has attempted to identify important factors that could cause actual results, performance or achievements to differ materially from those contained in the forward-looking statements, there can be other factors that cause results, performance or achievements not to be as anticipated, estimated or intended, including, but not limited to: dependence on obtaining regulatory approvals; investing in target companies or projects which have limited or no operating history and are </w:t>
      </w:r>
      <w:r w:rsidRPr="00A303BB">
        <w:rPr>
          <w:rFonts w:ascii="Arial" w:hAnsi="Arial" w:cs="Arial"/>
          <w:i/>
          <w:color w:val="262626"/>
          <w:sz w:val="16"/>
          <w:szCs w:val="20"/>
          <w:shd w:val="clear" w:color="auto" w:fill="FFFFFF"/>
          <w:lang w:val="en-US"/>
        </w:rPr>
        <w:t>subject to inconsistent legislation and regulation</w:t>
      </w:r>
      <w:r w:rsidRPr="00A303BB">
        <w:rPr>
          <w:rFonts w:ascii="Arial" w:hAnsi="Arial" w:cs="Arial"/>
          <w:i/>
          <w:color w:val="262626"/>
          <w:sz w:val="16"/>
          <w:szCs w:val="20"/>
          <w:shd w:val="clear" w:color="auto" w:fill="FFFFFF"/>
        </w:rPr>
        <w:t xml:space="preserve">; change in laws; reliance on management; requirements for additional financing; competition; hindering market growth and state adoption due to inconsistent public opinion and perception of the medical-use and recreational-use marijuana industry and; regulatory or political change. </w:t>
      </w:r>
    </w:p>
    <w:p w14:paraId="2ADFFA16" w14:textId="77777777" w:rsidR="00897F4F" w:rsidRPr="00A303BB" w:rsidRDefault="00897F4F" w:rsidP="00897F4F">
      <w:pPr>
        <w:keepLines/>
        <w:rPr>
          <w:rFonts w:ascii="Arial" w:hAnsi="Arial" w:cs="Arial"/>
          <w:i/>
          <w:color w:val="262626"/>
          <w:sz w:val="16"/>
          <w:szCs w:val="20"/>
          <w:shd w:val="clear" w:color="auto" w:fill="FFFFFF"/>
        </w:rPr>
      </w:pPr>
      <w:r w:rsidRPr="00A303BB">
        <w:rPr>
          <w:rFonts w:ascii="Arial" w:hAnsi="Arial" w:cs="Arial"/>
          <w:i/>
          <w:color w:val="262626"/>
          <w:sz w:val="16"/>
          <w:szCs w:val="20"/>
          <w:shd w:val="clear" w:color="auto" w:fill="FFFFFF"/>
        </w:rPr>
        <w:t xml:space="preserve">There can be no assurance that such information will prove to be accurate or that management's expectations or estimates of future developments, circumstances or results will materialize. As a result of these risks and uncertainties, the results or events predicted in these forward-looking statements may differ materially from actual results or events. </w:t>
      </w:r>
    </w:p>
    <w:p w14:paraId="6D89EE8A" w14:textId="77777777" w:rsidR="00897F4F" w:rsidRPr="00A303BB" w:rsidRDefault="00897F4F" w:rsidP="00897F4F">
      <w:pPr>
        <w:keepLines/>
        <w:rPr>
          <w:rFonts w:ascii="Arial" w:hAnsi="Arial" w:cs="Arial"/>
          <w:i/>
          <w:color w:val="262626"/>
          <w:sz w:val="16"/>
          <w:szCs w:val="20"/>
          <w:shd w:val="clear" w:color="auto" w:fill="FFFFFF"/>
        </w:rPr>
      </w:pPr>
      <w:r w:rsidRPr="00A303BB">
        <w:rPr>
          <w:rFonts w:ascii="Arial" w:hAnsi="Arial" w:cs="Arial"/>
          <w:i/>
          <w:color w:val="262626"/>
          <w:sz w:val="16"/>
          <w:szCs w:val="20"/>
          <w:shd w:val="clear" w:color="auto" w:fill="FFFFFF"/>
        </w:rPr>
        <w:t xml:space="preserve">Accordingly, readers should not place undue reliance on forward-looking statements. The forward-looking statements in this news release are made as of the date of this release. CB2 disclaims any intention or obligation to update or revise such information, except as required by applicable law, and CB2 does not assume any liability for disclosure relating to any other company mentioned herein.  </w:t>
      </w:r>
    </w:p>
    <w:p w14:paraId="5F910816" w14:textId="77777777" w:rsidR="00177F1F" w:rsidRDefault="00897F4F" w:rsidP="004219B4">
      <w:pPr>
        <w:rPr>
          <w:rFonts w:ascii="Arial" w:hAnsi="Arial" w:cs="Arial"/>
          <w:b/>
          <w:sz w:val="20"/>
        </w:rPr>
      </w:pPr>
      <w:bookmarkStart w:id="5" w:name="_Hlk9854894"/>
      <w:r w:rsidRPr="00A303BB">
        <w:rPr>
          <w:rFonts w:ascii="Arial" w:hAnsi="Arial" w:cs="Arial"/>
          <w:b/>
          <w:color w:val="262626"/>
          <w:sz w:val="16"/>
          <w:szCs w:val="20"/>
          <w:shd w:val="clear" w:color="auto" w:fill="FFFFFF"/>
        </w:rPr>
        <w:t>No securities regulator or exchange has reviewed, approved, disapproved, or accepts responsibility for the content of this news release.</w:t>
      </w:r>
      <w:bookmarkEnd w:id="5"/>
    </w:p>
    <w:p w14:paraId="59F019D2" w14:textId="77777777" w:rsidR="00177F1F" w:rsidRDefault="00177F1F" w:rsidP="004219B4">
      <w:pPr>
        <w:rPr>
          <w:rFonts w:ascii="Arial" w:hAnsi="Arial" w:cs="Arial"/>
          <w:b/>
          <w:sz w:val="20"/>
        </w:rPr>
      </w:pPr>
    </w:p>
    <w:sectPr w:rsidR="00177F1F" w:rsidSect="00F81268">
      <w:headerReference w:type="default" r:id="rId2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C6EB8" w14:textId="77777777" w:rsidR="00EF3BDA" w:rsidRDefault="00EF3BDA" w:rsidP="00544C3A">
      <w:pPr>
        <w:spacing w:after="0" w:line="240" w:lineRule="auto"/>
      </w:pPr>
      <w:r>
        <w:separator/>
      </w:r>
    </w:p>
  </w:endnote>
  <w:endnote w:type="continuationSeparator" w:id="0">
    <w:p w14:paraId="41E97F0A" w14:textId="77777777" w:rsidR="00EF3BDA" w:rsidRDefault="00EF3BDA" w:rsidP="0054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1D212" w14:textId="77777777" w:rsidR="00EF3BDA" w:rsidRDefault="00EF3BDA" w:rsidP="00544C3A">
      <w:pPr>
        <w:spacing w:after="0" w:line="240" w:lineRule="auto"/>
      </w:pPr>
      <w:r>
        <w:separator/>
      </w:r>
    </w:p>
  </w:footnote>
  <w:footnote w:type="continuationSeparator" w:id="0">
    <w:p w14:paraId="504B88EE" w14:textId="77777777" w:rsidR="00EF3BDA" w:rsidRDefault="00EF3BDA" w:rsidP="00544C3A">
      <w:pPr>
        <w:spacing w:after="0" w:line="240" w:lineRule="auto"/>
      </w:pPr>
      <w:r>
        <w:continuationSeparator/>
      </w:r>
    </w:p>
  </w:footnote>
  <w:footnote w:id="1">
    <w:p w14:paraId="2F1D7EAF" w14:textId="77777777" w:rsidR="00B07DB6" w:rsidRDefault="00B07DB6">
      <w:pPr>
        <w:pStyle w:val="FootnoteText"/>
      </w:pPr>
    </w:p>
  </w:footnote>
  <w:footnote w:id="2">
    <w:p w14:paraId="1991C064" w14:textId="77777777" w:rsidR="00E10530" w:rsidRDefault="00E1053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19E6" w14:textId="77777777" w:rsidR="00A42CBB" w:rsidRPr="007E54FB" w:rsidRDefault="007E54FB" w:rsidP="007E54FB">
    <w:pPr>
      <w:rPr>
        <w:rFonts w:ascii="Arial" w:hAnsi="Arial" w:cs="Arial"/>
        <w:b/>
        <w:sz w:val="36"/>
      </w:rPr>
    </w:pPr>
    <w:r>
      <w:rPr>
        <w:noProof/>
      </w:rPr>
      <w:drawing>
        <wp:anchor distT="0" distB="0" distL="114300" distR="114300" simplePos="0" relativeHeight="251658240" behindDoc="1" locked="0" layoutInCell="1" allowOverlap="1" wp14:anchorId="5CCF352A" wp14:editId="143778AF">
          <wp:simplePos x="0" y="0"/>
          <wp:positionH relativeFrom="margin">
            <wp:align>right</wp:align>
          </wp:positionH>
          <wp:positionV relativeFrom="paragraph">
            <wp:posOffset>-182880</wp:posOffset>
          </wp:positionV>
          <wp:extent cx="1905000" cy="479099"/>
          <wp:effectExtent l="0" t="0" r="0" b="0"/>
          <wp:wrapTight wrapText="bothSides">
            <wp:wrapPolygon edited="0">
              <wp:start x="0" y="0"/>
              <wp:lineTo x="0" y="20626"/>
              <wp:lineTo x="21384" y="20626"/>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2-logo.jpg"/>
                  <pic:cNvPicPr/>
                </pic:nvPicPr>
                <pic:blipFill>
                  <a:blip r:embed="rId1">
                    <a:extLst>
                      <a:ext uri="{28A0092B-C50C-407E-A947-70E740481C1C}">
                        <a14:useLocalDpi xmlns:a14="http://schemas.microsoft.com/office/drawing/2010/main" val="0"/>
                      </a:ext>
                    </a:extLst>
                  </a:blip>
                  <a:stretch>
                    <a:fillRect/>
                  </a:stretch>
                </pic:blipFill>
                <pic:spPr>
                  <a:xfrm>
                    <a:off x="0" y="0"/>
                    <a:ext cx="1905000" cy="479099"/>
                  </a:xfrm>
                  <a:prstGeom prst="rect">
                    <a:avLst/>
                  </a:prstGeom>
                </pic:spPr>
              </pic:pic>
            </a:graphicData>
          </a:graphic>
          <wp14:sizeRelH relativeFrom="page">
            <wp14:pctWidth>0</wp14:pctWidth>
          </wp14:sizeRelH>
          <wp14:sizeRelV relativeFrom="page">
            <wp14:pctHeight>0</wp14:pctHeight>
          </wp14:sizeRelV>
        </wp:anchor>
      </w:drawing>
    </w:r>
    <w:r w:rsidRPr="000C593F">
      <w:rPr>
        <w:rFonts w:ascii="Arial" w:hAnsi="Arial" w:cs="Arial"/>
        <w:b/>
        <w:sz w:val="36"/>
      </w:rPr>
      <w:t>NEWS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7DFD"/>
    <w:multiLevelType w:val="hybridMultilevel"/>
    <w:tmpl w:val="5420C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687C15"/>
    <w:multiLevelType w:val="hybridMultilevel"/>
    <w:tmpl w:val="2B9EAD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2031C94"/>
    <w:multiLevelType w:val="hybridMultilevel"/>
    <w:tmpl w:val="0CA8CB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7FF4008"/>
    <w:multiLevelType w:val="hybridMultilevel"/>
    <w:tmpl w:val="60D8B8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4D7002D7"/>
    <w:multiLevelType w:val="hybridMultilevel"/>
    <w:tmpl w:val="59B29D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6273040"/>
    <w:multiLevelType w:val="hybridMultilevel"/>
    <w:tmpl w:val="890878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7EEB6437"/>
    <w:multiLevelType w:val="hybridMultilevel"/>
    <w:tmpl w:val="A79465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C3A"/>
    <w:rsid w:val="00000D18"/>
    <w:rsid w:val="00001EC2"/>
    <w:rsid w:val="000036AB"/>
    <w:rsid w:val="00014988"/>
    <w:rsid w:val="000154B2"/>
    <w:rsid w:val="000170C0"/>
    <w:rsid w:val="000209A8"/>
    <w:rsid w:val="0002195B"/>
    <w:rsid w:val="000344D4"/>
    <w:rsid w:val="00041760"/>
    <w:rsid w:val="00047F74"/>
    <w:rsid w:val="00050ACE"/>
    <w:rsid w:val="000656F2"/>
    <w:rsid w:val="0007213F"/>
    <w:rsid w:val="00073DEE"/>
    <w:rsid w:val="000746C5"/>
    <w:rsid w:val="00093EA6"/>
    <w:rsid w:val="000A3413"/>
    <w:rsid w:val="000C2341"/>
    <w:rsid w:val="000C593F"/>
    <w:rsid w:val="000D739F"/>
    <w:rsid w:val="000E1ED6"/>
    <w:rsid w:val="000E3727"/>
    <w:rsid w:val="000E46E6"/>
    <w:rsid w:val="000E4DEC"/>
    <w:rsid w:val="000E5635"/>
    <w:rsid w:val="000F5ACC"/>
    <w:rsid w:val="00104077"/>
    <w:rsid w:val="0010746A"/>
    <w:rsid w:val="0011303D"/>
    <w:rsid w:val="00115718"/>
    <w:rsid w:val="00141515"/>
    <w:rsid w:val="001432EC"/>
    <w:rsid w:val="00144FA7"/>
    <w:rsid w:val="001470C7"/>
    <w:rsid w:val="00153591"/>
    <w:rsid w:val="00165AD3"/>
    <w:rsid w:val="00175C8D"/>
    <w:rsid w:val="00177F1F"/>
    <w:rsid w:val="00182E1A"/>
    <w:rsid w:val="0019168C"/>
    <w:rsid w:val="00191AC4"/>
    <w:rsid w:val="001932FA"/>
    <w:rsid w:val="001A6F37"/>
    <w:rsid w:val="001B5077"/>
    <w:rsid w:val="001B76CD"/>
    <w:rsid w:val="001B7AFE"/>
    <w:rsid w:val="001B7DE8"/>
    <w:rsid w:val="001C1FA4"/>
    <w:rsid w:val="001C35A5"/>
    <w:rsid w:val="001C52FF"/>
    <w:rsid w:val="001C5E78"/>
    <w:rsid w:val="001D4874"/>
    <w:rsid w:val="001E350C"/>
    <w:rsid w:val="001E469B"/>
    <w:rsid w:val="001E5D73"/>
    <w:rsid w:val="001F6F15"/>
    <w:rsid w:val="002024E3"/>
    <w:rsid w:val="00203BF2"/>
    <w:rsid w:val="00211490"/>
    <w:rsid w:val="00211636"/>
    <w:rsid w:val="00212F39"/>
    <w:rsid w:val="00213FF1"/>
    <w:rsid w:val="00220319"/>
    <w:rsid w:val="0023054F"/>
    <w:rsid w:val="00233A32"/>
    <w:rsid w:val="002362A5"/>
    <w:rsid w:val="002403C6"/>
    <w:rsid w:val="00241E99"/>
    <w:rsid w:val="00243FAD"/>
    <w:rsid w:val="00252BC2"/>
    <w:rsid w:val="00256EB8"/>
    <w:rsid w:val="002615F4"/>
    <w:rsid w:val="00275E04"/>
    <w:rsid w:val="002A3D25"/>
    <w:rsid w:val="002A5D2C"/>
    <w:rsid w:val="002C0A2E"/>
    <w:rsid w:val="002C272B"/>
    <w:rsid w:val="002C4E00"/>
    <w:rsid w:val="002C4FD6"/>
    <w:rsid w:val="002D050E"/>
    <w:rsid w:val="002D0ED8"/>
    <w:rsid w:val="002D104E"/>
    <w:rsid w:val="002D4FDB"/>
    <w:rsid w:val="002D6F63"/>
    <w:rsid w:val="002E10F9"/>
    <w:rsid w:val="002E3148"/>
    <w:rsid w:val="002E663B"/>
    <w:rsid w:val="002F0165"/>
    <w:rsid w:val="0030618B"/>
    <w:rsid w:val="00306772"/>
    <w:rsid w:val="00316BBD"/>
    <w:rsid w:val="00321CCB"/>
    <w:rsid w:val="003238A2"/>
    <w:rsid w:val="00323DE4"/>
    <w:rsid w:val="003315D5"/>
    <w:rsid w:val="0033438D"/>
    <w:rsid w:val="00344872"/>
    <w:rsid w:val="0035090D"/>
    <w:rsid w:val="0035219D"/>
    <w:rsid w:val="00360B5D"/>
    <w:rsid w:val="0036237F"/>
    <w:rsid w:val="003728E9"/>
    <w:rsid w:val="00373584"/>
    <w:rsid w:val="003825D1"/>
    <w:rsid w:val="00382B16"/>
    <w:rsid w:val="00383C89"/>
    <w:rsid w:val="003B11F9"/>
    <w:rsid w:val="003B2072"/>
    <w:rsid w:val="003B7A9C"/>
    <w:rsid w:val="003C1159"/>
    <w:rsid w:val="003F1C69"/>
    <w:rsid w:val="003F6149"/>
    <w:rsid w:val="003F77FB"/>
    <w:rsid w:val="00403629"/>
    <w:rsid w:val="004051EC"/>
    <w:rsid w:val="0041182F"/>
    <w:rsid w:val="00414395"/>
    <w:rsid w:val="0041645C"/>
    <w:rsid w:val="00416EDC"/>
    <w:rsid w:val="004219B4"/>
    <w:rsid w:val="00422354"/>
    <w:rsid w:val="004321C2"/>
    <w:rsid w:val="00435D6C"/>
    <w:rsid w:val="004368B8"/>
    <w:rsid w:val="004407C1"/>
    <w:rsid w:val="00452898"/>
    <w:rsid w:val="004569BF"/>
    <w:rsid w:val="00462B03"/>
    <w:rsid w:val="00463DAD"/>
    <w:rsid w:val="00471DE4"/>
    <w:rsid w:val="00476AB5"/>
    <w:rsid w:val="004807DF"/>
    <w:rsid w:val="004903AB"/>
    <w:rsid w:val="00491AF5"/>
    <w:rsid w:val="004927EF"/>
    <w:rsid w:val="00494A97"/>
    <w:rsid w:val="004957AE"/>
    <w:rsid w:val="004961F1"/>
    <w:rsid w:val="004A0FFF"/>
    <w:rsid w:val="004A1341"/>
    <w:rsid w:val="004A4B00"/>
    <w:rsid w:val="004A700D"/>
    <w:rsid w:val="004E6F3B"/>
    <w:rsid w:val="004F15E9"/>
    <w:rsid w:val="004F3D95"/>
    <w:rsid w:val="004F5E0E"/>
    <w:rsid w:val="00503289"/>
    <w:rsid w:val="00507B3E"/>
    <w:rsid w:val="00516DD2"/>
    <w:rsid w:val="00525141"/>
    <w:rsid w:val="00532648"/>
    <w:rsid w:val="00536F3F"/>
    <w:rsid w:val="005425F7"/>
    <w:rsid w:val="005432DD"/>
    <w:rsid w:val="00544506"/>
    <w:rsid w:val="00544C3A"/>
    <w:rsid w:val="00547E33"/>
    <w:rsid w:val="00550564"/>
    <w:rsid w:val="005509B0"/>
    <w:rsid w:val="005532B9"/>
    <w:rsid w:val="00566B64"/>
    <w:rsid w:val="005757A4"/>
    <w:rsid w:val="00591A85"/>
    <w:rsid w:val="0059277C"/>
    <w:rsid w:val="00592E35"/>
    <w:rsid w:val="005A208F"/>
    <w:rsid w:val="005A2A76"/>
    <w:rsid w:val="005B198B"/>
    <w:rsid w:val="005B5A36"/>
    <w:rsid w:val="005C320E"/>
    <w:rsid w:val="005C4998"/>
    <w:rsid w:val="005C50BE"/>
    <w:rsid w:val="005D368F"/>
    <w:rsid w:val="005D7A5F"/>
    <w:rsid w:val="005E326A"/>
    <w:rsid w:val="005E7907"/>
    <w:rsid w:val="005F172F"/>
    <w:rsid w:val="005F2CF2"/>
    <w:rsid w:val="005F53E3"/>
    <w:rsid w:val="005F66E6"/>
    <w:rsid w:val="0060555F"/>
    <w:rsid w:val="00605578"/>
    <w:rsid w:val="00606C17"/>
    <w:rsid w:val="00606CBD"/>
    <w:rsid w:val="00614D4D"/>
    <w:rsid w:val="00635517"/>
    <w:rsid w:val="006425D7"/>
    <w:rsid w:val="00645984"/>
    <w:rsid w:val="00652BC5"/>
    <w:rsid w:val="006572D2"/>
    <w:rsid w:val="00660C45"/>
    <w:rsid w:val="006722AB"/>
    <w:rsid w:val="0067277B"/>
    <w:rsid w:val="00677348"/>
    <w:rsid w:val="00690B11"/>
    <w:rsid w:val="00695515"/>
    <w:rsid w:val="006A48B6"/>
    <w:rsid w:val="006B6FB4"/>
    <w:rsid w:val="006C5191"/>
    <w:rsid w:val="006C7A11"/>
    <w:rsid w:val="006D2E99"/>
    <w:rsid w:val="006D5544"/>
    <w:rsid w:val="006D6C51"/>
    <w:rsid w:val="006E1DF0"/>
    <w:rsid w:val="006F0D3C"/>
    <w:rsid w:val="00701ADA"/>
    <w:rsid w:val="00722612"/>
    <w:rsid w:val="00722651"/>
    <w:rsid w:val="00723EB1"/>
    <w:rsid w:val="0072752E"/>
    <w:rsid w:val="00731393"/>
    <w:rsid w:val="00734401"/>
    <w:rsid w:val="00742CF4"/>
    <w:rsid w:val="007453F7"/>
    <w:rsid w:val="007472F2"/>
    <w:rsid w:val="007477F5"/>
    <w:rsid w:val="00755BA2"/>
    <w:rsid w:val="00763D4A"/>
    <w:rsid w:val="00766DB8"/>
    <w:rsid w:val="007725A6"/>
    <w:rsid w:val="0078171A"/>
    <w:rsid w:val="007826E7"/>
    <w:rsid w:val="00786503"/>
    <w:rsid w:val="007921BB"/>
    <w:rsid w:val="007922BF"/>
    <w:rsid w:val="00796863"/>
    <w:rsid w:val="007B4965"/>
    <w:rsid w:val="007C7E00"/>
    <w:rsid w:val="007D2EBB"/>
    <w:rsid w:val="007D6353"/>
    <w:rsid w:val="007E0300"/>
    <w:rsid w:val="007E54FB"/>
    <w:rsid w:val="00802640"/>
    <w:rsid w:val="008041A1"/>
    <w:rsid w:val="008248A3"/>
    <w:rsid w:val="00825707"/>
    <w:rsid w:val="00834DF6"/>
    <w:rsid w:val="00836436"/>
    <w:rsid w:val="008375F5"/>
    <w:rsid w:val="00837BB4"/>
    <w:rsid w:val="00841BF7"/>
    <w:rsid w:val="008435EA"/>
    <w:rsid w:val="0084432B"/>
    <w:rsid w:val="00844760"/>
    <w:rsid w:val="00847978"/>
    <w:rsid w:val="00847B91"/>
    <w:rsid w:val="00866248"/>
    <w:rsid w:val="00882C68"/>
    <w:rsid w:val="00885DD5"/>
    <w:rsid w:val="0088738E"/>
    <w:rsid w:val="00890149"/>
    <w:rsid w:val="0089181C"/>
    <w:rsid w:val="0089536A"/>
    <w:rsid w:val="00895AE4"/>
    <w:rsid w:val="00896020"/>
    <w:rsid w:val="008972E8"/>
    <w:rsid w:val="00897F4F"/>
    <w:rsid w:val="008B3204"/>
    <w:rsid w:val="008C3264"/>
    <w:rsid w:val="008D68E3"/>
    <w:rsid w:val="008D7A4E"/>
    <w:rsid w:val="008F708D"/>
    <w:rsid w:val="00900907"/>
    <w:rsid w:val="00923264"/>
    <w:rsid w:val="009250C8"/>
    <w:rsid w:val="009269E8"/>
    <w:rsid w:val="009326DD"/>
    <w:rsid w:val="0093590D"/>
    <w:rsid w:val="009426B9"/>
    <w:rsid w:val="00943C8B"/>
    <w:rsid w:val="00944A83"/>
    <w:rsid w:val="00950546"/>
    <w:rsid w:val="00953F49"/>
    <w:rsid w:val="00956936"/>
    <w:rsid w:val="009633E6"/>
    <w:rsid w:val="009642CC"/>
    <w:rsid w:val="00964A0C"/>
    <w:rsid w:val="0098505D"/>
    <w:rsid w:val="00985FC2"/>
    <w:rsid w:val="00993BFF"/>
    <w:rsid w:val="009A1F1E"/>
    <w:rsid w:val="009A3E22"/>
    <w:rsid w:val="009A4309"/>
    <w:rsid w:val="009D5613"/>
    <w:rsid w:val="009F1A93"/>
    <w:rsid w:val="009F388B"/>
    <w:rsid w:val="009F5268"/>
    <w:rsid w:val="00A079D6"/>
    <w:rsid w:val="00A23F9F"/>
    <w:rsid w:val="00A24E28"/>
    <w:rsid w:val="00A26BC6"/>
    <w:rsid w:val="00A37452"/>
    <w:rsid w:val="00A427C2"/>
    <w:rsid w:val="00A42CBB"/>
    <w:rsid w:val="00A53D49"/>
    <w:rsid w:val="00A5559C"/>
    <w:rsid w:val="00A72E97"/>
    <w:rsid w:val="00A75EE5"/>
    <w:rsid w:val="00A80400"/>
    <w:rsid w:val="00A811FC"/>
    <w:rsid w:val="00A82535"/>
    <w:rsid w:val="00A86140"/>
    <w:rsid w:val="00A924ED"/>
    <w:rsid w:val="00A92B6B"/>
    <w:rsid w:val="00A956BE"/>
    <w:rsid w:val="00AA4D19"/>
    <w:rsid w:val="00AA7163"/>
    <w:rsid w:val="00AA7E1E"/>
    <w:rsid w:val="00AB24FC"/>
    <w:rsid w:val="00AD165C"/>
    <w:rsid w:val="00AD5B01"/>
    <w:rsid w:val="00AD7464"/>
    <w:rsid w:val="00AD7F60"/>
    <w:rsid w:val="00AE5540"/>
    <w:rsid w:val="00B0784C"/>
    <w:rsid w:val="00B07DB6"/>
    <w:rsid w:val="00B10C63"/>
    <w:rsid w:val="00B146B0"/>
    <w:rsid w:val="00B31791"/>
    <w:rsid w:val="00B35DEC"/>
    <w:rsid w:val="00B47F22"/>
    <w:rsid w:val="00B519AC"/>
    <w:rsid w:val="00B53EB8"/>
    <w:rsid w:val="00B604FB"/>
    <w:rsid w:val="00B605D2"/>
    <w:rsid w:val="00B63F77"/>
    <w:rsid w:val="00B64D00"/>
    <w:rsid w:val="00B71D49"/>
    <w:rsid w:val="00B734FA"/>
    <w:rsid w:val="00B81E50"/>
    <w:rsid w:val="00B853E6"/>
    <w:rsid w:val="00B94803"/>
    <w:rsid w:val="00B94BF3"/>
    <w:rsid w:val="00B968F7"/>
    <w:rsid w:val="00BA7027"/>
    <w:rsid w:val="00BE45C2"/>
    <w:rsid w:val="00BE6248"/>
    <w:rsid w:val="00BF1DB3"/>
    <w:rsid w:val="00BF1F14"/>
    <w:rsid w:val="00BF6F3F"/>
    <w:rsid w:val="00C01FB7"/>
    <w:rsid w:val="00C05894"/>
    <w:rsid w:val="00C16733"/>
    <w:rsid w:val="00C21104"/>
    <w:rsid w:val="00C2139E"/>
    <w:rsid w:val="00C307F7"/>
    <w:rsid w:val="00C4442F"/>
    <w:rsid w:val="00C552CF"/>
    <w:rsid w:val="00C76F2A"/>
    <w:rsid w:val="00C801E3"/>
    <w:rsid w:val="00C924CA"/>
    <w:rsid w:val="00C92D0F"/>
    <w:rsid w:val="00C95287"/>
    <w:rsid w:val="00CA23DB"/>
    <w:rsid w:val="00CA5126"/>
    <w:rsid w:val="00CA567E"/>
    <w:rsid w:val="00CA6F43"/>
    <w:rsid w:val="00CB1805"/>
    <w:rsid w:val="00CB6E08"/>
    <w:rsid w:val="00CC5DB0"/>
    <w:rsid w:val="00CD7152"/>
    <w:rsid w:val="00CE1021"/>
    <w:rsid w:val="00CE3D7C"/>
    <w:rsid w:val="00CE6A7C"/>
    <w:rsid w:val="00CF62FA"/>
    <w:rsid w:val="00D00370"/>
    <w:rsid w:val="00D142FF"/>
    <w:rsid w:val="00D21CF7"/>
    <w:rsid w:val="00D2223C"/>
    <w:rsid w:val="00D32A25"/>
    <w:rsid w:val="00D33788"/>
    <w:rsid w:val="00D43857"/>
    <w:rsid w:val="00D45785"/>
    <w:rsid w:val="00D45AE8"/>
    <w:rsid w:val="00D5463F"/>
    <w:rsid w:val="00D61548"/>
    <w:rsid w:val="00D628D1"/>
    <w:rsid w:val="00D77E48"/>
    <w:rsid w:val="00D82775"/>
    <w:rsid w:val="00D82C95"/>
    <w:rsid w:val="00D84E3F"/>
    <w:rsid w:val="00D8645A"/>
    <w:rsid w:val="00D868F6"/>
    <w:rsid w:val="00D86902"/>
    <w:rsid w:val="00D9141A"/>
    <w:rsid w:val="00D92887"/>
    <w:rsid w:val="00D97EB9"/>
    <w:rsid w:val="00DA1413"/>
    <w:rsid w:val="00DA3E29"/>
    <w:rsid w:val="00DB410D"/>
    <w:rsid w:val="00DC05AB"/>
    <w:rsid w:val="00DC150A"/>
    <w:rsid w:val="00DD1776"/>
    <w:rsid w:val="00DD42F1"/>
    <w:rsid w:val="00DD5AC6"/>
    <w:rsid w:val="00DE231A"/>
    <w:rsid w:val="00DE300E"/>
    <w:rsid w:val="00DE6D83"/>
    <w:rsid w:val="00DF5C61"/>
    <w:rsid w:val="00E00769"/>
    <w:rsid w:val="00E00EA7"/>
    <w:rsid w:val="00E03042"/>
    <w:rsid w:val="00E047C4"/>
    <w:rsid w:val="00E10530"/>
    <w:rsid w:val="00E12EDE"/>
    <w:rsid w:val="00E1329A"/>
    <w:rsid w:val="00E15968"/>
    <w:rsid w:val="00E1675C"/>
    <w:rsid w:val="00E22BB8"/>
    <w:rsid w:val="00E349BF"/>
    <w:rsid w:val="00E352F9"/>
    <w:rsid w:val="00E42567"/>
    <w:rsid w:val="00E540A0"/>
    <w:rsid w:val="00E5439A"/>
    <w:rsid w:val="00E60222"/>
    <w:rsid w:val="00E604AA"/>
    <w:rsid w:val="00E62038"/>
    <w:rsid w:val="00E630E4"/>
    <w:rsid w:val="00E663B2"/>
    <w:rsid w:val="00E72517"/>
    <w:rsid w:val="00E764D6"/>
    <w:rsid w:val="00E87842"/>
    <w:rsid w:val="00E928FF"/>
    <w:rsid w:val="00EB4667"/>
    <w:rsid w:val="00EC4C02"/>
    <w:rsid w:val="00EC5ED7"/>
    <w:rsid w:val="00EE7F1F"/>
    <w:rsid w:val="00EF071F"/>
    <w:rsid w:val="00EF3BDA"/>
    <w:rsid w:val="00EF464C"/>
    <w:rsid w:val="00F008CC"/>
    <w:rsid w:val="00F061BE"/>
    <w:rsid w:val="00F0671E"/>
    <w:rsid w:val="00F07E16"/>
    <w:rsid w:val="00F12F6A"/>
    <w:rsid w:val="00F1659F"/>
    <w:rsid w:val="00F30992"/>
    <w:rsid w:val="00F309B6"/>
    <w:rsid w:val="00F4079D"/>
    <w:rsid w:val="00F42BED"/>
    <w:rsid w:val="00F45F86"/>
    <w:rsid w:val="00F47A4C"/>
    <w:rsid w:val="00F524F6"/>
    <w:rsid w:val="00F57AF9"/>
    <w:rsid w:val="00F656FE"/>
    <w:rsid w:val="00F8009B"/>
    <w:rsid w:val="00F81268"/>
    <w:rsid w:val="00F959B9"/>
    <w:rsid w:val="00FA79D5"/>
    <w:rsid w:val="00FB356C"/>
    <w:rsid w:val="00FB3590"/>
    <w:rsid w:val="00FC17B9"/>
    <w:rsid w:val="00FC1FE8"/>
    <w:rsid w:val="00FC2E8F"/>
    <w:rsid w:val="00FD6377"/>
    <w:rsid w:val="00FE70C1"/>
    <w:rsid w:val="00FE7F55"/>
    <w:rsid w:val="00FF666B"/>
    <w:rsid w:val="00FF6E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EA6F3"/>
  <w15:chartTrackingRefBased/>
  <w15:docId w15:val="{38A4AAE0-7DE8-4326-9B93-18B0DB3F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C3A"/>
  </w:style>
  <w:style w:type="paragraph" w:styleId="Footer">
    <w:name w:val="footer"/>
    <w:basedOn w:val="Normal"/>
    <w:link w:val="FooterChar"/>
    <w:uiPriority w:val="99"/>
    <w:unhideWhenUsed/>
    <w:rsid w:val="00544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C3A"/>
  </w:style>
  <w:style w:type="character" w:customStyle="1" w:styleId="apple-converted-space">
    <w:name w:val="apple-converted-space"/>
    <w:basedOn w:val="DefaultParagraphFont"/>
    <w:rsid w:val="00452898"/>
  </w:style>
  <w:style w:type="character" w:styleId="Hyperlink">
    <w:name w:val="Hyperlink"/>
    <w:basedOn w:val="DefaultParagraphFont"/>
    <w:uiPriority w:val="99"/>
    <w:unhideWhenUsed/>
    <w:rsid w:val="005532B9"/>
    <w:rPr>
      <w:color w:val="0563C1" w:themeColor="hyperlink"/>
      <w:u w:val="single"/>
    </w:rPr>
  </w:style>
  <w:style w:type="character" w:styleId="UnresolvedMention">
    <w:name w:val="Unresolved Mention"/>
    <w:basedOn w:val="DefaultParagraphFont"/>
    <w:uiPriority w:val="99"/>
    <w:semiHidden/>
    <w:unhideWhenUsed/>
    <w:rsid w:val="005532B9"/>
    <w:rPr>
      <w:color w:val="808080"/>
      <w:shd w:val="clear" w:color="auto" w:fill="E6E6E6"/>
    </w:rPr>
  </w:style>
  <w:style w:type="paragraph" w:styleId="BalloonText">
    <w:name w:val="Balloon Text"/>
    <w:basedOn w:val="Normal"/>
    <w:link w:val="BalloonTextChar"/>
    <w:uiPriority w:val="99"/>
    <w:semiHidden/>
    <w:unhideWhenUsed/>
    <w:rsid w:val="00BE6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248"/>
    <w:rPr>
      <w:rFonts w:ascii="Segoe UI" w:hAnsi="Segoe UI" w:cs="Segoe UI"/>
      <w:sz w:val="18"/>
      <w:szCs w:val="18"/>
    </w:rPr>
  </w:style>
  <w:style w:type="character" w:customStyle="1" w:styleId="xn-location">
    <w:name w:val="xn-location"/>
    <w:basedOn w:val="DefaultParagraphFont"/>
    <w:rsid w:val="002D104E"/>
  </w:style>
  <w:style w:type="character" w:styleId="CommentReference">
    <w:name w:val="annotation reference"/>
    <w:basedOn w:val="DefaultParagraphFont"/>
    <w:uiPriority w:val="99"/>
    <w:semiHidden/>
    <w:unhideWhenUsed/>
    <w:rsid w:val="00233A32"/>
    <w:rPr>
      <w:sz w:val="16"/>
      <w:szCs w:val="16"/>
    </w:rPr>
  </w:style>
  <w:style w:type="paragraph" w:styleId="CommentText">
    <w:name w:val="annotation text"/>
    <w:basedOn w:val="Normal"/>
    <w:link w:val="CommentTextChar"/>
    <w:uiPriority w:val="99"/>
    <w:semiHidden/>
    <w:unhideWhenUsed/>
    <w:rsid w:val="00233A32"/>
    <w:pPr>
      <w:spacing w:line="240" w:lineRule="auto"/>
    </w:pPr>
    <w:rPr>
      <w:sz w:val="20"/>
      <w:szCs w:val="20"/>
    </w:rPr>
  </w:style>
  <w:style w:type="character" w:customStyle="1" w:styleId="CommentTextChar">
    <w:name w:val="Comment Text Char"/>
    <w:basedOn w:val="DefaultParagraphFont"/>
    <w:link w:val="CommentText"/>
    <w:uiPriority w:val="99"/>
    <w:semiHidden/>
    <w:rsid w:val="00233A32"/>
    <w:rPr>
      <w:sz w:val="20"/>
      <w:szCs w:val="20"/>
    </w:rPr>
  </w:style>
  <w:style w:type="paragraph" w:styleId="CommentSubject">
    <w:name w:val="annotation subject"/>
    <w:basedOn w:val="CommentText"/>
    <w:next w:val="CommentText"/>
    <w:link w:val="CommentSubjectChar"/>
    <w:uiPriority w:val="99"/>
    <w:semiHidden/>
    <w:unhideWhenUsed/>
    <w:rsid w:val="00233A32"/>
    <w:rPr>
      <w:b/>
      <w:bCs/>
    </w:rPr>
  </w:style>
  <w:style w:type="character" w:customStyle="1" w:styleId="CommentSubjectChar">
    <w:name w:val="Comment Subject Char"/>
    <w:basedOn w:val="CommentTextChar"/>
    <w:link w:val="CommentSubject"/>
    <w:uiPriority w:val="99"/>
    <w:semiHidden/>
    <w:rsid w:val="00233A32"/>
    <w:rPr>
      <w:b/>
      <w:bCs/>
      <w:sz w:val="20"/>
      <w:szCs w:val="20"/>
    </w:rPr>
  </w:style>
  <w:style w:type="character" w:styleId="FollowedHyperlink">
    <w:name w:val="FollowedHyperlink"/>
    <w:basedOn w:val="DefaultParagraphFont"/>
    <w:uiPriority w:val="99"/>
    <w:semiHidden/>
    <w:unhideWhenUsed/>
    <w:rsid w:val="00047F74"/>
    <w:rPr>
      <w:color w:val="954F72" w:themeColor="followedHyperlink"/>
      <w:u w:val="single"/>
    </w:rPr>
  </w:style>
  <w:style w:type="paragraph" w:styleId="ListParagraph">
    <w:name w:val="List Paragraph"/>
    <w:basedOn w:val="Normal"/>
    <w:uiPriority w:val="34"/>
    <w:qFormat/>
    <w:rsid w:val="00EE7F1F"/>
    <w:pPr>
      <w:ind w:left="720"/>
      <w:contextualSpacing/>
    </w:pPr>
  </w:style>
  <w:style w:type="paragraph" w:styleId="NormalWeb">
    <w:name w:val="Normal (Web)"/>
    <w:basedOn w:val="Normal"/>
    <w:uiPriority w:val="99"/>
    <w:unhideWhenUsed/>
    <w:rsid w:val="0084797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23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C49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4998"/>
    <w:rPr>
      <w:sz w:val="20"/>
      <w:szCs w:val="20"/>
    </w:rPr>
  </w:style>
  <w:style w:type="character" w:styleId="FootnoteReference">
    <w:name w:val="footnote reference"/>
    <w:basedOn w:val="DefaultParagraphFont"/>
    <w:uiPriority w:val="99"/>
    <w:semiHidden/>
    <w:unhideWhenUsed/>
    <w:rsid w:val="005C49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3164">
      <w:bodyDiv w:val="1"/>
      <w:marLeft w:val="0"/>
      <w:marRight w:val="0"/>
      <w:marTop w:val="0"/>
      <w:marBottom w:val="0"/>
      <w:divBdr>
        <w:top w:val="none" w:sz="0" w:space="0" w:color="auto"/>
        <w:left w:val="none" w:sz="0" w:space="0" w:color="auto"/>
        <w:bottom w:val="none" w:sz="0" w:space="0" w:color="auto"/>
        <w:right w:val="none" w:sz="0" w:space="0" w:color="auto"/>
      </w:divBdr>
    </w:div>
    <w:div w:id="324283194">
      <w:bodyDiv w:val="1"/>
      <w:marLeft w:val="0"/>
      <w:marRight w:val="0"/>
      <w:marTop w:val="0"/>
      <w:marBottom w:val="0"/>
      <w:divBdr>
        <w:top w:val="none" w:sz="0" w:space="0" w:color="auto"/>
        <w:left w:val="none" w:sz="0" w:space="0" w:color="auto"/>
        <w:bottom w:val="none" w:sz="0" w:space="0" w:color="auto"/>
        <w:right w:val="none" w:sz="0" w:space="0" w:color="auto"/>
      </w:divBdr>
    </w:div>
    <w:div w:id="443112234">
      <w:bodyDiv w:val="1"/>
      <w:marLeft w:val="0"/>
      <w:marRight w:val="0"/>
      <w:marTop w:val="0"/>
      <w:marBottom w:val="0"/>
      <w:divBdr>
        <w:top w:val="none" w:sz="0" w:space="0" w:color="auto"/>
        <w:left w:val="none" w:sz="0" w:space="0" w:color="auto"/>
        <w:bottom w:val="none" w:sz="0" w:space="0" w:color="auto"/>
        <w:right w:val="none" w:sz="0" w:space="0" w:color="auto"/>
      </w:divBdr>
    </w:div>
    <w:div w:id="1172650046">
      <w:bodyDiv w:val="1"/>
      <w:marLeft w:val="0"/>
      <w:marRight w:val="0"/>
      <w:marTop w:val="0"/>
      <w:marBottom w:val="0"/>
      <w:divBdr>
        <w:top w:val="none" w:sz="0" w:space="0" w:color="auto"/>
        <w:left w:val="none" w:sz="0" w:space="0" w:color="auto"/>
        <w:bottom w:val="none" w:sz="0" w:space="0" w:color="auto"/>
        <w:right w:val="none" w:sz="0" w:space="0" w:color="auto"/>
      </w:divBdr>
      <w:divsChild>
        <w:div w:id="223611002">
          <w:marLeft w:val="0"/>
          <w:marRight w:val="0"/>
          <w:marTop w:val="0"/>
          <w:marBottom w:val="0"/>
          <w:divBdr>
            <w:top w:val="none" w:sz="0" w:space="0" w:color="auto"/>
            <w:left w:val="none" w:sz="0" w:space="0" w:color="auto"/>
            <w:bottom w:val="none" w:sz="0" w:space="0" w:color="auto"/>
            <w:right w:val="none" w:sz="0" w:space="0" w:color="auto"/>
          </w:divBdr>
          <w:divsChild>
            <w:div w:id="650255966">
              <w:marLeft w:val="0"/>
              <w:marRight w:val="0"/>
              <w:marTop w:val="0"/>
              <w:marBottom w:val="0"/>
              <w:divBdr>
                <w:top w:val="none" w:sz="0" w:space="0" w:color="auto"/>
                <w:left w:val="none" w:sz="0" w:space="0" w:color="auto"/>
                <w:bottom w:val="none" w:sz="0" w:space="0" w:color="auto"/>
                <w:right w:val="none" w:sz="0" w:space="0" w:color="auto"/>
              </w:divBdr>
              <w:divsChild>
                <w:div w:id="18418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b2insights.com/news/article/778" TargetMode="External"/><Relationship Id="rId18" Type="http://schemas.openxmlformats.org/officeDocument/2006/relationships/hyperlink" Target="http://www.cb2insights.com" TargetMode="External"/><Relationship Id="rId3" Type="http://schemas.openxmlformats.org/officeDocument/2006/relationships/customXml" Target="../customXml/item3.xml"/><Relationship Id="rId21" Type="http://schemas.openxmlformats.org/officeDocument/2006/relationships/hyperlink" Target="mailto:cb2@kcsa.com" TargetMode="External"/><Relationship Id="rId7" Type="http://schemas.openxmlformats.org/officeDocument/2006/relationships/settings" Target="settings.xml"/><Relationship Id="rId12" Type="http://schemas.openxmlformats.org/officeDocument/2006/relationships/hyperlink" Target="http://www.sedar.com" TargetMode="External"/><Relationship Id="rId17" Type="http://schemas.openxmlformats.org/officeDocument/2006/relationships/hyperlink" Target="https://cb2insights.com/news/article/866" TargetMode="External"/><Relationship Id="rId2" Type="http://schemas.openxmlformats.org/officeDocument/2006/relationships/customXml" Target="../customXml/item2.xml"/><Relationship Id="rId16" Type="http://schemas.openxmlformats.org/officeDocument/2006/relationships/hyperlink" Target="https://cb2insights.com/news/article/833" TargetMode="External"/><Relationship Id="rId20" Type="http://schemas.openxmlformats.org/officeDocument/2006/relationships/hyperlink" Target="mailto:investors@cb2insight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b2insights.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b2insights.com/news/article/848"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dan.thompson@cb2insight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b2insights.com/news/article/82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583CC0FBD272479708C592E03D54B6" ma:contentTypeVersion="10" ma:contentTypeDescription="Create a new document." ma:contentTypeScope="" ma:versionID="004b22ae0daf4a0cd7c8392cba6cc8db">
  <xsd:schema xmlns:xsd="http://www.w3.org/2001/XMLSchema" xmlns:xs="http://www.w3.org/2001/XMLSchema" xmlns:p="http://schemas.microsoft.com/office/2006/metadata/properties" xmlns:ns2="e0c754ce-00d0-4c93-bcfe-00b5ad7ae6b6" xmlns:ns3="3f47e74e-7624-427b-8237-6fba89f8e2f8" targetNamespace="http://schemas.microsoft.com/office/2006/metadata/properties" ma:root="true" ma:fieldsID="19f6dc17c190c9de8be4002da133b5fd" ns2:_="" ns3:_="">
    <xsd:import namespace="e0c754ce-00d0-4c93-bcfe-00b5ad7ae6b6"/>
    <xsd:import namespace="3f47e74e-7624-427b-8237-6fba89f8e2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754ce-00d0-4c93-bcfe-00b5ad7ae6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47e74e-7624-427b-8237-6fba89f8e2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1E43C-1030-420C-B0EB-562811E0DE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0F5CA1-5AF5-4234-AF80-F128D35876AE}">
  <ds:schemaRefs>
    <ds:schemaRef ds:uri="http://schemas.microsoft.com/sharepoint/v3/contenttype/forms"/>
  </ds:schemaRefs>
</ds:datastoreItem>
</file>

<file path=customXml/itemProps3.xml><?xml version="1.0" encoding="utf-8"?>
<ds:datastoreItem xmlns:ds="http://schemas.openxmlformats.org/officeDocument/2006/customXml" ds:itemID="{A31BF454-30E4-4724-A80B-AD26C46C3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754ce-00d0-4c93-bcfe-00b5ad7ae6b6"/>
    <ds:schemaRef ds:uri="3f47e74e-7624-427b-8237-6fba89f8e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21F20A-F43B-4D9A-9E1A-93E6E1B0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Thompson</dc:creator>
  <cp:keywords/>
  <dc:description/>
  <cp:lastModifiedBy>Dan Thompson</cp:lastModifiedBy>
  <cp:revision>2</cp:revision>
  <cp:lastPrinted>2019-05-30T19:45:00Z</cp:lastPrinted>
  <dcterms:created xsi:type="dcterms:W3CDTF">2019-05-30T19:56:00Z</dcterms:created>
  <dcterms:modified xsi:type="dcterms:W3CDTF">2019-05-30T19:56:00Z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0x010100C1583CC0FBD272479708C592E03D54B6</vt:lpwstr>
  </property>
</Properties>
</file>