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bookmarkStart w:id="0" w:name="_GoBack"/>
      <w:bookmarkEnd w:id="0"/>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rsidP="005029E3">
      <w:pPr>
        <w:pStyle w:val="BodyText"/>
        <w:jc w:val="both"/>
        <w:rPr>
          <w:rFonts w:ascii="Arial" w:hAnsi="Arial"/>
          <w:lang w:val="en-CA"/>
        </w:rPr>
      </w:pPr>
      <w:r>
        <w:rPr>
          <w:rFonts w:ascii="Arial" w:hAnsi="Arial"/>
          <w:lang w:val="en-CA"/>
        </w:rPr>
        <w:t>Please complete the following:</w:t>
      </w:r>
    </w:p>
    <w:p w:rsidR="00EA4133" w:rsidRDefault="00EA4133" w:rsidP="005029E3">
      <w:pPr>
        <w:pStyle w:val="BodyText"/>
        <w:jc w:val="both"/>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E85B6B">
        <w:rPr>
          <w:rFonts w:ascii="Arial" w:hAnsi="Arial"/>
          <w:u w:val="single"/>
          <w:lang w:val="en-CA"/>
        </w:rPr>
        <w:t xml:space="preserve">Carl Data Solutions Inc. </w:t>
      </w:r>
      <w:r>
        <w:rPr>
          <w:rFonts w:ascii="Arial" w:hAnsi="Arial"/>
          <w:lang w:val="en-CA"/>
        </w:rPr>
        <w:t>(the “</w:t>
      </w:r>
      <w:r w:rsidRPr="00E85B6B">
        <w:rPr>
          <w:rFonts w:ascii="Arial" w:hAnsi="Arial"/>
          <w:b/>
          <w:lang w:val="en-CA"/>
        </w:rPr>
        <w:t>Issuer</w:t>
      </w:r>
      <w:r>
        <w:rPr>
          <w:rFonts w:ascii="Arial" w:hAnsi="Arial"/>
          <w:lang w:val="en-CA"/>
        </w:rPr>
        <w:t xml:space="preserve">”).  </w:t>
      </w:r>
    </w:p>
    <w:p w:rsidR="00EA4133" w:rsidRDefault="00EA4133" w:rsidP="005029E3">
      <w:pPr>
        <w:pStyle w:val="BodyText"/>
        <w:jc w:val="both"/>
        <w:rPr>
          <w:rFonts w:ascii="Arial" w:hAnsi="Arial"/>
          <w:lang w:val="en-CA"/>
        </w:rPr>
      </w:pPr>
      <w:r>
        <w:rPr>
          <w:rFonts w:ascii="Arial" w:hAnsi="Arial"/>
          <w:lang w:val="en-CA"/>
        </w:rPr>
        <w:t xml:space="preserve">Trading Symbol:  </w:t>
      </w:r>
      <w:proofErr w:type="gramStart"/>
      <w:r w:rsidR="00E85B6B">
        <w:rPr>
          <w:rFonts w:ascii="Arial" w:hAnsi="Arial"/>
          <w:u w:val="single"/>
          <w:lang w:val="en-CA"/>
        </w:rPr>
        <w:t>CRL</w:t>
      </w:r>
      <w:r>
        <w:rPr>
          <w:rFonts w:ascii="Arial" w:hAnsi="Arial"/>
          <w:lang w:val="en-CA"/>
        </w:rPr>
        <w:t xml:space="preserve"> .</w:t>
      </w:r>
      <w:proofErr w:type="gramEnd"/>
    </w:p>
    <w:p w:rsidR="00EA4133" w:rsidRDefault="00EA4133" w:rsidP="005029E3">
      <w:pPr>
        <w:pStyle w:val="BodyText"/>
        <w:spacing w:after="240"/>
        <w:jc w:val="both"/>
        <w:rPr>
          <w:rFonts w:ascii="Arial" w:hAnsi="Arial"/>
          <w:lang w:val="en-CA"/>
        </w:rPr>
      </w:pPr>
      <w:r>
        <w:rPr>
          <w:rFonts w:ascii="Arial" w:hAnsi="Arial"/>
          <w:lang w:val="en-CA"/>
        </w:rPr>
        <w:t xml:space="preserve">Date:  </w:t>
      </w:r>
      <w:r w:rsidR="00654BF1">
        <w:rPr>
          <w:rFonts w:ascii="Arial" w:hAnsi="Arial"/>
          <w:u w:val="single"/>
          <w:lang w:val="en-CA"/>
        </w:rPr>
        <w:t>December</w:t>
      </w:r>
      <w:r w:rsidR="00E85B6B">
        <w:rPr>
          <w:rFonts w:ascii="Arial" w:hAnsi="Arial"/>
          <w:u w:val="single"/>
          <w:lang w:val="en-CA"/>
        </w:rPr>
        <w:t xml:space="preserve"> </w:t>
      </w:r>
      <w:r w:rsidR="003D1EB5">
        <w:rPr>
          <w:rFonts w:ascii="Arial" w:hAnsi="Arial"/>
          <w:u w:val="single"/>
          <w:lang w:val="en-CA"/>
        </w:rPr>
        <w:t>28</w:t>
      </w:r>
      <w:r w:rsidR="00E85B6B">
        <w:rPr>
          <w:rFonts w:ascii="Arial" w:hAnsi="Arial"/>
          <w:u w:val="single"/>
          <w:lang w:val="en-CA"/>
        </w:rPr>
        <w:t xml:space="preserve">, </w:t>
      </w:r>
      <w:r w:rsidR="00A36E14">
        <w:rPr>
          <w:rFonts w:ascii="Arial" w:hAnsi="Arial"/>
          <w:u w:val="single"/>
          <w:lang w:val="en-CA"/>
        </w:rPr>
        <w:t>2018</w:t>
      </w:r>
      <w:r w:rsidR="00A36E14">
        <w:rPr>
          <w:rFonts w:ascii="Arial" w:hAnsi="Arial"/>
          <w:lang w:val="en-CA"/>
        </w:rPr>
        <w:t>.</w:t>
      </w:r>
    </w:p>
    <w:p w:rsidR="00EA4133" w:rsidRDefault="00EA4133" w:rsidP="005029E3">
      <w:pPr>
        <w:pStyle w:val="BodyText"/>
        <w:tabs>
          <w:tab w:val="left" w:pos="2160"/>
        </w:tabs>
        <w:spacing w:after="240"/>
        <w:jc w:val="both"/>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E85B6B" w:rsidRPr="00E85B6B">
        <w:rPr>
          <w:rFonts w:ascii="Arial" w:hAnsi="Arial"/>
          <w:lang w:val="en-CA"/>
        </w:rPr>
        <w:fldChar w:fldCharType="begin"/>
      </w:r>
      <w:r w:rsidR="00E85B6B" w:rsidRPr="00E85B6B">
        <w:rPr>
          <w:rFonts w:ascii="Arial" w:hAnsi="Arial"/>
          <w:lang w:val="en-CA"/>
        </w:rPr>
        <w:instrText xml:space="preserve"> MACROBUTTON XBox </w:instrText>
      </w:r>
      <w:r w:rsidR="00E85B6B" w:rsidRPr="00E85B6B">
        <w:rPr>
          <w:rFonts w:ascii="Arial" w:hAnsi="Arial"/>
          <w:lang w:val="en-CA"/>
        </w:rPr>
        <w:sym w:font="Wingdings" w:char="F0A8"/>
      </w:r>
      <w:r w:rsidR="00E85B6B" w:rsidRPr="00E85B6B">
        <w:rPr>
          <w:rFonts w:ascii="Arial" w:hAnsi="Arial"/>
          <w:lang w:val="en-CA"/>
        </w:rPr>
        <w:fldChar w:fldCharType="end"/>
      </w:r>
      <w:r>
        <w:rPr>
          <w:rFonts w:ascii="Arial" w:hAnsi="Arial"/>
          <w:lang w:val="en-CA"/>
        </w:rPr>
        <w:t>Yes</w:t>
      </w:r>
      <w:r>
        <w:rPr>
          <w:rFonts w:ascii="Arial" w:hAnsi="Arial"/>
          <w:lang w:val="en-CA"/>
        </w:rPr>
        <w:tab/>
      </w:r>
      <w:r>
        <w:rPr>
          <w:rFonts w:ascii="Arial" w:hAnsi="Arial"/>
          <w:lang w:val="en-CA"/>
        </w:rPr>
        <w:tab/>
      </w:r>
      <w:r w:rsidR="00E85B6B" w:rsidRPr="00E85B6B">
        <w:rPr>
          <w:rFonts w:ascii="Arial" w:hAnsi="Arial"/>
          <w:lang w:val="en-CA"/>
        </w:rPr>
        <w:fldChar w:fldCharType="begin"/>
      </w:r>
      <w:r w:rsidR="00E85B6B" w:rsidRPr="00E85B6B">
        <w:rPr>
          <w:rFonts w:ascii="Arial" w:hAnsi="Arial"/>
          <w:lang w:val="en-CA"/>
        </w:rPr>
        <w:instrText xml:space="preserve"> MACROBUTTON UnXBox </w:instrText>
      </w:r>
      <w:r w:rsidR="00E85B6B" w:rsidRPr="00E85B6B">
        <w:rPr>
          <w:rFonts w:ascii="Arial" w:hAnsi="Arial"/>
          <w:lang w:val="en-CA"/>
        </w:rPr>
        <w:sym w:font="Wingdings" w:char="F078"/>
      </w:r>
      <w:r w:rsidR="00E85B6B" w:rsidRPr="00E85B6B">
        <w:rPr>
          <w:rFonts w:ascii="Arial" w:hAnsi="Arial"/>
          <w:lang w:val="en-CA"/>
        </w:rPr>
        <w:fldChar w:fldCharType="end"/>
      </w:r>
      <w:proofErr w:type="gramStart"/>
      <w:r>
        <w:rPr>
          <w:rFonts w:ascii="Arial" w:hAnsi="Arial"/>
          <w:lang w:val="en-CA"/>
        </w:rPr>
        <w:t>No</w:t>
      </w:r>
      <w:proofErr w:type="gramEnd"/>
      <w:r>
        <w:rPr>
          <w:rFonts w:ascii="Arial" w:hAnsi="Arial"/>
          <w:sz w:val="32"/>
          <w:lang w:val="en-CA"/>
        </w:rPr>
        <w:tab/>
      </w:r>
    </w:p>
    <w:p w:rsidR="00EA4133" w:rsidRDefault="00EA4133" w:rsidP="005029E3">
      <w:pPr>
        <w:pStyle w:val="BodyText"/>
        <w:tabs>
          <w:tab w:val="left" w:pos="9180"/>
        </w:tabs>
        <w:spacing w:before="0" w:after="240"/>
        <w:jc w:val="both"/>
        <w:rPr>
          <w:rFonts w:ascii="Arial" w:hAnsi="Arial"/>
          <w:lang w:val="en-CA"/>
        </w:rPr>
      </w:pPr>
      <w:r>
        <w:rPr>
          <w:rFonts w:ascii="Arial" w:hAnsi="Arial"/>
          <w:lang w:val="en-CA"/>
        </w:rPr>
        <w:t>If yes provide date(s) of prior Notices:  ________________________.</w:t>
      </w:r>
    </w:p>
    <w:p w:rsidR="00EA4133" w:rsidRDefault="00EA4133" w:rsidP="005029E3">
      <w:pPr>
        <w:pStyle w:val="BodyText"/>
        <w:tabs>
          <w:tab w:val="left" w:pos="9180"/>
        </w:tabs>
        <w:spacing w:before="0" w:after="240"/>
        <w:jc w:val="both"/>
        <w:rPr>
          <w:rFonts w:ascii="Arial" w:hAnsi="Arial"/>
          <w:lang w:val="en-CA"/>
        </w:rPr>
      </w:pPr>
      <w:r>
        <w:rPr>
          <w:rFonts w:ascii="Arial" w:hAnsi="Arial"/>
          <w:lang w:val="en-CA"/>
        </w:rPr>
        <w:t xml:space="preserve">Issued and Outstanding Securities of Issuer Prior to Issuance:  </w:t>
      </w:r>
      <w:r w:rsidR="00E85B6B" w:rsidRPr="00E85B6B">
        <w:rPr>
          <w:rFonts w:ascii="Arial" w:hAnsi="Arial"/>
          <w:u w:val="single"/>
          <w:lang w:val="en-CA"/>
        </w:rPr>
        <w:t>7</w:t>
      </w:r>
      <w:r w:rsidR="00654BF1">
        <w:rPr>
          <w:rFonts w:ascii="Arial" w:hAnsi="Arial"/>
          <w:u w:val="single"/>
          <w:lang w:val="en-CA"/>
        </w:rPr>
        <w:t>6</w:t>
      </w:r>
      <w:r w:rsidR="00E85B6B" w:rsidRPr="00E85B6B">
        <w:rPr>
          <w:rFonts w:ascii="Arial" w:hAnsi="Arial"/>
          <w:u w:val="single"/>
          <w:lang w:val="en-CA"/>
        </w:rPr>
        <w:t>,</w:t>
      </w:r>
      <w:r w:rsidR="00D05BDA">
        <w:rPr>
          <w:rFonts w:ascii="Arial" w:hAnsi="Arial"/>
          <w:u w:val="single"/>
          <w:lang w:val="en-CA"/>
        </w:rPr>
        <w:t>598</w:t>
      </w:r>
      <w:r w:rsidR="00E85B6B" w:rsidRPr="00E85B6B">
        <w:rPr>
          <w:rFonts w:ascii="Arial" w:hAnsi="Arial"/>
          <w:u w:val="single"/>
          <w:lang w:val="en-CA"/>
        </w:rPr>
        <w:t>,</w:t>
      </w:r>
      <w:r w:rsidR="00D05BDA">
        <w:rPr>
          <w:rFonts w:ascii="Arial" w:hAnsi="Arial"/>
          <w:u w:val="single"/>
          <w:lang w:val="en-CA"/>
        </w:rPr>
        <w:t>286</w:t>
      </w:r>
      <w:r>
        <w:rPr>
          <w:rFonts w:ascii="Arial" w:hAnsi="Arial"/>
          <w:lang w:val="en-CA"/>
        </w:rPr>
        <w:t>.</w:t>
      </w:r>
    </w:p>
    <w:p w:rsidR="00EA4133" w:rsidRDefault="00EA4133" w:rsidP="005029E3">
      <w:pPr>
        <w:pStyle w:val="BodyText"/>
        <w:tabs>
          <w:tab w:val="left" w:pos="9180"/>
        </w:tabs>
        <w:spacing w:before="0" w:after="240"/>
        <w:jc w:val="both"/>
        <w:rPr>
          <w:rFonts w:ascii="Arial" w:hAnsi="Arial"/>
          <w:lang w:val="en-CA"/>
        </w:rPr>
      </w:pPr>
      <w:r>
        <w:rPr>
          <w:rFonts w:ascii="Arial" w:hAnsi="Arial"/>
          <w:lang w:val="en-CA"/>
        </w:rPr>
        <w:t xml:space="preserve">Date of News Release Announcing Private Placement:  </w:t>
      </w:r>
      <w:r w:rsidR="00654BF1">
        <w:rPr>
          <w:rFonts w:ascii="Arial" w:hAnsi="Arial"/>
          <w:u w:val="single"/>
          <w:lang w:val="en-CA"/>
        </w:rPr>
        <w:t>N/A</w:t>
      </w:r>
      <w:r>
        <w:rPr>
          <w:rFonts w:ascii="Arial" w:hAnsi="Arial"/>
          <w:lang w:val="en-CA"/>
        </w:rPr>
        <w:t>.</w:t>
      </w:r>
    </w:p>
    <w:p w:rsidR="00EA4133" w:rsidRDefault="00EA4133" w:rsidP="005029E3">
      <w:pPr>
        <w:pStyle w:val="BodyText"/>
        <w:tabs>
          <w:tab w:val="left" w:pos="9180"/>
        </w:tabs>
        <w:spacing w:before="0" w:after="240"/>
        <w:jc w:val="both"/>
        <w:rPr>
          <w:rFonts w:ascii="Arial" w:hAnsi="Arial"/>
          <w:lang w:val="en-CA"/>
        </w:rPr>
      </w:pPr>
      <w:proofErr w:type="gramStart"/>
      <w:r>
        <w:rPr>
          <w:rFonts w:ascii="Arial" w:hAnsi="Arial"/>
          <w:lang w:val="en-CA"/>
        </w:rPr>
        <w:t xml:space="preserve">Closing Market Price on Day Preceding the Issuance of the News Release: </w:t>
      </w:r>
      <w:r w:rsidR="00654BF1" w:rsidRPr="00654BF1">
        <w:rPr>
          <w:rFonts w:ascii="Arial" w:hAnsi="Arial"/>
          <w:u w:val="single"/>
          <w:lang w:val="en-CA"/>
        </w:rPr>
        <w:t>N/A</w:t>
      </w:r>
      <w:r w:rsidR="00654BF1">
        <w:rPr>
          <w:rFonts w:ascii="Arial" w:hAnsi="Arial"/>
          <w:lang w:val="en-CA"/>
        </w:rPr>
        <w:t>.</w:t>
      </w:r>
      <w:proofErr w:type="gramEnd"/>
    </w:p>
    <w:p w:rsidR="00A90670" w:rsidRDefault="00EA4133" w:rsidP="005029E3">
      <w:pPr>
        <w:pStyle w:val="BodyText"/>
        <w:spacing w:before="0" w:after="240"/>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12"/>
        <w:gridCol w:w="1192"/>
        <w:gridCol w:w="1376"/>
        <w:gridCol w:w="1376"/>
        <w:gridCol w:w="1742"/>
        <w:gridCol w:w="1100"/>
        <w:gridCol w:w="1100"/>
      </w:tblGrid>
      <w:tr w:rsidR="00EA4133" w:rsidTr="002D030A">
        <w:trPr>
          <w:trHeight w:val="1965"/>
        </w:trPr>
        <w:tc>
          <w:tcPr>
            <w:tcW w:w="145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1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2D030A" w:rsidTr="002D030A">
        <w:trPr>
          <w:trHeight w:val="864"/>
        </w:trPr>
        <w:tc>
          <w:tcPr>
            <w:tcW w:w="1458" w:type="dxa"/>
          </w:tcPr>
          <w:p w:rsidR="002D030A" w:rsidRDefault="00FC6D4A" w:rsidP="002D030A">
            <w:pPr>
              <w:pStyle w:val="BodyText"/>
              <w:ind w:left="-90" w:right="-108"/>
              <w:jc w:val="center"/>
              <w:rPr>
                <w:rFonts w:ascii="Arial" w:hAnsi="Arial"/>
                <w:lang w:val="en-CA"/>
              </w:rPr>
            </w:pPr>
            <w:proofErr w:type="spellStart"/>
            <w:r>
              <w:rPr>
                <w:rFonts w:ascii="Arial" w:hAnsi="Arial"/>
                <w:lang w:val="en-CA"/>
              </w:rPr>
              <w:t>Scharfe</w:t>
            </w:r>
            <w:proofErr w:type="spellEnd"/>
            <w:r>
              <w:rPr>
                <w:rFonts w:ascii="Arial" w:hAnsi="Arial"/>
                <w:lang w:val="en-CA"/>
              </w:rPr>
              <w:t xml:space="preserve"> Holdings Inc.</w:t>
            </w:r>
          </w:p>
        </w:tc>
        <w:tc>
          <w:tcPr>
            <w:tcW w:w="1312" w:type="dxa"/>
          </w:tcPr>
          <w:p w:rsidR="002D030A" w:rsidRDefault="002D030A" w:rsidP="002D030A">
            <w:pPr>
              <w:pStyle w:val="BodyText"/>
              <w:ind w:left="-108" w:right="-56"/>
              <w:jc w:val="center"/>
              <w:rPr>
                <w:rFonts w:ascii="Arial" w:hAnsi="Arial"/>
                <w:lang w:val="en-CA"/>
              </w:rPr>
            </w:pPr>
            <w:r>
              <w:rPr>
                <w:rFonts w:ascii="Arial" w:hAnsi="Arial"/>
                <w:lang w:val="en-CA"/>
              </w:rPr>
              <w:t>Convertible Debenture</w:t>
            </w:r>
          </w:p>
        </w:tc>
        <w:tc>
          <w:tcPr>
            <w:tcW w:w="1192" w:type="dxa"/>
          </w:tcPr>
          <w:p w:rsidR="002D030A" w:rsidRDefault="002D030A" w:rsidP="002D030A">
            <w:pPr>
              <w:pStyle w:val="BodyText"/>
              <w:ind w:left="-70" w:right="-124"/>
              <w:jc w:val="center"/>
              <w:rPr>
                <w:rFonts w:ascii="Arial" w:hAnsi="Arial"/>
                <w:lang w:val="en-CA"/>
              </w:rPr>
            </w:pPr>
            <w:r>
              <w:rPr>
                <w:rFonts w:ascii="Arial" w:hAnsi="Arial"/>
                <w:lang w:val="en-CA"/>
              </w:rPr>
              <w:t>Principal amount of $300,000</w:t>
            </w:r>
          </w:p>
        </w:tc>
        <w:tc>
          <w:tcPr>
            <w:tcW w:w="1376" w:type="dxa"/>
          </w:tcPr>
          <w:p w:rsidR="002D030A" w:rsidRDefault="002D030A" w:rsidP="002D030A">
            <w:pPr>
              <w:pStyle w:val="BodyText"/>
              <w:jc w:val="center"/>
              <w:rPr>
                <w:rFonts w:ascii="Arial" w:hAnsi="Arial"/>
                <w:lang w:val="en-CA"/>
              </w:rPr>
            </w:pPr>
            <w:r>
              <w:rPr>
                <w:rFonts w:ascii="Arial" w:hAnsi="Arial"/>
                <w:lang w:val="en-CA"/>
              </w:rPr>
              <w:t>$0.15</w:t>
            </w:r>
          </w:p>
        </w:tc>
        <w:tc>
          <w:tcPr>
            <w:tcW w:w="1376" w:type="dxa"/>
          </w:tcPr>
          <w:p w:rsidR="002D030A" w:rsidRDefault="002D030A" w:rsidP="002D030A">
            <w:pPr>
              <w:pStyle w:val="BodyText"/>
              <w:jc w:val="center"/>
              <w:rPr>
                <w:rFonts w:ascii="Arial" w:hAnsi="Arial"/>
                <w:lang w:val="en-CA"/>
              </w:rPr>
            </w:pPr>
            <w:r>
              <w:rPr>
                <w:rFonts w:ascii="Arial" w:hAnsi="Arial"/>
                <w:lang w:val="en-CA"/>
              </w:rPr>
              <w:t>Section 2.3 of NI 45-106</w:t>
            </w:r>
          </w:p>
        </w:tc>
        <w:tc>
          <w:tcPr>
            <w:tcW w:w="1742" w:type="dxa"/>
          </w:tcPr>
          <w:p w:rsidR="002D030A" w:rsidRDefault="002D030A" w:rsidP="002D030A">
            <w:pPr>
              <w:pStyle w:val="BodyText"/>
              <w:jc w:val="center"/>
              <w:rPr>
                <w:rFonts w:ascii="Arial" w:hAnsi="Arial"/>
                <w:lang w:val="en-CA"/>
              </w:rPr>
            </w:pPr>
            <w:r>
              <w:rPr>
                <w:rFonts w:ascii="Arial" w:hAnsi="Arial"/>
                <w:lang w:val="en-CA"/>
              </w:rPr>
              <w:t>Nil</w:t>
            </w:r>
          </w:p>
        </w:tc>
        <w:tc>
          <w:tcPr>
            <w:tcW w:w="1100" w:type="dxa"/>
          </w:tcPr>
          <w:p w:rsidR="002D030A" w:rsidRDefault="00462A36" w:rsidP="002D030A">
            <w:pPr>
              <w:pStyle w:val="BodyText"/>
              <w:jc w:val="center"/>
              <w:rPr>
                <w:rFonts w:ascii="Arial" w:hAnsi="Arial"/>
                <w:lang w:val="en-CA"/>
              </w:rPr>
            </w:pPr>
            <w:r>
              <w:rPr>
                <w:rFonts w:ascii="Arial" w:hAnsi="Arial"/>
                <w:lang w:val="en-CA"/>
              </w:rPr>
              <w:t>TBD</w:t>
            </w:r>
          </w:p>
        </w:tc>
        <w:tc>
          <w:tcPr>
            <w:tcW w:w="1100" w:type="dxa"/>
          </w:tcPr>
          <w:p w:rsidR="002D030A" w:rsidRDefault="00462A36" w:rsidP="002D030A">
            <w:pPr>
              <w:pStyle w:val="BodyText"/>
              <w:jc w:val="center"/>
              <w:rPr>
                <w:rFonts w:ascii="Arial" w:hAnsi="Arial"/>
                <w:lang w:val="en-CA"/>
              </w:rPr>
            </w:pPr>
            <w:r>
              <w:rPr>
                <w:rFonts w:ascii="Arial" w:hAnsi="Arial"/>
                <w:lang w:val="en-CA"/>
              </w:rPr>
              <w:t>Arm’s Length Party</w:t>
            </w:r>
          </w:p>
        </w:tc>
      </w:tr>
      <w:tr w:rsidR="00A90670" w:rsidTr="002D030A">
        <w:trPr>
          <w:trHeight w:val="864"/>
        </w:trPr>
        <w:tc>
          <w:tcPr>
            <w:tcW w:w="1458" w:type="dxa"/>
          </w:tcPr>
          <w:p w:rsidR="00A90670" w:rsidRDefault="00A90670">
            <w:pPr>
              <w:pStyle w:val="BodyText"/>
              <w:rPr>
                <w:rFonts w:ascii="Arial" w:hAnsi="Arial"/>
                <w:lang w:val="en-CA"/>
              </w:rPr>
            </w:pPr>
          </w:p>
        </w:tc>
        <w:tc>
          <w:tcPr>
            <w:tcW w:w="1312" w:type="dxa"/>
          </w:tcPr>
          <w:p w:rsidR="00A90670" w:rsidRDefault="00A90670">
            <w:pPr>
              <w:pStyle w:val="BodyText"/>
              <w:rPr>
                <w:rFonts w:ascii="Arial" w:hAnsi="Arial"/>
                <w:lang w:val="en-CA"/>
              </w:rPr>
            </w:pPr>
          </w:p>
        </w:tc>
        <w:tc>
          <w:tcPr>
            <w:tcW w:w="1192"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742"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r>
    </w:tbl>
    <w:p w:rsidR="00EA4133" w:rsidRPr="00D05BDA" w:rsidRDefault="00EA4133" w:rsidP="005029E3">
      <w:pPr>
        <w:pStyle w:val="BodyText"/>
        <w:numPr>
          <w:ilvl w:val="0"/>
          <w:numId w:val="8"/>
        </w:numPr>
        <w:jc w:val="both"/>
        <w:rPr>
          <w:rFonts w:ascii="Arial" w:hAnsi="Arial" w:cs="Arial"/>
          <w:sz w:val="14"/>
        </w:rPr>
      </w:pPr>
      <w:r w:rsidRPr="00D05BDA">
        <w:rPr>
          <w:rFonts w:ascii="Arial" w:hAnsi="Arial" w:cs="Arial"/>
          <w:sz w:val="14"/>
        </w:rPr>
        <w:t xml:space="preserve">Indicate date each </w:t>
      </w:r>
      <w:proofErr w:type="spellStart"/>
      <w:r w:rsidRPr="00D05BDA">
        <w:rPr>
          <w:rFonts w:ascii="Arial" w:hAnsi="Arial" w:cs="Arial"/>
          <w:sz w:val="14"/>
        </w:rPr>
        <w:t>placee</w:t>
      </w:r>
      <w:proofErr w:type="spellEnd"/>
      <w:r w:rsidRPr="00D05BDA">
        <w:rPr>
          <w:rFonts w:ascii="Arial" w:hAnsi="Arial" w:cs="Arial"/>
          <w:sz w:val="14"/>
        </w:rPr>
        <w:t xml:space="preserve"> advanced or is expected to advance payment for securities.  Provide details of expected payment date, conditions to release of funds etc.  Indicate if the placement </w:t>
      </w:r>
      <w:proofErr w:type="gramStart"/>
      <w:r w:rsidRPr="00D05BDA">
        <w:rPr>
          <w:rFonts w:ascii="Arial" w:hAnsi="Arial" w:cs="Arial"/>
          <w:sz w:val="14"/>
        </w:rPr>
        <w:t>funds been</w:t>
      </w:r>
      <w:proofErr w:type="gramEnd"/>
      <w:r w:rsidRPr="00D05BDA">
        <w:rPr>
          <w:rFonts w:ascii="Arial" w:hAnsi="Arial" w:cs="Arial"/>
          <w:sz w:val="14"/>
        </w:rPr>
        <w:t xml:space="preserve"> placed in trust pending receipt of all necessary approvals.</w:t>
      </w:r>
    </w:p>
    <w:p w:rsidR="00D05BDA" w:rsidRPr="00D05BDA" w:rsidRDefault="00EA4133" w:rsidP="002D030A">
      <w:pPr>
        <w:pStyle w:val="BodyText"/>
        <w:numPr>
          <w:ilvl w:val="0"/>
          <w:numId w:val="8"/>
        </w:numPr>
        <w:spacing w:before="120" w:after="240"/>
        <w:ind w:left="389" w:hanging="389"/>
        <w:jc w:val="both"/>
        <w:rPr>
          <w:rFonts w:ascii="Arial" w:hAnsi="Arial" w:cs="Arial"/>
          <w:sz w:val="14"/>
        </w:rPr>
      </w:pPr>
      <w:r w:rsidRPr="00D05BDA">
        <w:rPr>
          <w:rFonts w:ascii="Arial" w:hAnsi="Arial" w:cs="Arial"/>
          <w:sz w:val="14"/>
        </w:rPr>
        <w:t>Indicate if Related Person.</w:t>
      </w:r>
    </w:p>
    <w:p w:rsidR="00EA4133" w:rsidRPr="00D05BDA" w:rsidRDefault="00EA4133" w:rsidP="005029E3">
      <w:pPr>
        <w:pStyle w:val="FootnoteText"/>
        <w:jc w:val="both"/>
        <w:rPr>
          <w:rFonts w:ascii="Arial" w:hAnsi="Arial" w:cs="Arial"/>
          <w:sz w:val="18"/>
          <w:szCs w:val="24"/>
        </w:rPr>
      </w:pPr>
      <w:r w:rsidRPr="00D05BDA">
        <w:rPr>
          <w:rFonts w:ascii="Arial" w:hAnsi="Arial" w:cs="Arial"/>
          <w:sz w:val="14"/>
          <w:vertAlign w:val="superscript"/>
        </w:rPr>
        <w:t>1</w:t>
      </w:r>
      <w:r w:rsidRPr="00D05BDA">
        <w:rPr>
          <w:rFonts w:ascii="Arial" w:hAnsi="Arial" w:cs="Arial"/>
          <w:sz w:val="14"/>
        </w:rPr>
        <w:t>An issuance of non-convertible debt does not have to be reported unless it is a significant transaction as defined in Policy 7, in which case it is to be reported on Form 10</w:t>
      </w:r>
      <w:r w:rsidRPr="00D05BDA">
        <w:rPr>
          <w:rFonts w:ascii="Arial" w:hAnsi="Arial" w:cs="Arial"/>
          <w:sz w:val="18"/>
          <w:szCs w:val="24"/>
        </w:rPr>
        <w:t>.</w:t>
      </w:r>
    </w:p>
    <w:p w:rsidR="00EA4133" w:rsidRDefault="00EA4133" w:rsidP="005029E3">
      <w:pPr>
        <w:pStyle w:val="List"/>
        <w:tabs>
          <w:tab w:val="left" w:pos="9162"/>
        </w:tabs>
        <w:jc w:val="both"/>
        <w:rPr>
          <w:rFonts w:ascii="Arial" w:hAnsi="Arial"/>
        </w:rPr>
      </w:pPr>
      <w:r>
        <w:rPr>
          <w:rFonts w:ascii="Arial" w:hAnsi="Arial"/>
        </w:rPr>
        <w:lastRenderedPageBreak/>
        <w:t>1.</w:t>
      </w:r>
      <w:r>
        <w:rPr>
          <w:rFonts w:ascii="Arial" w:hAnsi="Arial"/>
        </w:rPr>
        <w:tab/>
        <w:t xml:space="preserve">Total amount of funds to be raised: </w:t>
      </w:r>
      <w:r w:rsidR="00EA711B">
        <w:rPr>
          <w:rFonts w:ascii="Arial" w:hAnsi="Arial"/>
          <w:u w:val="single"/>
        </w:rPr>
        <w:t>Debentures in the</w:t>
      </w:r>
      <w:r w:rsidR="004053BF" w:rsidRPr="004053BF">
        <w:rPr>
          <w:rFonts w:ascii="Arial" w:hAnsi="Arial"/>
          <w:u w:val="single"/>
        </w:rPr>
        <w:t xml:space="preserve"> aggregate </w:t>
      </w:r>
      <w:r w:rsidR="00EA711B">
        <w:rPr>
          <w:rFonts w:ascii="Arial" w:hAnsi="Arial"/>
          <w:u w:val="single"/>
        </w:rPr>
        <w:t>principal amount</w:t>
      </w:r>
      <w:r w:rsidR="004053BF" w:rsidRPr="004053BF">
        <w:rPr>
          <w:rFonts w:ascii="Arial" w:hAnsi="Arial"/>
          <w:u w:val="single"/>
        </w:rPr>
        <w:t xml:space="preserve"> </w:t>
      </w:r>
      <w:r w:rsidR="004053BF">
        <w:rPr>
          <w:rFonts w:ascii="Arial" w:hAnsi="Arial"/>
          <w:u w:val="single"/>
        </w:rPr>
        <w:t xml:space="preserve">of </w:t>
      </w:r>
      <w:r w:rsidR="006822E8">
        <w:rPr>
          <w:rFonts w:ascii="Arial" w:hAnsi="Arial"/>
          <w:u w:val="single"/>
        </w:rPr>
        <w:t>$</w:t>
      </w:r>
      <w:r w:rsidR="00654BF1">
        <w:rPr>
          <w:rFonts w:ascii="Arial" w:hAnsi="Arial"/>
          <w:u w:val="single"/>
        </w:rPr>
        <w:t>300,000</w:t>
      </w:r>
      <w:r>
        <w:rPr>
          <w:rFonts w:ascii="Arial" w:hAnsi="Arial"/>
        </w:rPr>
        <w:t>.</w:t>
      </w:r>
    </w:p>
    <w:p w:rsidR="00EA4133" w:rsidRDefault="00EA4133" w:rsidP="005029E3">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w:t>
      </w:r>
      <w:r w:rsidR="00B820F1">
        <w:rPr>
          <w:rFonts w:ascii="Arial" w:hAnsi="Arial"/>
        </w:rPr>
        <w:t>reference to any other material:</w:t>
      </w:r>
      <w:r>
        <w:rPr>
          <w:rFonts w:ascii="Arial" w:hAnsi="Arial"/>
        </w:rPr>
        <w:t xml:space="preserve"> </w:t>
      </w:r>
      <w:r w:rsidR="00654BF1">
        <w:rPr>
          <w:rFonts w:ascii="Arial" w:hAnsi="Arial"/>
          <w:u w:val="single"/>
        </w:rPr>
        <w:t xml:space="preserve">The proceeds will be used to </w:t>
      </w:r>
      <w:r w:rsidR="00B44F7E">
        <w:rPr>
          <w:rFonts w:ascii="Arial" w:hAnsi="Arial"/>
          <w:u w:val="single"/>
        </w:rPr>
        <w:t xml:space="preserve">repay a loan made in favour of the </w:t>
      </w:r>
      <w:r w:rsidR="00D357D4">
        <w:rPr>
          <w:rFonts w:ascii="Arial" w:hAnsi="Arial"/>
          <w:u w:val="single"/>
        </w:rPr>
        <w:t>Issuer</w:t>
      </w:r>
      <w:r w:rsidR="00B44F7E">
        <w:rPr>
          <w:rFonts w:ascii="Arial" w:hAnsi="Arial"/>
          <w:u w:val="single"/>
        </w:rPr>
        <w:t xml:space="preserve"> by </w:t>
      </w:r>
      <w:proofErr w:type="spellStart"/>
      <w:r w:rsidR="00B44F7E">
        <w:rPr>
          <w:rFonts w:ascii="Arial" w:hAnsi="Arial"/>
          <w:u w:val="single"/>
        </w:rPr>
        <w:t>Scharfe</w:t>
      </w:r>
      <w:proofErr w:type="spellEnd"/>
      <w:r w:rsidR="00B44F7E">
        <w:rPr>
          <w:rFonts w:ascii="Arial" w:hAnsi="Arial"/>
          <w:u w:val="single"/>
        </w:rPr>
        <w:t xml:space="preserve"> Holdings Inc. </w:t>
      </w:r>
      <w:r w:rsidR="00D357D4">
        <w:rPr>
          <w:rFonts w:ascii="Arial" w:hAnsi="Arial"/>
          <w:u w:val="single"/>
        </w:rPr>
        <w:t xml:space="preserve">as further detailed in the Issuer’s </w:t>
      </w:r>
      <w:r w:rsidR="00B44F7E">
        <w:rPr>
          <w:rFonts w:ascii="Arial" w:hAnsi="Arial"/>
          <w:u w:val="single"/>
        </w:rPr>
        <w:t>July</w:t>
      </w:r>
      <w:r w:rsidR="00D357D4">
        <w:rPr>
          <w:rFonts w:ascii="Arial" w:hAnsi="Arial"/>
          <w:u w:val="single"/>
        </w:rPr>
        <w:t xml:space="preserve"> 19, 2018 press release</w:t>
      </w:r>
      <w:r>
        <w:rPr>
          <w:rFonts w:ascii="Arial" w:hAnsi="Arial"/>
        </w:rPr>
        <w:t>.</w:t>
      </w:r>
    </w:p>
    <w:p w:rsidR="00EA4133" w:rsidRDefault="00B820F1" w:rsidP="00654BF1">
      <w:pPr>
        <w:pStyle w:val="BodyText"/>
        <w:tabs>
          <w:tab w:val="left" w:pos="1080"/>
          <w:tab w:val="left" w:pos="9180"/>
        </w:tabs>
        <w:ind w:left="1080" w:hanging="1080"/>
        <w:jc w:val="both"/>
        <w:rPr>
          <w:rFonts w:ascii="Arial" w:hAnsi="Arial"/>
        </w:rPr>
      </w:pPr>
      <w:r>
        <w:rPr>
          <w:rFonts w:ascii="Arial" w:hAnsi="Arial"/>
        </w:rPr>
        <w:tab/>
      </w:r>
      <w:r w:rsidR="00EA4133">
        <w:rPr>
          <w:rFonts w:ascii="Arial" w:hAnsi="Arial"/>
        </w:rPr>
        <w:t xml:space="preserve">Provide particulars of any proceeds which are to be paid to Related Persons of the Issuer: </w:t>
      </w:r>
      <w:r w:rsidR="006822E8">
        <w:rPr>
          <w:rFonts w:ascii="Arial" w:hAnsi="Arial"/>
          <w:u w:val="single"/>
        </w:rPr>
        <w:t>N/</w:t>
      </w:r>
      <w:proofErr w:type="gramStart"/>
      <w:r w:rsidR="006822E8">
        <w:rPr>
          <w:rFonts w:ascii="Arial" w:hAnsi="Arial"/>
          <w:u w:val="single"/>
        </w:rPr>
        <w:t>A</w:t>
      </w:r>
      <w:r w:rsidR="00EA4133">
        <w:rPr>
          <w:rFonts w:ascii="Arial" w:hAnsi="Arial"/>
        </w:rPr>
        <w:t xml:space="preserve"> .</w:t>
      </w:r>
      <w:proofErr w:type="gramEnd"/>
    </w:p>
    <w:p w:rsidR="00EA4133" w:rsidRDefault="00EA4133" w:rsidP="005029E3">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rsidP="005029E3">
      <w:pPr>
        <w:pStyle w:val="BodyText"/>
        <w:numPr>
          <w:ilvl w:val="0"/>
          <w:numId w:val="10"/>
        </w:numPr>
        <w:tabs>
          <w:tab w:val="left" w:pos="9180"/>
        </w:tabs>
        <w:jc w:val="both"/>
        <w:rPr>
          <w:rFonts w:ascii="Arial" w:hAnsi="Arial"/>
        </w:rPr>
      </w:pPr>
      <w:r>
        <w:rPr>
          <w:rFonts w:ascii="Arial" w:hAnsi="Arial"/>
        </w:rPr>
        <w:t>Description of securities to be issued:</w:t>
      </w:r>
    </w:p>
    <w:p w:rsidR="00EA4133" w:rsidRDefault="00EA4133" w:rsidP="005029E3">
      <w:pPr>
        <w:pStyle w:val="BodyText"/>
        <w:keepNext/>
        <w:keepLines/>
        <w:tabs>
          <w:tab w:val="left" w:pos="1080"/>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6822E8" w:rsidRPr="006822E8">
        <w:rPr>
          <w:rFonts w:ascii="Arial" w:hAnsi="Arial"/>
          <w:u w:val="single"/>
        </w:rPr>
        <w:t>See</w:t>
      </w:r>
      <w:proofErr w:type="gramEnd"/>
      <w:r w:rsidR="006822E8" w:rsidRPr="006822E8">
        <w:rPr>
          <w:rFonts w:ascii="Arial" w:hAnsi="Arial"/>
          <w:u w:val="single"/>
        </w:rPr>
        <w:t xml:space="preserve"> below</w:t>
      </w:r>
      <w:r>
        <w:rPr>
          <w:rFonts w:ascii="Arial" w:hAnsi="Arial"/>
          <w:u w:val="single"/>
        </w:rPr>
        <w:tab/>
      </w:r>
      <w:r>
        <w:rPr>
          <w:rFonts w:ascii="Arial" w:hAnsi="Arial"/>
        </w:rPr>
        <w:t xml:space="preserve"> .</w:t>
      </w:r>
    </w:p>
    <w:p w:rsidR="00EA4133" w:rsidRDefault="00EA4133" w:rsidP="005029E3">
      <w:pPr>
        <w:pStyle w:val="BodyText"/>
        <w:tabs>
          <w:tab w:val="left" w:pos="1080"/>
          <w:tab w:val="left" w:pos="1440"/>
          <w:tab w:val="left" w:pos="2160"/>
          <w:tab w:val="left" w:pos="9180"/>
        </w:tabs>
        <w:jc w:val="both"/>
        <w:rPr>
          <w:rFonts w:ascii="Arial" w:hAnsi="Arial"/>
        </w:rPr>
      </w:pPr>
      <w:r>
        <w:rPr>
          <w:rFonts w:ascii="Arial" w:hAnsi="Arial"/>
        </w:rPr>
        <w:tab/>
        <w:t>(b)</w:t>
      </w:r>
      <w:r>
        <w:rPr>
          <w:rFonts w:ascii="Arial" w:hAnsi="Arial"/>
        </w:rPr>
        <w:tab/>
      </w:r>
      <w:r>
        <w:rPr>
          <w:rFonts w:ascii="Arial" w:hAnsi="Arial"/>
        </w:rPr>
        <w:tab/>
        <w:t xml:space="preserve">Number </w:t>
      </w:r>
      <w:r w:rsidR="006822E8" w:rsidRPr="006822E8">
        <w:rPr>
          <w:rFonts w:ascii="Arial" w:hAnsi="Arial"/>
          <w:u w:val="single"/>
        </w:rPr>
        <w:t>See below</w:t>
      </w:r>
      <w:r>
        <w:rPr>
          <w:rFonts w:ascii="Arial" w:hAnsi="Arial"/>
          <w:u w:val="single"/>
        </w:rPr>
        <w:tab/>
      </w:r>
      <w:r>
        <w:rPr>
          <w:rFonts w:ascii="Arial" w:hAnsi="Arial"/>
        </w:rPr>
        <w:t xml:space="preserve"> .</w:t>
      </w:r>
    </w:p>
    <w:p w:rsidR="00EA4133" w:rsidRDefault="00EA4133" w:rsidP="005029E3">
      <w:pPr>
        <w:pStyle w:val="BodyText"/>
        <w:tabs>
          <w:tab w:val="left" w:pos="1080"/>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 xml:space="preserve">Price per security </w:t>
      </w:r>
      <w:r w:rsidR="006822E8" w:rsidRPr="006822E8">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BodyText"/>
        <w:tabs>
          <w:tab w:val="left" w:pos="1080"/>
          <w:tab w:val="left" w:pos="1440"/>
          <w:tab w:val="left" w:pos="2160"/>
          <w:tab w:val="left" w:pos="9180"/>
        </w:tabs>
        <w:jc w:val="both"/>
        <w:rPr>
          <w:rFonts w:ascii="Arial" w:hAnsi="Arial"/>
        </w:rPr>
      </w:pPr>
      <w:r>
        <w:rPr>
          <w:rFonts w:ascii="Arial" w:hAnsi="Arial"/>
        </w:rPr>
        <w:tab/>
        <w:t>(d)</w:t>
      </w:r>
      <w:r>
        <w:rPr>
          <w:rFonts w:ascii="Arial" w:hAnsi="Arial"/>
        </w:rPr>
        <w:tab/>
      </w:r>
      <w:r>
        <w:rPr>
          <w:rFonts w:ascii="Arial" w:hAnsi="Arial"/>
        </w:rPr>
        <w:tab/>
        <w:t xml:space="preserve">Voting rights </w:t>
      </w:r>
      <w:r w:rsidR="006822E8" w:rsidRPr="006822E8">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BodyText"/>
        <w:numPr>
          <w:ilvl w:val="0"/>
          <w:numId w:val="10"/>
        </w:numPr>
        <w:tabs>
          <w:tab w:val="left" w:pos="1440"/>
          <w:tab w:val="left" w:pos="2160"/>
          <w:tab w:val="left" w:pos="9180"/>
        </w:tabs>
        <w:jc w:val="both"/>
        <w:rPr>
          <w:rFonts w:ascii="Arial" w:hAnsi="Arial"/>
        </w:rPr>
      </w:pPr>
      <w:r>
        <w:rPr>
          <w:rFonts w:ascii="Arial" w:hAnsi="Arial"/>
        </w:rPr>
        <w:t>Provide the following information if Warrants, (options) or other convertible securities are to be issued:</w:t>
      </w:r>
    </w:p>
    <w:p w:rsidR="00EA4133" w:rsidRDefault="00EA4133" w:rsidP="005029E3">
      <w:pPr>
        <w:pStyle w:val="List"/>
        <w:tabs>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t xml:space="preserve">Number </w:t>
      </w:r>
      <w:r w:rsidR="006822E8" w:rsidRPr="006822E8">
        <w:rPr>
          <w:rFonts w:ascii="Arial" w:hAnsi="Arial"/>
          <w:u w:val="single"/>
        </w:rPr>
        <w:t>N/A</w:t>
      </w:r>
      <w:r>
        <w:rPr>
          <w:rFonts w:ascii="Arial" w:hAnsi="Arial"/>
          <w:u w:val="single"/>
        </w:rPr>
        <w:tab/>
      </w:r>
      <w:r>
        <w:rPr>
          <w:rFonts w:ascii="Arial" w:hAnsi="Arial"/>
        </w:rPr>
        <w:t xml:space="preserve"> .</w:t>
      </w:r>
    </w:p>
    <w:p w:rsidR="00EA4133" w:rsidRPr="006822E8" w:rsidRDefault="00EA4133" w:rsidP="005029E3">
      <w:pPr>
        <w:pStyle w:val="List"/>
        <w:numPr>
          <w:ilvl w:val="0"/>
          <w:numId w:val="11"/>
        </w:numPr>
        <w:tabs>
          <w:tab w:val="left" w:pos="1080"/>
          <w:tab w:val="left" w:pos="1440"/>
          <w:tab w:val="left" w:pos="9180"/>
        </w:tabs>
        <w:jc w:val="both"/>
        <w:rPr>
          <w:rFonts w:ascii="Arial" w:hAnsi="Arial"/>
          <w:u w:val="single"/>
        </w:rPr>
      </w:pPr>
      <w:r>
        <w:rPr>
          <w:rFonts w:ascii="Arial" w:hAnsi="Arial"/>
        </w:rPr>
        <w:tab/>
        <w:t>Number of securities eligible to be purchased on exe</w:t>
      </w:r>
      <w:r w:rsidR="00B820F1">
        <w:rPr>
          <w:rFonts w:ascii="Arial" w:hAnsi="Arial"/>
        </w:rPr>
        <w:t xml:space="preserve">rcise of Warrants (or options) </w:t>
      </w:r>
      <w:r w:rsidR="006822E8" w:rsidRPr="006822E8">
        <w:rPr>
          <w:rFonts w:ascii="Arial" w:hAnsi="Arial"/>
          <w:u w:val="single"/>
        </w:rPr>
        <w:t>N/A</w:t>
      </w:r>
      <w:r>
        <w:rPr>
          <w:rFonts w:ascii="Arial" w:hAnsi="Arial"/>
          <w:u w:val="single"/>
        </w:rPr>
        <w:tab/>
      </w:r>
      <w:r w:rsidRPr="006822E8">
        <w:rPr>
          <w:rFonts w:ascii="Arial" w:hAnsi="Arial"/>
        </w:rPr>
        <w:t>.</w:t>
      </w:r>
    </w:p>
    <w:p w:rsidR="00EA4133" w:rsidRDefault="00EA4133" w:rsidP="005029E3">
      <w:pPr>
        <w:pStyle w:val="List"/>
        <w:tabs>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Exercise price</w:t>
      </w:r>
      <w:r w:rsidR="006822E8" w:rsidRPr="006822E8">
        <w:rPr>
          <w:rFonts w:ascii="Arial" w:hAnsi="Arial"/>
          <w:u w:val="single"/>
        </w:rPr>
        <w:t xml:space="preserve"> N/A</w:t>
      </w:r>
      <w:r>
        <w:rPr>
          <w:rFonts w:ascii="Arial" w:hAnsi="Arial"/>
          <w:u w:val="single"/>
        </w:rPr>
        <w:tab/>
      </w:r>
      <w:r>
        <w:rPr>
          <w:rFonts w:ascii="Arial" w:hAnsi="Arial"/>
        </w:rPr>
        <w:t xml:space="preserve"> .</w:t>
      </w:r>
    </w:p>
    <w:p w:rsidR="00EA4133" w:rsidRDefault="00EA4133" w:rsidP="005029E3">
      <w:pPr>
        <w:pStyle w:val="List"/>
        <w:tabs>
          <w:tab w:val="left" w:pos="1440"/>
          <w:tab w:val="left" w:pos="2160"/>
          <w:tab w:val="left" w:pos="3600"/>
          <w:tab w:val="left" w:pos="5040"/>
          <w:tab w:val="left" w:pos="7560"/>
          <w:tab w:val="left" w:pos="9180"/>
        </w:tabs>
        <w:jc w:val="both"/>
        <w:rPr>
          <w:rFonts w:ascii="Arial" w:hAnsi="Arial"/>
        </w:rPr>
      </w:pPr>
      <w:r>
        <w:rPr>
          <w:rFonts w:ascii="Arial" w:hAnsi="Arial"/>
        </w:rPr>
        <w:tab/>
        <w:t xml:space="preserve">(d) </w:t>
      </w:r>
      <w:r>
        <w:rPr>
          <w:rFonts w:ascii="Arial" w:hAnsi="Arial"/>
        </w:rPr>
        <w:tab/>
        <w:t xml:space="preserve">Expiry date </w:t>
      </w:r>
      <w:r w:rsidR="006822E8" w:rsidRPr="006822E8">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rsidP="005029E3">
      <w:pPr>
        <w:pStyle w:val="Heading2"/>
        <w:numPr>
          <w:ilvl w:val="0"/>
          <w:numId w:val="10"/>
        </w:numPr>
        <w:tabs>
          <w:tab w:val="left" w:pos="1440"/>
          <w:tab w:val="left" w:pos="2160"/>
        </w:tabs>
        <w:jc w:val="both"/>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Pr="00D05BDA" w:rsidRDefault="00FB104D" w:rsidP="00FB104D">
      <w:pPr>
        <w:pStyle w:val="List"/>
        <w:tabs>
          <w:tab w:val="left" w:pos="1080"/>
          <w:tab w:val="left" w:pos="2160"/>
          <w:tab w:val="left" w:pos="9360"/>
        </w:tabs>
        <w:ind w:left="2160" w:hanging="2160"/>
        <w:jc w:val="both"/>
        <w:rPr>
          <w:rFonts w:ascii="Arial" w:hAnsi="Arial"/>
          <w:u w:val="single"/>
        </w:rPr>
      </w:pPr>
      <w:r>
        <w:rPr>
          <w:rFonts w:ascii="Arial" w:hAnsi="Arial"/>
        </w:rPr>
        <w:tab/>
      </w:r>
      <w:r w:rsidR="00EA4133">
        <w:rPr>
          <w:rFonts w:ascii="Arial" w:hAnsi="Arial"/>
        </w:rPr>
        <w:t>(a)</w:t>
      </w:r>
      <w:r w:rsidR="00EA4133">
        <w:rPr>
          <w:rFonts w:ascii="Arial" w:hAnsi="Arial"/>
        </w:rPr>
        <w:tab/>
        <w:t>Aggregate principal amount</w:t>
      </w:r>
      <w:r w:rsidR="0038706B">
        <w:rPr>
          <w:rFonts w:ascii="Arial" w:hAnsi="Arial"/>
        </w:rPr>
        <w:t>:</w:t>
      </w:r>
      <w:r w:rsidR="00EA4133">
        <w:rPr>
          <w:rFonts w:ascii="Arial" w:hAnsi="Arial"/>
        </w:rPr>
        <w:t xml:space="preserve"> </w:t>
      </w:r>
      <w:r w:rsidR="004053BF">
        <w:rPr>
          <w:rFonts w:ascii="Arial" w:hAnsi="Arial"/>
          <w:u w:val="single"/>
        </w:rPr>
        <w:t>U</w:t>
      </w:r>
      <w:r w:rsidR="0038706B" w:rsidRPr="0038706B">
        <w:rPr>
          <w:rFonts w:ascii="Arial" w:hAnsi="Arial"/>
          <w:u w:val="single"/>
        </w:rPr>
        <w:t>nsecured convertible debentures (each, a “</w:t>
      </w:r>
      <w:r w:rsidR="0038706B" w:rsidRPr="004053BF">
        <w:rPr>
          <w:rFonts w:ascii="Arial" w:hAnsi="Arial"/>
          <w:b/>
          <w:u w:val="single"/>
        </w:rPr>
        <w:t>Debenture</w:t>
      </w:r>
      <w:r w:rsidR="0038706B" w:rsidRPr="0038706B">
        <w:rPr>
          <w:rFonts w:ascii="Arial" w:hAnsi="Arial"/>
          <w:u w:val="single"/>
        </w:rPr>
        <w:t>”</w:t>
      </w:r>
      <w:r w:rsidR="004053BF">
        <w:rPr>
          <w:rFonts w:ascii="Arial" w:hAnsi="Arial"/>
          <w:u w:val="single"/>
        </w:rPr>
        <w:t>)</w:t>
      </w:r>
      <w:r w:rsidR="0038706B" w:rsidRPr="0038706B">
        <w:rPr>
          <w:rFonts w:ascii="Arial" w:hAnsi="Arial"/>
          <w:u w:val="single"/>
        </w:rPr>
        <w:t xml:space="preserve"> in the aggregate principal amount of up to </w:t>
      </w:r>
      <w:r w:rsidR="006822E8" w:rsidRPr="0038706B">
        <w:rPr>
          <w:rFonts w:ascii="Arial" w:hAnsi="Arial"/>
          <w:u w:val="single"/>
        </w:rPr>
        <w:t>$</w:t>
      </w:r>
      <w:r w:rsidR="00654BF1">
        <w:rPr>
          <w:rFonts w:ascii="Arial" w:hAnsi="Arial"/>
          <w:u w:val="single"/>
        </w:rPr>
        <w:t>300,000</w:t>
      </w:r>
      <w:r w:rsidR="009D5EB3">
        <w:rPr>
          <w:rFonts w:ascii="Arial" w:hAnsi="Arial"/>
          <w:u w:val="single"/>
        </w:rPr>
        <w:t xml:space="preserve"> </w:t>
      </w:r>
      <w:r w:rsidR="009D5EB3" w:rsidRPr="00D05BDA">
        <w:rPr>
          <w:rFonts w:ascii="Arial" w:hAnsi="Arial"/>
          <w:u w:val="single"/>
        </w:rPr>
        <w:t>(the “</w:t>
      </w:r>
      <w:r w:rsidR="009D5EB3" w:rsidRPr="00D05BDA">
        <w:rPr>
          <w:rFonts w:ascii="Arial" w:hAnsi="Arial"/>
          <w:b/>
          <w:u w:val="single"/>
        </w:rPr>
        <w:t>Principal Amount</w:t>
      </w:r>
      <w:r w:rsidR="009D5EB3" w:rsidRPr="00D05BDA">
        <w:rPr>
          <w:rFonts w:ascii="Arial" w:hAnsi="Arial"/>
          <w:u w:val="single"/>
        </w:rPr>
        <w:t>”)</w:t>
      </w:r>
      <w:r w:rsidR="00EA4133" w:rsidRPr="00D05BDA">
        <w:rPr>
          <w:rFonts w:ascii="Arial" w:hAnsi="Arial"/>
          <w:u w:val="single"/>
        </w:rPr>
        <w:t>.</w:t>
      </w:r>
      <w:r w:rsidR="00D05BDA">
        <w:rPr>
          <w:rFonts w:ascii="Arial" w:hAnsi="Arial"/>
          <w:u w:val="single"/>
        </w:rPr>
        <w:tab/>
      </w:r>
    </w:p>
    <w:p w:rsidR="00EA4133" w:rsidRDefault="00EA4133" w:rsidP="005029E3">
      <w:pPr>
        <w:pStyle w:val="List"/>
        <w:tabs>
          <w:tab w:val="left" w:pos="1440"/>
          <w:tab w:val="left" w:pos="2160"/>
          <w:tab w:val="left" w:pos="9180"/>
        </w:tabs>
        <w:jc w:val="both"/>
        <w:rPr>
          <w:rFonts w:ascii="Arial" w:hAnsi="Arial"/>
        </w:rPr>
      </w:pPr>
      <w:r>
        <w:rPr>
          <w:rFonts w:ascii="Arial" w:hAnsi="Arial"/>
        </w:rPr>
        <w:tab/>
        <w:t xml:space="preserve">(b) </w:t>
      </w:r>
      <w:r>
        <w:rPr>
          <w:rFonts w:ascii="Arial" w:hAnsi="Arial"/>
        </w:rPr>
        <w:tab/>
        <w:t>Maturity date</w:t>
      </w:r>
      <w:r w:rsidR="004053BF">
        <w:rPr>
          <w:rFonts w:ascii="Arial" w:hAnsi="Arial"/>
        </w:rPr>
        <w:t>:</w:t>
      </w:r>
      <w:r>
        <w:rPr>
          <w:rFonts w:ascii="Arial" w:hAnsi="Arial"/>
        </w:rPr>
        <w:t xml:space="preserve"> </w:t>
      </w:r>
      <w:r w:rsidR="0038706B">
        <w:rPr>
          <w:rFonts w:ascii="Arial" w:hAnsi="Arial"/>
          <w:u w:val="single"/>
        </w:rPr>
        <w:t>Two years from closing</w:t>
      </w:r>
      <w:r w:rsidR="004053BF">
        <w:rPr>
          <w:rFonts w:ascii="Arial" w:hAnsi="Arial"/>
          <w:u w:val="single"/>
        </w:rPr>
        <w:t xml:space="preserve"> (the “</w:t>
      </w:r>
      <w:r w:rsidR="004053BF" w:rsidRPr="004053BF">
        <w:rPr>
          <w:rFonts w:ascii="Arial" w:hAnsi="Arial"/>
          <w:b/>
          <w:u w:val="single"/>
        </w:rPr>
        <w:t>Maturity Date</w:t>
      </w:r>
      <w:r w:rsidR="004053BF">
        <w:rPr>
          <w:rFonts w:ascii="Arial" w:hAnsi="Arial"/>
          <w:u w:val="single"/>
        </w:rPr>
        <w:t>”)</w:t>
      </w:r>
      <w:r>
        <w:rPr>
          <w:rFonts w:ascii="Arial" w:hAnsi="Arial"/>
        </w:rPr>
        <w:t>.</w:t>
      </w:r>
    </w:p>
    <w:p w:rsidR="00EA4133" w:rsidRDefault="00EA4133" w:rsidP="00D05BDA">
      <w:pPr>
        <w:pStyle w:val="BodyText"/>
        <w:tabs>
          <w:tab w:val="left" w:pos="1080"/>
          <w:tab w:val="left" w:pos="1440"/>
          <w:tab w:val="left" w:pos="2160"/>
          <w:tab w:val="left" w:pos="9360"/>
        </w:tabs>
        <w:ind w:left="2160" w:hanging="2160"/>
        <w:jc w:val="both"/>
        <w:rPr>
          <w:rFonts w:ascii="Arial" w:hAnsi="Arial"/>
        </w:rPr>
      </w:pPr>
      <w:r>
        <w:rPr>
          <w:rFonts w:ascii="Arial" w:hAnsi="Arial"/>
        </w:rPr>
        <w:tab/>
        <w:t xml:space="preserve">(c) </w:t>
      </w:r>
      <w:r>
        <w:rPr>
          <w:rFonts w:ascii="Arial" w:hAnsi="Arial"/>
        </w:rPr>
        <w:tab/>
      </w:r>
      <w:r>
        <w:rPr>
          <w:rFonts w:ascii="Arial" w:hAnsi="Arial"/>
        </w:rPr>
        <w:tab/>
        <w:t>Interest rate</w:t>
      </w:r>
      <w:r w:rsidR="004053BF">
        <w:rPr>
          <w:rFonts w:ascii="Arial" w:hAnsi="Arial"/>
        </w:rPr>
        <w:t>:</w:t>
      </w:r>
      <w:r>
        <w:rPr>
          <w:rFonts w:ascii="Arial" w:hAnsi="Arial"/>
        </w:rPr>
        <w:t xml:space="preserve"> </w:t>
      </w:r>
      <w:r w:rsidR="006822E8" w:rsidRPr="004053BF">
        <w:rPr>
          <w:rFonts w:ascii="Arial" w:hAnsi="Arial"/>
          <w:u w:val="single"/>
        </w:rPr>
        <w:t>1</w:t>
      </w:r>
      <w:r w:rsidR="00654BF1">
        <w:rPr>
          <w:rFonts w:ascii="Arial" w:hAnsi="Arial"/>
          <w:u w:val="single"/>
        </w:rPr>
        <w:t>2</w:t>
      </w:r>
      <w:r w:rsidR="006822E8" w:rsidRPr="004053BF">
        <w:rPr>
          <w:rFonts w:ascii="Arial" w:hAnsi="Arial"/>
          <w:u w:val="single"/>
        </w:rPr>
        <w:t>% per annum, payable on the</w:t>
      </w:r>
      <w:r w:rsidR="00B820F1">
        <w:rPr>
          <w:rFonts w:ascii="Arial" w:hAnsi="Arial"/>
          <w:u w:val="single"/>
        </w:rPr>
        <w:t xml:space="preserve"> earlier of: </w:t>
      </w:r>
      <w:r w:rsidR="00B820F1" w:rsidRPr="00B820F1">
        <w:rPr>
          <w:rFonts w:ascii="Arial" w:hAnsi="Arial"/>
          <w:u w:val="single"/>
        </w:rPr>
        <w:t>(</w:t>
      </w:r>
      <w:proofErr w:type="spellStart"/>
      <w:r w:rsidR="00B820F1" w:rsidRPr="00B820F1">
        <w:rPr>
          <w:rFonts w:ascii="Arial" w:hAnsi="Arial"/>
          <w:u w:val="single"/>
        </w:rPr>
        <w:t>i</w:t>
      </w:r>
      <w:proofErr w:type="spellEnd"/>
      <w:r w:rsidR="00B820F1" w:rsidRPr="00B820F1">
        <w:rPr>
          <w:rFonts w:ascii="Arial" w:hAnsi="Arial"/>
          <w:u w:val="single"/>
        </w:rPr>
        <w:t>) the Maturity Date, (ii) the date the Debentures are converted, or (iii) prepayment</w:t>
      </w:r>
      <w:r w:rsidR="00B820F1">
        <w:rPr>
          <w:rFonts w:ascii="Arial" w:hAnsi="Arial"/>
          <w:u w:val="single"/>
        </w:rPr>
        <w:t xml:space="preserve"> of the Debentures</w:t>
      </w:r>
      <w:r w:rsidR="00B820F1" w:rsidRPr="00B820F1">
        <w:rPr>
          <w:rFonts w:ascii="Arial" w:hAnsi="Arial"/>
          <w:u w:val="single"/>
        </w:rPr>
        <w:t xml:space="preserve"> by the </w:t>
      </w:r>
      <w:r w:rsidR="009D4E45">
        <w:rPr>
          <w:rFonts w:ascii="Arial" w:hAnsi="Arial"/>
          <w:u w:val="single"/>
        </w:rPr>
        <w:t>Issuer</w:t>
      </w:r>
      <w:r w:rsidR="00D05BDA">
        <w:rPr>
          <w:rFonts w:ascii="Arial" w:hAnsi="Arial"/>
          <w:u w:val="single"/>
        </w:rPr>
        <w:t>.</w:t>
      </w:r>
      <w:r w:rsidR="00D05BDA">
        <w:rPr>
          <w:rFonts w:ascii="Arial" w:hAnsi="Arial"/>
          <w:u w:val="single"/>
        </w:rPr>
        <w:tab/>
      </w:r>
      <w:r w:rsidR="00D05BDA">
        <w:rPr>
          <w:rFonts w:ascii="Arial" w:hAnsi="Arial"/>
        </w:rPr>
        <w:tab/>
      </w:r>
    </w:p>
    <w:p w:rsidR="00A00C54" w:rsidRDefault="00EA4133" w:rsidP="00D05BDA">
      <w:pPr>
        <w:pStyle w:val="BodyText"/>
        <w:tabs>
          <w:tab w:val="left" w:pos="1080"/>
          <w:tab w:val="left" w:pos="1440"/>
          <w:tab w:val="left" w:pos="2160"/>
          <w:tab w:val="left" w:pos="9360"/>
        </w:tabs>
        <w:ind w:left="2160" w:hanging="2160"/>
        <w:jc w:val="both"/>
        <w:rPr>
          <w:rFonts w:ascii="Arial" w:hAnsi="Arial"/>
        </w:rPr>
      </w:pPr>
      <w:r>
        <w:rPr>
          <w:rFonts w:ascii="Arial" w:hAnsi="Arial"/>
        </w:rPr>
        <w:lastRenderedPageBreak/>
        <w:tab/>
        <w:t xml:space="preserve">(d) </w:t>
      </w:r>
      <w:r>
        <w:rPr>
          <w:rFonts w:ascii="Arial" w:hAnsi="Arial"/>
        </w:rPr>
        <w:tab/>
        <w:t>Conversion terms</w:t>
      </w:r>
      <w:r w:rsidR="004053BF">
        <w:rPr>
          <w:rFonts w:ascii="Arial" w:hAnsi="Arial"/>
        </w:rPr>
        <w:t>:</w:t>
      </w:r>
      <w:r>
        <w:rPr>
          <w:rFonts w:ascii="Arial" w:hAnsi="Arial"/>
        </w:rPr>
        <w:t xml:space="preserve"> </w:t>
      </w:r>
      <w:r w:rsidR="006822E8" w:rsidRPr="006822E8">
        <w:rPr>
          <w:rFonts w:ascii="Arial" w:hAnsi="Arial"/>
          <w:u w:val="single"/>
        </w:rPr>
        <w:t xml:space="preserve">The principal amount of the </w:t>
      </w:r>
      <w:proofErr w:type="gramStart"/>
      <w:r w:rsidR="006822E8" w:rsidRPr="006822E8">
        <w:rPr>
          <w:rFonts w:ascii="Arial" w:hAnsi="Arial"/>
          <w:u w:val="single"/>
        </w:rPr>
        <w:t>Debentures</w:t>
      </w:r>
      <w:r w:rsidR="00E765DC">
        <w:rPr>
          <w:rFonts w:ascii="Arial" w:hAnsi="Arial"/>
          <w:u w:val="single"/>
        </w:rPr>
        <w:t>,</w:t>
      </w:r>
      <w:proofErr w:type="gramEnd"/>
      <w:r w:rsidR="006822E8">
        <w:rPr>
          <w:rFonts w:ascii="Arial" w:hAnsi="Arial"/>
          <w:u w:val="single"/>
        </w:rPr>
        <w:t xml:space="preserve"> and any accrued </w:t>
      </w:r>
      <w:r w:rsidR="0038706B">
        <w:rPr>
          <w:rFonts w:ascii="Arial" w:hAnsi="Arial"/>
          <w:u w:val="single"/>
        </w:rPr>
        <w:t>and unpaid interest thereon</w:t>
      </w:r>
      <w:r w:rsidR="00E765DC">
        <w:rPr>
          <w:rFonts w:ascii="Arial" w:hAnsi="Arial"/>
          <w:u w:val="single"/>
        </w:rPr>
        <w:t>, is convertible</w:t>
      </w:r>
      <w:r w:rsidR="0038706B">
        <w:rPr>
          <w:rFonts w:ascii="Arial" w:hAnsi="Arial"/>
          <w:u w:val="single"/>
        </w:rPr>
        <w:t xml:space="preserve"> into common shares of the Issuer (each, a “</w:t>
      </w:r>
      <w:r w:rsidR="0038706B" w:rsidRPr="0038706B">
        <w:rPr>
          <w:rFonts w:ascii="Arial" w:hAnsi="Arial"/>
          <w:b/>
          <w:u w:val="single"/>
        </w:rPr>
        <w:t>Share</w:t>
      </w:r>
      <w:r w:rsidR="0038706B">
        <w:rPr>
          <w:rFonts w:ascii="Arial" w:hAnsi="Arial"/>
          <w:u w:val="single"/>
        </w:rPr>
        <w:t>”)</w:t>
      </w:r>
      <w:r w:rsidR="006822E8" w:rsidRPr="006822E8">
        <w:rPr>
          <w:rFonts w:ascii="Arial" w:hAnsi="Arial"/>
          <w:u w:val="single"/>
        </w:rPr>
        <w:t xml:space="preserve"> </w:t>
      </w:r>
      <w:r w:rsidR="0038706B">
        <w:rPr>
          <w:rFonts w:ascii="Arial" w:hAnsi="Arial"/>
          <w:u w:val="single"/>
        </w:rPr>
        <w:t>at a</w:t>
      </w:r>
      <w:r w:rsidR="006822E8" w:rsidRPr="006822E8">
        <w:rPr>
          <w:rFonts w:ascii="Arial" w:hAnsi="Arial"/>
          <w:u w:val="single"/>
        </w:rPr>
        <w:t xml:space="preserve"> </w:t>
      </w:r>
      <w:r w:rsidR="0038706B">
        <w:rPr>
          <w:rFonts w:ascii="Arial" w:hAnsi="Arial"/>
          <w:u w:val="single"/>
        </w:rPr>
        <w:t>conversion price of</w:t>
      </w:r>
      <w:r w:rsidR="006822E8" w:rsidRPr="006822E8">
        <w:rPr>
          <w:rFonts w:ascii="Arial" w:hAnsi="Arial"/>
          <w:u w:val="single"/>
        </w:rPr>
        <w:t xml:space="preserve"> $0.</w:t>
      </w:r>
      <w:r w:rsidR="00654BF1">
        <w:rPr>
          <w:rFonts w:ascii="Arial" w:hAnsi="Arial"/>
          <w:u w:val="single"/>
        </w:rPr>
        <w:t>15</w:t>
      </w:r>
      <w:r w:rsidR="006822E8" w:rsidRPr="006822E8">
        <w:rPr>
          <w:rFonts w:ascii="Arial" w:hAnsi="Arial"/>
          <w:u w:val="single"/>
        </w:rPr>
        <w:t xml:space="preserve"> per Share</w:t>
      </w:r>
      <w:r w:rsidR="00B820F1">
        <w:rPr>
          <w:rFonts w:ascii="Arial" w:hAnsi="Arial"/>
          <w:u w:val="single"/>
        </w:rPr>
        <w:t>, subject to the Issuer’s right of prepayment</w:t>
      </w:r>
      <w:r w:rsidR="00D05BDA">
        <w:rPr>
          <w:rFonts w:ascii="Arial" w:hAnsi="Arial"/>
          <w:u w:val="single"/>
        </w:rPr>
        <w:tab/>
      </w:r>
      <w:r w:rsidR="00D05BDA">
        <w:rPr>
          <w:rFonts w:ascii="Arial" w:hAnsi="Arial"/>
        </w:rPr>
        <w:t>.</w:t>
      </w:r>
    </w:p>
    <w:p w:rsidR="00EA4133" w:rsidRPr="00B75C28" w:rsidRDefault="00EA4133" w:rsidP="005029E3">
      <w:pPr>
        <w:pStyle w:val="BodyText"/>
        <w:tabs>
          <w:tab w:val="left" w:pos="1080"/>
          <w:tab w:val="left" w:pos="1440"/>
          <w:tab w:val="left" w:pos="2160"/>
          <w:tab w:val="left" w:pos="9180"/>
        </w:tabs>
        <w:ind w:left="2160" w:hanging="2160"/>
        <w:jc w:val="both"/>
        <w:rPr>
          <w:rFonts w:ascii="Arial" w:hAnsi="Arial"/>
        </w:rPr>
      </w:pPr>
      <w:r>
        <w:rPr>
          <w:rFonts w:ascii="Arial" w:hAnsi="Arial"/>
        </w:rPr>
        <w:tab/>
        <w:t xml:space="preserve">(e) </w:t>
      </w:r>
      <w:r>
        <w:rPr>
          <w:rFonts w:ascii="Arial" w:hAnsi="Arial"/>
        </w:rPr>
        <w:tab/>
        <w:t>Default provisions</w:t>
      </w:r>
      <w:r w:rsidR="004053BF">
        <w:rPr>
          <w:rFonts w:ascii="Arial" w:hAnsi="Arial"/>
        </w:rPr>
        <w:t>:</w:t>
      </w:r>
      <w:r>
        <w:rPr>
          <w:rFonts w:ascii="Arial" w:hAnsi="Arial"/>
        </w:rPr>
        <w:t xml:space="preserve"> </w:t>
      </w:r>
      <w:r w:rsidR="009339B8" w:rsidRPr="009339B8">
        <w:rPr>
          <w:rFonts w:ascii="Arial" w:hAnsi="Arial"/>
          <w:u w:val="single"/>
        </w:rPr>
        <w:t>Pursuant to the terms of the Debentures, the occurrence of any of the following will constitute an event of default: (</w:t>
      </w:r>
      <w:proofErr w:type="spellStart"/>
      <w:r w:rsidR="009339B8" w:rsidRPr="009339B8">
        <w:rPr>
          <w:rFonts w:ascii="Arial" w:hAnsi="Arial"/>
          <w:u w:val="single"/>
        </w:rPr>
        <w:t>i</w:t>
      </w:r>
      <w:proofErr w:type="spellEnd"/>
      <w:r w:rsidR="009339B8" w:rsidRPr="009339B8">
        <w:rPr>
          <w:rFonts w:ascii="Arial" w:hAnsi="Arial"/>
          <w:u w:val="single"/>
        </w:rPr>
        <w:t>) the Issuer failing to pay any Principal Amount or interest thereon once due and such failure continuing for ten (10) days after written notice has been delivered to the Issuer; (ii) failure by the Issuer to observe or perform any covenant or agreement contained in the Debenture which is not cured within 30 days of written notice of such default, (iii) the Issuer: (A) applying for or consenting to the appointment of a receiver, trustee, liquidator or custodian for the benefit of any creditor, (B) being unable, or admitting in writing its inability, to pay its debts generally as they mature, (C) making a general assignment for the benefit of its or any of its creditors, (D) being dissolved or liquidated in full or in part, (E) commencing a voluntary case or other proceeding seeking liquidation, reorganization or other relief with respect to itself or its debts under any bankruptcy, insolvency or other similar law, or (F) taking any action for the purpose of effecting any of the foregoing; or (iv) the Issuer entering any proceeding for the appointment of a receiver trustee, liquidator or custodian, whether voluntary or involuntary, seeking liquidation, reorganization or other relief with respect to the Issuer or the debts thereof under any bankruptcy, insolvency or other similar law, which order, after being commenced, is not dismissed or discharged</w:t>
      </w:r>
      <w:r w:rsidR="009339B8">
        <w:rPr>
          <w:rFonts w:ascii="Arial" w:hAnsi="Arial"/>
          <w:u w:val="single"/>
        </w:rPr>
        <w:t xml:space="preserve"> within 30 days of </w:t>
      </w:r>
      <w:r w:rsidR="009339B8" w:rsidRPr="009339B8">
        <w:rPr>
          <w:rFonts w:ascii="Arial" w:hAnsi="Arial"/>
          <w:u w:val="single"/>
        </w:rPr>
        <w:t>commencement</w:t>
      </w:r>
      <w:r w:rsidR="00B75C28" w:rsidRPr="009339B8">
        <w:rPr>
          <w:rFonts w:ascii="Arial" w:hAnsi="Arial"/>
          <w:u w:val="single"/>
        </w:rPr>
        <w:t>.</w:t>
      </w:r>
      <w:r w:rsidR="009339B8" w:rsidRPr="009339B8">
        <w:rPr>
          <w:rFonts w:ascii="Arial" w:hAnsi="Arial"/>
          <w:u w:val="single"/>
        </w:rPr>
        <w:tab/>
        <w:t xml:space="preserve"> </w:t>
      </w:r>
      <w:r w:rsidR="009339B8" w:rsidRPr="009339B8">
        <w:rPr>
          <w:rFonts w:ascii="Arial" w:hAnsi="Arial"/>
          <w:u w:val="single"/>
        </w:rPr>
        <w:tab/>
      </w:r>
    </w:p>
    <w:p w:rsidR="00EA4133" w:rsidRDefault="00EA4133" w:rsidP="005029E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rsidP="005029E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303F1A">
        <w:rPr>
          <w:rFonts w:ascii="Arial" w:hAnsi="Arial"/>
          <w:u w:val="single"/>
        </w:rPr>
        <w:t>N/A</w:t>
      </w:r>
      <w:r>
        <w:rPr>
          <w:rFonts w:ascii="Arial" w:hAnsi="Arial"/>
        </w:rPr>
        <w:t>.</w:t>
      </w:r>
    </w:p>
    <w:p w:rsidR="00EA4133" w:rsidRDefault="00EA4133" w:rsidP="005029E3">
      <w:pPr>
        <w:pStyle w:val="List"/>
        <w:tabs>
          <w:tab w:val="left" w:pos="2160"/>
          <w:tab w:val="left" w:pos="9180"/>
        </w:tabs>
        <w:ind w:left="2160"/>
        <w:jc w:val="both"/>
        <w:rPr>
          <w:rFonts w:ascii="Arial" w:hAnsi="Arial"/>
        </w:rPr>
      </w:pPr>
      <w:r>
        <w:rPr>
          <w:rFonts w:ascii="Arial" w:hAnsi="Arial"/>
        </w:rPr>
        <w:t>(b)</w:t>
      </w:r>
      <w:r>
        <w:rPr>
          <w:rFonts w:ascii="Arial" w:hAnsi="Arial"/>
        </w:rPr>
        <w:tab/>
        <w:t>Cash</w:t>
      </w:r>
      <w:r w:rsidR="004053BF">
        <w:rPr>
          <w:rFonts w:ascii="Arial" w:hAnsi="Arial"/>
        </w:rPr>
        <w:t>:</w:t>
      </w:r>
      <w:r>
        <w:rPr>
          <w:rFonts w:ascii="Arial" w:hAnsi="Arial"/>
        </w:rPr>
        <w:t xml:space="preserve"> </w:t>
      </w:r>
      <w:r w:rsidR="00D357D4">
        <w:rPr>
          <w:rFonts w:ascii="Arial" w:hAnsi="Arial"/>
          <w:u w:val="single"/>
        </w:rPr>
        <w:t>N/A</w:t>
      </w:r>
      <w:r w:rsidR="00FB104D">
        <w:rPr>
          <w:rFonts w:ascii="Arial" w:hAnsi="Arial"/>
          <w:u w:val="single"/>
        </w:rPr>
        <w:tab/>
      </w:r>
      <w:r>
        <w:rPr>
          <w:rFonts w:ascii="Arial" w:hAnsi="Arial"/>
        </w:rPr>
        <w:t>.</w:t>
      </w:r>
    </w:p>
    <w:p w:rsidR="00EA4133" w:rsidRDefault="00EA4133" w:rsidP="005029E3">
      <w:pPr>
        <w:pStyle w:val="List"/>
        <w:tabs>
          <w:tab w:val="left" w:pos="2160"/>
          <w:tab w:val="left" w:pos="9180"/>
        </w:tabs>
        <w:ind w:left="2160"/>
        <w:jc w:val="both"/>
        <w:rPr>
          <w:rFonts w:ascii="Arial" w:hAnsi="Arial"/>
        </w:rPr>
      </w:pPr>
      <w:r>
        <w:rPr>
          <w:rFonts w:ascii="Arial" w:hAnsi="Arial"/>
        </w:rPr>
        <w:t>(c)</w:t>
      </w:r>
      <w:r>
        <w:rPr>
          <w:rFonts w:ascii="Arial" w:hAnsi="Arial"/>
        </w:rPr>
        <w:tab/>
        <w:t>Securities</w:t>
      </w:r>
      <w:r w:rsidR="004053BF">
        <w:rPr>
          <w:rFonts w:ascii="Arial" w:hAnsi="Arial"/>
        </w:rPr>
        <w:t>:</w:t>
      </w:r>
      <w:r>
        <w:rPr>
          <w:rFonts w:ascii="Arial" w:hAnsi="Arial"/>
        </w:rPr>
        <w:t xml:space="preserve"> </w:t>
      </w:r>
      <w:r w:rsidR="00747937" w:rsidRPr="00747937">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List"/>
        <w:tabs>
          <w:tab w:val="left" w:pos="2160"/>
          <w:tab w:val="left" w:pos="9180"/>
        </w:tabs>
        <w:ind w:left="2160"/>
        <w:jc w:val="both"/>
        <w:rPr>
          <w:rFonts w:ascii="Arial" w:hAnsi="Arial"/>
        </w:rPr>
      </w:pPr>
      <w:r>
        <w:rPr>
          <w:rFonts w:ascii="Arial" w:hAnsi="Arial"/>
        </w:rPr>
        <w:t>(d)</w:t>
      </w:r>
      <w:r>
        <w:rPr>
          <w:rFonts w:ascii="Arial" w:hAnsi="Arial"/>
        </w:rPr>
        <w:tab/>
        <w:t>Other</w:t>
      </w:r>
      <w:r w:rsidR="004053BF">
        <w:rPr>
          <w:rFonts w:ascii="Arial" w:hAnsi="Arial"/>
        </w:rPr>
        <w:t>:</w:t>
      </w:r>
      <w:r>
        <w:rPr>
          <w:rFonts w:ascii="Arial" w:hAnsi="Arial"/>
        </w:rPr>
        <w:t xml:space="preserve"> </w:t>
      </w:r>
      <w:r w:rsidR="00747937" w:rsidRPr="00747937">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List"/>
        <w:tabs>
          <w:tab w:val="left" w:pos="2160"/>
          <w:tab w:val="left" w:pos="9180"/>
        </w:tabs>
        <w:ind w:left="2160"/>
        <w:jc w:val="both"/>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w:t>
      </w:r>
      <w:r w:rsidR="004053BF">
        <w:rPr>
          <w:rFonts w:ascii="Arial" w:hAnsi="Arial"/>
        </w:rPr>
        <w:t>:</w:t>
      </w:r>
      <w:r>
        <w:rPr>
          <w:rFonts w:ascii="Arial" w:hAnsi="Arial"/>
        </w:rPr>
        <w:t xml:space="preserve"> </w:t>
      </w:r>
      <w:r w:rsidR="00747937" w:rsidRPr="00747937">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List"/>
        <w:tabs>
          <w:tab w:val="num" w:pos="1080"/>
          <w:tab w:val="left" w:pos="2160"/>
          <w:tab w:val="left" w:pos="9180"/>
        </w:tabs>
        <w:ind w:left="2160"/>
        <w:jc w:val="both"/>
        <w:rPr>
          <w:rFonts w:ascii="Arial" w:hAnsi="Arial"/>
        </w:rPr>
      </w:pPr>
      <w:r>
        <w:rPr>
          <w:rFonts w:ascii="Arial" w:hAnsi="Arial"/>
        </w:rPr>
        <w:t>(f)</w:t>
      </w:r>
      <w:r>
        <w:rPr>
          <w:rFonts w:ascii="Arial" w:hAnsi="Arial"/>
        </w:rPr>
        <w:tab/>
        <w:t>Exercise price of any options, warrants etc.</w:t>
      </w:r>
      <w:r w:rsidR="004053BF">
        <w:rPr>
          <w:rFonts w:ascii="Arial" w:hAnsi="Arial"/>
        </w:rPr>
        <w:t>:</w:t>
      </w:r>
      <w:r>
        <w:rPr>
          <w:rFonts w:ascii="Arial" w:hAnsi="Arial"/>
        </w:rPr>
        <w:t xml:space="preserve"> </w:t>
      </w:r>
      <w:r w:rsidR="00747937" w:rsidRPr="00747937">
        <w:rPr>
          <w:rFonts w:ascii="Arial" w:hAnsi="Arial"/>
          <w:u w:val="single"/>
        </w:rPr>
        <w:t>N/A</w:t>
      </w:r>
      <w:r>
        <w:rPr>
          <w:rFonts w:ascii="Arial" w:hAnsi="Arial"/>
          <w:u w:val="single"/>
        </w:rPr>
        <w:tab/>
      </w:r>
      <w:r>
        <w:rPr>
          <w:rFonts w:ascii="Arial" w:hAnsi="Arial"/>
        </w:rPr>
        <w:t xml:space="preserve"> .</w:t>
      </w:r>
    </w:p>
    <w:p w:rsidR="00EA4133" w:rsidRDefault="00EA4133" w:rsidP="005029E3">
      <w:pPr>
        <w:pStyle w:val="List"/>
        <w:numPr>
          <w:ilvl w:val="0"/>
          <w:numId w:val="10"/>
        </w:numPr>
        <w:tabs>
          <w:tab w:val="left" w:pos="9180"/>
        </w:tabs>
        <w:jc w:val="both"/>
        <w:rPr>
          <w:rFonts w:ascii="Arial" w:hAnsi="Arial"/>
        </w:rPr>
      </w:pPr>
      <w:r>
        <w:rPr>
          <w:rFonts w:ascii="Arial" w:hAnsi="Arial"/>
        </w:rPr>
        <w:lastRenderedPageBreak/>
        <w:t xml:space="preserve">State whether the sales agent, broker, dealer or other person receiving compensation in connection with the placement is Related Person or has any other relationship with the Issuer and provide details of the relationship </w:t>
      </w:r>
    </w:p>
    <w:p w:rsidR="00EA4133" w:rsidRDefault="00747937" w:rsidP="005029E3">
      <w:pPr>
        <w:pStyle w:val="List"/>
        <w:tabs>
          <w:tab w:val="left" w:pos="1080"/>
          <w:tab w:val="left" w:pos="9180"/>
        </w:tabs>
        <w:ind w:firstLine="0"/>
        <w:jc w:val="both"/>
        <w:rPr>
          <w:rFonts w:ascii="Arial" w:hAnsi="Arial"/>
        </w:rPr>
      </w:pPr>
      <w:r w:rsidRPr="00747937">
        <w:rPr>
          <w:rFonts w:ascii="Arial" w:hAnsi="Arial"/>
          <w:u w:val="single"/>
        </w:rPr>
        <w:t>N/A</w:t>
      </w:r>
      <w:r w:rsidR="00EA4133">
        <w:rPr>
          <w:rFonts w:ascii="Arial" w:hAnsi="Arial"/>
          <w:u w:val="single"/>
        </w:rPr>
        <w:tab/>
      </w:r>
      <w:r w:rsidR="00EA4133">
        <w:rPr>
          <w:rFonts w:ascii="Arial" w:hAnsi="Arial"/>
        </w:rPr>
        <w:t xml:space="preserve"> .</w:t>
      </w:r>
    </w:p>
    <w:p w:rsidR="00EA4133" w:rsidRDefault="00EA4133" w:rsidP="005029E3">
      <w:pPr>
        <w:pStyle w:val="List"/>
        <w:numPr>
          <w:ilvl w:val="0"/>
          <w:numId w:val="10"/>
        </w:numPr>
        <w:jc w:val="both"/>
        <w:rPr>
          <w:rFonts w:ascii="Arial" w:hAnsi="Arial"/>
        </w:rPr>
      </w:pPr>
      <w:r>
        <w:rPr>
          <w:rFonts w:ascii="Arial" w:hAnsi="Arial"/>
        </w:rPr>
        <w:t>Describe any unusual particulars of the transaction (i.e. tax “flow through” shares, etc.).</w:t>
      </w:r>
    </w:p>
    <w:p w:rsidR="00EA4133" w:rsidRDefault="00EA4133" w:rsidP="005029E3">
      <w:pPr>
        <w:pStyle w:val="List"/>
        <w:tabs>
          <w:tab w:val="left" w:pos="1080"/>
          <w:tab w:val="left" w:pos="9180"/>
        </w:tabs>
        <w:ind w:left="0" w:firstLine="0"/>
        <w:jc w:val="both"/>
        <w:rPr>
          <w:rFonts w:ascii="Arial" w:hAnsi="Arial"/>
        </w:rPr>
      </w:pPr>
      <w:r>
        <w:rPr>
          <w:rFonts w:ascii="Arial" w:hAnsi="Arial"/>
        </w:rPr>
        <w:tab/>
      </w:r>
      <w:r w:rsidR="00747937" w:rsidRPr="00747937">
        <w:rPr>
          <w:rFonts w:ascii="Arial" w:hAnsi="Arial"/>
          <w:u w:val="single"/>
        </w:rPr>
        <w:t>None</w:t>
      </w:r>
      <w:r>
        <w:rPr>
          <w:rFonts w:ascii="Arial" w:hAnsi="Arial"/>
          <w:u w:val="single"/>
        </w:rPr>
        <w:tab/>
      </w:r>
      <w:r>
        <w:rPr>
          <w:rFonts w:ascii="Arial" w:hAnsi="Arial"/>
        </w:rPr>
        <w:t xml:space="preserve"> .</w:t>
      </w:r>
    </w:p>
    <w:p w:rsidR="00EA4133" w:rsidRDefault="00EA4133" w:rsidP="005029E3">
      <w:pPr>
        <w:pStyle w:val="List"/>
        <w:numPr>
          <w:ilvl w:val="0"/>
          <w:numId w:val="10"/>
        </w:numPr>
        <w:jc w:val="both"/>
        <w:rPr>
          <w:rFonts w:ascii="Arial" w:hAnsi="Arial"/>
        </w:rPr>
      </w:pPr>
      <w:r>
        <w:rPr>
          <w:rFonts w:ascii="Arial" w:hAnsi="Arial"/>
        </w:rPr>
        <w:t>State whether the private placement will result in a change of control.</w:t>
      </w:r>
    </w:p>
    <w:p w:rsidR="00EA4133" w:rsidRDefault="00747937" w:rsidP="00FB104D">
      <w:pPr>
        <w:pStyle w:val="List"/>
        <w:tabs>
          <w:tab w:val="left" w:pos="1080"/>
          <w:tab w:val="left" w:pos="9180"/>
        </w:tabs>
        <w:ind w:firstLine="0"/>
        <w:jc w:val="both"/>
        <w:rPr>
          <w:rFonts w:ascii="Arial" w:hAnsi="Arial"/>
        </w:rPr>
      </w:pPr>
      <w:r w:rsidRPr="00747937">
        <w:rPr>
          <w:rFonts w:ascii="Arial" w:hAnsi="Arial"/>
          <w:u w:val="single"/>
        </w:rPr>
        <w:t>No</w:t>
      </w:r>
      <w:r w:rsidR="00FB104D">
        <w:rPr>
          <w:rFonts w:ascii="Arial" w:hAnsi="Arial"/>
          <w:u w:val="single"/>
        </w:rPr>
        <w:tab/>
      </w:r>
      <w:r w:rsidR="00EA4133">
        <w:rPr>
          <w:rFonts w:ascii="Arial" w:hAnsi="Arial"/>
        </w:rPr>
        <w:t xml:space="preserve"> .</w:t>
      </w:r>
    </w:p>
    <w:p w:rsidR="00EA4133" w:rsidRDefault="00EA4133" w:rsidP="005029E3">
      <w:pPr>
        <w:pStyle w:val="List"/>
        <w:tabs>
          <w:tab w:val="left" w:pos="9180"/>
        </w:tabs>
        <w:spacing w:before="0"/>
        <w:jc w:val="both"/>
        <w:rPr>
          <w:rFonts w:ascii="Arial" w:hAnsi="Arial"/>
        </w:rPr>
      </w:pPr>
    </w:p>
    <w:p w:rsidR="00EA4133" w:rsidRPr="00747937" w:rsidRDefault="00EA4133" w:rsidP="005029E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747937">
        <w:rPr>
          <w:rFonts w:ascii="Arial" w:hAnsi="Arial"/>
          <w:u w:val="single"/>
        </w:rPr>
        <w:t>No</w:t>
      </w:r>
      <w:r w:rsidR="00FB104D">
        <w:rPr>
          <w:rFonts w:ascii="Arial" w:hAnsi="Arial"/>
          <w:u w:val="single"/>
        </w:rPr>
        <w:tab/>
      </w:r>
      <w:r w:rsidRPr="00747937">
        <w:rPr>
          <w:rFonts w:ascii="Arial" w:hAnsi="Arial"/>
        </w:rPr>
        <w:t>.</w:t>
      </w:r>
    </w:p>
    <w:p w:rsidR="00EA4133" w:rsidRDefault="00EA4133" w:rsidP="005029E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rsidP="005029E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FB104D">
        <w:rPr>
          <w:rFonts w:ascii="Arial" w:hAnsi="Arial"/>
        </w:rPr>
        <w:t>Instrument 45-102.</w:t>
      </w:r>
    </w:p>
    <w:p w:rsidR="00EA4133" w:rsidRDefault="00EA4133" w:rsidP="005029E3">
      <w:pPr>
        <w:pStyle w:val="BodyText"/>
        <w:tabs>
          <w:tab w:val="left" w:pos="1080"/>
          <w:tab w:val="left" w:pos="4230"/>
        </w:tabs>
        <w:jc w:val="both"/>
        <w:rPr>
          <w:rFonts w:ascii="Arial" w:hAnsi="Arial"/>
          <w:color w:val="000000"/>
        </w:rPr>
      </w:pPr>
      <w:r>
        <w:rPr>
          <w:rFonts w:ascii="Arial" w:hAnsi="Arial"/>
          <w:b/>
          <w:color w:val="000000"/>
        </w:rPr>
        <w:t>2.</w:t>
      </w:r>
      <w:r>
        <w:rPr>
          <w:rFonts w:ascii="Arial" w:hAnsi="Arial"/>
          <w:b/>
          <w:color w:val="000000"/>
        </w:rPr>
        <w:tab/>
        <w:t>Acquisition</w:t>
      </w:r>
    </w:p>
    <w:p w:rsidR="00EA4133" w:rsidRDefault="00EA4133" w:rsidP="005029E3">
      <w:pPr>
        <w:pStyle w:val="List"/>
        <w:tabs>
          <w:tab w:val="left" w:pos="9180"/>
        </w:tabs>
        <w:spacing w:before="0"/>
        <w:ind w:left="0" w:firstLine="0"/>
        <w:jc w:val="both"/>
        <w:rPr>
          <w:rFonts w:ascii="Arial" w:hAnsi="Arial"/>
          <w:color w:val="000000"/>
        </w:rPr>
      </w:pPr>
    </w:p>
    <w:p w:rsidR="00EA4133" w:rsidRDefault="00EA4133" w:rsidP="005029E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rsidP="005029E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rsidP="005029E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w:t>
      </w:r>
      <w:r w:rsidR="00904B38">
        <w:rPr>
          <w:rFonts w:ascii="Arial" w:hAnsi="Arial"/>
          <w:color w:val="000000"/>
        </w:rPr>
        <w:t>.</w:t>
      </w:r>
      <w:r>
        <w:rPr>
          <w:rFonts w:ascii="Arial" w:hAnsi="Arial"/>
          <w:color w:val="000000"/>
        </w:rPr>
        <w:t>g</w:t>
      </w:r>
      <w:r w:rsidR="00904B38">
        <w:rPr>
          <w:rFonts w:ascii="Arial" w:hAnsi="Arial"/>
          <w:color w:val="000000"/>
        </w:rPr>
        <w:t>.</w:t>
      </w:r>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rsidP="005029E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rsidP="005029E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rsidP="005029E3">
      <w:pPr>
        <w:pStyle w:val="List"/>
        <w:numPr>
          <w:ilvl w:val="0"/>
          <w:numId w:val="13"/>
        </w:numPr>
        <w:tabs>
          <w:tab w:val="left" w:pos="9180"/>
        </w:tabs>
        <w:jc w:val="both"/>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029E3">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lastRenderedPageBreak/>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5029E3">
      <w:pPr>
        <w:pStyle w:val="List"/>
        <w:numPr>
          <w:ilvl w:val="0"/>
          <w:numId w:val="13"/>
        </w:numPr>
        <w:tabs>
          <w:tab w:val="left" w:pos="2160"/>
          <w:tab w:val="left" w:pos="9180"/>
        </w:tabs>
        <w:jc w:val="both"/>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5029E3">
      <w:pPr>
        <w:pStyle w:val="List"/>
        <w:numPr>
          <w:ilvl w:val="0"/>
          <w:numId w:val="16"/>
        </w:numPr>
        <w:tabs>
          <w:tab w:val="left" w:pos="9180"/>
        </w:tabs>
        <w:jc w:val="both"/>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rsidP="005029E3">
      <w:pPr>
        <w:pStyle w:val="List"/>
        <w:numPr>
          <w:ilvl w:val="0"/>
          <w:numId w:val="16"/>
        </w:numPr>
        <w:tabs>
          <w:tab w:val="left" w:pos="9180"/>
        </w:tabs>
        <w:jc w:val="both"/>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rsidP="005029E3">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rsidP="005029E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5029E3">
      <w:pPr>
        <w:pStyle w:val="BodyText"/>
        <w:numPr>
          <w:ilvl w:val="0"/>
          <w:numId w:val="17"/>
        </w:numPr>
        <w:tabs>
          <w:tab w:val="clear" w:pos="720"/>
          <w:tab w:val="num" w:pos="450"/>
        </w:tabs>
        <w:ind w:left="360" w:hanging="180"/>
        <w:jc w:val="both"/>
        <w:rPr>
          <w:rFonts w:ascii="Arial" w:hAnsi="Arial"/>
          <w:sz w:val="20"/>
        </w:rPr>
      </w:pPr>
      <w:r>
        <w:rPr>
          <w:rFonts w:ascii="Arial" w:hAnsi="Arial"/>
          <w:sz w:val="20"/>
        </w:rPr>
        <w:t>Indicate if Related Person</w:t>
      </w:r>
    </w:p>
    <w:p w:rsidR="00EA4133" w:rsidRDefault="00EA4133" w:rsidP="005029E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rsidP="005029E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rsidP="005029E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rsidP="00690215">
      <w:pPr>
        <w:pStyle w:val="List"/>
        <w:keepLines/>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rsidP="005029E3">
      <w:pPr>
        <w:pStyle w:val="List"/>
        <w:tabs>
          <w:tab w:val="left" w:pos="2160"/>
          <w:tab w:val="left" w:pos="9180"/>
        </w:tabs>
        <w:ind w:left="2160"/>
        <w:jc w:val="both"/>
        <w:rPr>
          <w:rFonts w:ascii="Arial" w:hAnsi="Arial"/>
        </w:rPr>
      </w:pPr>
      <w:r>
        <w:rPr>
          <w:rFonts w:ascii="Arial" w:hAnsi="Arial"/>
        </w:rPr>
        <w:lastRenderedPageBreak/>
        <w:t>(b)</w:t>
      </w:r>
      <w:r>
        <w:rPr>
          <w:rFonts w:ascii="Arial" w:hAnsi="Arial"/>
        </w:rPr>
        <w:tab/>
        <w:t xml:space="preserve">Cash </w:t>
      </w:r>
      <w:r>
        <w:rPr>
          <w:rFonts w:ascii="Arial" w:hAnsi="Arial"/>
          <w:u w:val="single"/>
        </w:rPr>
        <w:tab/>
      </w:r>
      <w:r>
        <w:rPr>
          <w:rFonts w:ascii="Arial" w:hAnsi="Arial"/>
        </w:rPr>
        <w:t xml:space="preserve"> .</w:t>
      </w:r>
    </w:p>
    <w:p w:rsidR="00EA4133" w:rsidRDefault="00EA4133" w:rsidP="005029E3">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rsidP="005029E3">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rsidP="005029E3">
      <w:pPr>
        <w:pStyle w:val="List"/>
        <w:numPr>
          <w:ilvl w:val="0"/>
          <w:numId w:val="15"/>
        </w:numPr>
        <w:tabs>
          <w:tab w:val="left" w:pos="9180"/>
        </w:tabs>
        <w:jc w:val="both"/>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rsidP="005029E3">
      <w:pPr>
        <w:pStyle w:val="List"/>
        <w:numPr>
          <w:ilvl w:val="0"/>
          <w:numId w:val="15"/>
        </w:numPr>
        <w:tabs>
          <w:tab w:val="left" w:pos="2160"/>
          <w:tab w:val="left" w:pos="9180"/>
        </w:tabs>
        <w:jc w:val="both"/>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5029E3">
      <w:pPr>
        <w:pStyle w:val="List"/>
        <w:tabs>
          <w:tab w:val="left" w:pos="9180"/>
        </w:tabs>
        <w:ind w:left="0" w:firstLine="0"/>
        <w:jc w:val="both"/>
        <w:rPr>
          <w:rFonts w:ascii="Arial" w:hAnsi="Arial"/>
          <w:color w:val="000000"/>
        </w:rPr>
      </w:pPr>
    </w:p>
    <w:p w:rsidR="00CF2A90" w:rsidRDefault="00CF2A90" w:rsidP="005029E3">
      <w:pPr>
        <w:pStyle w:val="List"/>
        <w:tabs>
          <w:tab w:val="left" w:pos="9180"/>
        </w:tabs>
        <w:ind w:left="0" w:firstLine="0"/>
        <w:jc w:val="both"/>
        <w:rPr>
          <w:rFonts w:ascii="Arial" w:hAnsi="Arial"/>
          <w:color w:val="000000"/>
        </w:rPr>
      </w:pPr>
    </w:p>
    <w:p w:rsidR="00EA4133" w:rsidRDefault="00EA4133" w:rsidP="005029E3">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rsidP="005029E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rsidP="005029E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rsidP="005029E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D05BDA" w:rsidRDefault="00D05BDA">
      <w:pPr>
        <w:rPr>
          <w:rFonts w:ascii="Arial" w:hAnsi="Arial"/>
          <w:b/>
          <w:sz w:val="24"/>
          <w:lang w:val="en-GB"/>
        </w:rPr>
      </w:pPr>
      <w:r>
        <w:rPr>
          <w:rFonts w:ascii="Arial" w:hAnsi="Arial"/>
          <w:b/>
        </w:rPr>
        <w:br w:type="page"/>
      </w:r>
    </w:p>
    <w:p w:rsidR="00EA4133" w:rsidRDefault="00EA4133" w:rsidP="005029E3">
      <w:pPr>
        <w:pStyle w:val="List"/>
        <w:tabs>
          <w:tab w:val="left" w:pos="1080"/>
        </w:tabs>
        <w:ind w:left="0" w:firstLine="0"/>
        <w:jc w:val="both"/>
        <w:rPr>
          <w:rFonts w:ascii="Arial" w:hAnsi="Arial"/>
        </w:rPr>
      </w:pPr>
      <w:r>
        <w:rPr>
          <w:rFonts w:ascii="Arial" w:hAnsi="Arial"/>
          <w:b/>
        </w:rPr>
        <w:lastRenderedPageBreak/>
        <w:t>Certificate Of Compliance</w:t>
      </w:r>
    </w:p>
    <w:p w:rsidR="00EA4133" w:rsidRDefault="00EA4133" w:rsidP="005029E3">
      <w:pPr>
        <w:pStyle w:val="BodyText"/>
        <w:jc w:val="both"/>
        <w:rPr>
          <w:rFonts w:ascii="Arial" w:hAnsi="Arial"/>
        </w:rPr>
      </w:pPr>
      <w:r>
        <w:rPr>
          <w:rFonts w:ascii="Arial" w:hAnsi="Arial"/>
        </w:rPr>
        <w:t>The undersigned hereby certifies that:</w:t>
      </w:r>
    </w:p>
    <w:p w:rsidR="00EA4133" w:rsidRDefault="00EA4133" w:rsidP="005029E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rsidP="005029E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rsidP="005029E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rsidP="005029E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D357D4" w:rsidRDefault="00D357D4">
      <w:pPr>
        <w:rPr>
          <w:rFonts w:ascii="Arial" w:hAnsi="Arial"/>
          <w:sz w:val="24"/>
          <w:lang w:val="en-GB"/>
        </w:rPr>
      </w:pPr>
    </w:p>
    <w:p w:rsidR="00EA4133" w:rsidRDefault="00EA4133" w:rsidP="005029E3">
      <w:pPr>
        <w:pStyle w:val="BodyText"/>
        <w:tabs>
          <w:tab w:val="left" w:pos="4680"/>
          <w:tab w:val="left" w:pos="7200"/>
        </w:tabs>
        <w:spacing w:before="480"/>
        <w:jc w:val="both"/>
        <w:rPr>
          <w:rFonts w:ascii="Arial" w:hAnsi="Arial"/>
        </w:rPr>
      </w:pPr>
      <w:proofErr w:type="gramStart"/>
      <w:r>
        <w:rPr>
          <w:rFonts w:ascii="Arial" w:hAnsi="Arial"/>
        </w:rPr>
        <w:t xml:space="preserve">Dated </w:t>
      </w:r>
      <w:r w:rsidR="00747937" w:rsidRPr="00747937">
        <w:rPr>
          <w:rFonts w:ascii="Arial" w:hAnsi="Arial"/>
        </w:rPr>
        <w:t xml:space="preserve">this </w:t>
      </w:r>
      <w:r w:rsidR="003D1EB5">
        <w:rPr>
          <w:rFonts w:ascii="Arial" w:hAnsi="Arial"/>
        </w:rPr>
        <w:t>28th</w:t>
      </w:r>
      <w:r w:rsidR="00D357D4">
        <w:rPr>
          <w:rFonts w:ascii="Arial" w:hAnsi="Arial"/>
        </w:rPr>
        <w:t xml:space="preserve"> </w:t>
      </w:r>
      <w:r w:rsidR="00747937" w:rsidRPr="00747937">
        <w:rPr>
          <w:rFonts w:ascii="Arial" w:hAnsi="Arial"/>
        </w:rPr>
        <w:t xml:space="preserve">day of </w:t>
      </w:r>
      <w:r w:rsidR="00654BF1">
        <w:rPr>
          <w:rFonts w:ascii="Arial" w:hAnsi="Arial"/>
        </w:rPr>
        <w:t>December</w:t>
      </w:r>
      <w:r w:rsidR="00747937" w:rsidRPr="00747937">
        <w:rPr>
          <w:rFonts w:ascii="Arial" w:hAnsi="Arial"/>
        </w:rPr>
        <w:t>, 2018</w:t>
      </w:r>
      <w:r>
        <w:rPr>
          <w:rFonts w:ascii="Arial" w:hAnsi="Arial"/>
        </w:rPr>
        <w:t>.</w:t>
      </w:r>
      <w:proofErr w:type="gramEnd"/>
    </w:p>
    <w:p w:rsidR="00EA4133" w:rsidRDefault="00EA4133">
      <w:pPr>
        <w:pStyle w:val="List"/>
        <w:tabs>
          <w:tab w:val="left" w:pos="9180"/>
        </w:tabs>
        <w:ind w:left="5760" w:hanging="5760"/>
        <w:rPr>
          <w:rFonts w:ascii="Arial" w:hAnsi="Arial"/>
        </w:rPr>
      </w:pPr>
      <w:r>
        <w:rPr>
          <w:rFonts w:ascii="Arial" w:hAnsi="Arial"/>
        </w:rPr>
        <w:tab/>
      </w:r>
      <w:r w:rsidR="00747937" w:rsidRPr="00D357D4">
        <w:rPr>
          <w:rFonts w:ascii="Arial" w:hAnsi="Arial"/>
          <w:u w:val="single"/>
        </w:rPr>
        <w:t>Gregory Johnston</w:t>
      </w:r>
      <w:r w:rsidR="00747937">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D357D4" w:rsidRPr="00D357D4">
        <w:rPr>
          <w:rFonts w:ascii="Arial" w:hAnsi="Arial"/>
          <w:i/>
        </w:rPr>
        <w:t>“</w:t>
      </w:r>
      <w:r w:rsidR="00D357D4" w:rsidRPr="00D357D4">
        <w:rPr>
          <w:rFonts w:ascii="Arial" w:hAnsi="Arial"/>
          <w:i/>
          <w:u w:val="single"/>
        </w:rPr>
        <w:t>Gregory Johnston”</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747937" w:rsidRPr="00747937">
        <w:rPr>
          <w:rFonts w:ascii="Arial" w:hAnsi="Arial"/>
          <w:u w:val="single"/>
        </w:rPr>
        <w:t>President, CEO, and Director</w:t>
      </w:r>
      <w:r>
        <w:rPr>
          <w:rFonts w:ascii="Arial" w:hAnsi="Arial"/>
          <w:u w:val="single"/>
        </w:rPr>
        <w:tab/>
      </w:r>
      <w:r>
        <w:rPr>
          <w:rFonts w:ascii="Arial" w:hAnsi="Arial"/>
        </w:rPr>
        <w:br/>
        <w:t>Official Capacity</w:t>
      </w:r>
    </w:p>
    <w:sectPr w:rsidR="00EA4133" w:rsidSect="00690215">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5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6B" w:rsidRDefault="00387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0FE4A134" wp14:editId="5108EFC0">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Default="008003B9"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D523D2">
      <w:rPr>
        <w:rStyle w:val="PageNumber"/>
        <w:rFonts w:ascii="Arial" w:hAnsi="Arial" w:cs="Arial"/>
        <w:noProof/>
        <w:sz w:val="16"/>
        <w:szCs w:val="16"/>
      </w:rPr>
      <w:t>1</w:t>
    </w:r>
    <w:r w:rsidRPr="002557FD">
      <w:rPr>
        <w:rStyle w:val="PageNumber"/>
        <w:rFonts w:ascii="Arial" w:hAnsi="Arial" w:cs="Arial"/>
        <w:sz w:val="16"/>
        <w:szCs w:val="16"/>
      </w:rPr>
      <w:fldChar w:fldCharType="end"/>
    </w:r>
  </w:p>
  <w:p w:rsidR="009D4E45" w:rsidRPr="009D4E45" w:rsidRDefault="009D4E45" w:rsidP="009D4E45">
    <w:pPr>
      <w:pStyle w:val="Footer"/>
      <w:rPr>
        <w:rFonts w:ascii="Arial" w:hAnsi="Arial" w:cs="Arial"/>
        <w:color w:val="000000"/>
        <w:sz w:val="16"/>
        <w:szCs w:val="16"/>
      </w:rPr>
    </w:pPr>
    <w:r w:rsidRPr="009D4E45">
      <w:rPr>
        <w:rFonts w:ascii="Arial" w:hAnsi="Arial" w:cs="Arial"/>
        <w:color w:val="000000"/>
        <w:sz w:val="16"/>
        <w:szCs w:val="16"/>
      </w:rPr>
      <w:fldChar w:fldCharType="begin"/>
    </w:r>
    <w:r w:rsidRPr="009D4E45">
      <w:rPr>
        <w:rFonts w:ascii="Arial" w:hAnsi="Arial" w:cs="Arial"/>
        <w:color w:val="000000"/>
        <w:sz w:val="16"/>
        <w:szCs w:val="16"/>
      </w:rPr>
      <w:instrText xml:space="preserve"> KEYWORDS  \* MERGEFORMAT </w:instrText>
    </w:r>
    <w:r w:rsidRPr="009D4E45">
      <w:rPr>
        <w:rFonts w:ascii="Arial" w:hAnsi="Arial" w:cs="Arial"/>
        <w:color w:val="000000"/>
        <w:sz w:val="16"/>
        <w:szCs w:val="16"/>
      </w:rPr>
      <w:fldChar w:fldCharType="separate"/>
    </w:r>
    <w:r w:rsidR="00530E58">
      <w:rPr>
        <w:rFonts w:ascii="Arial" w:hAnsi="Arial" w:cs="Arial"/>
        <w:color w:val="000000"/>
        <w:sz w:val="16"/>
        <w:szCs w:val="16"/>
      </w:rPr>
      <w:t>CW13075993.1</w:t>
    </w:r>
    <w:r w:rsidRPr="009D4E45">
      <w:rPr>
        <w:rFonts w:ascii="Arial" w:hAnsi="Arial" w:cs="Arial"/>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D523D2">
    <w:pPr>
      <w:pStyle w:val="Footer"/>
    </w:pPr>
    <w:r>
      <w:fldChar w:fldCharType="begin"/>
    </w:r>
    <w:r>
      <w:instrText xml:space="preserve"> DOCPROPERTY FOOTERPATH \* MERGEFORMAT </w:instrText>
    </w:r>
    <w:r>
      <w:fldChar w:fldCharType="separate"/>
    </w:r>
    <w:r w:rsidR="00530E58">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6B" w:rsidRDefault="003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6B" w:rsidRDefault="00387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6B" w:rsidRDefault="003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73F0B"/>
    <w:rsid w:val="00186D52"/>
    <w:rsid w:val="00186DA5"/>
    <w:rsid w:val="002153CF"/>
    <w:rsid w:val="002557FD"/>
    <w:rsid w:val="002D030A"/>
    <w:rsid w:val="002F0416"/>
    <w:rsid w:val="00303F1A"/>
    <w:rsid w:val="00326D55"/>
    <w:rsid w:val="00345C3F"/>
    <w:rsid w:val="0038706B"/>
    <w:rsid w:val="003D1EB5"/>
    <w:rsid w:val="004053BF"/>
    <w:rsid w:val="00456624"/>
    <w:rsid w:val="00462A36"/>
    <w:rsid w:val="004A1403"/>
    <w:rsid w:val="004B214D"/>
    <w:rsid w:val="005029E3"/>
    <w:rsid w:val="00530E58"/>
    <w:rsid w:val="00561B07"/>
    <w:rsid w:val="00617A0E"/>
    <w:rsid w:val="0062717F"/>
    <w:rsid w:val="00654BF1"/>
    <w:rsid w:val="006822E8"/>
    <w:rsid w:val="00690215"/>
    <w:rsid w:val="00747937"/>
    <w:rsid w:val="007568B3"/>
    <w:rsid w:val="007B0425"/>
    <w:rsid w:val="008003B9"/>
    <w:rsid w:val="008E2B27"/>
    <w:rsid w:val="008F27FF"/>
    <w:rsid w:val="00904B38"/>
    <w:rsid w:val="009136E7"/>
    <w:rsid w:val="009339B8"/>
    <w:rsid w:val="009466F0"/>
    <w:rsid w:val="0097763E"/>
    <w:rsid w:val="009C5B40"/>
    <w:rsid w:val="009D4E45"/>
    <w:rsid w:val="009D5EB3"/>
    <w:rsid w:val="00A00C54"/>
    <w:rsid w:val="00A10285"/>
    <w:rsid w:val="00A36E14"/>
    <w:rsid w:val="00A90670"/>
    <w:rsid w:val="00A93530"/>
    <w:rsid w:val="00A9392C"/>
    <w:rsid w:val="00AE09FE"/>
    <w:rsid w:val="00B44F7E"/>
    <w:rsid w:val="00B75C28"/>
    <w:rsid w:val="00B820F1"/>
    <w:rsid w:val="00B923F6"/>
    <w:rsid w:val="00CF076A"/>
    <w:rsid w:val="00CF2A90"/>
    <w:rsid w:val="00D05BDA"/>
    <w:rsid w:val="00D357D4"/>
    <w:rsid w:val="00D523D2"/>
    <w:rsid w:val="00D55662"/>
    <w:rsid w:val="00DB640C"/>
    <w:rsid w:val="00E54652"/>
    <w:rsid w:val="00E55E58"/>
    <w:rsid w:val="00E6553A"/>
    <w:rsid w:val="00E765DC"/>
    <w:rsid w:val="00E85B6B"/>
    <w:rsid w:val="00E90063"/>
    <w:rsid w:val="00E97C13"/>
    <w:rsid w:val="00EA4133"/>
    <w:rsid w:val="00EA711B"/>
    <w:rsid w:val="00EA7301"/>
    <w:rsid w:val="00FB104D"/>
    <w:rsid w:val="00FC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414A-6703-4422-9A41-E63DC045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keywords>CW13075993.1</cp:keywords>
  <dc:description>43140-0001</dc:description>
  <cp:lastModifiedBy>Alex Farkas</cp:lastModifiedBy>
  <cp:revision>2</cp:revision>
  <cp:lastPrinted>2018-11-15T17:47:00Z</cp:lastPrinted>
  <dcterms:created xsi:type="dcterms:W3CDTF">2018-12-29T02:42:00Z</dcterms:created>
  <dcterms:modified xsi:type="dcterms:W3CDTF">2018-12-29T02:42:00Z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