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DA" w:rsidRPr="00140FA6" w:rsidRDefault="00B52FDA" w:rsidP="00B52FDA">
      <w:pPr>
        <w:spacing w:after="0" w:line="240" w:lineRule="auto"/>
        <w:ind w:left="-270" w:right="-340"/>
        <w:jc w:val="both"/>
        <w:rPr>
          <w:rFonts w:ascii="Calibri" w:eastAsia="Cambria" w:hAnsi="Calibri" w:cs="Calibri"/>
          <w:b/>
          <w:sz w:val="24"/>
          <w:lang w:val="en-GB" w:eastAsia="zh-TW"/>
        </w:rPr>
      </w:pPr>
      <w:bookmarkStart w:id="0" w:name="_GoBack"/>
      <w:bookmarkEnd w:id="0"/>
      <w:r w:rsidRPr="00140FA6">
        <w:rPr>
          <w:rFonts w:ascii="Helvetica" w:eastAsia="Cambria" w:hAnsi="Helvetica" w:cs="Cambria"/>
          <w:i/>
          <w:noProof/>
          <w:sz w:val="28"/>
          <w:szCs w:val="28"/>
        </w:rPr>
        <w:drawing>
          <wp:anchor distT="0" distB="0" distL="114300" distR="114300" simplePos="0" relativeHeight="251659264" behindDoc="1" locked="0" layoutInCell="1" allowOverlap="1">
            <wp:simplePos x="0" y="0"/>
            <wp:positionH relativeFrom="margin">
              <wp:align>right</wp:align>
            </wp:positionH>
            <wp:positionV relativeFrom="paragraph">
              <wp:posOffset>-377825</wp:posOffset>
            </wp:positionV>
            <wp:extent cx="2628900" cy="1066800"/>
            <wp:effectExtent l="0" t="0" r="0" b="0"/>
            <wp:wrapNone/>
            <wp:docPr id="3" name="Picture 3" descr="../Desktop/logo-phan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logo-phantom.png"/>
                    <pic:cNvPicPr>
                      <a:picLocks noChangeAspect="1" noChangeArrowheads="1"/>
                    </pic:cNvPicPr>
                  </pic:nvPicPr>
                  <pic:blipFill>
                    <a:blip r:embed="rId6" cstate="print"/>
                    <a:stretch>
                      <a:fillRect/>
                    </a:stretch>
                  </pic:blipFill>
                  <pic:spPr bwMode="auto">
                    <a:xfrm>
                      <a:off x="0" y="0"/>
                      <a:ext cx="2628900" cy="1066800"/>
                    </a:xfrm>
                    <a:prstGeom prst="rect">
                      <a:avLst/>
                    </a:prstGeom>
                    <a:noFill/>
                    <a:ln>
                      <a:noFill/>
                    </a:ln>
                  </pic:spPr>
                </pic:pic>
              </a:graphicData>
            </a:graphic>
          </wp:anchor>
        </w:drawing>
      </w:r>
      <w:r w:rsidRPr="00140FA6">
        <w:rPr>
          <w:rFonts w:ascii="Cambria" w:eastAsia="Cambria" w:hAnsi="Cambria" w:cs="Cambria"/>
          <w:noProof/>
          <w:sz w:val="24"/>
        </w:rPr>
        <w:drawing>
          <wp:anchor distT="0" distB="0" distL="114300" distR="114300" simplePos="0" relativeHeight="251660288" behindDoc="0" locked="0" layoutInCell="1" allowOverlap="1">
            <wp:simplePos x="0" y="0"/>
            <wp:positionH relativeFrom="column">
              <wp:posOffset>-67310</wp:posOffset>
            </wp:positionH>
            <wp:positionV relativeFrom="paragraph">
              <wp:posOffset>406</wp:posOffset>
            </wp:positionV>
            <wp:extent cx="2790825" cy="737439"/>
            <wp:effectExtent l="0" t="0" r="0" b="0"/>
            <wp:wrapThrough wrapText="bothSides">
              <wp:wrapPolygon edited="0">
                <wp:start x="2162" y="0"/>
                <wp:lineTo x="0" y="4837"/>
                <wp:lineTo x="0" y="16372"/>
                <wp:lineTo x="2162" y="21209"/>
                <wp:lineTo x="3145" y="21209"/>
                <wp:lineTo x="3244" y="21209"/>
                <wp:lineTo x="4620" y="17860"/>
                <wp:lineTo x="21526" y="16744"/>
                <wp:lineTo x="21526" y="11907"/>
                <wp:lineTo x="8060" y="11907"/>
                <wp:lineTo x="10812" y="9674"/>
                <wp:lineTo x="10911" y="5209"/>
                <wp:lineTo x="3145" y="0"/>
                <wp:lineTo x="216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1.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90825" cy="737439"/>
                    </a:xfrm>
                    <a:prstGeom prst="rect">
                      <a:avLst/>
                    </a:prstGeom>
                  </pic:spPr>
                </pic:pic>
              </a:graphicData>
            </a:graphic>
          </wp:anchor>
        </w:drawing>
      </w:r>
    </w:p>
    <w:p w:rsidR="00B52FDA" w:rsidRPr="00140FA6" w:rsidRDefault="00B52FDA" w:rsidP="00B52FDA">
      <w:pPr>
        <w:spacing w:after="0" w:line="240" w:lineRule="auto"/>
        <w:ind w:left="720"/>
        <w:rPr>
          <w:rFonts w:ascii="Calibri" w:eastAsia="Helvetica Neue" w:hAnsi="Calibri" w:cs="Calibri"/>
          <w:b/>
          <w:sz w:val="24"/>
          <w:lang w:val="en-GB" w:eastAsia="zh-TW"/>
        </w:rPr>
      </w:pPr>
    </w:p>
    <w:p w:rsidR="00B52FDA" w:rsidRPr="00140FA6" w:rsidRDefault="00B52FDA" w:rsidP="00B52FDA">
      <w:pPr>
        <w:spacing w:after="0" w:line="240" w:lineRule="auto"/>
        <w:jc w:val="center"/>
        <w:rPr>
          <w:rFonts w:ascii="Arial" w:eastAsia="Helvetica Neue" w:hAnsi="Arial" w:cs="Arial"/>
          <w:b/>
          <w:sz w:val="28"/>
          <w:lang w:val="en-GB" w:eastAsia="zh-TW"/>
        </w:rPr>
      </w:pPr>
    </w:p>
    <w:p w:rsidR="00B52FDA" w:rsidRPr="00140FA6" w:rsidRDefault="00B52FDA" w:rsidP="00B52FDA">
      <w:pPr>
        <w:spacing w:after="0" w:line="240" w:lineRule="auto"/>
        <w:jc w:val="center"/>
        <w:rPr>
          <w:rFonts w:ascii="Arial" w:eastAsia="Helvetica Neue" w:hAnsi="Arial" w:cs="Arial"/>
          <w:b/>
          <w:sz w:val="28"/>
          <w:lang w:val="en-GB" w:eastAsia="zh-TW"/>
        </w:rPr>
      </w:pPr>
    </w:p>
    <w:p w:rsidR="00B52FDA" w:rsidRPr="00140FA6" w:rsidRDefault="00B52FDA" w:rsidP="00B52FDA">
      <w:pPr>
        <w:spacing w:after="0" w:line="240" w:lineRule="auto"/>
        <w:rPr>
          <w:rFonts w:ascii="Arial" w:eastAsia="Helvetica Neue" w:hAnsi="Arial" w:cs="Arial"/>
          <w:b/>
          <w:sz w:val="24"/>
          <w:lang w:val="en-GB" w:eastAsia="zh-TW"/>
        </w:rPr>
      </w:pPr>
    </w:p>
    <w:p w:rsidR="00B52FDA" w:rsidRPr="00140FA6" w:rsidRDefault="00B52FDA" w:rsidP="00B52FDA">
      <w:pPr>
        <w:spacing w:after="0" w:line="240" w:lineRule="auto"/>
        <w:jc w:val="center"/>
        <w:rPr>
          <w:rFonts w:ascii="Arial" w:eastAsia="Helvetica Neue" w:hAnsi="Arial" w:cs="Arial"/>
          <w:b/>
          <w:sz w:val="28"/>
          <w:lang w:val="en-GB" w:eastAsia="zh-TW"/>
        </w:rPr>
      </w:pPr>
      <w:r w:rsidRPr="00140FA6">
        <w:rPr>
          <w:rFonts w:ascii="Arial" w:eastAsia="Helvetica Neue" w:hAnsi="Arial" w:cs="Arial"/>
          <w:b/>
          <w:sz w:val="28"/>
          <w:lang w:val="en-GB" w:eastAsia="zh-TW"/>
        </w:rPr>
        <w:t xml:space="preserve">C21 Investments completes acquisition of Phantom Farms </w:t>
      </w:r>
    </w:p>
    <w:p w:rsidR="00B52FDA" w:rsidRDefault="00B52FDA" w:rsidP="00B52FDA">
      <w:pPr>
        <w:spacing w:after="0" w:line="240" w:lineRule="auto"/>
        <w:jc w:val="center"/>
        <w:rPr>
          <w:rFonts w:ascii="Arial" w:eastAsia="Helvetica Neue" w:hAnsi="Arial" w:cs="Arial"/>
          <w:b/>
          <w:sz w:val="24"/>
          <w:lang w:val="en-GB" w:eastAsia="zh-TW"/>
        </w:rPr>
      </w:pPr>
      <w:r w:rsidRPr="00140FA6">
        <w:rPr>
          <w:rFonts w:ascii="Arial" w:eastAsia="Helvetica Neue" w:hAnsi="Arial" w:cs="Arial"/>
          <w:b/>
          <w:sz w:val="24"/>
          <w:lang w:val="en-GB" w:eastAsia="zh-TW"/>
        </w:rPr>
        <w:t xml:space="preserve">High-quality Oregon producer brings premium brands &amp; growth potential  </w:t>
      </w:r>
    </w:p>
    <w:p w:rsidR="002B1FAD" w:rsidRDefault="002B1FAD" w:rsidP="00B52FDA">
      <w:pPr>
        <w:spacing w:after="0" w:line="240" w:lineRule="auto"/>
        <w:jc w:val="center"/>
        <w:rPr>
          <w:rFonts w:ascii="Arial" w:eastAsia="Helvetica Neue" w:hAnsi="Arial" w:cs="Arial"/>
          <w:b/>
          <w:sz w:val="24"/>
          <w:lang w:val="en-GB" w:eastAsia="zh-TW"/>
        </w:rPr>
      </w:pPr>
    </w:p>
    <w:p w:rsidR="002B1FAD" w:rsidRPr="002B1FAD" w:rsidRDefault="002B1FAD" w:rsidP="002B1FAD">
      <w:pPr>
        <w:shd w:val="clear" w:color="auto" w:fill="FFFFFF"/>
        <w:spacing w:after="0" w:line="240" w:lineRule="auto"/>
        <w:jc w:val="center"/>
        <w:rPr>
          <w:rFonts w:ascii="Arial" w:eastAsia="Helvetica Neue" w:hAnsi="Arial" w:cs="Arial"/>
          <w:i/>
          <w:color w:val="000000"/>
          <w:sz w:val="24"/>
        </w:rPr>
      </w:pPr>
      <w:r w:rsidRPr="00735405">
        <w:rPr>
          <w:rFonts w:ascii="Arial" w:eastAsia="Times New Roman" w:hAnsi="Arial" w:cs="Arial"/>
          <w:i/>
          <w:color w:val="000000"/>
          <w:sz w:val="24"/>
        </w:rPr>
        <w:t>Not for distribution to U.S. newswire services or for dissemination in the U.S.</w:t>
      </w:r>
    </w:p>
    <w:p w:rsidR="00B52FDA" w:rsidRPr="00140FA6" w:rsidRDefault="00B52FDA" w:rsidP="00B52FDA">
      <w:pPr>
        <w:spacing w:after="0" w:line="240" w:lineRule="auto"/>
        <w:ind w:left="720"/>
        <w:jc w:val="center"/>
        <w:rPr>
          <w:rFonts w:ascii="Arial" w:eastAsia="Helvetica Neue" w:hAnsi="Arial" w:cs="Arial"/>
          <w:b/>
          <w:sz w:val="28"/>
          <w:lang w:val="en-GB" w:eastAsia="zh-TW"/>
        </w:rPr>
      </w:pPr>
    </w:p>
    <w:p w:rsidR="00B52FDA" w:rsidRDefault="00B52FDA" w:rsidP="00B52FDA">
      <w:pPr>
        <w:spacing w:after="0" w:line="240" w:lineRule="auto"/>
        <w:rPr>
          <w:rFonts w:ascii="Arial" w:eastAsia="Helvetica Neue" w:hAnsi="Arial" w:cs="Arial"/>
          <w:sz w:val="24"/>
          <w:lang w:val="en-GB" w:eastAsia="zh-TW"/>
        </w:rPr>
      </w:pPr>
      <w:r w:rsidRPr="00140FA6">
        <w:rPr>
          <w:rFonts w:ascii="Arial" w:eastAsia="Helvetica Neue" w:hAnsi="Arial" w:cs="Arial"/>
          <w:b/>
          <w:sz w:val="24"/>
          <w:lang w:val="en-GB" w:eastAsia="zh-TW"/>
        </w:rPr>
        <w:t xml:space="preserve">VANCOUVER, February </w:t>
      </w:r>
      <w:r>
        <w:rPr>
          <w:rFonts w:ascii="Arial" w:eastAsia="Helvetica Neue" w:hAnsi="Arial" w:cs="Arial"/>
          <w:b/>
          <w:sz w:val="24"/>
          <w:lang w:val="en-GB" w:eastAsia="zh-TW"/>
        </w:rPr>
        <w:t>4</w:t>
      </w:r>
      <w:r w:rsidRPr="00140FA6">
        <w:rPr>
          <w:rFonts w:ascii="Arial" w:eastAsia="Helvetica Neue" w:hAnsi="Arial" w:cs="Arial"/>
          <w:b/>
          <w:sz w:val="24"/>
          <w:lang w:val="en-GB" w:eastAsia="zh-TW"/>
        </w:rPr>
        <w:t>, 2019</w:t>
      </w:r>
      <w:r w:rsidRPr="00140FA6">
        <w:rPr>
          <w:rFonts w:ascii="Arial" w:eastAsia="Helvetica Neue" w:hAnsi="Arial" w:cs="Arial"/>
          <w:sz w:val="24"/>
          <w:lang w:val="en-GB" w:eastAsia="zh-TW"/>
        </w:rPr>
        <w:t xml:space="preserve"> –</w:t>
      </w:r>
      <w:r w:rsidRPr="00140FA6">
        <w:rPr>
          <w:rFonts w:ascii="Cambria" w:eastAsia="Cambria" w:hAnsi="Cambria" w:cs="Cambria"/>
          <w:sz w:val="24"/>
          <w:lang w:val="en-GB" w:eastAsia="zh-TW"/>
        </w:rPr>
        <w:t xml:space="preserve"> </w:t>
      </w:r>
      <w:r w:rsidRPr="00140FA6">
        <w:rPr>
          <w:rFonts w:ascii="Arial" w:eastAsia="Helvetica Neue" w:hAnsi="Arial" w:cs="Arial"/>
          <w:sz w:val="24"/>
          <w:lang w:val="en-GB" w:eastAsia="zh-TW"/>
        </w:rPr>
        <w:t xml:space="preserve">C21 Investments Inc. </w:t>
      </w:r>
      <w:r>
        <w:rPr>
          <w:rFonts w:ascii="Arial" w:eastAsia="Helvetica Neue" w:hAnsi="Arial" w:cs="Arial"/>
          <w:sz w:val="24"/>
          <w:lang w:val="en-GB" w:eastAsia="zh-TW"/>
        </w:rPr>
        <w:t>(“C21 Investments” or the</w:t>
      </w:r>
      <w:r w:rsidR="0097788A">
        <w:rPr>
          <w:rFonts w:ascii="Arial" w:eastAsia="Helvetica Neue" w:hAnsi="Arial" w:cs="Arial"/>
          <w:sz w:val="24"/>
          <w:lang w:val="en-GB" w:eastAsia="zh-TW"/>
        </w:rPr>
        <w:t> </w:t>
      </w:r>
      <w:r>
        <w:rPr>
          <w:rFonts w:ascii="Arial" w:eastAsia="Helvetica Neue" w:hAnsi="Arial" w:cs="Arial"/>
          <w:sz w:val="24"/>
          <w:lang w:val="en-GB" w:eastAsia="zh-TW"/>
        </w:rPr>
        <w:t xml:space="preserve">“Company”) </w:t>
      </w:r>
      <w:r w:rsidRPr="00140FA6">
        <w:rPr>
          <w:rFonts w:ascii="Arial" w:eastAsia="Helvetica Neue" w:hAnsi="Arial" w:cs="Arial"/>
          <w:sz w:val="24"/>
          <w:lang w:val="en-GB" w:eastAsia="zh-TW"/>
        </w:rPr>
        <w:t xml:space="preserve">(CSE: CXXI) today announced that it has completed </w:t>
      </w:r>
      <w:r>
        <w:rPr>
          <w:rFonts w:ascii="Arial" w:eastAsia="Helvetica Neue" w:hAnsi="Arial" w:cs="Arial"/>
          <w:sz w:val="24"/>
          <w:lang w:val="en-GB" w:eastAsia="zh-TW"/>
        </w:rPr>
        <w:t>the</w:t>
      </w:r>
      <w:r w:rsidRPr="00140FA6">
        <w:rPr>
          <w:rFonts w:ascii="Arial" w:eastAsia="Helvetica Neue" w:hAnsi="Arial" w:cs="Arial"/>
          <w:sz w:val="24"/>
          <w:lang w:val="en-GB" w:eastAsia="zh-TW"/>
        </w:rPr>
        <w:t xml:space="preserve"> acquisition of Phantom Venture Group LLC and Phantom Brands</w:t>
      </w:r>
      <w:r>
        <w:rPr>
          <w:rFonts w:ascii="Arial" w:eastAsia="Helvetica Neue" w:hAnsi="Arial" w:cs="Arial"/>
          <w:sz w:val="24"/>
          <w:lang w:val="en-GB" w:eastAsia="zh-TW"/>
        </w:rPr>
        <w:t>,</w:t>
      </w:r>
      <w:r w:rsidRPr="00140FA6">
        <w:rPr>
          <w:rFonts w:ascii="Arial" w:eastAsia="Helvetica Neue" w:hAnsi="Arial" w:cs="Arial"/>
          <w:sz w:val="24"/>
          <w:lang w:val="en-GB" w:eastAsia="zh-TW"/>
        </w:rPr>
        <w:t xml:space="preserve"> LLC of Oregon (together</w:t>
      </w:r>
      <w:r>
        <w:rPr>
          <w:rFonts w:ascii="Arial" w:eastAsia="Helvetica Neue" w:hAnsi="Arial" w:cs="Arial"/>
          <w:sz w:val="24"/>
          <w:lang w:val="en-GB" w:eastAsia="zh-TW"/>
        </w:rPr>
        <w:t>, </w:t>
      </w:r>
      <w:r w:rsidRPr="00140FA6">
        <w:rPr>
          <w:rFonts w:ascii="Arial" w:eastAsia="Helvetica Neue" w:hAnsi="Arial" w:cs="Arial"/>
          <w:sz w:val="24"/>
          <w:lang w:val="en-GB" w:eastAsia="zh-TW"/>
        </w:rPr>
        <w:t>“Phantom Farms”)</w:t>
      </w:r>
      <w:r>
        <w:rPr>
          <w:rFonts w:ascii="Arial" w:eastAsia="Helvetica Neue" w:hAnsi="Arial" w:cs="Arial"/>
          <w:sz w:val="24"/>
          <w:lang w:val="en-GB" w:eastAsia="zh-TW"/>
        </w:rPr>
        <w:t xml:space="preserve">. </w:t>
      </w:r>
      <w:r w:rsidR="006C299C" w:rsidRPr="00140FA6">
        <w:rPr>
          <w:rFonts w:ascii="Arial" w:eastAsia="Helvetica Neue" w:hAnsi="Arial" w:cs="Arial"/>
          <w:sz w:val="24"/>
          <w:lang w:val="en-GB" w:eastAsia="zh-TW"/>
        </w:rPr>
        <w:t>Phantom Farms has outdoor cannabis cultivation facilities totalling 80,000 square fee</w:t>
      </w:r>
      <w:r w:rsidR="006C299C">
        <w:rPr>
          <w:rFonts w:ascii="Arial" w:eastAsia="Helvetica Neue" w:hAnsi="Arial" w:cs="Arial"/>
          <w:sz w:val="24"/>
          <w:lang w:val="en-GB" w:eastAsia="zh-TW"/>
        </w:rPr>
        <w:t>t with</w:t>
      </w:r>
      <w:r w:rsidR="006C299C" w:rsidRPr="00140FA6">
        <w:rPr>
          <w:rFonts w:ascii="Arial" w:eastAsia="Helvetica Neue" w:hAnsi="Arial" w:cs="Arial"/>
          <w:sz w:val="24"/>
          <w:lang w:val="en-GB" w:eastAsia="zh-TW"/>
        </w:rPr>
        <w:t xml:space="preserve"> an additional 40,000 square feet under development in Southern Oregon. </w:t>
      </w:r>
      <w:r w:rsidR="006C299C">
        <w:rPr>
          <w:rFonts w:ascii="Arial" w:eastAsia="Helvetica Neue" w:hAnsi="Arial" w:cs="Arial"/>
          <w:sz w:val="24"/>
          <w:lang w:val="en-GB" w:eastAsia="zh-TW"/>
        </w:rPr>
        <w:t xml:space="preserve">Phantom Farms also operates a 5,600 </w:t>
      </w:r>
      <w:r w:rsidR="006C299C" w:rsidRPr="00140FA6">
        <w:rPr>
          <w:rFonts w:ascii="Arial" w:eastAsia="Helvetica Neue" w:hAnsi="Arial" w:cs="Arial"/>
          <w:sz w:val="24"/>
          <w:lang w:val="en-GB" w:eastAsia="zh-TW"/>
        </w:rPr>
        <w:t>square foot facility which includes a wholesale distribution warehouse an</w:t>
      </w:r>
      <w:r w:rsidR="006C299C">
        <w:rPr>
          <w:rFonts w:ascii="Arial" w:eastAsia="Helvetica Neue" w:hAnsi="Arial" w:cs="Arial"/>
          <w:sz w:val="24"/>
          <w:lang w:val="en-GB" w:eastAsia="zh-TW"/>
        </w:rPr>
        <w:t>d an extraction laboratory, and a 7,700 square foot state-of-the-</w:t>
      </w:r>
      <w:r w:rsidR="006C299C" w:rsidRPr="00140FA6">
        <w:rPr>
          <w:rFonts w:ascii="Arial" w:eastAsia="Helvetica Neue" w:hAnsi="Arial" w:cs="Arial"/>
          <w:sz w:val="24"/>
          <w:lang w:val="en-GB" w:eastAsia="zh-TW"/>
        </w:rPr>
        <w:t xml:space="preserve">art indoor grow facility in Central Oregon. </w:t>
      </w:r>
    </w:p>
    <w:p w:rsidR="0097788A" w:rsidRDefault="0097788A" w:rsidP="00B52FDA">
      <w:pPr>
        <w:spacing w:after="0" w:line="240" w:lineRule="auto"/>
        <w:rPr>
          <w:rFonts w:ascii="Arial" w:eastAsia="Helvetica Neue" w:hAnsi="Arial" w:cs="Arial"/>
          <w:sz w:val="24"/>
          <w:lang w:val="en-GB" w:eastAsia="zh-TW"/>
        </w:rPr>
      </w:pPr>
    </w:p>
    <w:p w:rsidR="0097788A" w:rsidRDefault="0097788A" w:rsidP="00B52FDA">
      <w:pPr>
        <w:spacing w:after="0" w:line="240" w:lineRule="auto"/>
        <w:rPr>
          <w:rFonts w:ascii="Arial" w:eastAsia="Helvetica Neue" w:hAnsi="Arial" w:cs="Arial"/>
          <w:sz w:val="24"/>
          <w:lang w:val="en-GB" w:eastAsia="zh-TW"/>
        </w:rPr>
      </w:pPr>
      <w:r>
        <w:rPr>
          <w:rFonts w:ascii="Arial" w:eastAsia="Helvetica Neue" w:hAnsi="Arial" w:cs="Arial"/>
          <w:sz w:val="24"/>
          <w:lang w:val="en-GB" w:eastAsia="zh-TW"/>
        </w:rPr>
        <w:t>In consideration for the acquisition, the Company agreed to issue</w:t>
      </w:r>
      <w:r w:rsidRPr="0097788A">
        <w:rPr>
          <w:rFonts w:ascii="Arial" w:eastAsia="Helvetica Neue" w:hAnsi="Arial" w:cs="Arial"/>
          <w:sz w:val="24"/>
          <w:lang w:val="en-GB" w:eastAsia="zh-TW"/>
        </w:rPr>
        <w:t>: (1) 2,670,000 common shares of the Company (</w:t>
      </w:r>
      <w:r>
        <w:rPr>
          <w:rFonts w:ascii="Arial" w:eastAsia="Helvetica Neue" w:hAnsi="Arial" w:cs="Arial"/>
          <w:sz w:val="24"/>
          <w:lang w:val="en-GB" w:eastAsia="zh-TW"/>
        </w:rPr>
        <w:t xml:space="preserve">each, a </w:t>
      </w:r>
      <w:r w:rsidRPr="0097788A">
        <w:rPr>
          <w:rFonts w:ascii="Arial" w:eastAsia="Helvetica Neue" w:hAnsi="Arial" w:cs="Arial"/>
          <w:sz w:val="24"/>
          <w:lang w:val="en-GB" w:eastAsia="zh-TW"/>
        </w:rPr>
        <w:t xml:space="preserve">“C21 Share”) issued at the deemed issue price of US$3.00 per </w:t>
      </w:r>
      <w:r>
        <w:rPr>
          <w:rFonts w:ascii="Arial" w:eastAsia="Helvetica Neue" w:hAnsi="Arial" w:cs="Arial"/>
          <w:sz w:val="24"/>
          <w:lang w:val="en-GB" w:eastAsia="zh-TW"/>
        </w:rPr>
        <w:t>C21 S</w:t>
      </w:r>
      <w:r w:rsidRPr="0097788A">
        <w:rPr>
          <w:rFonts w:ascii="Arial" w:eastAsia="Helvetica Neue" w:hAnsi="Arial" w:cs="Arial"/>
          <w:sz w:val="24"/>
          <w:lang w:val="en-GB" w:eastAsia="zh-TW"/>
        </w:rPr>
        <w:t xml:space="preserve">hare; (2) warrants to purchase up to 1,700,000 C21 Shares at an exercise price of CA$1.50 per </w:t>
      </w:r>
      <w:r>
        <w:rPr>
          <w:rFonts w:ascii="Arial" w:eastAsia="Helvetica Neue" w:hAnsi="Arial" w:cs="Arial"/>
          <w:sz w:val="24"/>
          <w:lang w:val="en-GB" w:eastAsia="zh-TW"/>
        </w:rPr>
        <w:t>C21 S</w:t>
      </w:r>
      <w:r w:rsidRPr="0097788A">
        <w:rPr>
          <w:rFonts w:ascii="Arial" w:eastAsia="Helvetica Neue" w:hAnsi="Arial" w:cs="Arial"/>
          <w:sz w:val="24"/>
          <w:lang w:val="en-GB" w:eastAsia="zh-TW"/>
        </w:rPr>
        <w:t>hare on or before February 4, 2021; and (3) up to an additional 4,500,000 C21 Shares (the “Earn-Out Shares”), at a dee</w:t>
      </w:r>
      <w:r w:rsidR="006C299C">
        <w:rPr>
          <w:rFonts w:ascii="Arial" w:eastAsia="Helvetica Neue" w:hAnsi="Arial" w:cs="Arial"/>
          <w:sz w:val="24"/>
          <w:lang w:val="en-GB" w:eastAsia="zh-TW"/>
        </w:rPr>
        <w:t>med issue price of US$3.00 per Earn-Out S</w:t>
      </w:r>
      <w:r w:rsidRPr="0097788A">
        <w:rPr>
          <w:rFonts w:ascii="Arial" w:eastAsia="Helvetica Neue" w:hAnsi="Arial" w:cs="Arial"/>
          <w:sz w:val="24"/>
          <w:lang w:val="en-GB" w:eastAsia="zh-TW"/>
        </w:rPr>
        <w:t xml:space="preserve">hare, to be </w:t>
      </w:r>
      <w:r w:rsidR="006C299C">
        <w:rPr>
          <w:rFonts w:ascii="Arial" w:eastAsia="Helvetica Neue" w:hAnsi="Arial" w:cs="Arial"/>
          <w:sz w:val="24"/>
          <w:lang w:val="en-GB" w:eastAsia="zh-TW"/>
        </w:rPr>
        <w:t xml:space="preserve">issued </w:t>
      </w:r>
      <w:r w:rsidRPr="0097788A">
        <w:rPr>
          <w:rFonts w:ascii="Arial" w:eastAsia="Helvetica Neue" w:hAnsi="Arial" w:cs="Arial"/>
          <w:sz w:val="24"/>
          <w:lang w:val="en-GB" w:eastAsia="zh-TW"/>
        </w:rPr>
        <w:t xml:space="preserve">over a period of seven years, </w:t>
      </w:r>
      <w:r w:rsidR="006C299C">
        <w:rPr>
          <w:rFonts w:ascii="Arial" w:eastAsia="Helvetica Neue" w:hAnsi="Arial" w:cs="Arial"/>
          <w:sz w:val="24"/>
          <w:lang w:val="en-GB" w:eastAsia="zh-TW"/>
        </w:rPr>
        <w:t>based</w:t>
      </w:r>
      <w:r w:rsidRPr="0097788A">
        <w:rPr>
          <w:rFonts w:ascii="Arial" w:eastAsia="Helvetica Neue" w:hAnsi="Arial" w:cs="Arial"/>
          <w:sz w:val="24"/>
          <w:lang w:val="en-GB" w:eastAsia="zh-TW"/>
        </w:rPr>
        <w:t xml:space="preserve"> on the following: (a) 20% of the Earn-Out Shares, </w:t>
      </w:r>
      <w:r w:rsidR="006C299C">
        <w:rPr>
          <w:rFonts w:ascii="Arial" w:eastAsia="Helvetica Neue" w:hAnsi="Arial" w:cs="Arial"/>
          <w:sz w:val="24"/>
          <w:lang w:val="en-GB" w:eastAsia="zh-TW"/>
        </w:rPr>
        <w:t>if the average closing price of the</w:t>
      </w:r>
      <w:r w:rsidRPr="0097788A">
        <w:rPr>
          <w:rFonts w:ascii="Arial" w:eastAsia="Helvetica Neue" w:hAnsi="Arial" w:cs="Arial"/>
          <w:sz w:val="24"/>
          <w:lang w:val="en-GB" w:eastAsia="zh-TW"/>
        </w:rPr>
        <w:t xml:space="preserve"> C21 Shares on the CSE is CA$3.00 or more in any future 150-day period; (b) a further 20% of the Earn-Out Shares, if the average closing price </w:t>
      </w:r>
      <w:r w:rsidR="006C299C">
        <w:rPr>
          <w:rFonts w:ascii="Arial" w:eastAsia="Helvetica Neue" w:hAnsi="Arial" w:cs="Arial"/>
          <w:sz w:val="24"/>
          <w:lang w:val="en-GB" w:eastAsia="zh-TW"/>
        </w:rPr>
        <w:t xml:space="preserve">of the </w:t>
      </w:r>
      <w:r w:rsidRPr="0097788A">
        <w:rPr>
          <w:rFonts w:ascii="Arial" w:eastAsia="Helvetica Neue" w:hAnsi="Arial" w:cs="Arial"/>
          <w:sz w:val="24"/>
          <w:lang w:val="en-GB" w:eastAsia="zh-TW"/>
        </w:rPr>
        <w:t xml:space="preserve">C21 Shares on the CSE is CA$5.00 or more in any future 150-day period; (c) all of the Earn-Out Shares, if the average closing price </w:t>
      </w:r>
      <w:r w:rsidR="006C299C">
        <w:rPr>
          <w:rFonts w:ascii="Arial" w:eastAsia="Helvetica Neue" w:hAnsi="Arial" w:cs="Arial"/>
          <w:sz w:val="24"/>
          <w:lang w:val="en-GB" w:eastAsia="zh-TW"/>
        </w:rPr>
        <w:t>of the</w:t>
      </w:r>
      <w:r w:rsidRPr="0097788A">
        <w:rPr>
          <w:rFonts w:ascii="Arial" w:eastAsia="Helvetica Neue" w:hAnsi="Arial" w:cs="Arial"/>
          <w:sz w:val="24"/>
          <w:lang w:val="en-GB" w:eastAsia="zh-TW"/>
        </w:rPr>
        <w:t xml:space="preserve"> C21 Shares on the CSE is CA$7.00 or more in any future 150-day period; (d) one-half of the Earn-Out Shares upon the acquisition of more than 50% of the issued and outstanding C21 Shares or the disposition by C21 </w:t>
      </w:r>
      <w:r w:rsidR="006C299C">
        <w:rPr>
          <w:rFonts w:ascii="Arial" w:eastAsia="Helvetica Neue" w:hAnsi="Arial" w:cs="Arial"/>
          <w:sz w:val="24"/>
          <w:lang w:val="en-GB" w:eastAsia="zh-TW"/>
        </w:rPr>
        <w:t xml:space="preserve">Investments </w:t>
      </w:r>
      <w:r w:rsidRPr="0097788A">
        <w:rPr>
          <w:rFonts w:ascii="Arial" w:eastAsia="Helvetica Neue" w:hAnsi="Arial" w:cs="Arial"/>
          <w:sz w:val="24"/>
          <w:lang w:val="en-GB" w:eastAsia="zh-TW"/>
        </w:rPr>
        <w:t>of all or substantially all of its assets (in either case, a “Change of Control”) at a value per C21 Share of CA$3.00 or more; and (e) all of the Earn-Out Shares upon a Change of Control at a value per C21 Share of CA$5.00 or more.</w:t>
      </w:r>
    </w:p>
    <w:p w:rsidR="00B52FDA" w:rsidRDefault="00B52FDA" w:rsidP="00B52FDA">
      <w:pPr>
        <w:spacing w:after="0" w:line="240" w:lineRule="auto"/>
        <w:rPr>
          <w:rFonts w:ascii="Arial" w:eastAsia="Helvetica Neue" w:hAnsi="Arial" w:cs="Arial"/>
          <w:sz w:val="24"/>
          <w:lang w:val="en-GB" w:eastAsia="zh-TW"/>
        </w:rPr>
      </w:pPr>
    </w:p>
    <w:p w:rsidR="00B52FDA" w:rsidRPr="00140FA6" w:rsidRDefault="00B52FDA" w:rsidP="00B52FDA">
      <w:pPr>
        <w:spacing w:after="0" w:line="240" w:lineRule="auto"/>
        <w:rPr>
          <w:rFonts w:ascii="Arial" w:eastAsia="Helvetica Neue" w:hAnsi="Arial" w:cs="Arial"/>
          <w:sz w:val="24"/>
          <w:lang w:val="en-GB" w:eastAsia="zh-TW"/>
        </w:rPr>
      </w:pPr>
      <w:r w:rsidRPr="00140FA6">
        <w:rPr>
          <w:rFonts w:ascii="Arial" w:eastAsia="Helvetica Neue" w:hAnsi="Arial" w:cs="Arial"/>
          <w:sz w:val="24"/>
          <w:lang w:val="en-GB" w:eastAsia="zh-TW"/>
        </w:rPr>
        <w:t>“Phantom Farms is a high-quality operation with a talented team producing some of the finest products in Oregon,” said Robert Cheney, President and CEO of C21 Investments. “Phantom is also one of Oregon’s oldest and most recognized premium brands in a consumer products sector where few genuine brands exist. We are excited about the growth opportunities that Phantom Farms brings to our company.”</w:t>
      </w:r>
    </w:p>
    <w:p w:rsidR="00B52FDA" w:rsidRPr="00140FA6" w:rsidRDefault="00B52FDA" w:rsidP="00B52FDA">
      <w:pPr>
        <w:spacing w:after="0" w:line="240" w:lineRule="auto"/>
        <w:rPr>
          <w:rFonts w:ascii="Arial" w:eastAsia="Helvetica Neue" w:hAnsi="Arial" w:cs="Arial"/>
          <w:sz w:val="24"/>
          <w:lang w:val="en-GB" w:eastAsia="zh-TW"/>
        </w:rPr>
      </w:pPr>
    </w:p>
    <w:p w:rsidR="00B52FDA" w:rsidRDefault="00B52FDA" w:rsidP="00B52FDA">
      <w:pPr>
        <w:spacing w:after="0" w:line="240" w:lineRule="auto"/>
        <w:rPr>
          <w:rFonts w:ascii="Arial" w:eastAsia="Helvetica Neue" w:hAnsi="Arial" w:cs="Arial"/>
          <w:sz w:val="24"/>
          <w:lang w:val="en-GB" w:eastAsia="zh-TW"/>
        </w:rPr>
      </w:pPr>
      <w:r w:rsidRPr="00140FA6">
        <w:rPr>
          <w:rFonts w:ascii="Arial" w:eastAsia="Helvetica Neue" w:hAnsi="Arial" w:cs="Arial"/>
          <w:sz w:val="24"/>
          <w:lang w:val="en-GB" w:eastAsia="zh-TW"/>
        </w:rPr>
        <w:t>“Our team is keen to be part of the growing C21 family, where we have the opportunity to invest in our business and push our brand beyond Oregon,” said Sky Pinnick, CEO of Phantom Farms and a Director of C21 Investments. “Quality, branded consumer packaged goods that are part of a vertically integrated business are key to unlocking the potential of the cannabis industry in the U.S.”</w:t>
      </w:r>
    </w:p>
    <w:p w:rsidR="00B52FDA" w:rsidRPr="00140FA6" w:rsidRDefault="00B52FDA" w:rsidP="00B52FDA">
      <w:pPr>
        <w:spacing w:after="0" w:line="240" w:lineRule="auto"/>
        <w:rPr>
          <w:rFonts w:ascii="Arial" w:eastAsia="Helvetica Neue" w:hAnsi="Arial" w:cs="Arial"/>
          <w:sz w:val="24"/>
          <w:lang w:val="en-GB" w:eastAsia="zh-TW"/>
        </w:rPr>
      </w:pPr>
    </w:p>
    <w:p w:rsidR="00B52FDA" w:rsidRDefault="00B52FDA" w:rsidP="00B52FDA">
      <w:pPr>
        <w:spacing w:after="0" w:line="240" w:lineRule="auto"/>
        <w:rPr>
          <w:rFonts w:ascii="Arial" w:eastAsia="Helvetica Neue" w:hAnsi="Arial" w:cs="Arial"/>
          <w:sz w:val="24"/>
          <w:lang w:val="en-GB" w:eastAsia="zh-TW"/>
        </w:rPr>
      </w:pPr>
      <w:r w:rsidRPr="00737776">
        <w:rPr>
          <w:rFonts w:ascii="Arial" w:eastAsia="Helvetica Neue" w:hAnsi="Arial" w:cs="Arial"/>
          <w:sz w:val="24"/>
          <w:lang w:val="en-GB" w:eastAsia="zh-TW"/>
        </w:rPr>
        <w:t xml:space="preserve">As disclosed in the Company’s news release dated October 17, 2018, </w:t>
      </w:r>
      <w:r>
        <w:rPr>
          <w:rFonts w:ascii="Arial" w:eastAsia="Helvetica Neue" w:hAnsi="Arial" w:cs="Arial"/>
          <w:sz w:val="24"/>
          <w:lang w:val="en-GB" w:eastAsia="zh-TW"/>
        </w:rPr>
        <w:t>C21 Investments</w:t>
      </w:r>
      <w:r w:rsidRPr="00737776">
        <w:rPr>
          <w:rFonts w:ascii="Arial" w:eastAsia="Helvetica Neue" w:hAnsi="Arial" w:cs="Arial"/>
          <w:sz w:val="24"/>
          <w:lang w:val="en-GB" w:eastAsia="zh-TW"/>
        </w:rPr>
        <w:t xml:space="preserve"> has a subsisting agreement to purchase SDP Development Group LLC, the owner of the real property used in the business of Phantom Farms, scheduled for completion on or before October 15, 2020.</w:t>
      </w:r>
    </w:p>
    <w:p w:rsidR="00B52FDA" w:rsidRPr="00140FA6" w:rsidRDefault="00B52FDA" w:rsidP="00B52FDA">
      <w:pPr>
        <w:spacing w:after="0" w:line="240" w:lineRule="auto"/>
        <w:rPr>
          <w:rFonts w:ascii="Arial" w:eastAsia="Helvetica Neue" w:hAnsi="Arial" w:cs="Arial"/>
          <w:sz w:val="24"/>
          <w:lang w:val="en-GB" w:eastAsia="zh-TW"/>
        </w:rPr>
      </w:pPr>
    </w:p>
    <w:p w:rsidR="00B52FDA" w:rsidRDefault="00B52FDA" w:rsidP="00B52FDA">
      <w:pPr>
        <w:spacing w:after="0" w:line="240" w:lineRule="auto"/>
        <w:rPr>
          <w:rFonts w:ascii="Arial" w:eastAsia="Helvetica Neue" w:hAnsi="Arial" w:cs="Arial"/>
          <w:sz w:val="24"/>
          <w:lang w:val="en-GB" w:eastAsia="zh-TW"/>
        </w:rPr>
      </w:pPr>
      <w:r w:rsidRPr="00140FA6">
        <w:rPr>
          <w:rFonts w:ascii="Arial" w:eastAsia="Helvetica Neue" w:hAnsi="Arial" w:cs="Arial"/>
          <w:sz w:val="24"/>
          <w:lang w:val="en-GB" w:eastAsia="zh-TW"/>
        </w:rPr>
        <w:t>C21 Investments’ strategy is to acquire successful cannabis operations with experienced management teams in place. C21 Investments’ focus is to expand into ju</w:t>
      </w:r>
      <w:r>
        <w:rPr>
          <w:rFonts w:ascii="Arial" w:eastAsia="Helvetica Neue" w:hAnsi="Arial" w:cs="Arial"/>
          <w:sz w:val="24"/>
          <w:lang w:val="en-GB" w:eastAsia="zh-TW"/>
        </w:rPr>
        <w:t>risdictions where it can wholly-</w:t>
      </w:r>
      <w:r w:rsidRPr="00140FA6">
        <w:rPr>
          <w:rFonts w:ascii="Arial" w:eastAsia="Helvetica Neue" w:hAnsi="Arial" w:cs="Arial"/>
          <w:sz w:val="24"/>
          <w:lang w:val="en-GB" w:eastAsia="zh-TW"/>
        </w:rPr>
        <w:t>own indoor/outdoor cultivation operations, processing/extraction facilities, bakeries, branded products, and retail dispensaries with a large distribution network.</w:t>
      </w:r>
    </w:p>
    <w:p w:rsidR="002B1FAD" w:rsidRDefault="002B1FAD" w:rsidP="00B52FDA">
      <w:pPr>
        <w:spacing w:after="0" w:line="240" w:lineRule="auto"/>
        <w:rPr>
          <w:rFonts w:ascii="Arial" w:eastAsia="Helvetica Neue" w:hAnsi="Arial" w:cs="Arial"/>
          <w:sz w:val="24"/>
          <w:lang w:val="en-GB" w:eastAsia="zh-TW"/>
        </w:rPr>
      </w:pPr>
    </w:p>
    <w:p w:rsidR="002B1FAD" w:rsidRPr="002B1FAD" w:rsidRDefault="002B1FAD" w:rsidP="00B52FDA">
      <w:pPr>
        <w:spacing w:after="0" w:line="240" w:lineRule="auto"/>
        <w:rPr>
          <w:rFonts w:ascii="Arial" w:eastAsia="Helvetica Neue" w:hAnsi="Arial" w:cs="Arial"/>
          <w:sz w:val="24"/>
          <w:lang w:eastAsia="zh-TW"/>
        </w:rPr>
      </w:pPr>
      <w:r w:rsidRPr="002B1FAD">
        <w:rPr>
          <w:rFonts w:ascii="Arial" w:eastAsia="Helvetica Neue" w:hAnsi="Arial" w:cs="Arial"/>
          <w:sz w:val="24"/>
          <w:lang w:eastAsia="zh-TW"/>
        </w:rPr>
        <w:t>This news release does not constitute an offer to sell or a solicitation of an offer to buy any securities in the United States, nor shall there be any sale of the securities in any jurisdiction in which such offer, solicitation or sale would be unlawful. The securities described herein have not been, and will not be, registered under the United States Securities Act of 1933, as amended (the "U.S. Securities Act"), or any state securities laws, and, accordingly, may not be offered or sold within the United States, or to or for the account or benefit of persons in the United States or "U.S. Persons", as such term is defined in Regulation S promulgated under the U.S. Securities Act, unless registered under the U.S. Securities Act and applicable state securities laws or pursuant to an exemption from such registration requirements.</w:t>
      </w:r>
    </w:p>
    <w:p w:rsidR="00B52FDA" w:rsidRPr="00140FA6" w:rsidRDefault="00B52FDA" w:rsidP="00B52FDA">
      <w:pPr>
        <w:shd w:val="clear" w:color="auto" w:fill="FFFFFF"/>
        <w:spacing w:after="0" w:line="240" w:lineRule="auto"/>
        <w:outlineLvl w:val="2"/>
        <w:rPr>
          <w:rFonts w:ascii="Arial" w:eastAsia="Times New Roman" w:hAnsi="Arial" w:cs="Arial"/>
          <w:b/>
          <w:bCs/>
          <w:caps/>
          <w:color w:val="00A09B"/>
          <w:spacing w:val="58"/>
          <w:sz w:val="24"/>
          <w:lang w:val="en-GB" w:eastAsia="zh-TW"/>
        </w:rPr>
      </w:pPr>
    </w:p>
    <w:p w:rsidR="00B52FDA" w:rsidRPr="00140FA6" w:rsidRDefault="00B52FDA" w:rsidP="00B52FDA">
      <w:pPr>
        <w:shd w:val="clear" w:color="auto" w:fill="FFFFFF"/>
        <w:spacing w:after="0" w:line="240" w:lineRule="auto"/>
        <w:rPr>
          <w:rFonts w:ascii="Arial" w:eastAsia="Helvetica Neue" w:hAnsi="Arial" w:cs="Arial"/>
          <w:b/>
          <w:color w:val="000000"/>
          <w:sz w:val="24"/>
        </w:rPr>
      </w:pPr>
      <w:r w:rsidRPr="00140FA6">
        <w:rPr>
          <w:rFonts w:ascii="Arial" w:eastAsia="Helvetica Neue" w:hAnsi="Arial" w:cs="Arial"/>
          <w:b/>
          <w:color w:val="000000"/>
          <w:sz w:val="24"/>
        </w:rPr>
        <w:t>About C21</w:t>
      </w:r>
      <w:r>
        <w:rPr>
          <w:rFonts w:ascii="Arial" w:eastAsia="Helvetica Neue" w:hAnsi="Arial" w:cs="Arial"/>
          <w:b/>
          <w:color w:val="000000"/>
          <w:sz w:val="24"/>
        </w:rPr>
        <w:t xml:space="preserve"> </w:t>
      </w:r>
      <w:r w:rsidRPr="00140FA6">
        <w:rPr>
          <w:rFonts w:ascii="Arial" w:eastAsia="Helvetica Neue" w:hAnsi="Arial" w:cs="Arial"/>
          <w:b/>
          <w:color w:val="000000"/>
          <w:sz w:val="24"/>
        </w:rPr>
        <w:t>Investments</w:t>
      </w:r>
    </w:p>
    <w:p w:rsidR="00B52FDA" w:rsidRPr="00140FA6" w:rsidRDefault="00B52FDA" w:rsidP="00B52FDA">
      <w:pPr>
        <w:shd w:val="clear" w:color="auto" w:fill="FFFFFF"/>
        <w:spacing w:after="0" w:line="240" w:lineRule="auto"/>
        <w:rPr>
          <w:rFonts w:ascii="Arial" w:eastAsia="Helvetica Neue" w:hAnsi="Arial" w:cs="Arial"/>
          <w:color w:val="000000"/>
          <w:sz w:val="24"/>
        </w:rPr>
      </w:pPr>
      <w:r w:rsidRPr="00140FA6">
        <w:rPr>
          <w:rFonts w:ascii="Arial" w:eastAsia="Helvetica Neue" w:hAnsi="Arial" w:cs="Arial"/>
          <w:color w:val="000000"/>
          <w:sz w:val="24"/>
        </w:rPr>
        <w:t xml:space="preserve">C21 Investments Inc. (CSE: CXXI) is a vertically integrated cannabis company that cultivates, processes, and distributes quality cannabis and hemp-derived consumer products in the United States. The Company owns Silver State Relief in Nevada, and Phantom Farms, Eco Firma Farms, and Pure Green in Oregon. The Company has a definitive agreement to acquire Swell Companies in Oregon. These brands produce and distribute a broad range of THC and CBD products from cannabis flowers, pre-rolls, cannabis oil, vaporizer cartridges and edibles. These developments are expected </w:t>
      </w:r>
      <w:r>
        <w:rPr>
          <w:rFonts w:ascii="Arial" w:eastAsia="Helvetica Neue" w:hAnsi="Arial" w:cs="Arial"/>
          <w:color w:val="000000"/>
          <w:sz w:val="24"/>
        </w:rPr>
        <w:t xml:space="preserve">to </w:t>
      </w:r>
      <w:r w:rsidRPr="00140FA6">
        <w:rPr>
          <w:rFonts w:ascii="Arial" w:eastAsia="Helvetica Neue" w:hAnsi="Arial" w:cs="Arial"/>
          <w:color w:val="000000"/>
          <w:sz w:val="24"/>
        </w:rPr>
        <w:t xml:space="preserve">add to the Company’s ability to compete aggressively in the rapid growth of the cannabis industry and to grow revenue and EBITDA. Based in Vancouver, Canada, additional information on C21 Investments can be found at </w:t>
      </w:r>
      <w:hyperlink r:id="rId8" w:history="1">
        <w:r w:rsidRPr="00140FA6">
          <w:rPr>
            <w:rFonts w:ascii="Arial" w:eastAsia="Helvetica Neue" w:hAnsi="Arial" w:cs="Arial"/>
            <w:color w:val="0000FF"/>
            <w:sz w:val="24"/>
            <w:u w:val="single"/>
          </w:rPr>
          <w:t>www.sedar.com</w:t>
        </w:r>
      </w:hyperlink>
      <w:r w:rsidRPr="00140FA6">
        <w:rPr>
          <w:rFonts w:ascii="Arial" w:eastAsia="Helvetica Neue" w:hAnsi="Arial" w:cs="Arial"/>
          <w:color w:val="000000"/>
          <w:sz w:val="24"/>
        </w:rPr>
        <w:t xml:space="preserve"> and </w:t>
      </w:r>
      <w:hyperlink r:id="rId9" w:history="1">
        <w:r w:rsidRPr="00140FA6">
          <w:rPr>
            <w:rFonts w:ascii="Arial" w:eastAsia="Helvetica Neue" w:hAnsi="Arial" w:cs="Arial"/>
            <w:color w:val="0000FF"/>
            <w:sz w:val="24"/>
            <w:u w:val="single"/>
          </w:rPr>
          <w:t>www.cxxi.ca</w:t>
        </w:r>
      </w:hyperlink>
      <w:r w:rsidRPr="00140FA6">
        <w:rPr>
          <w:rFonts w:ascii="Arial" w:eastAsia="Helvetica Neue" w:hAnsi="Arial" w:cs="Arial"/>
          <w:color w:val="000000"/>
          <w:sz w:val="24"/>
        </w:rPr>
        <w:t>.</w:t>
      </w:r>
    </w:p>
    <w:p w:rsidR="00B52FDA" w:rsidRPr="00140FA6" w:rsidRDefault="00B52FDA" w:rsidP="00B52FDA">
      <w:pPr>
        <w:spacing w:after="0" w:line="240" w:lineRule="auto"/>
        <w:rPr>
          <w:rFonts w:ascii="Arial" w:eastAsia="Cambria" w:hAnsi="Arial" w:cs="Arial"/>
          <w:color w:val="000000"/>
          <w:sz w:val="24"/>
          <w:lang w:val="en-CA" w:eastAsia="zh-TW"/>
        </w:rPr>
      </w:pPr>
    </w:p>
    <w:p w:rsidR="00B52FDA" w:rsidRPr="00140FA6" w:rsidRDefault="00B52FDA" w:rsidP="00B52FDA">
      <w:pPr>
        <w:spacing w:after="0" w:line="240" w:lineRule="auto"/>
        <w:rPr>
          <w:rFonts w:ascii="Arial" w:eastAsia="Helvetica Neue" w:hAnsi="Arial" w:cs="Arial"/>
          <w:sz w:val="24"/>
          <w:lang w:val="en-GB" w:eastAsia="zh-TW"/>
        </w:rPr>
      </w:pPr>
      <w:r w:rsidRPr="00140FA6">
        <w:rPr>
          <w:rFonts w:ascii="Arial" w:eastAsia="Helvetica Neue" w:hAnsi="Arial" w:cs="Arial"/>
          <w:b/>
          <w:sz w:val="24"/>
          <w:lang w:val="en-GB" w:eastAsia="zh-TW"/>
        </w:rPr>
        <w:t>About Phantom Farms</w:t>
      </w:r>
    </w:p>
    <w:p w:rsidR="00B52FDA" w:rsidRPr="00140FA6" w:rsidRDefault="00B52FDA" w:rsidP="00B52FDA">
      <w:pPr>
        <w:spacing w:after="0" w:line="240" w:lineRule="auto"/>
        <w:rPr>
          <w:rFonts w:ascii="Calibri" w:eastAsia="Helvetica Neue" w:hAnsi="Calibri" w:cs="Calibri"/>
          <w:b/>
          <w:color w:val="000000"/>
          <w:szCs w:val="22"/>
          <w:u w:val="single"/>
          <w:lang w:val="en-GB" w:eastAsia="zh-TW"/>
        </w:rPr>
      </w:pPr>
      <w:r w:rsidRPr="00140FA6">
        <w:rPr>
          <w:rFonts w:ascii="Arial" w:eastAsia="Helvetica Neue" w:hAnsi="Arial" w:cs="Arial"/>
          <w:sz w:val="24"/>
          <w:lang w:val="en-GB" w:eastAsia="zh-TW"/>
        </w:rPr>
        <w:t>Phantom</w:t>
      </w:r>
      <w:r>
        <w:rPr>
          <w:rFonts w:ascii="Arial" w:eastAsia="Helvetica Neue" w:hAnsi="Arial" w:cs="Arial"/>
          <w:sz w:val="24"/>
          <w:lang w:val="en-GB" w:eastAsia="zh-TW"/>
        </w:rPr>
        <w:t xml:space="preserve"> </w:t>
      </w:r>
      <w:r w:rsidRPr="00140FA6">
        <w:rPr>
          <w:rFonts w:ascii="Arial" w:eastAsia="Helvetica Neue" w:hAnsi="Arial" w:cs="Arial"/>
          <w:sz w:val="24"/>
          <w:lang w:val="en-GB" w:eastAsia="zh-TW"/>
        </w:rPr>
        <w:t xml:space="preserve">is a premium legacy cannabis brand based in Oregon, known for its organic cultivation practices, with a focus on quality terpene development.  </w:t>
      </w:r>
      <w:r w:rsidRPr="00140FA6">
        <w:rPr>
          <w:rFonts w:ascii="Arial" w:eastAsia="Cambria" w:hAnsi="Arial" w:cs="Arial"/>
          <w:color w:val="000000"/>
          <w:sz w:val="24"/>
          <w:shd w:val="clear" w:color="auto" w:fill="FFFFFF"/>
          <w:lang w:val="en-GB" w:eastAsia="zh-TW"/>
        </w:rPr>
        <w:t>Phantom was awarded </w:t>
      </w:r>
      <w:r w:rsidRPr="00140FA6">
        <w:rPr>
          <w:rFonts w:ascii="Arial" w:eastAsia="Cambria" w:hAnsi="Arial" w:cs="Arial"/>
          <w:i/>
          <w:iCs/>
          <w:color w:val="000000"/>
          <w:sz w:val="24"/>
          <w:shd w:val="clear" w:color="auto" w:fill="FFFFFF"/>
          <w:lang w:val="en-GB" w:eastAsia="zh-TW"/>
        </w:rPr>
        <w:t>‘Best CBD Flower’</w:t>
      </w:r>
      <w:r w:rsidRPr="00140FA6">
        <w:rPr>
          <w:rFonts w:ascii="Arial" w:eastAsia="Cambria" w:hAnsi="Arial" w:cs="Arial"/>
          <w:color w:val="000000"/>
          <w:sz w:val="24"/>
          <w:shd w:val="clear" w:color="auto" w:fill="FFFFFF"/>
          <w:lang w:val="en-GB" w:eastAsia="zh-TW"/>
        </w:rPr>
        <w:t> at the prestigious </w:t>
      </w:r>
      <w:r w:rsidRPr="00140FA6">
        <w:rPr>
          <w:rFonts w:ascii="Arial" w:eastAsia="Cambria" w:hAnsi="Arial" w:cs="Arial"/>
          <w:bCs/>
          <w:color w:val="000000"/>
          <w:sz w:val="24"/>
          <w:shd w:val="clear" w:color="auto" w:fill="FFFFFF"/>
          <w:lang w:val="en-GB" w:eastAsia="zh-TW"/>
        </w:rPr>
        <w:t>Dope Cup</w:t>
      </w:r>
      <w:r w:rsidRPr="00140FA6">
        <w:rPr>
          <w:rFonts w:ascii="Arial" w:eastAsia="Cambria" w:hAnsi="Arial" w:cs="Arial"/>
          <w:b/>
          <w:bCs/>
          <w:color w:val="000000"/>
          <w:sz w:val="24"/>
          <w:shd w:val="clear" w:color="auto" w:fill="FFFFFF"/>
          <w:lang w:val="en-GB" w:eastAsia="zh-TW"/>
        </w:rPr>
        <w:t> </w:t>
      </w:r>
      <w:r w:rsidRPr="00140FA6">
        <w:rPr>
          <w:rFonts w:ascii="Arial" w:eastAsia="Cambria" w:hAnsi="Arial" w:cs="Arial"/>
          <w:color w:val="000000"/>
          <w:sz w:val="24"/>
          <w:shd w:val="clear" w:color="auto" w:fill="FFFFFF"/>
          <w:lang w:val="en-GB" w:eastAsia="zh-TW"/>
        </w:rPr>
        <w:t xml:space="preserve">in 2016 and 2018, and received </w:t>
      </w:r>
      <w:r w:rsidRPr="00140FA6">
        <w:rPr>
          <w:rFonts w:ascii="Arial" w:eastAsia="Cambria" w:hAnsi="Arial" w:cs="Arial"/>
          <w:i/>
          <w:iCs/>
          <w:color w:val="000000"/>
          <w:sz w:val="24"/>
          <w:shd w:val="clear" w:color="auto" w:fill="FFFFFF"/>
          <w:lang w:val="en-GB" w:eastAsia="zh-TW"/>
        </w:rPr>
        <w:t>‘Outstanding Terpenes’</w:t>
      </w:r>
      <w:r w:rsidRPr="00140FA6">
        <w:rPr>
          <w:rFonts w:ascii="Arial" w:eastAsia="Cambria" w:hAnsi="Arial" w:cs="Arial"/>
          <w:color w:val="000000"/>
          <w:sz w:val="24"/>
          <w:shd w:val="clear" w:color="auto" w:fill="FFFFFF"/>
          <w:lang w:val="en-GB" w:eastAsia="zh-TW"/>
        </w:rPr>
        <w:t> at the </w:t>
      </w:r>
      <w:r w:rsidRPr="00140FA6">
        <w:rPr>
          <w:rFonts w:ascii="Arial" w:eastAsia="Cambria" w:hAnsi="Arial" w:cs="Arial"/>
          <w:bCs/>
          <w:color w:val="000000"/>
          <w:sz w:val="24"/>
          <w:shd w:val="clear" w:color="auto" w:fill="FFFFFF"/>
          <w:lang w:val="en-GB" w:eastAsia="zh-TW"/>
        </w:rPr>
        <w:t>2018 Cultivation Classic.</w:t>
      </w:r>
      <w:r w:rsidRPr="00140FA6">
        <w:rPr>
          <w:rFonts w:ascii="Arial" w:eastAsia="Helvetica Neue" w:hAnsi="Arial" w:cs="Arial"/>
          <w:sz w:val="24"/>
          <w:lang w:val="en-GB" w:eastAsia="zh-TW"/>
        </w:rPr>
        <w:t xml:space="preserve"> </w:t>
      </w:r>
      <w:r>
        <w:rPr>
          <w:rFonts w:ascii="Arial" w:eastAsia="Helvetica Neue" w:hAnsi="Arial" w:cs="Arial"/>
          <w:sz w:val="24"/>
          <w:lang w:val="en-GB" w:eastAsia="zh-TW"/>
        </w:rPr>
        <w:t xml:space="preserve">Additional information on Phantom Farms can be found at </w:t>
      </w:r>
      <w:hyperlink r:id="rId10" w:history="1">
        <w:r w:rsidRPr="00FC6F86">
          <w:rPr>
            <w:rFonts w:ascii="Arial" w:eastAsia="Helvetica Neue" w:hAnsi="Arial" w:cs="Arial"/>
            <w:color w:val="0000FF"/>
            <w:sz w:val="24"/>
            <w:u w:val="single"/>
          </w:rPr>
          <w:t>www.phantom-farms.com</w:t>
        </w:r>
      </w:hyperlink>
      <w:r>
        <w:rPr>
          <w:rFonts w:ascii="Arial" w:eastAsia="Helvetica Neue" w:hAnsi="Arial" w:cs="Arial"/>
          <w:color w:val="0000FF"/>
          <w:sz w:val="24"/>
          <w:u w:val="single"/>
        </w:rPr>
        <w:t>.</w:t>
      </w:r>
      <w:r w:rsidRPr="00FC6F86">
        <w:rPr>
          <w:rFonts w:ascii="Arial" w:eastAsia="Helvetica Neue" w:hAnsi="Arial" w:cs="Arial"/>
          <w:color w:val="0000FF"/>
          <w:sz w:val="24"/>
          <w:u w:val="single"/>
        </w:rPr>
        <w:t xml:space="preserve"> </w:t>
      </w:r>
    </w:p>
    <w:p w:rsidR="00B52FDA" w:rsidRPr="00140FA6" w:rsidRDefault="00B52FDA" w:rsidP="00B52FDA">
      <w:pPr>
        <w:shd w:val="clear" w:color="auto" w:fill="FFFFFF"/>
        <w:spacing w:after="0" w:line="240" w:lineRule="auto"/>
        <w:rPr>
          <w:rFonts w:ascii="Calibri" w:eastAsia="Helvetica Neue" w:hAnsi="Calibri" w:cs="Calibri"/>
          <w:b/>
          <w:color w:val="000000"/>
          <w:szCs w:val="22"/>
          <w:lang w:val="en-GB" w:eastAsia="zh-TW"/>
        </w:rPr>
      </w:pPr>
    </w:p>
    <w:p w:rsidR="00B52FDA" w:rsidRPr="00140FA6" w:rsidRDefault="00B52FDA" w:rsidP="00B52FDA">
      <w:pPr>
        <w:shd w:val="clear" w:color="auto" w:fill="FFFFFF"/>
        <w:spacing w:after="0" w:line="240" w:lineRule="auto"/>
        <w:jc w:val="both"/>
        <w:rPr>
          <w:rFonts w:ascii="Calibri" w:eastAsia="Times New Roman" w:hAnsi="Calibri" w:cs="Calibri"/>
          <w:color w:val="212121"/>
          <w:sz w:val="26"/>
          <w:szCs w:val="26"/>
          <w:lang w:val="en-GB" w:eastAsia="zh-TW"/>
        </w:rPr>
      </w:pPr>
      <w:r w:rsidRPr="00140FA6">
        <w:rPr>
          <w:rFonts w:ascii="Calibri" w:eastAsia="Times New Roman" w:hAnsi="Calibri" w:cs="Calibri"/>
          <w:b/>
          <w:color w:val="212121"/>
          <w:sz w:val="26"/>
          <w:szCs w:val="26"/>
          <w:u w:val="single"/>
          <w:lang w:val="en-GB" w:eastAsia="zh-TW"/>
        </w:rPr>
        <w:t>Media contact:</w:t>
      </w:r>
      <w:r w:rsidRPr="00140FA6">
        <w:rPr>
          <w:rFonts w:ascii="Calibri" w:eastAsia="Times New Roman" w:hAnsi="Calibri" w:cs="Calibri"/>
          <w:b/>
          <w:color w:val="212121"/>
          <w:sz w:val="26"/>
          <w:szCs w:val="26"/>
          <w:lang w:val="en-GB" w:eastAsia="zh-TW"/>
        </w:rPr>
        <w:tab/>
      </w:r>
      <w:r w:rsidRPr="00140FA6">
        <w:rPr>
          <w:rFonts w:ascii="Calibri" w:eastAsia="Times New Roman" w:hAnsi="Calibri" w:cs="Calibri"/>
          <w:b/>
          <w:color w:val="212121"/>
          <w:sz w:val="26"/>
          <w:szCs w:val="26"/>
          <w:lang w:val="en-GB" w:eastAsia="zh-TW"/>
        </w:rPr>
        <w:tab/>
      </w:r>
      <w:r w:rsidRPr="00140FA6">
        <w:rPr>
          <w:rFonts w:ascii="Calibri" w:eastAsia="Times New Roman" w:hAnsi="Calibri" w:cs="Calibri"/>
          <w:b/>
          <w:color w:val="212121"/>
          <w:sz w:val="26"/>
          <w:szCs w:val="26"/>
          <w:lang w:val="en-GB" w:eastAsia="zh-TW"/>
        </w:rPr>
        <w:tab/>
      </w:r>
      <w:r w:rsidRPr="00140FA6">
        <w:rPr>
          <w:rFonts w:ascii="Calibri" w:eastAsia="Times New Roman" w:hAnsi="Calibri" w:cs="Calibri"/>
          <w:b/>
          <w:color w:val="212121"/>
          <w:sz w:val="26"/>
          <w:szCs w:val="26"/>
          <w:lang w:val="en-GB" w:eastAsia="zh-TW"/>
        </w:rPr>
        <w:tab/>
      </w:r>
      <w:r w:rsidRPr="00140FA6">
        <w:rPr>
          <w:rFonts w:ascii="Calibri" w:eastAsia="Times New Roman" w:hAnsi="Calibri" w:cs="Calibri"/>
          <w:b/>
          <w:color w:val="212121"/>
          <w:sz w:val="26"/>
          <w:szCs w:val="26"/>
          <w:lang w:val="en-GB" w:eastAsia="zh-TW"/>
        </w:rPr>
        <w:tab/>
      </w:r>
      <w:r w:rsidRPr="00140FA6">
        <w:rPr>
          <w:rFonts w:ascii="Calibri" w:eastAsia="Times New Roman" w:hAnsi="Calibri" w:cs="Calibri"/>
          <w:b/>
          <w:color w:val="212121"/>
          <w:sz w:val="26"/>
          <w:szCs w:val="26"/>
          <w:lang w:val="en-GB" w:eastAsia="zh-TW"/>
        </w:rPr>
        <w:tab/>
      </w:r>
      <w:r w:rsidRPr="00140FA6">
        <w:rPr>
          <w:rFonts w:ascii="Calibri" w:eastAsia="Times New Roman" w:hAnsi="Calibri" w:cs="Calibri"/>
          <w:b/>
          <w:color w:val="212121"/>
          <w:sz w:val="26"/>
          <w:szCs w:val="26"/>
          <w:u w:val="single"/>
          <w:lang w:val="en-GB" w:eastAsia="zh-TW"/>
        </w:rPr>
        <w:t>Investor contact:</w:t>
      </w:r>
    </w:p>
    <w:p w:rsidR="00B52FDA" w:rsidRPr="00140FA6" w:rsidRDefault="00B52FDA" w:rsidP="00B52FDA">
      <w:pPr>
        <w:shd w:val="clear" w:color="auto" w:fill="FFFFFF"/>
        <w:spacing w:after="0" w:line="240" w:lineRule="auto"/>
        <w:jc w:val="both"/>
        <w:rPr>
          <w:rFonts w:ascii="Calibri" w:eastAsia="Times New Roman" w:hAnsi="Calibri" w:cs="Calibri"/>
          <w:color w:val="212121"/>
          <w:sz w:val="26"/>
          <w:szCs w:val="26"/>
          <w:lang w:val="en-GB" w:eastAsia="zh-TW"/>
        </w:rPr>
      </w:pPr>
      <w:r w:rsidRPr="00140FA6">
        <w:rPr>
          <w:rFonts w:ascii="Calibri" w:eastAsia="Times New Roman" w:hAnsi="Calibri" w:cs="Calibri"/>
          <w:color w:val="212121"/>
          <w:sz w:val="26"/>
          <w:szCs w:val="26"/>
          <w:lang w:val="en-GB" w:eastAsia="zh-TW"/>
        </w:rPr>
        <w:t>David Moorcroft</w:t>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t>Dave Goad</w:t>
      </w:r>
    </w:p>
    <w:p w:rsidR="00B52FDA" w:rsidRPr="00140FA6" w:rsidRDefault="00B52FDA" w:rsidP="00B52FDA">
      <w:pPr>
        <w:shd w:val="clear" w:color="auto" w:fill="FFFFFF"/>
        <w:spacing w:after="0" w:line="240" w:lineRule="auto"/>
        <w:jc w:val="both"/>
        <w:rPr>
          <w:rFonts w:ascii="Calibri" w:eastAsia="Times New Roman" w:hAnsi="Calibri" w:cs="Calibri"/>
          <w:color w:val="212121"/>
          <w:sz w:val="26"/>
          <w:szCs w:val="26"/>
          <w:lang w:val="en-GB" w:eastAsia="zh-TW"/>
        </w:rPr>
      </w:pPr>
      <w:r w:rsidRPr="00140FA6">
        <w:rPr>
          <w:rFonts w:ascii="Calibri" w:eastAsia="Times New Roman" w:hAnsi="Calibri" w:cs="Calibri"/>
          <w:color w:val="212121"/>
          <w:sz w:val="26"/>
          <w:szCs w:val="26"/>
          <w:lang w:val="en-GB" w:eastAsia="zh-TW"/>
        </w:rPr>
        <w:t>S2C Inc.</w:t>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t>Investor Relations</w:t>
      </w:r>
    </w:p>
    <w:p w:rsidR="00B52FDA" w:rsidRPr="00140FA6" w:rsidRDefault="00B52FDA" w:rsidP="00B52FDA">
      <w:pPr>
        <w:shd w:val="clear" w:color="auto" w:fill="FFFFFF"/>
        <w:spacing w:after="0" w:line="240" w:lineRule="auto"/>
        <w:jc w:val="both"/>
        <w:rPr>
          <w:rFonts w:ascii="Calibri" w:eastAsia="Times New Roman" w:hAnsi="Calibri" w:cs="Calibri"/>
          <w:sz w:val="26"/>
          <w:szCs w:val="26"/>
          <w:lang w:val="en-GB" w:eastAsia="zh-TW"/>
        </w:rPr>
      </w:pPr>
      <w:r w:rsidRPr="00140FA6">
        <w:rPr>
          <w:rFonts w:ascii="Calibri" w:eastAsia="Times New Roman" w:hAnsi="Calibri" w:cs="Calibri"/>
          <w:color w:val="0000FF"/>
          <w:sz w:val="26"/>
          <w:szCs w:val="26"/>
          <w:u w:val="single"/>
          <w:lang w:val="en-GB" w:eastAsia="zh-TW"/>
        </w:rPr>
        <w:t>david@strategy2communications.com</w:t>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hyperlink r:id="rId11" w:history="1">
        <w:r w:rsidRPr="00140FA6">
          <w:rPr>
            <w:rFonts w:ascii="Calibri" w:eastAsia="Times New Roman" w:hAnsi="Calibri" w:cs="Calibri"/>
            <w:color w:val="0000FF"/>
            <w:sz w:val="26"/>
            <w:szCs w:val="26"/>
            <w:u w:val="single"/>
            <w:lang w:val="en-GB" w:eastAsia="zh-TW"/>
          </w:rPr>
          <w:t>dgoad@cxxi.ca</w:t>
        </w:r>
      </w:hyperlink>
    </w:p>
    <w:p w:rsidR="00B52FDA" w:rsidRPr="00140FA6" w:rsidRDefault="00B52FDA" w:rsidP="00B52FDA">
      <w:pPr>
        <w:shd w:val="clear" w:color="auto" w:fill="FFFFFF"/>
        <w:spacing w:after="0" w:line="240" w:lineRule="auto"/>
        <w:jc w:val="both"/>
        <w:rPr>
          <w:rFonts w:ascii="Calibri" w:eastAsia="Times New Roman" w:hAnsi="Calibri" w:cs="Calibri"/>
          <w:color w:val="212121"/>
          <w:sz w:val="26"/>
          <w:szCs w:val="26"/>
          <w:lang w:val="en-GB" w:eastAsia="zh-TW"/>
        </w:rPr>
      </w:pPr>
      <w:r w:rsidRPr="00140FA6">
        <w:rPr>
          <w:rFonts w:ascii="Calibri" w:eastAsia="Times New Roman" w:hAnsi="Calibri" w:cs="Calibri"/>
          <w:color w:val="212121"/>
          <w:sz w:val="26"/>
          <w:szCs w:val="26"/>
          <w:lang w:val="en-GB" w:eastAsia="zh-TW"/>
        </w:rPr>
        <w:t>+1 416 727-1858</w:t>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r>
      <w:r w:rsidRPr="00140FA6">
        <w:rPr>
          <w:rFonts w:ascii="Calibri" w:eastAsia="Times New Roman" w:hAnsi="Calibri" w:cs="Calibri"/>
          <w:color w:val="212121"/>
          <w:sz w:val="26"/>
          <w:szCs w:val="26"/>
          <w:lang w:val="en-GB" w:eastAsia="zh-TW"/>
        </w:rPr>
        <w:tab/>
        <w:t>+1 833 BUY-CXXI (289-2994)</w:t>
      </w:r>
    </w:p>
    <w:p w:rsidR="00B52FDA" w:rsidRPr="00140FA6" w:rsidRDefault="00B52FDA" w:rsidP="00B52FDA">
      <w:pPr>
        <w:shd w:val="clear" w:color="auto" w:fill="FFFFFF"/>
        <w:spacing w:after="0" w:line="240" w:lineRule="auto"/>
        <w:jc w:val="both"/>
        <w:rPr>
          <w:rFonts w:ascii="Calibri" w:eastAsia="Times New Roman" w:hAnsi="Calibri" w:cs="Calibri"/>
          <w:color w:val="212121"/>
          <w:sz w:val="26"/>
          <w:szCs w:val="26"/>
          <w:lang w:val="en-GB" w:eastAsia="zh-TW"/>
        </w:rPr>
      </w:pPr>
    </w:p>
    <w:p w:rsidR="00B52FDA" w:rsidRPr="00140FA6" w:rsidRDefault="00B52FDA" w:rsidP="00B52FDA">
      <w:pPr>
        <w:shd w:val="clear" w:color="auto" w:fill="FFFFFF"/>
        <w:spacing w:after="0" w:line="240" w:lineRule="auto"/>
        <w:jc w:val="both"/>
        <w:rPr>
          <w:rFonts w:ascii="Arial" w:eastAsia="Times New Roman" w:hAnsi="Arial" w:cs="Arial"/>
          <w:b/>
          <w:sz w:val="20"/>
          <w:szCs w:val="20"/>
          <w:u w:val="single"/>
        </w:rPr>
      </w:pPr>
      <w:r w:rsidRPr="00140FA6">
        <w:rPr>
          <w:rFonts w:ascii="Arial" w:eastAsia="Times New Roman" w:hAnsi="Arial" w:cs="Arial"/>
          <w:b/>
          <w:sz w:val="20"/>
          <w:szCs w:val="20"/>
          <w:u w:val="single"/>
        </w:rPr>
        <w:lastRenderedPageBreak/>
        <w:t>Cautionary Statement:</w:t>
      </w:r>
    </w:p>
    <w:p w:rsidR="00B52FDA" w:rsidRPr="00140FA6" w:rsidRDefault="00B52FDA" w:rsidP="00B52FDA">
      <w:pPr>
        <w:shd w:val="clear" w:color="auto" w:fill="FFFFFF"/>
        <w:spacing w:after="0" w:line="240" w:lineRule="auto"/>
        <w:rPr>
          <w:rFonts w:ascii="Arial" w:eastAsia="Times New Roman" w:hAnsi="Arial" w:cs="Arial"/>
          <w:i/>
          <w:sz w:val="20"/>
          <w:szCs w:val="20"/>
        </w:rPr>
      </w:pPr>
    </w:p>
    <w:p w:rsidR="00B52FDA" w:rsidRDefault="00B52FDA" w:rsidP="00B52FDA">
      <w:pPr>
        <w:shd w:val="clear" w:color="auto" w:fill="FFFFFF"/>
        <w:spacing w:after="0" w:line="240" w:lineRule="auto"/>
        <w:rPr>
          <w:rFonts w:ascii="Arial" w:eastAsia="Times New Roman" w:hAnsi="Arial" w:cs="Arial"/>
          <w:i/>
          <w:sz w:val="20"/>
          <w:szCs w:val="20"/>
          <w:lang w:val="en-GB"/>
        </w:rPr>
      </w:pPr>
      <w:r w:rsidRPr="00140FA6">
        <w:rPr>
          <w:rFonts w:ascii="Arial" w:eastAsia="Times New Roman" w:hAnsi="Arial" w:cs="Arial"/>
          <w:i/>
          <w:sz w:val="20"/>
          <w:szCs w:val="20"/>
        </w:rPr>
        <w:t>Certain statements contained in this news release may constitute forward-looking statements within the meaning of applicable securities legislation. Forward-looking statements are often, but not always, identified by the use of words such as "anticipate", "plan", "expect", "may", "will", "intend", "should", and similar expressions. These statements involve known and unknown risks, uncertainties and other factors that may cause actual results or events to differ materially from those anticipated in such forward-looking statements. Forward looking statements in this news release include:</w:t>
      </w:r>
      <w:r>
        <w:rPr>
          <w:rFonts w:ascii="Arial" w:eastAsia="Times New Roman" w:hAnsi="Arial" w:cs="Arial"/>
          <w:i/>
          <w:sz w:val="20"/>
          <w:szCs w:val="20"/>
        </w:rPr>
        <w:t xml:space="preserve"> </w:t>
      </w:r>
      <w:r w:rsidRPr="00140FA6">
        <w:rPr>
          <w:rFonts w:ascii="Arial" w:eastAsia="Times New Roman" w:hAnsi="Arial" w:cs="Arial"/>
          <w:i/>
          <w:sz w:val="20"/>
          <w:szCs w:val="20"/>
        </w:rPr>
        <w:t xml:space="preserve">(i) </w:t>
      </w:r>
      <w:r>
        <w:rPr>
          <w:rFonts w:ascii="Arial" w:eastAsia="Times New Roman" w:hAnsi="Arial" w:cs="Arial"/>
          <w:i/>
          <w:sz w:val="20"/>
          <w:szCs w:val="20"/>
          <w:lang w:val="en-GB"/>
        </w:rPr>
        <w:t xml:space="preserve">the Company’s growth opportunities in connection with the acquisition of Phantom Farms; (ii) </w:t>
      </w:r>
      <w:r w:rsidR="002B1FAD" w:rsidRPr="002B1FAD">
        <w:rPr>
          <w:rFonts w:ascii="Arial" w:eastAsia="Times New Roman" w:hAnsi="Arial" w:cs="Arial"/>
          <w:i/>
          <w:sz w:val="20"/>
          <w:szCs w:val="20"/>
        </w:rPr>
        <w:t xml:space="preserve">the expected closing of the acquisition of SDP Development Group; </w:t>
      </w:r>
      <w:r w:rsidR="002B1FAD">
        <w:rPr>
          <w:rFonts w:ascii="Arial" w:eastAsia="Times New Roman" w:hAnsi="Arial" w:cs="Arial"/>
          <w:i/>
          <w:sz w:val="20"/>
          <w:szCs w:val="20"/>
        </w:rPr>
        <w:t xml:space="preserve">(iii) </w:t>
      </w:r>
      <w:r w:rsidRPr="00EF11C9">
        <w:rPr>
          <w:rFonts w:ascii="Arial" w:eastAsia="Times New Roman" w:hAnsi="Arial" w:cs="Arial"/>
          <w:i/>
          <w:sz w:val="20"/>
          <w:szCs w:val="20"/>
          <w:lang w:val="en-GB"/>
        </w:rPr>
        <w:t xml:space="preserve">C21 Investments’ </w:t>
      </w:r>
      <w:r>
        <w:rPr>
          <w:rFonts w:ascii="Arial" w:eastAsia="Times New Roman" w:hAnsi="Arial" w:cs="Arial"/>
          <w:i/>
          <w:sz w:val="20"/>
          <w:szCs w:val="20"/>
          <w:lang w:val="en-GB"/>
        </w:rPr>
        <w:t xml:space="preserve">acquisition </w:t>
      </w:r>
      <w:r w:rsidRPr="00EF11C9">
        <w:rPr>
          <w:rFonts w:ascii="Arial" w:eastAsia="Times New Roman" w:hAnsi="Arial" w:cs="Arial"/>
          <w:i/>
          <w:sz w:val="20"/>
          <w:szCs w:val="20"/>
          <w:lang w:val="en-GB"/>
        </w:rPr>
        <w:t>strategy</w:t>
      </w:r>
      <w:r w:rsidR="002B1FAD">
        <w:rPr>
          <w:rFonts w:ascii="Arial" w:eastAsia="Times New Roman" w:hAnsi="Arial" w:cs="Arial"/>
          <w:i/>
          <w:sz w:val="20"/>
          <w:szCs w:val="20"/>
          <w:lang w:val="en-GB"/>
        </w:rPr>
        <w:t>; (</w:t>
      </w:r>
      <w:r>
        <w:rPr>
          <w:rFonts w:ascii="Arial" w:eastAsia="Times New Roman" w:hAnsi="Arial" w:cs="Arial"/>
          <w:i/>
          <w:sz w:val="20"/>
          <w:szCs w:val="20"/>
          <w:lang w:val="en-GB"/>
        </w:rPr>
        <w:t>i</w:t>
      </w:r>
      <w:r w:rsidR="002B1FAD">
        <w:rPr>
          <w:rFonts w:ascii="Arial" w:eastAsia="Times New Roman" w:hAnsi="Arial" w:cs="Arial"/>
          <w:i/>
          <w:sz w:val="20"/>
          <w:szCs w:val="20"/>
          <w:lang w:val="en-GB"/>
        </w:rPr>
        <w:t>v</w:t>
      </w:r>
      <w:r>
        <w:rPr>
          <w:rFonts w:ascii="Arial" w:eastAsia="Times New Roman" w:hAnsi="Arial" w:cs="Arial"/>
          <w:i/>
          <w:sz w:val="20"/>
          <w:szCs w:val="20"/>
          <w:lang w:val="en-GB"/>
        </w:rPr>
        <w:t>) the Company’s</w:t>
      </w:r>
      <w:r w:rsidRPr="00EF11C9">
        <w:rPr>
          <w:rFonts w:ascii="Arial" w:eastAsia="Times New Roman" w:hAnsi="Arial" w:cs="Arial"/>
          <w:i/>
          <w:sz w:val="20"/>
          <w:szCs w:val="20"/>
          <w:lang w:val="en-GB"/>
        </w:rPr>
        <w:t xml:space="preserve"> </w:t>
      </w:r>
      <w:r>
        <w:rPr>
          <w:rFonts w:ascii="Arial" w:eastAsia="Times New Roman" w:hAnsi="Arial" w:cs="Arial"/>
          <w:i/>
          <w:sz w:val="20"/>
          <w:szCs w:val="20"/>
          <w:lang w:val="en-GB"/>
        </w:rPr>
        <w:t>expan</w:t>
      </w:r>
      <w:r w:rsidR="002B1FAD">
        <w:rPr>
          <w:rFonts w:ascii="Arial" w:eastAsia="Times New Roman" w:hAnsi="Arial" w:cs="Arial"/>
          <w:i/>
          <w:sz w:val="20"/>
          <w:szCs w:val="20"/>
          <w:lang w:val="en-GB"/>
        </w:rPr>
        <w:t>sion strategy and operations; (</w:t>
      </w:r>
      <w:r>
        <w:rPr>
          <w:rFonts w:ascii="Arial" w:eastAsia="Times New Roman" w:hAnsi="Arial" w:cs="Arial"/>
          <w:i/>
          <w:sz w:val="20"/>
          <w:szCs w:val="20"/>
          <w:lang w:val="en-GB"/>
        </w:rPr>
        <w:t>v)</w:t>
      </w:r>
      <w:r w:rsidRPr="00EF11C9">
        <w:rPr>
          <w:rFonts w:ascii="Arial" w:eastAsia="Times New Roman" w:hAnsi="Arial" w:cs="Arial"/>
          <w:i/>
          <w:sz w:val="20"/>
          <w:szCs w:val="20"/>
        </w:rPr>
        <w:t xml:space="preserve"> the impact of the acquisitions on the Company's ability to compete and grow revenue and EBITDA.</w:t>
      </w:r>
    </w:p>
    <w:p w:rsidR="00B52FDA" w:rsidRPr="00140FA6" w:rsidRDefault="00B52FDA" w:rsidP="00B52FDA">
      <w:pPr>
        <w:shd w:val="clear" w:color="auto" w:fill="FFFFFF"/>
        <w:spacing w:after="0" w:line="240" w:lineRule="auto"/>
        <w:rPr>
          <w:rFonts w:ascii="Arial" w:eastAsia="Times New Roman" w:hAnsi="Arial" w:cs="Arial"/>
          <w:i/>
          <w:sz w:val="20"/>
          <w:szCs w:val="20"/>
        </w:rPr>
      </w:pPr>
    </w:p>
    <w:p w:rsidR="00B52FDA" w:rsidRPr="00140FA6" w:rsidRDefault="00B52FDA" w:rsidP="00B52FDA">
      <w:pPr>
        <w:shd w:val="clear" w:color="auto" w:fill="FFFFFF"/>
        <w:spacing w:after="0" w:line="240" w:lineRule="auto"/>
        <w:rPr>
          <w:rFonts w:ascii="Cambria" w:eastAsia="Times New Roman" w:hAnsi="Cambria" w:cs="Cambria"/>
          <w:color w:val="212121"/>
          <w:sz w:val="26"/>
          <w:szCs w:val="26"/>
        </w:rPr>
      </w:pPr>
      <w:r w:rsidRPr="00140FA6">
        <w:rPr>
          <w:rFonts w:ascii="Arial" w:eastAsia="Times New Roman" w:hAnsi="Arial" w:cs="Arial"/>
          <w:i/>
          <w:sz w:val="20"/>
          <w:szCs w:val="20"/>
        </w:rPr>
        <w:t xml:space="preserve">The forward-looking statements contained in this news release are based on certain key expectations and assumptions made by C21. Although C21 believes that the expectations and assumptions on which the forward-looking statements are based are reasonable, undue reliance should not be placed on the forward-looking statements because C21 can give no assurance that they will prove to be correct. Since forward-looking statements address future events and conditions, by their very nature they involve inherent risks and uncertainties. Actual results could differ materially from those currently anticipated due to a number of factors and risks. These include, but are not limited to, </w:t>
      </w:r>
      <w:r w:rsidR="002B1FAD">
        <w:rPr>
          <w:rFonts w:ascii="Arial" w:eastAsia="Times New Roman" w:hAnsi="Arial" w:cs="Arial"/>
          <w:i/>
          <w:sz w:val="20"/>
          <w:szCs w:val="20"/>
        </w:rPr>
        <w:t>the inability to finan</w:t>
      </w:r>
      <w:r w:rsidR="002B1FAD" w:rsidRPr="002B1FAD">
        <w:rPr>
          <w:rFonts w:ascii="Arial" w:eastAsia="Times New Roman" w:hAnsi="Arial" w:cs="Arial"/>
          <w:i/>
          <w:sz w:val="20"/>
          <w:szCs w:val="20"/>
        </w:rPr>
        <w:t>ce and complete announced acquisitions</w:t>
      </w:r>
      <w:r w:rsidR="002B1FAD">
        <w:rPr>
          <w:rFonts w:ascii="Arial" w:eastAsia="Times New Roman" w:hAnsi="Arial" w:cs="Arial"/>
          <w:i/>
          <w:sz w:val="20"/>
          <w:szCs w:val="20"/>
        </w:rPr>
        <w:t xml:space="preserve">, </w:t>
      </w:r>
      <w:r w:rsidRPr="00140FA6">
        <w:rPr>
          <w:rFonts w:ascii="Arial" w:eastAsia="Times New Roman" w:hAnsi="Arial" w:cs="Arial"/>
          <w:i/>
          <w:sz w:val="20"/>
          <w:szCs w:val="20"/>
        </w:rPr>
        <w:t xml:space="preserve">the failure to obtain necessary regulatory approvals to upgrade and expand the acquired business as planned, </w:t>
      </w:r>
      <w:r>
        <w:rPr>
          <w:rFonts w:ascii="Arial" w:eastAsia="Times New Roman" w:hAnsi="Arial" w:cs="Arial"/>
          <w:i/>
          <w:sz w:val="20"/>
          <w:szCs w:val="20"/>
        </w:rPr>
        <w:t xml:space="preserve">failure to execute on its acquisition and expansion strategies, </w:t>
      </w:r>
      <w:r w:rsidRPr="00140FA6">
        <w:rPr>
          <w:rFonts w:ascii="Arial" w:eastAsia="Times New Roman" w:hAnsi="Arial" w:cs="Arial"/>
          <w:i/>
          <w:sz w:val="20"/>
          <w:szCs w:val="20"/>
        </w:rPr>
        <w:t xml:space="preserve">competitive factors in the industries in which C21 operates, </w:t>
      </w:r>
      <w:r>
        <w:rPr>
          <w:rFonts w:ascii="Arial" w:eastAsia="Times New Roman" w:hAnsi="Arial" w:cs="Arial"/>
          <w:i/>
          <w:sz w:val="20"/>
          <w:szCs w:val="20"/>
        </w:rPr>
        <w:t xml:space="preserve">inadequate capital requirements, </w:t>
      </w:r>
      <w:r w:rsidRPr="00140FA6">
        <w:rPr>
          <w:rFonts w:ascii="Arial" w:eastAsia="Times New Roman" w:hAnsi="Arial" w:cs="Arial"/>
          <w:i/>
          <w:sz w:val="20"/>
          <w:szCs w:val="20"/>
        </w:rPr>
        <w:t xml:space="preserve">prevailing economic and regulatory conditions, and other factors, many of which are beyond the control of C21. </w:t>
      </w:r>
    </w:p>
    <w:p w:rsidR="00B52FDA" w:rsidRDefault="00B52FDA" w:rsidP="00B52FDA">
      <w:pPr>
        <w:keepNext/>
        <w:keepLines/>
        <w:spacing w:after="0" w:line="240" w:lineRule="auto"/>
        <w:rPr>
          <w:rFonts w:ascii="Arial" w:eastAsia="Cambria" w:hAnsi="Arial" w:cs="Arial"/>
          <w:i/>
          <w:sz w:val="20"/>
          <w:szCs w:val="20"/>
          <w:lang w:val="en-GB" w:eastAsia="zh-TW"/>
        </w:rPr>
      </w:pPr>
    </w:p>
    <w:p w:rsidR="00B52FDA" w:rsidRPr="00140FA6" w:rsidRDefault="00B52FDA" w:rsidP="00B52FDA">
      <w:pPr>
        <w:keepNext/>
        <w:keepLines/>
        <w:spacing w:after="0" w:line="240" w:lineRule="auto"/>
        <w:rPr>
          <w:rFonts w:ascii="Arial" w:eastAsia="Cambria" w:hAnsi="Arial" w:cs="Arial"/>
          <w:i/>
          <w:sz w:val="20"/>
          <w:szCs w:val="20"/>
          <w:lang w:val="en-GB" w:eastAsia="zh-TW"/>
        </w:rPr>
      </w:pPr>
      <w:r w:rsidRPr="00140FA6">
        <w:rPr>
          <w:rFonts w:ascii="Arial" w:eastAsia="Cambria" w:hAnsi="Arial" w:cs="Arial"/>
          <w:i/>
          <w:sz w:val="20"/>
          <w:szCs w:val="20"/>
          <w:lang w:val="en-GB" w:eastAsia="zh-TW"/>
        </w:rPr>
        <w:t>The forward-looking statements contained in this news release represent C21’s expectations as of the date hereof, and are subject to change after such date. C21 disclaims any intention or obligation to update or revise any forward-looking statements whether as a result of new information, future events or otherwise, except as required under applicable securities regulations.</w:t>
      </w:r>
    </w:p>
    <w:p w:rsidR="00B52FDA" w:rsidRPr="00140FA6" w:rsidRDefault="00B52FDA" w:rsidP="00B52FDA">
      <w:pPr>
        <w:spacing w:after="0" w:line="240" w:lineRule="auto"/>
        <w:rPr>
          <w:rFonts w:ascii="Arial" w:eastAsia="Cambria" w:hAnsi="Arial" w:cs="Arial"/>
          <w:sz w:val="20"/>
          <w:szCs w:val="20"/>
          <w:lang w:val="en-GB" w:eastAsia="zh-TW"/>
        </w:rPr>
      </w:pPr>
    </w:p>
    <w:p w:rsidR="00B52FDA" w:rsidRPr="00140FA6" w:rsidRDefault="00B52FDA" w:rsidP="00B52FDA">
      <w:pPr>
        <w:spacing w:after="0" w:line="240" w:lineRule="auto"/>
        <w:rPr>
          <w:rFonts w:ascii="Arial" w:eastAsia="Cambria" w:hAnsi="Arial" w:cs="Arial"/>
          <w:b/>
          <w:i/>
          <w:sz w:val="20"/>
          <w:szCs w:val="20"/>
          <w:lang w:val="en-GB" w:eastAsia="zh-TW"/>
        </w:rPr>
      </w:pPr>
      <w:r w:rsidRPr="00140FA6">
        <w:rPr>
          <w:rFonts w:ascii="Arial" w:eastAsia="Cambria" w:hAnsi="Arial" w:cs="Arial"/>
          <w:b/>
          <w:i/>
          <w:sz w:val="20"/>
          <w:szCs w:val="20"/>
          <w:lang w:val="en-GB" w:eastAsia="zh-TW"/>
        </w:rPr>
        <w:t>The CSE has not accepted responsibility for the adequacy or accuracy of this release.</w:t>
      </w:r>
    </w:p>
    <w:p w:rsidR="00B52FDA" w:rsidRPr="00140FA6" w:rsidRDefault="00B52FDA" w:rsidP="00B52FDA">
      <w:pPr>
        <w:spacing w:after="0" w:line="240" w:lineRule="auto"/>
        <w:rPr>
          <w:rFonts w:ascii="Cambria" w:eastAsia="Cambria" w:hAnsi="Cambria" w:cs="Cambria"/>
          <w:sz w:val="24"/>
          <w:lang w:val="en-GB" w:eastAsia="zh-TW"/>
        </w:rPr>
      </w:pPr>
    </w:p>
    <w:p w:rsidR="00B52FDA" w:rsidRPr="00140FA6" w:rsidRDefault="00B52FDA" w:rsidP="00B52FDA">
      <w:pPr>
        <w:shd w:val="clear" w:color="auto" w:fill="FFFFFF"/>
        <w:spacing w:after="0" w:line="240" w:lineRule="auto"/>
        <w:rPr>
          <w:rFonts w:ascii="Calibri" w:eastAsia="Times New Roman" w:hAnsi="Calibri" w:cs="Calibri"/>
          <w:color w:val="212121"/>
          <w:sz w:val="26"/>
          <w:szCs w:val="26"/>
          <w:lang w:val="en-GB" w:eastAsia="zh-TW"/>
        </w:rPr>
      </w:pPr>
    </w:p>
    <w:p w:rsidR="00B52FDA" w:rsidRDefault="00B52FDA" w:rsidP="00B52FDA"/>
    <w:p w:rsidR="00B75D75" w:rsidRPr="00B52FDA" w:rsidRDefault="00B75D75" w:rsidP="00B52FDA"/>
    <w:sectPr w:rsidR="00B75D75" w:rsidRPr="00B52FDA" w:rsidSect="003F4551">
      <w:headerReference w:type="default" r:id="rId12"/>
      <w:pgSz w:w="11900" w:h="16840"/>
      <w:pgMar w:top="1440" w:right="1440" w:bottom="1440" w:left="1440" w:header="706" w:footer="706"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E43" w:rsidRDefault="00F04E43">
      <w:pPr>
        <w:spacing w:after="0" w:line="240" w:lineRule="auto"/>
      </w:pPr>
      <w:r>
        <w:separator/>
      </w:r>
    </w:p>
  </w:endnote>
  <w:endnote w:type="continuationSeparator" w:id="0">
    <w:p w:rsidR="00F04E43" w:rsidRDefault="00F04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E43" w:rsidRDefault="00F04E43">
      <w:pPr>
        <w:spacing w:after="0" w:line="240" w:lineRule="auto"/>
      </w:pPr>
      <w:r>
        <w:separator/>
      </w:r>
    </w:p>
  </w:footnote>
  <w:footnote w:type="continuationSeparator" w:id="0">
    <w:p w:rsidR="00F04E43" w:rsidRDefault="00F04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722216"/>
      <w:docPartObj>
        <w:docPartGallery w:val="Page Numbers (Top of Page)"/>
        <w:docPartUnique/>
      </w:docPartObj>
    </w:sdtPr>
    <w:sdtEndPr>
      <w:rPr>
        <w:noProof/>
      </w:rPr>
    </w:sdtEndPr>
    <w:sdtContent>
      <w:p w:rsidR="003F4551" w:rsidRDefault="00BA711E">
        <w:pPr>
          <w:pStyle w:val="Header"/>
          <w:jc w:val="right"/>
        </w:pPr>
        <w:r>
          <w:fldChar w:fldCharType="begin"/>
        </w:r>
        <w:r w:rsidR="003F4551">
          <w:instrText xml:space="preserve"> PAGE   \* MERGEFORMAT </w:instrText>
        </w:r>
        <w:r>
          <w:fldChar w:fldCharType="separate"/>
        </w:r>
        <w:r w:rsidR="00161802">
          <w:rPr>
            <w:noProof/>
          </w:rPr>
          <w:t>3</w:t>
        </w:r>
        <w:r>
          <w:rPr>
            <w:noProof/>
          </w:rPr>
          <w:fldChar w:fldCharType="end"/>
        </w:r>
      </w:p>
    </w:sdtContent>
  </w:sdt>
  <w:p w:rsidR="003F4551" w:rsidRDefault="003F45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DialogEnabled" w:val="False"/>
  </w:docVars>
  <w:rsids>
    <w:rsidRoot w:val="00140FA6"/>
    <w:rsid w:val="00006B99"/>
    <w:rsid w:val="00021A9E"/>
    <w:rsid w:val="00026970"/>
    <w:rsid w:val="000517D5"/>
    <w:rsid w:val="00077EB3"/>
    <w:rsid w:val="000B3079"/>
    <w:rsid w:val="000C66C5"/>
    <w:rsid w:val="000C6A4F"/>
    <w:rsid w:val="000D024D"/>
    <w:rsid w:val="000F59E8"/>
    <w:rsid w:val="00140FA6"/>
    <w:rsid w:val="001479DD"/>
    <w:rsid w:val="001500B2"/>
    <w:rsid w:val="00151B2A"/>
    <w:rsid w:val="00161802"/>
    <w:rsid w:val="001664D9"/>
    <w:rsid w:val="00177526"/>
    <w:rsid w:val="00187AF4"/>
    <w:rsid w:val="0019365D"/>
    <w:rsid w:val="001A49F1"/>
    <w:rsid w:val="001D5907"/>
    <w:rsid w:val="001F6422"/>
    <w:rsid w:val="001F72F4"/>
    <w:rsid w:val="00220487"/>
    <w:rsid w:val="00224250"/>
    <w:rsid w:val="00231503"/>
    <w:rsid w:val="00232309"/>
    <w:rsid w:val="00262E03"/>
    <w:rsid w:val="002941CC"/>
    <w:rsid w:val="002B1FAD"/>
    <w:rsid w:val="002D0528"/>
    <w:rsid w:val="002E3752"/>
    <w:rsid w:val="002F003A"/>
    <w:rsid w:val="002F14D2"/>
    <w:rsid w:val="002F274C"/>
    <w:rsid w:val="002F4DFA"/>
    <w:rsid w:val="002F64EA"/>
    <w:rsid w:val="00302847"/>
    <w:rsid w:val="00316DAC"/>
    <w:rsid w:val="00341F12"/>
    <w:rsid w:val="003427B4"/>
    <w:rsid w:val="00353876"/>
    <w:rsid w:val="0037372A"/>
    <w:rsid w:val="00377913"/>
    <w:rsid w:val="0039561C"/>
    <w:rsid w:val="003975C7"/>
    <w:rsid w:val="003A3D0F"/>
    <w:rsid w:val="003C1A11"/>
    <w:rsid w:val="003E54A6"/>
    <w:rsid w:val="003F4551"/>
    <w:rsid w:val="00415404"/>
    <w:rsid w:val="00416857"/>
    <w:rsid w:val="00424020"/>
    <w:rsid w:val="00451B32"/>
    <w:rsid w:val="00454170"/>
    <w:rsid w:val="004610BC"/>
    <w:rsid w:val="004735E4"/>
    <w:rsid w:val="0048069C"/>
    <w:rsid w:val="00490614"/>
    <w:rsid w:val="00492797"/>
    <w:rsid w:val="004C3DE2"/>
    <w:rsid w:val="004C74B7"/>
    <w:rsid w:val="004F00C7"/>
    <w:rsid w:val="004F630E"/>
    <w:rsid w:val="005050E4"/>
    <w:rsid w:val="00505C00"/>
    <w:rsid w:val="00505FA9"/>
    <w:rsid w:val="0050672B"/>
    <w:rsid w:val="00524BAB"/>
    <w:rsid w:val="005271D3"/>
    <w:rsid w:val="005432BD"/>
    <w:rsid w:val="005527CA"/>
    <w:rsid w:val="0056230D"/>
    <w:rsid w:val="00587532"/>
    <w:rsid w:val="00596CE3"/>
    <w:rsid w:val="00597A72"/>
    <w:rsid w:val="005B6A78"/>
    <w:rsid w:val="005D62A0"/>
    <w:rsid w:val="005F15DD"/>
    <w:rsid w:val="00600824"/>
    <w:rsid w:val="00632A31"/>
    <w:rsid w:val="00644D5B"/>
    <w:rsid w:val="00683E34"/>
    <w:rsid w:val="006C299C"/>
    <w:rsid w:val="006F35F2"/>
    <w:rsid w:val="006F6200"/>
    <w:rsid w:val="007103F1"/>
    <w:rsid w:val="007653E0"/>
    <w:rsid w:val="00775716"/>
    <w:rsid w:val="00781F84"/>
    <w:rsid w:val="007B1AEF"/>
    <w:rsid w:val="007C1CF1"/>
    <w:rsid w:val="007C4811"/>
    <w:rsid w:val="00803690"/>
    <w:rsid w:val="0080425D"/>
    <w:rsid w:val="00837A43"/>
    <w:rsid w:val="0084196A"/>
    <w:rsid w:val="00847751"/>
    <w:rsid w:val="00872CC5"/>
    <w:rsid w:val="0088108D"/>
    <w:rsid w:val="008851E2"/>
    <w:rsid w:val="0089593D"/>
    <w:rsid w:val="008B4A7A"/>
    <w:rsid w:val="008B4F09"/>
    <w:rsid w:val="00913A9C"/>
    <w:rsid w:val="00940365"/>
    <w:rsid w:val="00943716"/>
    <w:rsid w:val="009731AA"/>
    <w:rsid w:val="0097788A"/>
    <w:rsid w:val="00996E36"/>
    <w:rsid w:val="009C541B"/>
    <w:rsid w:val="009C7AE4"/>
    <w:rsid w:val="009D0E0B"/>
    <w:rsid w:val="009D72D3"/>
    <w:rsid w:val="009E428B"/>
    <w:rsid w:val="00A05C85"/>
    <w:rsid w:val="00A1217D"/>
    <w:rsid w:val="00A22A03"/>
    <w:rsid w:val="00A25F60"/>
    <w:rsid w:val="00A47C2E"/>
    <w:rsid w:val="00A50516"/>
    <w:rsid w:val="00A52C98"/>
    <w:rsid w:val="00A55B17"/>
    <w:rsid w:val="00A57062"/>
    <w:rsid w:val="00A82B84"/>
    <w:rsid w:val="00A85F5F"/>
    <w:rsid w:val="00A8709C"/>
    <w:rsid w:val="00AF57DA"/>
    <w:rsid w:val="00B01B19"/>
    <w:rsid w:val="00B057BC"/>
    <w:rsid w:val="00B13C8C"/>
    <w:rsid w:val="00B30BAA"/>
    <w:rsid w:val="00B52FDA"/>
    <w:rsid w:val="00B565F0"/>
    <w:rsid w:val="00B75D75"/>
    <w:rsid w:val="00B767AE"/>
    <w:rsid w:val="00B77300"/>
    <w:rsid w:val="00B80AE0"/>
    <w:rsid w:val="00BA0E82"/>
    <w:rsid w:val="00BA711E"/>
    <w:rsid w:val="00BC7B85"/>
    <w:rsid w:val="00BE0147"/>
    <w:rsid w:val="00C253AF"/>
    <w:rsid w:val="00C2638B"/>
    <w:rsid w:val="00C26C05"/>
    <w:rsid w:val="00C378FA"/>
    <w:rsid w:val="00C42317"/>
    <w:rsid w:val="00D43069"/>
    <w:rsid w:val="00D764F8"/>
    <w:rsid w:val="00D911DB"/>
    <w:rsid w:val="00DC3B52"/>
    <w:rsid w:val="00DC4CF8"/>
    <w:rsid w:val="00DE3EB6"/>
    <w:rsid w:val="00DE4FDF"/>
    <w:rsid w:val="00E50B47"/>
    <w:rsid w:val="00E51C1C"/>
    <w:rsid w:val="00E64CDB"/>
    <w:rsid w:val="00E9099D"/>
    <w:rsid w:val="00E93FA6"/>
    <w:rsid w:val="00EC0F72"/>
    <w:rsid w:val="00ED3513"/>
    <w:rsid w:val="00ED7764"/>
    <w:rsid w:val="00EE7DBB"/>
    <w:rsid w:val="00EF11C9"/>
    <w:rsid w:val="00F024A5"/>
    <w:rsid w:val="00F04E43"/>
    <w:rsid w:val="00F16A99"/>
    <w:rsid w:val="00F22778"/>
    <w:rsid w:val="00F269F2"/>
    <w:rsid w:val="00F30A85"/>
    <w:rsid w:val="00F55D81"/>
    <w:rsid w:val="00F76118"/>
    <w:rsid w:val="00F7716B"/>
    <w:rsid w:val="00F80A4A"/>
    <w:rsid w:val="00F8255A"/>
    <w:rsid w:val="00FC6F86"/>
    <w:rsid w:val="00FD2E82"/>
    <w:rsid w:val="00FE316F"/>
    <w:rsid w:val="00FF6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75716"/>
    <w:pPr>
      <w:framePr w:w="7920" w:h="1980" w:hRule="exact" w:hSpace="180" w:wrap="auto" w:hAnchor="page" w:xAlign="center" w:yAlign="bottom"/>
      <w:spacing w:after="0" w:line="240" w:lineRule="auto"/>
      <w:ind w:left="2880"/>
    </w:pPr>
    <w:rPr>
      <w:rFonts w:eastAsiaTheme="majorEastAsia" w:cstheme="majorBidi"/>
      <w:caps/>
    </w:rPr>
  </w:style>
  <w:style w:type="paragraph" w:styleId="Footer">
    <w:name w:val="footer"/>
    <w:basedOn w:val="Normal"/>
    <w:link w:val="FooterChar"/>
    <w:uiPriority w:val="99"/>
    <w:unhideWhenUsed/>
    <w:rsid w:val="00140FA6"/>
    <w:pPr>
      <w:tabs>
        <w:tab w:val="center" w:pos="4680"/>
        <w:tab w:val="right" w:pos="9360"/>
      </w:tabs>
      <w:spacing w:after="0" w:line="240" w:lineRule="auto"/>
    </w:pPr>
    <w:rPr>
      <w:rFonts w:ascii="Cambria" w:eastAsia="Cambria" w:hAnsi="Cambria" w:cs="Cambria"/>
      <w:sz w:val="24"/>
      <w:lang w:val="en-GB" w:eastAsia="zh-TW"/>
    </w:rPr>
  </w:style>
  <w:style w:type="character" w:customStyle="1" w:styleId="FooterChar">
    <w:name w:val="Footer Char"/>
    <w:basedOn w:val="DefaultParagraphFont"/>
    <w:link w:val="Footer"/>
    <w:uiPriority w:val="99"/>
    <w:rsid w:val="00140FA6"/>
    <w:rPr>
      <w:rFonts w:ascii="Cambria" w:eastAsia="Cambria" w:hAnsi="Cambria" w:cs="Cambria"/>
      <w:lang w:val="en-GB" w:eastAsia="zh-TW"/>
    </w:rPr>
  </w:style>
  <w:style w:type="paragraph" w:styleId="Header">
    <w:name w:val="header"/>
    <w:basedOn w:val="Normal"/>
    <w:link w:val="HeaderChar"/>
    <w:uiPriority w:val="99"/>
    <w:unhideWhenUsed/>
    <w:rsid w:val="004F0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0C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75716"/>
    <w:pPr>
      <w:framePr w:w="7920" w:h="1980" w:hRule="exact" w:hSpace="180" w:wrap="auto" w:hAnchor="page" w:xAlign="center" w:yAlign="bottom"/>
      <w:spacing w:after="0" w:line="240" w:lineRule="auto"/>
      <w:ind w:left="2880"/>
    </w:pPr>
    <w:rPr>
      <w:rFonts w:eastAsiaTheme="majorEastAsia" w:cstheme="majorBidi"/>
      <w:caps/>
    </w:rPr>
  </w:style>
  <w:style w:type="paragraph" w:styleId="Footer">
    <w:name w:val="footer"/>
    <w:basedOn w:val="Normal"/>
    <w:link w:val="FooterChar"/>
    <w:uiPriority w:val="99"/>
    <w:unhideWhenUsed/>
    <w:rsid w:val="00140FA6"/>
    <w:pPr>
      <w:tabs>
        <w:tab w:val="center" w:pos="4680"/>
        <w:tab w:val="right" w:pos="9360"/>
      </w:tabs>
      <w:spacing w:after="0" w:line="240" w:lineRule="auto"/>
    </w:pPr>
    <w:rPr>
      <w:rFonts w:ascii="Cambria" w:eastAsia="Cambria" w:hAnsi="Cambria" w:cs="Cambria"/>
      <w:sz w:val="24"/>
      <w:lang w:val="en-GB" w:eastAsia="zh-TW"/>
    </w:rPr>
  </w:style>
  <w:style w:type="character" w:customStyle="1" w:styleId="FooterChar">
    <w:name w:val="Footer Char"/>
    <w:basedOn w:val="DefaultParagraphFont"/>
    <w:link w:val="Footer"/>
    <w:uiPriority w:val="99"/>
    <w:rsid w:val="00140FA6"/>
    <w:rPr>
      <w:rFonts w:ascii="Cambria" w:eastAsia="Cambria" w:hAnsi="Cambria" w:cs="Cambria"/>
      <w:lang w:val="en-GB" w:eastAsia="zh-TW"/>
    </w:rPr>
  </w:style>
  <w:style w:type="paragraph" w:styleId="Header">
    <w:name w:val="header"/>
    <w:basedOn w:val="Normal"/>
    <w:link w:val="HeaderChar"/>
    <w:uiPriority w:val="99"/>
    <w:unhideWhenUsed/>
    <w:rsid w:val="004F0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0C7"/>
    <w:rPr>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goad@cxxi.ca"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phantom-farms.com" TargetMode="External"/><Relationship Id="rId4" Type="http://schemas.openxmlformats.org/officeDocument/2006/relationships/footnotes" Target="footnotes.xml"/><Relationship Id="rId9" Type="http://schemas.openxmlformats.org/officeDocument/2006/relationships/hyperlink" Target="http://www.cxx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KKBL 07-17-2012 4:04 PM</vt:lpstr>
    </vt:vector>
  </TitlesOfParts>
  <Company>KKBL</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KKBL 07-17-2012 4:04 PM</dc:title>
  <dc:creator>Vikram Dhir</dc:creator>
  <cp:lastModifiedBy>susan.telford</cp:lastModifiedBy>
  <cp:revision>2</cp:revision>
  <cp:lastPrinted>2019-02-04T20:37:00Z</cp:lastPrinted>
  <dcterms:created xsi:type="dcterms:W3CDTF">2019-02-04T21:48:00Z</dcterms:created>
  <dcterms:modified xsi:type="dcterms:W3CDTF">2019-02-04T21:48:00Z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Save to Notes</vt:lpwstr>
  </property>
  <property fmtid="{D5CDD505-2E9C-101B-9397-08002B2CF9AE}" pid="3" name="SW_SaveCloseOfficeText">
    <vt:lpwstr>Save and Close Office document</vt:lpwstr>
  </property>
  <property fmtid="{D5CDD505-2E9C-101B-9397-08002B2CF9AE}" pid="4" name="SW_SaveCloseText">
    <vt:lpwstr>Save and Close Notes document</vt:lpwstr>
  </property>
  <property fmtid="{D5CDD505-2E9C-101B-9397-08002B2CF9AE}" pid="5" name="SW_DocUNID">
    <vt:lpwstr>4246B9C700E7EABE88258394006F1115</vt:lpwstr>
  </property>
  <property fmtid="{D5CDD505-2E9C-101B-9397-08002B2CF9AE}" pid="6" name="SW_DocHWND">
    <vt:lpwstr>3278800</vt:lpwstr>
  </property>
  <property fmtid="{D5CDD505-2E9C-101B-9397-08002B2CF9AE}" pid="7" name="SW_IntOfficeMacros">
    <vt:lpwstr>Enabled</vt:lpwstr>
  </property>
  <property fmtid="{D5CDD505-2E9C-101B-9397-08002B2CF9AE}" pid="8" name="SW_CustomTitle">
    <vt:lpwstr>SWING Integrator Document</vt:lpwstr>
  </property>
  <property fmtid="{D5CDD505-2E9C-101B-9397-08002B2CF9AE}" pid="9" name="SW_DialogTitle">
    <vt:lpwstr>WANDOCs CM2 - MS Office Integration</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CN=domino01/O=KKBL</vt:lpwstr>
  </property>
  <property fmtid="{D5CDD505-2E9C-101B-9397-08002B2CF9AE}" pid="16" name="SW_DocumentDB">
    <vt:lpwstr>EBI\SCFMA.nsf</vt:lpwstr>
  </property>
  <property fmtid="{D5CDD505-2E9C-101B-9397-08002B2CF9AE}" pid="17" name="Source">
    <vt:lpwstr>Swing</vt:lpwstr>
  </property>
  <property fmtid="{D5CDD505-2E9C-101B-9397-08002B2CF9AE}" pid="18" name="SwNumber">
    <vt:lpwstr>1</vt:lpwstr>
  </property>
  <property fmtid="{D5CDD505-2E9C-101B-9397-08002B2CF9AE}" pid="19" name="ThisDoc">
    <vt:lpwstr>1</vt:lpwstr>
  </property>
  <property fmtid="{D5CDD505-2E9C-101B-9397-08002B2CF9AE}" pid="20" name="Version">
    <vt:lpwstr>4</vt:lpwstr>
  </property>
  <property fmtid="{D5CDD505-2E9C-101B-9397-08002B2CF9AE}" pid="21" name="ProfileNumber">
    <vt:lpwstr>VXD-001146</vt:lpwstr>
  </property>
  <property fmtid="{D5CDD505-2E9C-101B-9397-08002B2CF9AE}" pid="22" name="DispProfileNumber">
    <vt:lpwstr>VXD-001146</vt:lpwstr>
  </property>
  <property fmtid="{D5CDD505-2E9C-101B-9397-08002B2CF9AE}" pid="23" name="DocLib">
    <vt:lpwstr>SEC</vt:lpwstr>
  </property>
  <property fmtid="{D5CDD505-2E9C-101B-9397-08002B2CF9AE}" pid="24" name="Client">
    <vt:lpwstr>C21 Investments Inc.</vt:lpwstr>
  </property>
  <property fmtid="{D5CDD505-2E9C-101B-9397-08002B2CF9AE}" pid="25" name="Matter">
    <vt:lpwstr>Phantom Farms</vt:lpwstr>
  </property>
  <property fmtid="{D5CDD505-2E9C-101B-9397-08002B2CF9AE}" pid="26" name="ClientNumber">
    <vt:lpwstr>55079</vt:lpwstr>
  </property>
  <property fmtid="{D5CDD505-2E9C-101B-9397-08002B2CF9AE}" pid="27" name="MatterNumber">
    <vt:lpwstr>4</vt:lpwstr>
  </property>
  <property fmtid="{D5CDD505-2E9C-101B-9397-08002B2CF9AE}" pid="28" name="ShortCaseName">
    <vt:lpwstr>Phantom Farms</vt:lpwstr>
  </property>
  <property fmtid="{D5CDD505-2E9C-101B-9397-08002B2CF9AE}" pid="29" name="DbServer">
    <vt:lpwstr>CN=domino01/O=KKBL</vt:lpwstr>
  </property>
  <property fmtid="{D5CDD505-2E9C-101B-9397-08002B2CF9AE}" pid="30" name="DbPath">
    <vt:lpwstr>EBI\SCFMA.nsf</vt:lpwstr>
  </property>
  <property fmtid="{D5CDD505-2E9C-101B-9397-08002B2CF9AE}" pid="31" name="BackupPath">
    <vt:lpwstr>W:\SCF\</vt:lpwstr>
  </property>
  <property fmtid="{D5CDD505-2E9C-101B-9397-08002B2CF9AE}" pid="32" name="ThisVersion">
    <vt:lpwstr>4</vt:lpwstr>
  </property>
</Properties>
</file>