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35208C" w:rsidRPr="001D3008" w14:paraId="5F8A5C3C" w14:textId="77777777">
      <w:pPr>
        <w:rPr>
          <w:rFonts w:ascii="Times New Roman" w:hAnsi="Times New Roman" w:cs="Times New Roman"/>
          <w:color w:val="000000"/>
          <w:shd w:val="clear" w:color="auto" w:fill="auto"/>
        </w:rPr>
      </w:pPr>
      <w:r w:rsidRPr="001D3008">
        <w:rPr>
          <w:rFonts w:ascii="Times New Roman" w:hAnsi="Times New Roman" w:cs="Times New Roman"/>
          <w:noProof/>
        </w:rPr>
        <w:drawing>
          <wp:inline distT="0" distB="0" distL="0" distR="0">
            <wp:extent cx="1133475" cy="8763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367984229" name="image1.png" descr="Logo&#10;&#10;Description automatically generated"/>
                    <pic:cNvPicPr/>
                  </pic:nvPicPr>
                  <pic:blipFill>
                    <a:blip xmlns:r="http://schemas.openxmlformats.org/officeDocument/2006/relationships" r:embed="rId4"/>
                    <a:stretch>
                      <a:fillRect/>
                    </a:stretch>
                  </pic:blipFill>
                  <pic:spPr>
                    <a:xfrm>
                      <a:off x="0" y="0"/>
                      <a:ext cx="1133475" cy="876300"/>
                    </a:xfrm>
                    <a:prstGeom prst="rect">
                      <a:avLst/>
                    </a:prstGeom>
                  </pic:spPr>
                </pic:pic>
              </a:graphicData>
            </a:graphic>
          </wp:inline>
        </w:drawing>
      </w:r>
    </w:p>
    <w:p w:rsidR="00D547F4" w:rsidRPr="001D3008" w:rsidP="00D547F4" w14:paraId="73F88CFA" w14:textId="77777777">
      <w:pPr>
        <w:pStyle w:val="BodyText"/>
        <w:tabs>
          <w:tab w:val="left" w:pos="360"/>
        </w:tabs>
        <w:spacing w:after="0"/>
        <w:ind w:left="-180" w:right="-90"/>
        <w:rPr>
          <w:b/>
          <w:color w:val="000000"/>
          <w:sz w:val="22"/>
          <w:szCs w:val="22"/>
          <w:shd w:val="clear" w:color="auto" w:fill="auto"/>
        </w:rPr>
      </w:pPr>
      <w:bookmarkStart w:id="0" w:name="_DV_M113"/>
      <w:bookmarkStart w:id="1" w:name="_DV_M114"/>
      <w:bookmarkStart w:id="2" w:name="_DV_M115"/>
      <w:bookmarkEnd w:id="0"/>
      <w:bookmarkEnd w:id="1"/>
      <w:bookmarkEnd w:id="2"/>
    </w:p>
    <w:p w:rsidR="00C32136" w:rsidP="00D547F4" w14:paraId="507D1049" w14:textId="4FD76E3B">
      <w:pPr>
        <w:tabs>
          <w:tab w:val="left" w:pos="360"/>
        </w:tabs>
        <w:ind w:left="-180" w:right="-90"/>
        <w:jc w:val="center"/>
        <w:rPr>
          <w:rFonts w:ascii="Times New Roman" w:hAnsi="Times New Roman" w:cs="Times New Roman"/>
          <w:b/>
          <w:color w:val="auto"/>
          <w:sz w:val="26"/>
          <w:szCs w:val="26"/>
          <w:shd w:val="clear" w:color="auto" w:fill="auto"/>
        </w:rPr>
      </w:pPr>
      <w:r w:rsidRPr="001D3008">
        <w:rPr>
          <w:rFonts w:ascii="Times New Roman" w:hAnsi="Times New Roman" w:cs="Times New Roman"/>
          <w:b/>
          <w:sz w:val="26"/>
          <w:szCs w:val="26"/>
        </w:rPr>
        <w:t xml:space="preserve">BRIGHT MINDS BIOSCIENCES </w:t>
      </w:r>
      <w:r w:rsidRPr="001D3008" w:rsidR="00D547F4">
        <w:rPr>
          <w:rFonts w:ascii="Times New Roman" w:hAnsi="Times New Roman" w:cs="Times New Roman"/>
          <w:b/>
          <w:sz w:val="26"/>
          <w:szCs w:val="26"/>
        </w:rPr>
        <w:t xml:space="preserve">ANNOUNCES </w:t>
      </w:r>
      <w:r w:rsidR="001933FF">
        <w:rPr>
          <w:rFonts w:ascii="Times New Roman" w:hAnsi="Times New Roman" w:cs="Times New Roman"/>
          <w:b/>
          <w:sz w:val="26"/>
          <w:szCs w:val="26"/>
        </w:rPr>
        <w:t xml:space="preserve">RECEIPT OF NASDAQ </w:t>
      </w:r>
      <w:r>
        <w:rPr>
          <w:rFonts w:ascii="Times New Roman" w:hAnsi="Times New Roman" w:cs="Times New Roman"/>
          <w:b/>
          <w:sz w:val="26"/>
          <w:szCs w:val="26"/>
        </w:rPr>
        <w:t xml:space="preserve">DEFICIENCY LETTER REGARDING INDEPENDENT DIRECTOR AND AUDIT COMMITTEE REQUIREMENTS </w:t>
      </w:r>
    </w:p>
    <w:p w:rsidR="005978BC" w:rsidP="005978BC" w14:paraId="08F1F8B3" w14:textId="0059B75D">
      <w:pPr>
        <w:pStyle w:val="BodyText"/>
        <w:tabs>
          <w:tab w:val="left" w:pos="360"/>
        </w:tabs>
        <w:spacing w:after="0"/>
        <w:ind w:left="-180" w:right="-90"/>
        <w:rPr>
          <w:rFonts w:eastAsia="Batang"/>
          <w:color w:val="000000"/>
          <w:sz w:val="22"/>
          <w:szCs w:val="22"/>
          <w:shd w:val="clear" w:color="auto" w:fill="auto"/>
        </w:rPr>
      </w:pPr>
      <w:bookmarkStart w:id="3" w:name="_DV_M119"/>
      <w:bookmarkEnd w:id="3"/>
      <w:r w:rsidRPr="001D3008">
        <w:rPr>
          <w:rFonts w:eastAsia="Batang"/>
          <w:color w:val="000000" w:themeColor="text1"/>
          <w:sz w:val="22"/>
          <w:szCs w:val="22"/>
        </w:rPr>
        <w:t>Vancouver, British Columbia</w:t>
      </w:r>
      <w:r w:rsidRPr="001D3008" w:rsidR="00D547F4">
        <w:rPr>
          <w:rFonts w:eastAsia="Batang"/>
          <w:color w:val="000000" w:themeColor="text1"/>
          <w:sz w:val="22"/>
          <w:szCs w:val="22"/>
        </w:rPr>
        <w:t xml:space="preserve">, </w:t>
      </w:r>
      <w:r w:rsidR="00CE7F13">
        <w:rPr>
          <w:sz w:val="22"/>
          <w:szCs w:val="22"/>
        </w:rPr>
        <w:t>February 8</w:t>
      </w:r>
      <w:r w:rsidR="001933FF">
        <w:rPr>
          <w:sz w:val="22"/>
          <w:szCs w:val="22"/>
        </w:rPr>
        <w:t>, 2023</w:t>
      </w:r>
      <w:r w:rsidRPr="001D3008">
        <w:rPr>
          <w:rFonts w:eastAsia="Batang"/>
          <w:color w:val="000000" w:themeColor="text1"/>
          <w:sz w:val="22"/>
          <w:szCs w:val="22"/>
        </w:rPr>
        <w:t xml:space="preserve"> – Bright Minds Biosciences Inc. (CSE:DRUG) (NASDAQ:DRUG) (“</w:t>
      </w:r>
      <w:r w:rsidRPr="001D3008">
        <w:rPr>
          <w:rFonts w:eastAsia="Batang"/>
          <w:b/>
          <w:color w:val="000000" w:themeColor="text1"/>
          <w:sz w:val="22"/>
          <w:szCs w:val="22"/>
        </w:rPr>
        <w:t>Bright Minds</w:t>
      </w:r>
      <w:r w:rsidRPr="001D3008">
        <w:rPr>
          <w:rFonts w:eastAsia="Batang"/>
          <w:color w:val="000000" w:themeColor="text1"/>
          <w:sz w:val="22"/>
          <w:szCs w:val="22"/>
        </w:rPr>
        <w:t>” or the “</w:t>
      </w:r>
      <w:r w:rsidRPr="001D3008">
        <w:rPr>
          <w:rFonts w:eastAsia="Batang"/>
          <w:b/>
          <w:color w:val="000000" w:themeColor="text1"/>
          <w:sz w:val="22"/>
          <w:szCs w:val="22"/>
        </w:rPr>
        <w:t>Company</w:t>
      </w:r>
      <w:r w:rsidRPr="001D3008">
        <w:rPr>
          <w:rFonts w:eastAsia="Batang"/>
          <w:color w:val="000000" w:themeColor="text1"/>
          <w:sz w:val="22"/>
          <w:szCs w:val="22"/>
        </w:rPr>
        <w:t>”)</w:t>
      </w:r>
      <w:r w:rsidR="001933FF">
        <w:rPr>
          <w:rFonts w:eastAsia="Batang"/>
          <w:color w:val="000000" w:themeColor="text1"/>
          <w:sz w:val="22"/>
          <w:szCs w:val="22"/>
        </w:rPr>
        <w:t xml:space="preserve"> announces that it has received a </w:t>
      </w:r>
      <w:r>
        <w:rPr>
          <w:rFonts w:eastAsia="Batang"/>
          <w:color w:val="000000" w:themeColor="text1"/>
          <w:sz w:val="22"/>
          <w:szCs w:val="22"/>
        </w:rPr>
        <w:t>letter (the “</w:t>
      </w:r>
      <w:r>
        <w:rPr>
          <w:rFonts w:eastAsia="Batang"/>
          <w:b/>
          <w:color w:val="000000" w:themeColor="text1"/>
          <w:sz w:val="22"/>
          <w:szCs w:val="22"/>
        </w:rPr>
        <w:t>Deficiency Letter</w:t>
      </w:r>
      <w:r>
        <w:rPr>
          <w:rFonts w:eastAsia="Batang"/>
          <w:color w:val="000000" w:themeColor="text1"/>
          <w:sz w:val="22"/>
          <w:szCs w:val="22"/>
        </w:rPr>
        <w:t xml:space="preserve">”) from </w:t>
      </w:r>
      <w:r w:rsidR="001933FF">
        <w:rPr>
          <w:rFonts w:eastAsia="Batang"/>
          <w:color w:val="000000" w:themeColor="text1"/>
          <w:sz w:val="22"/>
          <w:szCs w:val="22"/>
        </w:rPr>
        <w:t>the Nasdaq Stock Market LLC (“</w:t>
      </w:r>
      <w:r w:rsidRPr="00590564" w:rsidR="001933FF">
        <w:rPr>
          <w:rFonts w:eastAsia="Batang"/>
          <w:b/>
          <w:color w:val="000000" w:themeColor="text1"/>
          <w:sz w:val="22"/>
          <w:szCs w:val="22"/>
        </w:rPr>
        <w:t>NASDAQ</w:t>
      </w:r>
      <w:r w:rsidR="001933FF">
        <w:rPr>
          <w:rFonts w:eastAsia="Batang"/>
          <w:color w:val="000000" w:themeColor="text1"/>
          <w:sz w:val="22"/>
          <w:szCs w:val="22"/>
        </w:rPr>
        <w:t xml:space="preserve">”) dated </w:t>
      </w:r>
      <w:r>
        <w:rPr>
          <w:rFonts w:eastAsia="Batang"/>
          <w:color w:val="000000" w:themeColor="text1"/>
          <w:sz w:val="22"/>
          <w:szCs w:val="22"/>
        </w:rPr>
        <w:t>February 2, 2023, stating that following the resignation of Dr. Williamson from the Company’s board of director</w:t>
      </w:r>
      <w:r w:rsidR="008033C7">
        <w:rPr>
          <w:rFonts w:eastAsia="Batang"/>
          <w:color w:val="000000" w:themeColor="text1"/>
          <w:sz w:val="22"/>
          <w:szCs w:val="22"/>
        </w:rPr>
        <w:t xml:space="preserve">s </w:t>
      </w:r>
      <w:r>
        <w:rPr>
          <w:rFonts w:eastAsia="Batang"/>
          <w:color w:val="000000" w:themeColor="text1"/>
          <w:sz w:val="22"/>
          <w:szCs w:val="22"/>
        </w:rPr>
        <w:t xml:space="preserve">and audit committee, the Company no longer complies with NASDAQ’s independent director and audit committee requirements as set forth in Listing Rule 5605. </w:t>
      </w:r>
    </w:p>
    <w:p w:rsidR="005978BC" w:rsidP="005978BC" w14:paraId="08CF8866" w14:textId="77777777">
      <w:pPr>
        <w:pStyle w:val="BodyText"/>
        <w:tabs>
          <w:tab w:val="left" w:pos="360"/>
        </w:tabs>
        <w:spacing w:after="0"/>
        <w:ind w:left="-180" w:right="-90"/>
        <w:rPr>
          <w:rFonts w:eastAsia="Batang"/>
          <w:color w:val="000000"/>
          <w:sz w:val="22"/>
          <w:szCs w:val="22"/>
          <w:shd w:val="clear" w:color="auto" w:fill="auto"/>
        </w:rPr>
      </w:pPr>
    </w:p>
    <w:p w:rsidR="00F031A1" w:rsidP="00F031A1" w14:paraId="0676F7D5" w14:textId="0E07E2A6">
      <w:pPr>
        <w:pStyle w:val="BodyText"/>
        <w:tabs>
          <w:tab w:val="left" w:pos="360"/>
        </w:tabs>
        <w:spacing w:after="0"/>
        <w:ind w:left="-180" w:right="-90"/>
        <w:rPr>
          <w:rFonts w:eastAsia="Batang"/>
          <w:color w:val="000000"/>
          <w:sz w:val="22"/>
          <w:szCs w:val="22"/>
          <w:shd w:val="clear" w:color="auto" w:fill="auto"/>
        </w:rPr>
      </w:pPr>
      <w:r>
        <w:rPr>
          <w:rFonts w:eastAsia="Batang"/>
          <w:color w:val="000000" w:themeColor="text1"/>
          <w:sz w:val="22"/>
          <w:szCs w:val="22"/>
        </w:rPr>
        <w:t>Listing Rule 5605(b</w:t>
      </w:r>
      <w:r>
        <w:rPr>
          <w:rFonts w:eastAsia="Batang"/>
          <w:color w:val="000000" w:themeColor="text1"/>
          <w:sz w:val="22"/>
          <w:szCs w:val="22"/>
        </w:rPr>
        <w:t>)</w:t>
      </w:r>
      <w:r w:rsidR="008033C7">
        <w:rPr>
          <w:rFonts w:eastAsia="Batang"/>
          <w:color w:val="000000" w:themeColor="text1"/>
          <w:sz w:val="22"/>
          <w:szCs w:val="22"/>
        </w:rPr>
        <w:t>(</w:t>
      </w:r>
      <w:r w:rsidR="008033C7">
        <w:rPr>
          <w:rFonts w:eastAsia="Batang"/>
          <w:color w:val="000000" w:themeColor="text1"/>
          <w:sz w:val="22"/>
          <w:szCs w:val="22"/>
        </w:rPr>
        <w:t>1)</w:t>
      </w:r>
      <w:r>
        <w:rPr>
          <w:rFonts w:eastAsia="Batang"/>
          <w:color w:val="000000" w:themeColor="text1"/>
          <w:sz w:val="22"/>
          <w:szCs w:val="22"/>
        </w:rPr>
        <w:t xml:space="preserve"> states that the Company’s board of directors must consist of a majority independent directors and Listing Rule 5605(c)(2) states that the Company’s audit committee must consist of at least three members, all of whom are independent. Following Dr. Williamson’s resignation, the Company’s board of directors consists of four directors, only two of whom are independent, and its audit committee consists of three members, only two of whom are independent. </w:t>
      </w:r>
      <w:r>
        <w:rPr>
          <w:rFonts w:eastAsia="Batang"/>
          <w:color w:val="000000" w:themeColor="text1"/>
          <w:sz w:val="22"/>
          <w:szCs w:val="22"/>
        </w:rPr>
        <w:t xml:space="preserve"> </w:t>
      </w:r>
    </w:p>
    <w:p w:rsidR="00F031A1" w:rsidP="00F031A1" w14:paraId="4CA240D2" w14:textId="77777777">
      <w:pPr>
        <w:pStyle w:val="BodyText"/>
        <w:tabs>
          <w:tab w:val="left" w:pos="360"/>
        </w:tabs>
        <w:spacing w:after="0"/>
        <w:ind w:left="-180" w:right="-90"/>
        <w:rPr>
          <w:rFonts w:eastAsia="Batang"/>
          <w:color w:val="000000"/>
          <w:sz w:val="22"/>
          <w:szCs w:val="22"/>
          <w:shd w:val="clear" w:color="auto" w:fill="auto"/>
        </w:rPr>
      </w:pPr>
    </w:p>
    <w:p w:rsidR="005978BC" w:rsidP="00F031A1" w14:paraId="672BB501" w14:textId="209524B9">
      <w:pPr>
        <w:pStyle w:val="BodyText"/>
        <w:tabs>
          <w:tab w:val="left" w:pos="360"/>
        </w:tabs>
        <w:spacing w:after="0"/>
        <w:ind w:left="-180" w:right="-90"/>
        <w:rPr>
          <w:rFonts w:eastAsia="Batang"/>
          <w:color w:val="000000"/>
          <w:sz w:val="22"/>
          <w:szCs w:val="22"/>
          <w:shd w:val="clear" w:color="auto" w:fill="auto"/>
        </w:rPr>
      </w:pPr>
      <w:r>
        <w:rPr>
          <w:rFonts w:eastAsia="Batang"/>
          <w:color w:val="000000" w:themeColor="text1"/>
          <w:sz w:val="22"/>
          <w:szCs w:val="22"/>
        </w:rPr>
        <w:t>However, in accordance with Listing Rules 5605(b</w:t>
      </w:r>
      <w:r>
        <w:rPr>
          <w:rFonts w:eastAsia="Batang"/>
          <w:color w:val="000000" w:themeColor="text1"/>
          <w:sz w:val="22"/>
          <w:szCs w:val="22"/>
        </w:rPr>
        <w:t>)(</w:t>
      </w:r>
      <w:r>
        <w:rPr>
          <w:rFonts w:eastAsia="Batang"/>
          <w:color w:val="000000" w:themeColor="text1"/>
          <w:sz w:val="22"/>
          <w:szCs w:val="22"/>
        </w:rPr>
        <w:t>1)</w:t>
      </w:r>
      <w:r w:rsidR="00F031A1">
        <w:rPr>
          <w:rFonts w:eastAsia="Batang"/>
          <w:color w:val="000000" w:themeColor="text1"/>
          <w:sz w:val="22"/>
          <w:szCs w:val="22"/>
        </w:rPr>
        <w:t xml:space="preserve">(A) and 5605(c)(4), the Company </w:t>
      </w:r>
      <w:r w:rsidR="008033C7">
        <w:rPr>
          <w:rFonts w:eastAsia="Batang"/>
          <w:color w:val="000000" w:themeColor="text1"/>
          <w:sz w:val="22"/>
          <w:szCs w:val="22"/>
        </w:rPr>
        <w:t xml:space="preserve">has </w:t>
      </w:r>
      <w:r w:rsidR="00F031A1">
        <w:rPr>
          <w:rFonts w:eastAsia="Batang"/>
          <w:color w:val="000000" w:themeColor="text1"/>
          <w:sz w:val="22"/>
          <w:szCs w:val="22"/>
        </w:rPr>
        <w:t>until July 10, 2023 in order to regain compliance (the “</w:t>
      </w:r>
      <w:r w:rsidR="00F031A1">
        <w:rPr>
          <w:rFonts w:eastAsia="Batang"/>
          <w:b/>
          <w:color w:val="000000" w:themeColor="text1"/>
          <w:sz w:val="22"/>
          <w:szCs w:val="22"/>
        </w:rPr>
        <w:t>Cure Period</w:t>
      </w:r>
      <w:r w:rsidR="00F031A1">
        <w:rPr>
          <w:rFonts w:eastAsia="Batang"/>
          <w:color w:val="000000" w:themeColor="text1"/>
          <w:sz w:val="22"/>
          <w:szCs w:val="22"/>
        </w:rPr>
        <w:t xml:space="preserve">”). The Company is currently in advanced discussions with a potential new director and anticipates regaining compliance within the Cure Period. </w:t>
      </w:r>
    </w:p>
    <w:p w:rsidR="00F031A1" w:rsidP="00F031A1" w14:paraId="783AEE7F" w14:textId="528ACAE1">
      <w:pPr>
        <w:pStyle w:val="BodyText"/>
        <w:tabs>
          <w:tab w:val="left" w:pos="360"/>
        </w:tabs>
        <w:spacing w:after="0"/>
        <w:ind w:left="540" w:right="-90"/>
        <w:rPr>
          <w:rFonts w:eastAsia="Batang"/>
          <w:color w:val="000000"/>
          <w:sz w:val="22"/>
          <w:szCs w:val="22"/>
          <w:shd w:val="clear" w:color="auto" w:fill="auto"/>
        </w:rPr>
      </w:pPr>
    </w:p>
    <w:p w:rsidR="007175B1" w:rsidRPr="001D3008" w:rsidP="007608FC" w14:paraId="045765D1" w14:textId="77777777">
      <w:pPr>
        <w:tabs>
          <w:tab w:val="left" w:pos="360"/>
        </w:tabs>
        <w:ind w:left="-180" w:right="-90"/>
        <w:jc w:val="both"/>
        <w:rPr>
          <w:rFonts w:ascii="Times New Roman" w:hAnsi="Times New Roman" w:cs="Times New Roman"/>
          <w:b/>
          <w:color w:val="auto"/>
          <w:shd w:val="clear" w:color="auto" w:fill="auto"/>
        </w:rPr>
      </w:pPr>
      <w:r w:rsidRPr="001D3008">
        <w:rPr>
          <w:rFonts w:ascii="Times New Roman" w:eastAsia="Times New Roman" w:hAnsi="Times New Roman" w:cs="Times New Roman"/>
          <w:b/>
        </w:rPr>
        <w:t>About Bright Minds</w:t>
      </w:r>
    </w:p>
    <w:p w:rsidR="007175B1" w:rsidRPr="001D3008" w:rsidP="007608FC" w14:paraId="27E9A924" w14:textId="77777777">
      <w:pPr>
        <w:tabs>
          <w:tab w:val="left" w:pos="360"/>
        </w:tabs>
        <w:ind w:left="-180" w:right="-90"/>
        <w:jc w:val="both"/>
        <w:rPr>
          <w:rFonts w:ascii="Times New Roman" w:hAnsi="Times New Roman" w:cs="Times New Roman"/>
          <w:color w:val="auto"/>
          <w:shd w:val="clear" w:color="auto" w:fill="auto"/>
        </w:rPr>
      </w:pPr>
      <w:r w:rsidRPr="001D3008">
        <w:rPr>
          <w:rFonts w:ascii="Times New Roman" w:hAnsi="Times New Roman" w:cs="Times New Roman"/>
        </w:rPr>
        <w:t xml:space="preserve">Bright Minds is focused on developing novel transformative treatments for neuropsychiatric disorders, epilepsy, and pain. Bright Minds has a portfolio of next-generation serotonin agonists designed to target </w:t>
      </w:r>
      <w:r w:rsidRPr="001D3008">
        <w:rPr>
          <w:rFonts w:ascii="Times New Roman" w:hAnsi="Times New Roman" w:cs="Times New Roman"/>
        </w:rPr>
        <w:t>neurocircuit</w:t>
      </w:r>
      <w:r w:rsidRPr="001D3008">
        <w:rPr>
          <w:rFonts w:ascii="Times New Roman" w:hAnsi="Times New Roman" w:cs="Times New Roman"/>
        </w:rPr>
        <w:t xml:space="preserve">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rsidR="007175B1" w:rsidRPr="001D3008" w:rsidP="007608FC" w14:paraId="4A0A95FB" w14:textId="77777777">
      <w:pPr>
        <w:tabs>
          <w:tab w:val="left" w:pos="360"/>
        </w:tabs>
        <w:spacing w:after="0"/>
        <w:ind w:left="-180" w:right="-90"/>
        <w:jc w:val="both"/>
        <w:rPr>
          <w:rFonts w:ascii="Times New Roman" w:hAnsi="Times New Roman" w:cs="Times New Roman"/>
          <w:b/>
          <w:color w:val="auto"/>
          <w:shd w:val="clear" w:color="auto" w:fill="auto"/>
        </w:rPr>
      </w:pPr>
      <w:r w:rsidRPr="001D3008">
        <w:rPr>
          <w:rFonts w:ascii="Times New Roman" w:hAnsi="Times New Roman" w:cs="Times New Roman"/>
          <w:b/>
        </w:rPr>
        <w:t>Investor Contacts:</w:t>
      </w:r>
    </w:p>
    <w:p w:rsidR="007175B1" w:rsidRPr="001D3008" w:rsidP="007608FC" w14:paraId="1328981A"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Lisa Wilson</w:t>
      </w:r>
    </w:p>
    <w:p w:rsidR="007175B1" w:rsidRPr="001D3008" w:rsidP="007608FC" w14:paraId="175FCFBA" w14:textId="77777777">
      <w:pPr>
        <w:tabs>
          <w:tab w:val="left" w:pos="360"/>
        </w:tabs>
        <w:spacing w:after="0"/>
        <w:ind w:left="-180" w:right="-90"/>
        <w:jc w:val="both"/>
        <w:rPr>
          <w:rFonts w:ascii="Times New Roman" w:hAnsi="Times New Roman" w:cs="Times New Roman"/>
          <w:color w:val="0000FF"/>
          <w:shd w:val="clear" w:color="auto" w:fill="auto"/>
        </w:rPr>
      </w:pPr>
      <w:r w:rsidRPr="001D3008">
        <w:rPr>
          <w:rFonts w:ascii="Times New Roman" w:hAnsi="Times New Roman" w:cs="Times New Roman"/>
        </w:rPr>
        <w:t xml:space="preserve">E: </w:t>
      </w:r>
      <w:r>
        <w:fldChar w:fldCharType="begin"/>
      </w:r>
      <w:r>
        <w:instrText xml:space="preserve"> HYPERLINK "mailto:lwilson@insitecony.com" </w:instrText>
      </w:r>
      <w:r>
        <w:fldChar w:fldCharType="separate"/>
      </w:r>
      <w:r w:rsidRPr="001D3008">
        <w:rPr>
          <w:rFonts w:ascii="Times New Roman" w:hAnsi="Times New Roman" w:cs="Times New Roman"/>
          <w:color w:val="0000FF"/>
          <w:u w:val="single"/>
        </w:rPr>
        <w:t>lwilson@insitecony.com</w:t>
      </w:r>
      <w:r>
        <w:fldChar w:fldCharType="end"/>
      </w:r>
    </w:p>
    <w:p w:rsidR="007175B1" w:rsidRPr="001D3008" w:rsidP="007608FC" w14:paraId="51B0C17A"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T: 917-543-9932</w:t>
      </w:r>
    </w:p>
    <w:p w:rsidR="007175B1" w:rsidRPr="001D3008" w:rsidP="007608FC" w14:paraId="04FB33ED" w14:textId="77777777">
      <w:pPr>
        <w:tabs>
          <w:tab w:val="left" w:pos="360"/>
        </w:tabs>
        <w:spacing w:after="0"/>
        <w:ind w:left="-180" w:right="-90"/>
        <w:jc w:val="both"/>
        <w:rPr>
          <w:rFonts w:ascii="Times New Roman" w:hAnsi="Times New Roman" w:cs="Times New Roman"/>
          <w:color w:val="auto"/>
          <w:shd w:val="clear" w:color="auto" w:fill="auto"/>
        </w:rPr>
      </w:pPr>
    </w:p>
    <w:p w:rsidR="007175B1" w:rsidRPr="001D3008" w:rsidP="007608FC" w14:paraId="3403ACF7"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Ian McDonald</w:t>
      </w:r>
    </w:p>
    <w:p w:rsidR="007175B1" w:rsidRPr="001D3008" w:rsidP="007608FC" w14:paraId="0C0F5D78"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CEO and Director</w:t>
      </w:r>
    </w:p>
    <w:p w:rsidR="007175B1" w:rsidRPr="001D3008" w:rsidP="007608FC" w14:paraId="448180FC"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E: ian@brightmindsbio.com</w:t>
      </w:r>
    </w:p>
    <w:p w:rsidR="00DF706D" w:rsidRPr="001D3008" w:rsidP="00DF706D" w14:paraId="5423248A" w14:textId="77777777">
      <w:pPr>
        <w:tabs>
          <w:tab w:val="left" w:pos="360"/>
        </w:tabs>
        <w:spacing w:after="0"/>
        <w:ind w:left="-180" w:right="-90"/>
        <w:jc w:val="both"/>
        <w:rPr>
          <w:rFonts w:ascii="Times New Roman" w:hAnsi="Times New Roman" w:cs="Times New Roman"/>
          <w:color w:val="auto"/>
          <w:shd w:val="clear" w:color="auto" w:fill="auto"/>
        </w:rPr>
      </w:pPr>
      <w:r w:rsidRPr="001D3008">
        <w:rPr>
          <w:rFonts w:ascii="Times New Roman" w:hAnsi="Times New Roman" w:cs="Times New Roman"/>
        </w:rPr>
        <w:t>T: 917-543-9932</w:t>
      </w:r>
    </w:p>
    <w:p w:rsidR="007175B1" w:rsidRPr="001D3008" w:rsidP="007608FC" w14:paraId="674A55FE" w14:textId="77777777">
      <w:pPr>
        <w:tabs>
          <w:tab w:val="left" w:pos="360"/>
        </w:tabs>
        <w:spacing w:after="0"/>
        <w:ind w:left="-180" w:right="-90"/>
        <w:jc w:val="both"/>
        <w:rPr>
          <w:rFonts w:ascii="Times New Roman" w:eastAsia="Times" w:hAnsi="Times New Roman" w:cs="Times New Roman"/>
          <w:i/>
          <w:color w:val="auto"/>
          <w:shd w:val="clear" w:color="auto" w:fill="auto"/>
        </w:rPr>
      </w:pPr>
      <w:bookmarkStart w:id="4" w:name="_GoBack"/>
      <w:bookmarkEnd w:id="4"/>
    </w:p>
    <w:p w:rsidR="00DA16C4" w:rsidRPr="001D3008" w:rsidP="00F031A1" w14:paraId="14D2B9D8" w14:textId="38AF2BC0">
      <w:pPr>
        <w:tabs>
          <w:tab w:val="left" w:pos="360"/>
        </w:tabs>
        <w:ind w:left="-180" w:right="-90"/>
        <w:jc w:val="both"/>
        <w:rPr>
          <w:rFonts w:ascii="Times New Roman" w:hAnsi="Times New Roman" w:cs="Times New Roman"/>
          <w:i/>
          <w:color w:val="auto"/>
          <w:shd w:val="clear" w:color="auto" w:fill="auto"/>
        </w:rPr>
      </w:pPr>
      <w:r w:rsidRPr="001D3008">
        <w:rPr>
          <w:rFonts w:ascii="Times New Roman" w:hAnsi="Times New Roman" w:cs="Times New Roman"/>
          <w:i/>
        </w:rPr>
        <w:t xml:space="preserve">This news release includes certain statements that may be deemed “forward-looking statements”. All statements in this new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w:t>
      </w:r>
      <w:r w:rsidR="00E879DB">
        <w:rPr>
          <w:rFonts w:ascii="Times New Roman" w:hAnsi="Times New Roman" w:cs="Times New Roman"/>
          <w:i/>
        </w:rPr>
        <w:t xml:space="preserve">Forward-looking information in this news release includes statements related to future remedies of the Company’s non-compliance with NASDAQ Listing Rule </w:t>
      </w:r>
      <w:r w:rsidR="00F031A1">
        <w:rPr>
          <w:rFonts w:ascii="Times New Roman" w:hAnsi="Times New Roman" w:cs="Times New Roman"/>
          <w:i/>
        </w:rPr>
        <w:t>5605</w:t>
      </w:r>
      <w:r w:rsidR="00E879DB">
        <w:rPr>
          <w:rFonts w:ascii="Times New Roman" w:hAnsi="Times New Roman" w:cs="Times New Roman"/>
          <w:i/>
        </w:rPr>
        <w:t>, including its</w:t>
      </w:r>
      <w:r w:rsidR="00F031A1">
        <w:rPr>
          <w:rFonts w:ascii="Times New Roman" w:hAnsi="Times New Roman" w:cs="Times New Roman"/>
          <w:i/>
        </w:rPr>
        <w:t xml:space="preserve"> ability to attract and appoint an additional independent director and</w:t>
      </w:r>
      <w:r w:rsidR="00E879DB">
        <w:rPr>
          <w:rFonts w:ascii="Times New Roman" w:hAnsi="Times New Roman" w:cs="Times New Roman"/>
          <w:i/>
        </w:rPr>
        <w:t xml:space="preserve"> related actions that may be taken to regain compliance. </w:t>
      </w:r>
      <w:r w:rsidRPr="001D3008">
        <w:rPr>
          <w:rFonts w:ascii="Times New Roman" w:hAnsi="Times New Roman" w:cs="Times New Roman"/>
          <w:i/>
        </w:rPr>
        <w:t>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market prices,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rsidR="00DA16C4" w:rsidRPr="00DA16C4" w:rsidP="00DA16C4" w14:paraId="105534A2" w14:textId="71E5B80D">
      <w:pPr>
        <w:tabs>
          <w:tab w:val="left" w:pos="360"/>
        </w:tabs>
        <w:ind w:left="-180" w:right="-90"/>
        <w:jc w:val="both"/>
        <w:rPr>
          <w:rFonts w:ascii="Times New Roman" w:hAnsi="Times New Roman" w:cs="Times New Roman"/>
          <w:i/>
          <w:color w:val="auto"/>
          <w:shd w:val="clear" w:color="auto" w:fill="auto"/>
        </w:rPr>
      </w:pPr>
      <w:r w:rsidRPr="001D3008">
        <w:rPr>
          <w:rFonts w:ascii="Times New Roman" w:hAnsi="Times New Roman" w:cs="Times New Roman"/>
          <w:i/>
        </w:rPr>
        <w:t>Neither the Canadian Securities Exchange nor its Regulation Services Provider accepts responsibility for the adequacy or accuracy of this release.</w:t>
      </w:r>
    </w:p>
    <w:p w:rsidR="007175B1" w:rsidRPr="00234CF6" w:rsidP="007608FC" w14:paraId="7E05B475" w14:textId="77777777">
      <w:pPr>
        <w:tabs>
          <w:tab w:val="left" w:pos="360"/>
        </w:tabs>
        <w:spacing w:after="0"/>
        <w:ind w:left="-180" w:right="-90"/>
        <w:jc w:val="both"/>
        <w:rPr>
          <w:rFonts w:ascii="Times New Roman" w:eastAsia="Times" w:hAnsi="Times New Roman" w:cs="Times New Roman"/>
          <w:i/>
          <w:color w:val="auto"/>
          <w:shd w:val="clear" w:color="auto" w:fill="auto"/>
        </w:rPr>
      </w:pPr>
    </w:p>
    <w:p w:rsidR="00DF527F" w:rsidRPr="00234CF6" w:rsidP="005E0521" w14:paraId="2C8AC84E" w14:textId="79FB6077">
      <w:pPr>
        <w:spacing w:after="0"/>
        <w:jc w:val="both"/>
        <w:rPr>
          <w:rFonts w:ascii="Times New Roman" w:eastAsia="Times" w:hAnsi="Times New Roman" w:cs="Times New Roman"/>
          <w:i/>
          <w:color w:val="auto"/>
          <w:shd w:val="clear" w:color="auto" w:fill="auto"/>
        </w:rPr>
      </w:pPr>
    </w:p>
    <w:sectPr>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FC" w14:paraId="1639D1EF" w14:textId="018A0493">
    <w:pPr>
      <w:pStyle w:val="Footer"/>
      <w:rPr>
        <w:color w:val="000000"/>
        <w:shd w:val="clear" w:color="auto" w:fill="auto"/>
      </w:rPr>
    </w:pPr>
    <w:r w:rsidRPr="007608FC">
      <w:rPr>
        <w:rStyle w:val="DocID"/>
      </w:rPr>
      <w:fldChar w:fldCharType="begin"/>
    </w:r>
    <w:r w:rsidRPr="007608FC">
      <w:rPr>
        <w:rStyle w:val="DocID"/>
      </w:rPr>
      <w:instrText xml:space="preserve"> DOCPROPERTY "DocID" \* MERGEFORMAT </w:instrText>
    </w:r>
    <w:r w:rsidRPr="007608FC">
      <w:rPr>
        <w:rStyle w:val="DocID"/>
      </w:rPr>
      <w:fldChar w:fldCharType="separate"/>
    </w:r>
    <w:r w:rsidRPr="00441B5C" w:rsidR="00441B5C">
      <w:rPr>
        <w:rStyle w:val="DocID"/>
      </w:rPr>
      <w:t>LEGAL_40653746.1</w:t>
    </w:r>
    <w:r w:rsidRPr="007608FC">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DE33AD"/>
    <w:multiLevelType w:val="hybridMultilevel"/>
    <w:tmpl w:val="413038D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8C"/>
    <w:rsid w:val="000148CB"/>
    <w:rsid w:val="00063E61"/>
    <w:rsid w:val="001933FF"/>
    <w:rsid w:val="001D3008"/>
    <w:rsid w:val="00234CF6"/>
    <w:rsid w:val="002820A9"/>
    <w:rsid w:val="002913BF"/>
    <w:rsid w:val="00323CD9"/>
    <w:rsid w:val="00340A22"/>
    <w:rsid w:val="0035208C"/>
    <w:rsid w:val="003F0ED3"/>
    <w:rsid w:val="003F44AC"/>
    <w:rsid w:val="00441B5C"/>
    <w:rsid w:val="00590564"/>
    <w:rsid w:val="005978BC"/>
    <w:rsid w:val="005E0521"/>
    <w:rsid w:val="007175B1"/>
    <w:rsid w:val="007534EB"/>
    <w:rsid w:val="007608FC"/>
    <w:rsid w:val="00783140"/>
    <w:rsid w:val="008033C7"/>
    <w:rsid w:val="00827656"/>
    <w:rsid w:val="00870F6A"/>
    <w:rsid w:val="008E093D"/>
    <w:rsid w:val="00935C34"/>
    <w:rsid w:val="00993CDF"/>
    <w:rsid w:val="00A23E27"/>
    <w:rsid w:val="00B636C7"/>
    <w:rsid w:val="00BB77D3"/>
    <w:rsid w:val="00C32136"/>
    <w:rsid w:val="00C4088C"/>
    <w:rsid w:val="00C91178"/>
    <w:rsid w:val="00CC345F"/>
    <w:rsid w:val="00CE7F13"/>
    <w:rsid w:val="00D547F4"/>
    <w:rsid w:val="00DA16C4"/>
    <w:rsid w:val="00DF527F"/>
    <w:rsid w:val="00DF706D"/>
    <w:rsid w:val="00E879DB"/>
    <w:rsid w:val="00F031A1"/>
    <w:rsid w:val="00FB443B"/>
    <w:rsid w:val="00FC25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5F28CB6-CC8A-7D44-8702-A273F2C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7F"/>
    <w:rPr>
      <w:rFonts w:ascii="Segoe UI" w:hAnsi="Segoe UI" w:cs="Segoe UI"/>
      <w:sz w:val="18"/>
      <w:szCs w:val="18"/>
    </w:rPr>
  </w:style>
  <w:style w:type="character" w:styleId="CommentReference">
    <w:name w:val="annotation reference"/>
    <w:basedOn w:val="DefaultParagraphFont"/>
    <w:uiPriority w:val="99"/>
    <w:semiHidden/>
    <w:unhideWhenUsed/>
    <w:rsid w:val="00DF527F"/>
    <w:rPr>
      <w:sz w:val="16"/>
      <w:szCs w:val="16"/>
    </w:rPr>
  </w:style>
  <w:style w:type="paragraph" w:styleId="CommentText">
    <w:name w:val="annotation text"/>
    <w:basedOn w:val="Normal"/>
    <w:link w:val="CommentTextChar"/>
    <w:uiPriority w:val="99"/>
    <w:semiHidden/>
    <w:unhideWhenUsed/>
    <w:rsid w:val="00DF527F"/>
    <w:pPr>
      <w:spacing w:line="240" w:lineRule="auto"/>
    </w:pPr>
    <w:rPr>
      <w:sz w:val="20"/>
      <w:szCs w:val="20"/>
    </w:rPr>
  </w:style>
  <w:style w:type="character" w:customStyle="1" w:styleId="CommentTextChar">
    <w:name w:val="Comment Text Char"/>
    <w:basedOn w:val="DefaultParagraphFont"/>
    <w:link w:val="CommentText"/>
    <w:uiPriority w:val="99"/>
    <w:semiHidden/>
    <w:rsid w:val="00DF527F"/>
    <w:rPr>
      <w:sz w:val="20"/>
      <w:szCs w:val="20"/>
    </w:rPr>
  </w:style>
  <w:style w:type="paragraph" w:styleId="CommentSubject">
    <w:name w:val="annotation subject"/>
    <w:basedOn w:val="CommentText"/>
    <w:next w:val="CommentText"/>
    <w:link w:val="CommentSubjectChar"/>
    <w:uiPriority w:val="99"/>
    <w:semiHidden/>
    <w:unhideWhenUsed/>
    <w:rsid w:val="00DF527F"/>
    <w:rPr>
      <w:b/>
      <w:bCs/>
    </w:rPr>
  </w:style>
  <w:style w:type="character" w:customStyle="1" w:styleId="CommentSubjectChar">
    <w:name w:val="Comment Subject Char"/>
    <w:basedOn w:val="CommentTextChar"/>
    <w:link w:val="CommentSubject"/>
    <w:uiPriority w:val="99"/>
    <w:semiHidden/>
    <w:rsid w:val="00DF527F"/>
    <w:rPr>
      <w:b/>
      <w:bCs/>
      <w:sz w:val="20"/>
      <w:szCs w:val="20"/>
    </w:rPr>
  </w:style>
  <w:style w:type="paragraph" w:styleId="Revision">
    <w:name w:val="Revision"/>
    <w:hidden/>
    <w:uiPriority w:val="99"/>
    <w:semiHidden/>
    <w:rsid w:val="00323CD9"/>
    <w:pPr>
      <w:spacing w:after="0" w:line="240" w:lineRule="auto"/>
    </w:pPr>
  </w:style>
  <w:style w:type="paragraph" w:styleId="BodyText">
    <w:name w:val="Body Text"/>
    <w:basedOn w:val="Normal"/>
    <w:link w:val="BodyTextChar"/>
    <w:uiPriority w:val="99"/>
    <w:rsid w:val="007175B1"/>
    <w:pPr>
      <w:autoSpaceDE w:val="0"/>
      <w:autoSpaceDN w:val="0"/>
      <w:adjustRightInd w:val="0"/>
      <w:spacing w:after="240" w:line="240" w:lineRule="auto"/>
      <w:jc w:val="both"/>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uiPriority w:val="99"/>
    <w:rsid w:val="007175B1"/>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76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FC"/>
  </w:style>
  <w:style w:type="paragraph" w:styleId="Footer">
    <w:name w:val="footer"/>
    <w:basedOn w:val="Normal"/>
    <w:link w:val="FooterChar"/>
    <w:uiPriority w:val="99"/>
    <w:unhideWhenUsed/>
    <w:rsid w:val="0076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FC"/>
  </w:style>
  <w:style w:type="character" w:customStyle="1" w:styleId="DocID">
    <w:name w:val="DocID"/>
    <w:basedOn w:val="DefaultParagraphFont"/>
    <w:rsid w:val="007608FC"/>
    <w:rPr>
      <w:rFonts w:ascii="Verdana" w:hAnsi="Verdana"/>
      <w:b w:val="0"/>
      <w:i w:val="0"/>
      <w:caps w:val="0"/>
      <w:vanish w:val="0"/>
      <w:color w:val="000000"/>
      <w:sz w:val="14"/>
      <w:u w:val="none"/>
    </w:rPr>
  </w:style>
  <w:style w:type="paragraph" w:customStyle="1" w:styleId="ONEBodyText">
    <w:name w:val="ONE Body Text"/>
    <w:basedOn w:val="Normal"/>
    <w:qFormat/>
    <w:rsid w:val="00D547F4"/>
    <w:pPr>
      <w:spacing w:after="240" w:line="240" w:lineRule="auto"/>
      <w:jc w:val="both"/>
    </w:pPr>
    <w:rPr>
      <w:rFonts w:ascii="Times New Roman" w:hAnsi="Times New Roman" w:eastAsiaTheme="minorHAnsi" w:cstheme="minorBidi"/>
      <w:sz w:val="20"/>
      <w:szCs w:val="24"/>
      <w:lang w:val="en-CA"/>
    </w:rPr>
  </w:style>
  <w:style w:type="character" w:styleId="Hyperlink">
    <w:name w:val="Hyperlink"/>
    <w:basedOn w:val="DefaultParagraphFont"/>
    <w:uiPriority w:val="99"/>
    <w:unhideWhenUsed/>
    <w:rsid w:val="00870F6A"/>
    <w:rPr>
      <w:color w:val="0000FF" w:themeColor="hyperlink"/>
      <w:u w:val="single"/>
    </w:rPr>
  </w:style>
  <w:style w:type="paragraph" w:customStyle="1" w:styleId="Default">
    <w:name w:val="Default"/>
    <w:rsid w:val="005978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3879</Characters>
  <Application>Microsoft Office Word</Application>
  <DocSecurity>0</DocSecurity>
  <Lines>377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2023-02-08T18:46:00Z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