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556A04" w14:textId="77777777" w:rsidR="00C77BA7" w:rsidRPr="00361EC3" w:rsidRDefault="00C77BA7" w:rsidP="009B5127">
      <w:pPr>
        <w:pStyle w:val="Subtitle"/>
      </w:pPr>
    </w:p>
    <w:p w14:paraId="294CF725" w14:textId="77777777" w:rsidR="00C77BA7" w:rsidRPr="00361EC3" w:rsidRDefault="00C77BA7" w:rsidP="00361EC3">
      <w:pPr>
        <w:pStyle w:val="Title"/>
        <w:spacing w:before="0"/>
        <w:ind w:left="0"/>
        <w:contextualSpacing/>
        <w:rPr>
          <w:rFonts w:ascii="Arial" w:hAnsi="Arial" w:cs="Arial"/>
          <w:sz w:val="18"/>
          <w:szCs w:val="18"/>
        </w:rPr>
      </w:pPr>
    </w:p>
    <w:p w14:paraId="33932715" w14:textId="77777777" w:rsidR="00C77BA7" w:rsidRPr="00361EC3" w:rsidRDefault="00C77BA7" w:rsidP="00361EC3">
      <w:pPr>
        <w:pStyle w:val="Title"/>
        <w:spacing w:before="0"/>
        <w:ind w:left="0"/>
        <w:contextualSpacing/>
        <w:rPr>
          <w:rFonts w:ascii="Arial" w:hAnsi="Arial" w:cs="Arial"/>
          <w:sz w:val="18"/>
          <w:szCs w:val="18"/>
        </w:rPr>
      </w:pPr>
    </w:p>
    <w:p w14:paraId="0748DB5F" w14:textId="77777777" w:rsidR="00C77BA7" w:rsidRPr="00361EC3" w:rsidRDefault="00C77BA7" w:rsidP="00361EC3">
      <w:pPr>
        <w:pStyle w:val="Title"/>
        <w:spacing w:before="0"/>
        <w:ind w:left="0"/>
        <w:contextualSpacing/>
        <w:rPr>
          <w:rFonts w:ascii="Arial" w:hAnsi="Arial" w:cs="Arial"/>
          <w:sz w:val="18"/>
          <w:szCs w:val="18"/>
        </w:rPr>
      </w:pPr>
    </w:p>
    <w:p w14:paraId="16FC3AA8" w14:textId="77777777" w:rsidR="00361EC3" w:rsidRPr="00361EC3" w:rsidRDefault="00361EC3" w:rsidP="00361EC3">
      <w:pPr>
        <w:pStyle w:val="Title"/>
        <w:spacing w:before="0"/>
        <w:ind w:left="0" w:right="0"/>
        <w:contextualSpacing/>
        <w:rPr>
          <w:rFonts w:ascii="Arial" w:hAnsi="Arial" w:cs="Arial"/>
          <w:sz w:val="18"/>
          <w:szCs w:val="18"/>
        </w:rPr>
      </w:pPr>
    </w:p>
    <w:p w14:paraId="1F4BFEEB" w14:textId="77777777" w:rsidR="00361EC3" w:rsidRPr="00361EC3" w:rsidRDefault="00361EC3" w:rsidP="00361EC3">
      <w:pPr>
        <w:pStyle w:val="Title"/>
        <w:spacing w:before="0"/>
        <w:ind w:left="0" w:right="0"/>
        <w:contextualSpacing/>
        <w:rPr>
          <w:rFonts w:ascii="Arial" w:hAnsi="Arial" w:cs="Arial"/>
          <w:sz w:val="18"/>
          <w:szCs w:val="18"/>
        </w:rPr>
      </w:pPr>
    </w:p>
    <w:p w14:paraId="4B3C1B91" w14:textId="77777777" w:rsidR="00361EC3" w:rsidRPr="00361EC3" w:rsidRDefault="00361EC3" w:rsidP="00361EC3">
      <w:pPr>
        <w:pStyle w:val="Title"/>
        <w:spacing w:before="0"/>
        <w:ind w:left="0" w:right="0"/>
        <w:contextualSpacing/>
        <w:rPr>
          <w:rFonts w:ascii="Arial" w:hAnsi="Arial" w:cs="Arial"/>
          <w:sz w:val="18"/>
          <w:szCs w:val="18"/>
        </w:rPr>
      </w:pPr>
    </w:p>
    <w:p w14:paraId="31A5BB28" w14:textId="77777777" w:rsidR="00361EC3" w:rsidRPr="00361EC3" w:rsidRDefault="00361EC3" w:rsidP="00361EC3">
      <w:pPr>
        <w:pStyle w:val="Title"/>
        <w:spacing w:before="0"/>
        <w:ind w:left="0" w:right="0"/>
        <w:contextualSpacing/>
        <w:rPr>
          <w:rFonts w:ascii="Arial" w:hAnsi="Arial" w:cs="Arial"/>
          <w:sz w:val="18"/>
          <w:szCs w:val="18"/>
        </w:rPr>
      </w:pPr>
    </w:p>
    <w:p w14:paraId="19184ED7" w14:textId="77777777" w:rsidR="00361EC3" w:rsidRPr="00361EC3" w:rsidRDefault="00361EC3" w:rsidP="00361EC3">
      <w:pPr>
        <w:pStyle w:val="Title"/>
        <w:spacing w:before="0"/>
        <w:ind w:left="0" w:right="0"/>
        <w:contextualSpacing/>
        <w:rPr>
          <w:rFonts w:ascii="Arial" w:hAnsi="Arial" w:cs="Arial"/>
          <w:sz w:val="18"/>
          <w:szCs w:val="18"/>
        </w:rPr>
      </w:pPr>
    </w:p>
    <w:p w14:paraId="7F4668AC" w14:textId="77777777" w:rsidR="00361EC3" w:rsidRPr="00361EC3" w:rsidRDefault="00361EC3" w:rsidP="00361EC3">
      <w:pPr>
        <w:pStyle w:val="Title"/>
        <w:spacing w:before="0"/>
        <w:ind w:left="0" w:right="0"/>
        <w:contextualSpacing/>
        <w:rPr>
          <w:rFonts w:ascii="Arial" w:hAnsi="Arial" w:cs="Arial"/>
          <w:sz w:val="18"/>
          <w:szCs w:val="18"/>
        </w:rPr>
      </w:pPr>
    </w:p>
    <w:p w14:paraId="11EF6ABF" w14:textId="77777777" w:rsidR="00361EC3" w:rsidRDefault="00361EC3" w:rsidP="00361EC3">
      <w:pPr>
        <w:pStyle w:val="Title"/>
        <w:spacing w:before="0"/>
        <w:ind w:left="0" w:right="0"/>
        <w:contextualSpacing/>
        <w:rPr>
          <w:rFonts w:ascii="Arial" w:hAnsi="Arial" w:cs="Arial"/>
          <w:sz w:val="24"/>
          <w:szCs w:val="24"/>
        </w:rPr>
      </w:pPr>
    </w:p>
    <w:p w14:paraId="0B33AA72" w14:textId="77777777" w:rsidR="00361EC3" w:rsidRDefault="00361EC3" w:rsidP="00361EC3">
      <w:pPr>
        <w:pStyle w:val="Title"/>
        <w:spacing w:before="0"/>
        <w:ind w:left="0" w:right="0"/>
        <w:contextualSpacing/>
        <w:rPr>
          <w:rFonts w:ascii="Arial" w:hAnsi="Arial" w:cs="Arial"/>
          <w:sz w:val="24"/>
          <w:szCs w:val="24"/>
        </w:rPr>
      </w:pPr>
    </w:p>
    <w:p w14:paraId="29AB9D02" w14:textId="77777777" w:rsidR="00361EC3" w:rsidRDefault="00361EC3" w:rsidP="00361EC3">
      <w:pPr>
        <w:pStyle w:val="Title"/>
        <w:spacing w:before="0"/>
        <w:ind w:left="0" w:right="0"/>
        <w:contextualSpacing/>
        <w:rPr>
          <w:rFonts w:ascii="Arial" w:hAnsi="Arial" w:cs="Arial"/>
          <w:sz w:val="24"/>
          <w:szCs w:val="24"/>
        </w:rPr>
      </w:pPr>
    </w:p>
    <w:p w14:paraId="6B693691" w14:textId="77777777" w:rsidR="00361EC3" w:rsidRDefault="00361EC3" w:rsidP="00361EC3">
      <w:pPr>
        <w:pStyle w:val="Title"/>
        <w:spacing w:before="0"/>
        <w:ind w:left="0" w:right="0"/>
        <w:contextualSpacing/>
        <w:rPr>
          <w:rFonts w:ascii="Arial" w:hAnsi="Arial" w:cs="Arial"/>
          <w:sz w:val="24"/>
          <w:szCs w:val="24"/>
        </w:rPr>
      </w:pPr>
    </w:p>
    <w:p w14:paraId="6A0FAB00" w14:textId="77777777" w:rsidR="00361EC3" w:rsidRDefault="00361EC3" w:rsidP="00361EC3">
      <w:pPr>
        <w:pStyle w:val="Title"/>
        <w:spacing w:before="0"/>
        <w:ind w:left="0" w:right="0"/>
        <w:contextualSpacing/>
        <w:rPr>
          <w:rFonts w:ascii="Arial" w:hAnsi="Arial" w:cs="Arial"/>
          <w:sz w:val="24"/>
          <w:szCs w:val="24"/>
        </w:rPr>
      </w:pPr>
    </w:p>
    <w:p w14:paraId="44B6B4F9" w14:textId="77777777" w:rsidR="00361EC3" w:rsidRDefault="00361EC3" w:rsidP="00361EC3">
      <w:pPr>
        <w:pStyle w:val="Title"/>
        <w:spacing w:before="0"/>
        <w:ind w:left="0" w:right="0"/>
        <w:contextualSpacing/>
        <w:rPr>
          <w:rFonts w:ascii="Arial" w:hAnsi="Arial" w:cs="Arial"/>
          <w:sz w:val="24"/>
          <w:szCs w:val="24"/>
        </w:rPr>
      </w:pPr>
    </w:p>
    <w:p w14:paraId="12EFF3BF" w14:textId="77777777" w:rsidR="00361EC3" w:rsidRDefault="00361EC3" w:rsidP="00361EC3">
      <w:pPr>
        <w:pStyle w:val="Title"/>
        <w:spacing w:before="0"/>
        <w:ind w:left="0" w:right="0"/>
        <w:contextualSpacing/>
        <w:rPr>
          <w:rFonts w:ascii="Arial" w:hAnsi="Arial" w:cs="Arial"/>
          <w:sz w:val="24"/>
          <w:szCs w:val="24"/>
        </w:rPr>
      </w:pPr>
    </w:p>
    <w:p w14:paraId="6FAD67FC" w14:textId="77777777" w:rsidR="00361EC3" w:rsidRDefault="00361EC3" w:rsidP="00361EC3">
      <w:pPr>
        <w:pStyle w:val="Title"/>
        <w:spacing w:before="0"/>
        <w:ind w:left="0" w:right="0"/>
        <w:contextualSpacing/>
        <w:rPr>
          <w:rFonts w:ascii="Arial" w:hAnsi="Arial" w:cs="Arial"/>
          <w:sz w:val="24"/>
          <w:szCs w:val="24"/>
        </w:rPr>
      </w:pPr>
    </w:p>
    <w:p w14:paraId="2E5F91FB" w14:textId="77777777" w:rsidR="002B18ED" w:rsidRDefault="002B18ED" w:rsidP="0014213D">
      <w:pPr>
        <w:pStyle w:val="Title"/>
        <w:spacing w:before="0"/>
        <w:ind w:left="0" w:right="0"/>
        <w:contextualSpacing/>
        <w:rPr>
          <w:rFonts w:ascii="Arial" w:hAnsi="Arial" w:cs="Arial"/>
          <w:sz w:val="24"/>
          <w:szCs w:val="24"/>
        </w:rPr>
      </w:pPr>
    </w:p>
    <w:p w14:paraId="1FE94E71" w14:textId="77777777" w:rsidR="002B18ED" w:rsidRDefault="002B18ED" w:rsidP="0014213D">
      <w:pPr>
        <w:pStyle w:val="Title"/>
        <w:spacing w:before="0"/>
        <w:ind w:left="0" w:right="0"/>
        <w:contextualSpacing/>
        <w:rPr>
          <w:rFonts w:ascii="Arial" w:hAnsi="Arial" w:cs="Arial"/>
          <w:sz w:val="24"/>
          <w:szCs w:val="24"/>
        </w:rPr>
      </w:pPr>
    </w:p>
    <w:p w14:paraId="5A7E5BA9" w14:textId="77777777" w:rsidR="002B18ED" w:rsidRDefault="002B18ED" w:rsidP="0014213D">
      <w:pPr>
        <w:pStyle w:val="Title"/>
        <w:spacing w:before="0"/>
        <w:ind w:left="0" w:right="0"/>
        <w:contextualSpacing/>
        <w:rPr>
          <w:rFonts w:ascii="Arial" w:hAnsi="Arial" w:cs="Arial"/>
          <w:sz w:val="24"/>
          <w:szCs w:val="24"/>
        </w:rPr>
      </w:pPr>
    </w:p>
    <w:p w14:paraId="7907796F" w14:textId="77777777" w:rsidR="002B18ED" w:rsidRDefault="002B18ED" w:rsidP="0014213D">
      <w:pPr>
        <w:pStyle w:val="Title"/>
        <w:spacing w:before="0"/>
        <w:ind w:left="0" w:right="0"/>
        <w:contextualSpacing/>
        <w:rPr>
          <w:rFonts w:ascii="Arial" w:hAnsi="Arial" w:cs="Arial"/>
          <w:sz w:val="24"/>
          <w:szCs w:val="24"/>
        </w:rPr>
      </w:pPr>
    </w:p>
    <w:p w14:paraId="62139BEF" w14:textId="208A69BF" w:rsidR="00361EC3" w:rsidRPr="00361EC3" w:rsidRDefault="008B4734" w:rsidP="0014213D">
      <w:pPr>
        <w:pStyle w:val="Title"/>
        <w:spacing w:before="0"/>
        <w:ind w:left="0" w:right="0"/>
        <w:contextualSpacing/>
        <w:rPr>
          <w:rFonts w:ascii="Arial" w:hAnsi="Arial" w:cs="Arial"/>
          <w:sz w:val="24"/>
          <w:szCs w:val="24"/>
        </w:rPr>
      </w:pPr>
      <w:r w:rsidRPr="00361EC3">
        <w:rPr>
          <w:rFonts w:ascii="Arial" w:hAnsi="Arial" w:cs="Arial"/>
          <w:sz w:val="24"/>
          <w:szCs w:val="24"/>
        </w:rPr>
        <w:t>ARCHER EXPLORATION CORP.</w:t>
      </w:r>
    </w:p>
    <w:p w14:paraId="01ECF88A" w14:textId="25521889" w:rsidR="00272290" w:rsidRDefault="00D94619" w:rsidP="00361EC3">
      <w:pPr>
        <w:pStyle w:val="Title"/>
        <w:spacing w:before="0"/>
        <w:ind w:left="0" w:right="0"/>
        <w:contextualSpacing/>
        <w:rPr>
          <w:rFonts w:ascii="Arial" w:hAnsi="Arial" w:cs="Arial"/>
          <w:sz w:val="24"/>
          <w:szCs w:val="24"/>
        </w:rPr>
      </w:pPr>
      <w:r w:rsidRPr="00361EC3">
        <w:rPr>
          <w:rFonts w:ascii="Arial" w:hAnsi="Arial" w:cs="Arial"/>
          <w:sz w:val="24"/>
          <w:szCs w:val="24"/>
        </w:rPr>
        <w:t>(formerly Lift Capital Corp.)</w:t>
      </w:r>
    </w:p>
    <w:p w14:paraId="59840B25" w14:textId="77777777" w:rsidR="00361EC3" w:rsidRPr="00361EC3" w:rsidRDefault="00361EC3" w:rsidP="00361EC3">
      <w:pPr>
        <w:pStyle w:val="Title"/>
        <w:spacing w:before="0"/>
        <w:ind w:left="0" w:right="0"/>
        <w:contextualSpacing/>
        <w:rPr>
          <w:rFonts w:ascii="Arial" w:hAnsi="Arial" w:cs="Arial"/>
          <w:sz w:val="24"/>
          <w:szCs w:val="24"/>
        </w:rPr>
      </w:pPr>
    </w:p>
    <w:p w14:paraId="4AD9C625" w14:textId="43FFAE8C" w:rsidR="008B4734" w:rsidRDefault="00D94619" w:rsidP="00361EC3">
      <w:pPr>
        <w:ind w:left="10"/>
        <w:contextualSpacing/>
        <w:jc w:val="center"/>
        <w:rPr>
          <w:rFonts w:ascii="Arial" w:eastAsia="Calibri" w:hAnsi="Arial" w:cs="Arial"/>
          <w:b/>
          <w:color w:val="000000"/>
          <w:sz w:val="24"/>
          <w:lang w:eastAsia="en-CA"/>
        </w:rPr>
      </w:pPr>
      <w:r w:rsidRPr="00361EC3">
        <w:rPr>
          <w:rFonts w:ascii="Arial" w:eastAsia="Calibri" w:hAnsi="Arial" w:cs="Arial"/>
          <w:b/>
          <w:color w:val="000000"/>
          <w:sz w:val="24"/>
          <w:lang w:eastAsia="en-CA"/>
        </w:rPr>
        <w:t>Management’s Discussion</w:t>
      </w:r>
      <w:r w:rsidR="00EC26B4">
        <w:rPr>
          <w:rFonts w:ascii="Arial" w:eastAsia="Calibri" w:hAnsi="Arial" w:cs="Arial"/>
          <w:b/>
          <w:color w:val="000000"/>
          <w:sz w:val="24"/>
          <w:lang w:eastAsia="en-CA"/>
        </w:rPr>
        <w:t xml:space="preserve"> &amp;</w:t>
      </w:r>
      <w:r w:rsidRPr="00361EC3">
        <w:rPr>
          <w:rFonts w:ascii="Arial" w:eastAsia="Calibri" w:hAnsi="Arial" w:cs="Arial"/>
          <w:b/>
          <w:color w:val="000000"/>
          <w:sz w:val="24"/>
          <w:lang w:eastAsia="en-CA"/>
        </w:rPr>
        <w:t xml:space="preserve"> Analysis</w:t>
      </w:r>
    </w:p>
    <w:p w14:paraId="29C2FF76" w14:textId="77777777" w:rsidR="00361EC3" w:rsidRPr="00361EC3" w:rsidRDefault="00361EC3" w:rsidP="00361EC3">
      <w:pPr>
        <w:ind w:left="10"/>
        <w:contextualSpacing/>
        <w:jc w:val="center"/>
        <w:rPr>
          <w:rFonts w:ascii="Arial" w:eastAsia="Calibri" w:hAnsi="Arial" w:cs="Arial"/>
          <w:b/>
          <w:color w:val="000000"/>
          <w:sz w:val="24"/>
          <w:lang w:eastAsia="en-CA"/>
        </w:rPr>
      </w:pPr>
    </w:p>
    <w:p w14:paraId="7DB89CD6" w14:textId="1BBF9FC1" w:rsidR="00361EC3" w:rsidRDefault="006B445F" w:rsidP="00361EC3">
      <w:pPr>
        <w:pStyle w:val="Title"/>
        <w:spacing w:before="0"/>
        <w:ind w:left="0" w:right="4"/>
        <w:contextualSpacing/>
        <w:rPr>
          <w:rFonts w:ascii="Arial" w:hAnsi="Arial" w:cs="Arial"/>
          <w:b w:val="0"/>
          <w:bCs w:val="0"/>
          <w:sz w:val="18"/>
          <w:szCs w:val="18"/>
        </w:rPr>
      </w:pPr>
      <w:r w:rsidRPr="006B445F">
        <w:rPr>
          <w:rFonts w:ascii="Arial" w:hAnsi="Arial" w:cs="Arial"/>
          <w:b w:val="0"/>
          <w:bCs w:val="0"/>
          <w:sz w:val="18"/>
          <w:szCs w:val="18"/>
        </w:rPr>
        <w:t>For the three and six months ended March 31, 2022 and 2021</w:t>
      </w:r>
    </w:p>
    <w:p w14:paraId="0B343B34" w14:textId="77777777" w:rsidR="006B445F" w:rsidRPr="00361EC3" w:rsidRDefault="006B445F" w:rsidP="00361EC3">
      <w:pPr>
        <w:pStyle w:val="Title"/>
        <w:spacing w:before="0"/>
        <w:ind w:left="0" w:right="4"/>
        <w:contextualSpacing/>
        <w:rPr>
          <w:rFonts w:ascii="Arial" w:hAnsi="Arial" w:cs="Arial"/>
          <w:b w:val="0"/>
          <w:bCs w:val="0"/>
          <w:sz w:val="18"/>
          <w:szCs w:val="18"/>
        </w:rPr>
      </w:pPr>
    </w:p>
    <w:p w14:paraId="0B103FF2" w14:textId="1871EA9F" w:rsidR="00C77BA7" w:rsidRPr="00361EC3" w:rsidRDefault="00C77BA7" w:rsidP="00361EC3">
      <w:pPr>
        <w:pStyle w:val="Title"/>
        <w:spacing w:before="0"/>
        <w:ind w:left="0" w:right="4"/>
        <w:contextualSpacing/>
        <w:rPr>
          <w:rFonts w:ascii="Arial" w:hAnsi="Arial" w:cs="Arial"/>
          <w:sz w:val="18"/>
          <w:szCs w:val="18"/>
        </w:rPr>
      </w:pPr>
      <w:r w:rsidRPr="00361EC3">
        <w:rPr>
          <w:rFonts w:ascii="Arial" w:hAnsi="Arial" w:cs="Arial"/>
          <w:sz w:val="18"/>
          <w:szCs w:val="18"/>
        </w:rPr>
        <w:t>Dated</w:t>
      </w:r>
      <w:r w:rsidR="00A6603B" w:rsidRPr="00361EC3">
        <w:rPr>
          <w:rFonts w:ascii="Arial" w:hAnsi="Arial" w:cs="Arial"/>
          <w:sz w:val="18"/>
          <w:szCs w:val="18"/>
        </w:rPr>
        <w:t>:</w:t>
      </w:r>
      <w:r w:rsidR="00425FB0">
        <w:rPr>
          <w:rFonts w:ascii="Arial" w:hAnsi="Arial" w:cs="Arial"/>
          <w:sz w:val="18"/>
          <w:szCs w:val="18"/>
        </w:rPr>
        <w:t xml:space="preserve"> May</w:t>
      </w:r>
      <w:r w:rsidR="009F4A16" w:rsidRPr="00361EC3">
        <w:rPr>
          <w:rFonts w:ascii="Arial" w:hAnsi="Arial" w:cs="Arial"/>
          <w:sz w:val="18"/>
          <w:szCs w:val="18"/>
        </w:rPr>
        <w:t xml:space="preserve"> </w:t>
      </w:r>
      <w:r w:rsidR="009B5127">
        <w:rPr>
          <w:rFonts w:ascii="Arial" w:hAnsi="Arial" w:cs="Arial"/>
          <w:sz w:val="18"/>
          <w:szCs w:val="18"/>
        </w:rPr>
        <w:t>30</w:t>
      </w:r>
      <w:r w:rsidRPr="00361EC3">
        <w:rPr>
          <w:rFonts w:ascii="Arial" w:hAnsi="Arial" w:cs="Arial"/>
          <w:sz w:val="18"/>
          <w:szCs w:val="18"/>
        </w:rPr>
        <w:t>, 202</w:t>
      </w:r>
      <w:r w:rsidR="00393E7F">
        <w:rPr>
          <w:rFonts w:ascii="Arial" w:hAnsi="Arial" w:cs="Arial"/>
          <w:sz w:val="18"/>
          <w:szCs w:val="18"/>
        </w:rPr>
        <w:t>2</w:t>
      </w:r>
    </w:p>
    <w:p w14:paraId="721F4685" w14:textId="0971D333" w:rsidR="00C77BA7" w:rsidRPr="00361EC3" w:rsidRDefault="00C77BA7" w:rsidP="00361EC3">
      <w:pPr>
        <w:pStyle w:val="Title"/>
        <w:spacing w:before="0"/>
        <w:ind w:left="0" w:right="4"/>
        <w:contextualSpacing/>
        <w:rPr>
          <w:rFonts w:ascii="Arial" w:hAnsi="Arial" w:cs="Arial"/>
          <w:sz w:val="18"/>
          <w:szCs w:val="18"/>
        </w:rPr>
      </w:pPr>
    </w:p>
    <w:p w14:paraId="39C92344" w14:textId="77777777" w:rsidR="00C77BA7" w:rsidRPr="00361EC3" w:rsidRDefault="00C77BA7" w:rsidP="00361EC3">
      <w:pPr>
        <w:spacing w:line="259" w:lineRule="auto"/>
        <w:contextualSpacing/>
        <w:jc w:val="left"/>
        <w:rPr>
          <w:rFonts w:ascii="Arial" w:hAnsi="Arial" w:cs="Arial"/>
          <w:b/>
          <w:bCs/>
          <w:sz w:val="18"/>
          <w:szCs w:val="18"/>
        </w:rPr>
      </w:pPr>
      <w:r w:rsidRPr="00361EC3">
        <w:rPr>
          <w:rFonts w:ascii="Arial" w:hAnsi="Arial" w:cs="Arial"/>
          <w:b/>
          <w:bCs/>
          <w:sz w:val="18"/>
          <w:szCs w:val="18"/>
        </w:rPr>
        <w:br w:type="page"/>
      </w:r>
    </w:p>
    <w:p w14:paraId="016354DE" w14:textId="77777777" w:rsidR="00D94619" w:rsidRPr="00361EC3" w:rsidRDefault="00D94619" w:rsidP="00361EC3">
      <w:pPr>
        <w:pStyle w:val="Heading1"/>
        <w:ind w:left="1658" w:right="1961"/>
        <w:contextualSpacing/>
        <w:jc w:val="center"/>
        <w:rPr>
          <w:rFonts w:ascii="Arial" w:hAnsi="Arial" w:cs="Arial"/>
          <w:sz w:val="18"/>
          <w:szCs w:val="18"/>
        </w:rPr>
        <w:sectPr w:rsidR="00D94619" w:rsidRPr="00361EC3" w:rsidSect="008B4734">
          <w:headerReference w:type="even" r:id="rId10"/>
          <w:headerReference w:type="first" r:id="rId11"/>
          <w:pgSz w:w="12240" w:h="15840"/>
          <w:pgMar w:top="1080" w:right="1080" w:bottom="1080" w:left="1080" w:header="708" w:footer="708" w:gutter="0"/>
          <w:cols w:space="708"/>
          <w:docGrid w:linePitch="360"/>
        </w:sectPr>
      </w:pPr>
    </w:p>
    <w:p w14:paraId="79567AFF" w14:textId="77777777" w:rsidR="00002339" w:rsidRPr="00361EC3" w:rsidRDefault="00002339" w:rsidP="00EF0F14">
      <w:pPr>
        <w:ind w:right="1961"/>
        <w:contextualSpacing/>
        <w:jc w:val="left"/>
        <w:rPr>
          <w:rFonts w:ascii="Arial" w:hAnsi="Arial" w:cs="Arial"/>
          <w:b/>
          <w:sz w:val="18"/>
          <w:szCs w:val="18"/>
        </w:rPr>
      </w:pPr>
    </w:p>
    <w:p w14:paraId="2FDFAE8B" w14:textId="1F7EADF6" w:rsidR="00B349D2" w:rsidRPr="00B349D2" w:rsidRDefault="00B349D2" w:rsidP="00B349D2">
      <w:pPr>
        <w:pStyle w:val="Subtitle"/>
        <w:spacing w:before="0"/>
        <w:contextualSpacing/>
        <w:jc w:val="both"/>
        <w:rPr>
          <w:rFonts w:ascii="Times New Roman" w:hAnsi="Times New Roman"/>
          <w:bCs/>
          <w:sz w:val="18"/>
          <w:szCs w:val="18"/>
          <w:lang w:val="en-US"/>
        </w:rPr>
      </w:pPr>
      <w:r w:rsidRPr="00B349D2">
        <w:rPr>
          <w:rFonts w:ascii="Arial" w:hAnsi="Arial" w:cs="Arial"/>
          <w:bCs/>
          <w:sz w:val="18"/>
          <w:szCs w:val="18"/>
        </w:rPr>
        <w:t xml:space="preserve">Management’s Discussion </w:t>
      </w:r>
      <w:r w:rsidR="00B56E9B">
        <w:rPr>
          <w:rFonts w:ascii="Arial" w:hAnsi="Arial" w:cs="Arial"/>
          <w:bCs/>
          <w:sz w:val="18"/>
          <w:szCs w:val="18"/>
        </w:rPr>
        <w:t xml:space="preserve">&amp; </w:t>
      </w:r>
      <w:r w:rsidRPr="00B349D2">
        <w:rPr>
          <w:rFonts w:ascii="Arial" w:hAnsi="Arial" w:cs="Arial"/>
          <w:bCs/>
          <w:sz w:val="18"/>
          <w:szCs w:val="18"/>
        </w:rPr>
        <w:t>Analysis</w:t>
      </w:r>
    </w:p>
    <w:p w14:paraId="150304E6" w14:textId="77777777" w:rsidR="00B349D2" w:rsidRDefault="00B349D2" w:rsidP="00361EC3">
      <w:pPr>
        <w:contextualSpacing/>
        <w:rPr>
          <w:rFonts w:ascii="Arial" w:hAnsi="Arial" w:cs="Arial"/>
          <w:sz w:val="18"/>
          <w:szCs w:val="18"/>
        </w:rPr>
      </w:pPr>
    </w:p>
    <w:p w14:paraId="09B169A5" w14:textId="48B1E7BF" w:rsidR="00644761" w:rsidRDefault="006C3941" w:rsidP="00361EC3">
      <w:pPr>
        <w:contextualSpacing/>
        <w:rPr>
          <w:rFonts w:ascii="Arial" w:hAnsi="Arial" w:cs="Arial"/>
          <w:sz w:val="18"/>
          <w:szCs w:val="18"/>
        </w:rPr>
      </w:pPr>
      <w:r w:rsidRPr="00361EC3">
        <w:rPr>
          <w:rFonts w:ascii="Arial" w:hAnsi="Arial" w:cs="Arial"/>
          <w:sz w:val="18"/>
          <w:szCs w:val="18"/>
        </w:rPr>
        <w:t>This Management’s Discussion and Analysis (“MD&amp;A”) supplements, but does not form part of, the</w:t>
      </w:r>
      <w:r w:rsidR="00484497" w:rsidRPr="00361EC3">
        <w:rPr>
          <w:rFonts w:ascii="Arial" w:hAnsi="Arial" w:cs="Arial"/>
          <w:sz w:val="18"/>
          <w:szCs w:val="18"/>
        </w:rPr>
        <w:t xml:space="preserve"> financial statements</w:t>
      </w:r>
      <w:r w:rsidRPr="00361EC3">
        <w:rPr>
          <w:rFonts w:ascii="Arial" w:hAnsi="Arial" w:cs="Arial"/>
          <w:sz w:val="18"/>
          <w:szCs w:val="18"/>
        </w:rPr>
        <w:t xml:space="preserve"> of Archer Exploration Corp.</w:t>
      </w:r>
      <w:r w:rsidR="008A7CF0">
        <w:rPr>
          <w:rFonts w:ascii="Arial" w:hAnsi="Arial" w:cs="Arial"/>
          <w:sz w:val="18"/>
          <w:szCs w:val="18"/>
        </w:rPr>
        <w:t xml:space="preserve"> </w:t>
      </w:r>
      <w:r w:rsidR="008A7CF0" w:rsidRPr="008A7CF0">
        <w:rPr>
          <w:rFonts w:ascii="Arial" w:hAnsi="Arial" w:cs="Arial"/>
          <w:sz w:val="18"/>
          <w:szCs w:val="18"/>
        </w:rPr>
        <w:t>(formerly Lift Capital Corp.)</w:t>
      </w:r>
      <w:r w:rsidRPr="00361EC3">
        <w:rPr>
          <w:rFonts w:ascii="Arial" w:hAnsi="Arial" w:cs="Arial"/>
          <w:sz w:val="18"/>
          <w:szCs w:val="18"/>
        </w:rPr>
        <w:t xml:space="preserve"> (“Archer” or the “Company”) and the notes thereto </w:t>
      </w:r>
      <w:r w:rsidR="009B2630" w:rsidRPr="009B2630">
        <w:rPr>
          <w:rFonts w:ascii="Arial" w:hAnsi="Arial" w:cs="Arial"/>
          <w:sz w:val="18"/>
          <w:szCs w:val="18"/>
        </w:rPr>
        <w:t xml:space="preserve">for </w:t>
      </w:r>
      <w:r w:rsidR="00733551" w:rsidRPr="00733551">
        <w:rPr>
          <w:rFonts w:ascii="Arial" w:hAnsi="Arial" w:cs="Arial"/>
          <w:sz w:val="18"/>
          <w:szCs w:val="18"/>
        </w:rPr>
        <w:t xml:space="preserve">the three and six months ended March 31, 2022 and 2021 </w:t>
      </w:r>
      <w:r w:rsidRPr="00361EC3">
        <w:rPr>
          <w:rFonts w:ascii="Arial" w:hAnsi="Arial" w:cs="Arial"/>
          <w:sz w:val="18"/>
          <w:szCs w:val="18"/>
        </w:rPr>
        <w:t>(collectively referred to hereafter as the “</w:t>
      </w:r>
      <w:r w:rsidR="002B18ED">
        <w:rPr>
          <w:rFonts w:ascii="Arial" w:hAnsi="Arial" w:cs="Arial"/>
          <w:sz w:val="18"/>
          <w:szCs w:val="18"/>
        </w:rPr>
        <w:t xml:space="preserve">interim </w:t>
      </w:r>
      <w:r w:rsidRPr="00361EC3">
        <w:rPr>
          <w:rFonts w:ascii="Arial" w:hAnsi="Arial" w:cs="Arial"/>
          <w:sz w:val="18"/>
          <w:szCs w:val="18"/>
        </w:rPr>
        <w:t xml:space="preserve">financial statements”). </w:t>
      </w:r>
    </w:p>
    <w:p w14:paraId="7551D1EB" w14:textId="77777777" w:rsidR="00644761" w:rsidRDefault="00644761" w:rsidP="00361EC3">
      <w:pPr>
        <w:contextualSpacing/>
        <w:rPr>
          <w:rFonts w:ascii="Arial" w:hAnsi="Arial" w:cs="Arial"/>
          <w:sz w:val="18"/>
          <w:szCs w:val="18"/>
        </w:rPr>
      </w:pPr>
    </w:p>
    <w:p w14:paraId="7C142C91" w14:textId="14364BB4" w:rsidR="006C3941" w:rsidRDefault="006C3941" w:rsidP="00361EC3">
      <w:pPr>
        <w:contextualSpacing/>
        <w:rPr>
          <w:rFonts w:ascii="Arial" w:hAnsi="Arial" w:cs="Arial"/>
          <w:sz w:val="18"/>
          <w:szCs w:val="18"/>
        </w:rPr>
      </w:pPr>
      <w:r w:rsidRPr="00361EC3">
        <w:rPr>
          <w:rFonts w:ascii="Arial" w:hAnsi="Arial" w:cs="Arial"/>
          <w:sz w:val="18"/>
          <w:szCs w:val="18"/>
        </w:rPr>
        <w:t xml:space="preserve">The following MD&amp;A of the financial condition and results of operations of the Company has been prepared by management and </w:t>
      </w:r>
      <w:r w:rsidR="00644761" w:rsidRPr="00644761">
        <w:rPr>
          <w:rFonts w:ascii="Arial" w:hAnsi="Arial" w:cs="Arial"/>
          <w:sz w:val="18"/>
          <w:szCs w:val="18"/>
        </w:rPr>
        <w:t xml:space="preserve">should be read in conjunction with the </w:t>
      </w:r>
      <w:r w:rsidR="00644761">
        <w:rPr>
          <w:rFonts w:ascii="Arial" w:hAnsi="Arial" w:cs="Arial"/>
          <w:sz w:val="18"/>
          <w:szCs w:val="18"/>
        </w:rPr>
        <w:t xml:space="preserve">interim </w:t>
      </w:r>
      <w:r w:rsidR="00644761" w:rsidRPr="00644761">
        <w:rPr>
          <w:rFonts w:ascii="Arial" w:hAnsi="Arial" w:cs="Arial"/>
          <w:sz w:val="18"/>
          <w:szCs w:val="18"/>
        </w:rPr>
        <w:t>financial statements of the Company in addition to the audited</w:t>
      </w:r>
      <w:r w:rsidR="00644761">
        <w:rPr>
          <w:rFonts w:ascii="Arial" w:hAnsi="Arial" w:cs="Arial"/>
          <w:sz w:val="18"/>
          <w:szCs w:val="18"/>
        </w:rPr>
        <w:t xml:space="preserve"> annual</w:t>
      </w:r>
      <w:r w:rsidR="00644761" w:rsidRPr="00644761">
        <w:rPr>
          <w:rFonts w:ascii="Arial" w:hAnsi="Arial" w:cs="Arial"/>
          <w:sz w:val="18"/>
          <w:szCs w:val="18"/>
        </w:rPr>
        <w:t xml:space="preserve"> financial statements and related notes for the year</w:t>
      </w:r>
      <w:r w:rsidR="00644761">
        <w:rPr>
          <w:rFonts w:ascii="Arial" w:hAnsi="Arial" w:cs="Arial"/>
          <w:sz w:val="18"/>
          <w:szCs w:val="18"/>
        </w:rPr>
        <w:t>s</w:t>
      </w:r>
      <w:r w:rsidR="00644761" w:rsidRPr="00644761">
        <w:rPr>
          <w:rFonts w:ascii="Arial" w:hAnsi="Arial" w:cs="Arial"/>
          <w:sz w:val="18"/>
          <w:szCs w:val="18"/>
        </w:rPr>
        <w:t xml:space="preserve"> ended September 30, 2021</w:t>
      </w:r>
      <w:r w:rsidR="00644761">
        <w:rPr>
          <w:rFonts w:ascii="Arial" w:hAnsi="Arial" w:cs="Arial"/>
          <w:sz w:val="18"/>
          <w:szCs w:val="18"/>
        </w:rPr>
        <w:t xml:space="preserve"> and 2020</w:t>
      </w:r>
      <w:r w:rsidRPr="00361EC3">
        <w:rPr>
          <w:rFonts w:ascii="Arial" w:hAnsi="Arial" w:cs="Arial"/>
          <w:sz w:val="18"/>
          <w:szCs w:val="18"/>
        </w:rPr>
        <w:t xml:space="preserve">. Additional information relating to the Company is available on SEDAR at </w:t>
      </w:r>
      <w:hyperlink r:id="rId12">
        <w:r w:rsidRPr="00361EC3">
          <w:rPr>
            <w:rFonts w:ascii="Arial" w:hAnsi="Arial" w:cs="Arial"/>
            <w:sz w:val="18"/>
            <w:szCs w:val="18"/>
          </w:rPr>
          <w:t>www.sedar.com.</w:t>
        </w:r>
      </w:hyperlink>
    </w:p>
    <w:p w14:paraId="02030280" w14:textId="48838E43" w:rsidR="008F78EC" w:rsidRDefault="008F78EC" w:rsidP="00361EC3">
      <w:pPr>
        <w:contextualSpacing/>
        <w:rPr>
          <w:rFonts w:ascii="Arial" w:hAnsi="Arial" w:cs="Arial"/>
          <w:sz w:val="18"/>
          <w:szCs w:val="18"/>
        </w:rPr>
      </w:pPr>
    </w:p>
    <w:p w14:paraId="79F58F28" w14:textId="741CC478" w:rsidR="008F78EC" w:rsidRDefault="008F78EC" w:rsidP="00361EC3">
      <w:pPr>
        <w:contextualSpacing/>
        <w:rPr>
          <w:rFonts w:ascii="Arial" w:hAnsi="Arial" w:cs="Arial"/>
          <w:sz w:val="18"/>
          <w:szCs w:val="18"/>
        </w:rPr>
      </w:pPr>
      <w:r w:rsidRPr="008F78EC">
        <w:rPr>
          <w:rFonts w:ascii="Arial" w:hAnsi="Arial" w:cs="Arial"/>
          <w:sz w:val="18"/>
          <w:szCs w:val="18"/>
        </w:rPr>
        <w:t>The first, second, third, and fourth quarters of the Company’s fiscal years are referred to as “Q1”, “Q2”, “Q3” and “Q4”, respectively. All amounts are presented in Canadian dollars, the Company’s presentation currency unless otherwise stated.</w:t>
      </w:r>
    </w:p>
    <w:p w14:paraId="2CFEB947" w14:textId="77777777" w:rsidR="006C3941" w:rsidRPr="00361EC3" w:rsidRDefault="006C3941" w:rsidP="00361EC3">
      <w:pPr>
        <w:contextualSpacing/>
        <w:rPr>
          <w:rFonts w:ascii="Arial" w:hAnsi="Arial" w:cs="Arial"/>
          <w:sz w:val="18"/>
          <w:szCs w:val="18"/>
        </w:rPr>
      </w:pPr>
    </w:p>
    <w:p w14:paraId="56855CE8" w14:textId="2C61F0FE" w:rsidR="006C3941" w:rsidRDefault="002B18ED" w:rsidP="00361EC3">
      <w:pPr>
        <w:contextualSpacing/>
        <w:rPr>
          <w:rFonts w:ascii="Arial" w:hAnsi="Arial" w:cs="Arial"/>
          <w:sz w:val="18"/>
          <w:szCs w:val="18"/>
        </w:rPr>
      </w:pPr>
      <w:r w:rsidRPr="002B18ED">
        <w:rPr>
          <w:rFonts w:ascii="Arial" w:hAnsi="Arial" w:cs="Arial"/>
          <w:sz w:val="18"/>
          <w:szCs w:val="18"/>
        </w:rPr>
        <w:t xml:space="preserve">The </w:t>
      </w:r>
      <w:r>
        <w:rPr>
          <w:rFonts w:ascii="Arial" w:hAnsi="Arial" w:cs="Arial"/>
          <w:sz w:val="18"/>
          <w:szCs w:val="18"/>
        </w:rPr>
        <w:t xml:space="preserve">interim </w:t>
      </w:r>
      <w:r w:rsidRPr="002B18ED">
        <w:rPr>
          <w:rFonts w:ascii="Arial" w:hAnsi="Arial" w:cs="Arial"/>
          <w:sz w:val="18"/>
          <w:szCs w:val="18"/>
        </w:rPr>
        <w:t xml:space="preserve">financial statements have been prepared by management in accordance with International Financial Reporting Standards (“IFRS”) as issued by the International Accounting Standards Board and interpretations of the International Financial Reporting Interpretations Committee applicable to the preparation of interim financial statements including International Accounting Standard 34 </w:t>
      </w:r>
      <w:r w:rsidRPr="002B18ED">
        <w:rPr>
          <w:rFonts w:ascii="Arial" w:hAnsi="Arial" w:cs="Arial"/>
          <w:i/>
          <w:iCs/>
          <w:sz w:val="18"/>
          <w:szCs w:val="18"/>
        </w:rPr>
        <w:t>Interim Financial Reporting</w:t>
      </w:r>
      <w:r w:rsidRPr="002B18ED">
        <w:rPr>
          <w:rFonts w:ascii="Arial" w:hAnsi="Arial" w:cs="Arial"/>
          <w:sz w:val="18"/>
          <w:szCs w:val="18"/>
        </w:rPr>
        <w:t>. All amounts are expressed in Canadian dollars unless otherwise stated. Other information contained in this document has also been prepared by management and is consistent with the data contained in the</w:t>
      </w:r>
      <w:r>
        <w:rPr>
          <w:rFonts w:ascii="Arial" w:hAnsi="Arial" w:cs="Arial"/>
          <w:sz w:val="18"/>
          <w:szCs w:val="18"/>
        </w:rPr>
        <w:t xml:space="preserve"> interim</w:t>
      </w:r>
      <w:r w:rsidRPr="002B18ED">
        <w:rPr>
          <w:rFonts w:ascii="Arial" w:hAnsi="Arial" w:cs="Arial"/>
          <w:sz w:val="18"/>
          <w:szCs w:val="18"/>
        </w:rPr>
        <w:t xml:space="preserve"> financial statements.</w:t>
      </w:r>
    </w:p>
    <w:p w14:paraId="23B4F258" w14:textId="77777777" w:rsidR="002B18ED" w:rsidRPr="00361EC3" w:rsidRDefault="002B18ED" w:rsidP="00361EC3">
      <w:pPr>
        <w:contextualSpacing/>
        <w:rPr>
          <w:rFonts w:ascii="Arial" w:hAnsi="Arial" w:cs="Arial"/>
          <w:sz w:val="18"/>
          <w:szCs w:val="18"/>
        </w:rPr>
      </w:pPr>
    </w:p>
    <w:p w14:paraId="554A065F" w14:textId="5733E401" w:rsidR="006C3941" w:rsidRPr="00361EC3" w:rsidRDefault="006C3941" w:rsidP="00361EC3">
      <w:pPr>
        <w:contextualSpacing/>
        <w:rPr>
          <w:rFonts w:ascii="Arial" w:hAnsi="Arial" w:cs="Arial"/>
          <w:sz w:val="18"/>
          <w:szCs w:val="18"/>
        </w:rPr>
      </w:pPr>
      <w:r w:rsidRPr="00361EC3">
        <w:rPr>
          <w:rFonts w:ascii="Arial" w:hAnsi="Arial" w:cs="Arial"/>
          <w:sz w:val="18"/>
          <w:szCs w:val="18"/>
        </w:rPr>
        <w:t xml:space="preserve">The Company’s certifying officers are responsible for ensuring that the </w:t>
      </w:r>
      <w:r w:rsidR="00EF0F14">
        <w:rPr>
          <w:rFonts w:ascii="Arial" w:hAnsi="Arial" w:cs="Arial"/>
          <w:sz w:val="18"/>
          <w:szCs w:val="18"/>
        </w:rPr>
        <w:t>f</w:t>
      </w:r>
      <w:r w:rsidRPr="00361EC3">
        <w:rPr>
          <w:rFonts w:ascii="Arial" w:hAnsi="Arial" w:cs="Arial"/>
          <w:sz w:val="18"/>
          <w:szCs w:val="18"/>
        </w:rPr>
        <w:t xml:space="preserve">inancial </w:t>
      </w:r>
      <w:r w:rsidR="00EF0F14">
        <w:rPr>
          <w:rFonts w:ascii="Arial" w:hAnsi="Arial" w:cs="Arial"/>
          <w:sz w:val="18"/>
          <w:szCs w:val="18"/>
        </w:rPr>
        <w:t>s</w:t>
      </w:r>
      <w:r w:rsidRPr="00361EC3">
        <w:rPr>
          <w:rFonts w:ascii="Arial" w:hAnsi="Arial" w:cs="Arial"/>
          <w:sz w:val="18"/>
          <w:szCs w:val="18"/>
        </w:rPr>
        <w:t>tatements and MD&amp;A do not contain any untrue statement of a material fact or omit to state a material fact required to be stated or that is necessary to make a statement not misleading in light of the circumstances under which it was made. The Company’s certifying officers certify that the financial statements together with the other financial information included in the filings fairly present in all material respects the financial condition, financial performance and cash flows of the Company as of the date of and for the periods presented in the filings.</w:t>
      </w:r>
    </w:p>
    <w:p w14:paraId="13E35F67" w14:textId="77777777" w:rsidR="006C3941" w:rsidRPr="00361EC3" w:rsidRDefault="006C3941" w:rsidP="00361EC3">
      <w:pPr>
        <w:contextualSpacing/>
        <w:rPr>
          <w:rFonts w:ascii="Arial" w:hAnsi="Arial" w:cs="Arial"/>
          <w:sz w:val="18"/>
          <w:szCs w:val="18"/>
        </w:rPr>
      </w:pPr>
    </w:p>
    <w:p w14:paraId="14CFB3AF" w14:textId="6A7B2BE6" w:rsidR="006C3941" w:rsidRDefault="006C3941" w:rsidP="00361EC3">
      <w:pPr>
        <w:contextualSpacing/>
        <w:rPr>
          <w:rFonts w:ascii="Arial" w:hAnsi="Arial" w:cs="Arial"/>
          <w:sz w:val="18"/>
          <w:szCs w:val="18"/>
        </w:rPr>
      </w:pPr>
      <w:r w:rsidRPr="00361EC3">
        <w:rPr>
          <w:rFonts w:ascii="Arial" w:hAnsi="Arial" w:cs="Arial"/>
          <w:sz w:val="18"/>
          <w:szCs w:val="18"/>
        </w:rPr>
        <w:t>The Company’s Audit Committee and the Board of Directors provide an oversight role with respect to all public financial disclosures by the Company. The Board of Directors approves the financial statements and MD&amp;A after the completion of its review and recommendation for approval by the Audit Committee, which meets periodically to review all financial reports, prior to filing.</w:t>
      </w:r>
    </w:p>
    <w:p w14:paraId="1250126A" w14:textId="77777777" w:rsidR="00361EC3" w:rsidRPr="00361EC3" w:rsidRDefault="00361EC3" w:rsidP="00361EC3">
      <w:pPr>
        <w:contextualSpacing/>
        <w:rPr>
          <w:rFonts w:ascii="Arial" w:hAnsi="Arial" w:cs="Arial"/>
          <w:sz w:val="18"/>
          <w:szCs w:val="18"/>
        </w:rPr>
      </w:pPr>
    </w:p>
    <w:p w14:paraId="7BCEFA8E" w14:textId="55E6BB31" w:rsidR="006C3941" w:rsidRPr="008B0F5F" w:rsidRDefault="006C3941" w:rsidP="00361EC3">
      <w:pPr>
        <w:pStyle w:val="BodyText"/>
        <w:spacing w:before="0" w:line="249" w:lineRule="auto"/>
        <w:ind w:hanging="11"/>
        <w:contextualSpacing/>
        <w:rPr>
          <w:rFonts w:ascii="Arial" w:hAnsi="Arial" w:cs="Arial"/>
          <w:sz w:val="18"/>
          <w:szCs w:val="18"/>
        </w:rPr>
      </w:pPr>
      <w:r w:rsidRPr="008B0F5F">
        <w:rPr>
          <w:rFonts w:ascii="Arial" w:hAnsi="Arial" w:cs="Arial"/>
          <w:sz w:val="18"/>
          <w:szCs w:val="18"/>
        </w:rPr>
        <w:t>The effective date of this MD&amp;A is</w:t>
      </w:r>
      <w:r w:rsidR="00425FB0">
        <w:rPr>
          <w:rFonts w:ascii="Arial" w:hAnsi="Arial" w:cs="Arial"/>
          <w:sz w:val="18"/>
          <w:szCs w:val="18"/>
        </w:rPr>
        <w:t xml:space="preserve"> May</w:t>
      </w:r>
      <w:r w:rsidR="009F4A16" w:rsidRPr="008B0F5F">
        <w:rPr>
          <w:rFonts w:ascii="Arial" w:hAnsi="Arial" w:cs="Arial"/>
          <w:sz w:val="18"/>
          <w:szCs w:val="18"/>
        </w:rPr>
        <w:t xml:space="preserve"> </w:t>
      </w:r>
      <w:r w:rsidR="009B5127">
        <w:rPr>
          <w:rFonts w:ascii="Arial" w:hAnsi="Arial" w:cs="Arial"/>
          <w:sz w:val="18"/>
          <w:szCs w:val="18"/>
        </w:rPr>
        <w:t>30</w:t>
      </w:r>
      <w:r w:rsidRPr="008B0F5F">
        <w:rPr>
          <w:rFonts w:ascii="Arial" w:hAnsi="Arial" w:cs="Arial"/>
          <w:sz w:val="18"/>
          <w:szCs w:val="18"/>
        </w:rPr>
        <w:t>, 202</w:t>
      </w:r>
      <w:r w:rsidR="00B136ED" w:rsidRPr="008B0F5F">
        <w:rPr>
          <w:rFonts w:ascii="Arial" w:hAnsi="Arial" w:cs="Arial"/>
          <w:sz w:val="18"/>
          <w:szCs w:val="18"/>
        </w:rPr>
        <w:t>2</w:t>
      </w:r>
      <w:r w:rsidR="00290B43">
        <w:rPr>
          <w:rFonts w:ascii="Arial" w:hAnsi="Arial" w:cs="Arial"/>
          <w:sz w:val="18"/>
          <w:szCs w:val="18"/>
        </w:rPr>
        <w:t>.</w:t>
      </w:r>
      <w:r w:rsidRPr="008B0F5F">
        <w:rPr>
          <w:rFonts w:ascii="Arial" w:hAnsi="Arial" w:cs="Arial"/>
          <w:sz w:val="18"/>
          <w:szCs w:val="18"/>
        </w:rPr>
        <w:t xml:space="preserve"> </w:t>
      </w:r>
    </w:p>
    <w:p w14:paraId="69B7D405" w14:textId="739A0D59" w:rsidR="009562F9" w:rsidRPr="00361EC3" w:rsidRDefault="009562F9" w:rsidP="00361EC3">
      <w:pPr>
        <w:contextualSpacing/>
        <w:rPr>
          <w:rFonts w:ascii="Arial" w:hAnsi="Arial" w:cs="Arial"/>
          <w:sz w:val="18"/>
          <w:szCs w:val="18"/>
        </w:rPr>
      </w:pPr>
    </w:p>
    <w:p w14:paraId="0BF30FE7" w14:textId="7B2AA89C" w:rsidR="006C3941" w:rsidRPr="00361EC3" w:rsidRDefault="006C3941" w:rsidP="00361EC3">
      <w:pPr>
        <w:pStyle w:val="Heading1"/>
        <w:ind w:left="0"/>
        <w:contextualSpacing/>
        <w:rPr>
          <w:rFonts w:ascii="Arial" w:hAnsi="Arial" w:cs="Arial"/>
          <w:sz w:val="18"/>
          <w:szCs w:val="18"/>
        </w:rPr>
      </w:pPr>
      <w:r w:rsidRPr="00361EC3">
        <w:rPr>
          <w:rFonts w:ascii="Arial" w:hAnsi="Arial" w:cs="Arial"/>
          <w:sz w:val="18"/>
          <w:szCs w:val="18"/>
        </w:rPr>
        <w:t>Forward-</w:t>
      </w:r>
      <w:r w:rsidR="007646FA" w:rsidRPr="00361EC3">
        <w:rPr>
          <w:rFonts w:ascii="Arial" w:hAnsi="Arial" w:cs="Arial"/>
          <w:sz w:val="18"/>
          <w:szCs w:val="18"/>
        </w:rPr>
        <w:t>l</w:t>
      </w:r>
      <w:r w:rsidRPr="00361EC3">
        <w:rPr>
          <w:rFonts w:ascii="Arial" w:hAnsi="Arial" w:cs="Arial"/>
          <w:sz w:val="18"/>
          <w:szCs w:val="18"/>
        </w:rPr>
        <w:t xml:space="preserve">ooking </w:t>
      </w:r>
      <w:r w:rsidR="007646FA" w:rsidRPr="00361EC3">
        <w:rPr>
          <w:rFonts w:ascii="Arial" w:hAnsi="Arial" w:cs="Arial"/>
          <w:sz w:val="18"/>
          <w:szCs w:val="18"/>
        </w:rPr>
        <w:t>s</w:t>
      </w:r>
      <w:r w:rsidRPr="00361EC3">
        <w:rPr>
          <w:rFonts w:ascii="Arial" w:hAnsi="Arial" w:cs="Arial"/>
          <w:sz w:val="18"/>
          <w:szCs w:val="18"/>
        </w:rPr>
        <w:t>tatements</w:t>
      </w:r>
    </w:p>
    <w:p w14:paraId="06B5B81C" w14:textId="77777777" w:rsidR="006C3941" w:rsidRPr="00361EC3" w:rsidRDefault="006C3941" w:rsidP="00361EC3">
      <w:pPr>
        <w:contextualSpacing/>
        <w:rPr>
          <w:rFonts w:ascii="Arial" w:hAnsi="Arial" w:cs="Arial"/>
          <w:sz w:val="18"/>
          <w:szCs w:val="18"/>
        </w:rPr>
      </w:pPr>
    </w:p>
    <w:p w14:paraId="0464BD94" w14:textId="77777777" w:rsidR="006C3941" w:rsidRPr="00361EC3" w:rsidRDefault="006C3941" w:rsidP="00361EC3">
      <w:pPr>
        <w:contextualSpacing/>
        <w:rPr>
          <w:rFonts w:ascii="Arial" w:hAnsi="Arial" w:cs="Arial"/>
          <w:sz w:val="18"/>
          <w:szCs w:val="18"/>
        </w:rPr>
      </w:pPr>
      <w:r w:rsidRPr="00361EC3">
        <w:rPr>
          <w:rFonts w:ascii="Arial" w:hAnsi="Arial" w:cs="Arial"/>
          <w:sz w:val="18"/>
          <w:szCs w:val="18"/>
        </w:rPr>
        <w:t xml:space="preserve">Certain statements contained in this document constitute “forward-looking statements”. All statements other than statements of historical fact contained in this MD&amp;A, including, without limitation, those regarding the Company’s future financial position and results of operations, strategy, proposed acquisitions, plans, objectives, goals and targets, and any statements preceded by, followed by or that include the words “believe”, “expect”, “aim”, “intend”, “plan”, “continue”, “will”, “may”, “would”, “anticipate”, “estimate”, “forecast”, “predict”, “project”, “seek”, “should” or similar expressions or the negative thereof, are forward-looking statements. These statements are not historical facts but instead represent only the Company’s expectations, estimates and projections regarding future events. These statements are not </w:t>
      </w:r>
      <w:proofErr w:type="gramStart"/>
      <w:r w:rsidRPr="00361EC3">
        <w:rPr>
          <w:rFonts w:ascii="Arial" w:hAnsi="Arial" w:cs="Arial"/>
          <w:sz w:val="18"/>
          <w:szCs w:val="18"/>
        </w:rPr>
        <w:t>guarantees</w:t>
      </w:r>
      <w:proofErr w:type="gramEnd"/>
      <w:r w:rsidRPr="00361EC3">
        <w:rPr>
          <w:rFonts w:ascii="Arial" w:hAnsi="Arial" w:cs="Arial"/>
          <w:sz w:val="18"/>
          <w:szCs w:val="18"/>
        </w:rPr>
        <w:t xml:space="preserve"> of future performance and involve assumptions, risks and uncertainties that are difficult to predict. Therefore, actual results may differ materially from what is expressed, </w:t>
      </w:r>
      <w:proofErr w:type="gramStart"/>
      <w:r w:rsidRPr="00361EC3">
        <w:rPr>
          <w:rFonts w:ascii="Arial" w:hAnsi="Arial" w:cs="Arial"/>
          <w:sz w:val="18"/>
          <w:szCs w:val="18"/>
        </w:rPr>
        <w:t>implied</w:t>
      </w:r>
      <w:proofErr w:type="gramEnd"/>
      <w:r w:rsidRPr="00361EC3">
        <w:rPr>
          <w:rFonts w:ascii="Arial" w:hAnsi="Arial" w:cs="Arial"/>
          <w:sz w:val="18"/>
          <w:szCs w:val="18"/>
        </w:rPr>
        <w:t xml:space="preserve"> or forecasted in such forward-looking statements.</w:t>
      </w:r>
    </w:p>
    <w:p w14:paraId="295FB63D" w14:textId="5E2111A1" w:rsidR="00E42972" w:rsidRPr="00361EC3" w:rsidRDefault="00E42972" w:rsidP="00361EC3">
      <w:pPr>
        <w:spacing w:line="259" w:lineRule="auto"/>
        <w:contextualSpacing/>
        <w:jc w:val="left"/>
        <w:rPr>
          <w:rFonts w:ascii="Arial" w:hAnsi="Arial" w:cs="Arial"/>
          <w:sz w:val="18"/>
          <w:szCs w:val="18"/>
        </w:rPr>
      </w:pPr>
    </w:p>
    <w:p w14:paraId="77849851" w14:textId="3B94F9D3" w:rsidR="006C3941" w:rsidRPr="00361EC3" w:rsidRDefault="006C3941" w:rsidP="00361EC3">
      <w:pPr>
        <w:contextualSpacing/>
        <w:rPr>
          <w:rFonts w:ascii="Arial" w:hAnsi="Arial" w:cs="Arial"/>
          <w:sz w:val="18"/>
          <w:szCs w:val="18"/>
        </w:rPr>
      </w:pPr>
      <w:r w:rsidRPr="00361EC3">
        <w:rPr>
          <w:rFonts w:ascii="Arial" w:hAnsi="Arial" w:cs="Arial"/>
          <w:sz w:val="18"/>
          <w:szCs w:val="18"/>
        </w:rPr>
        <w:t>Additional factors that could cause actual results, performance or achievements to differ materially include, but are not limited to risks associated with: geological risks; limited operating history; inability to generate earnings or pay dividends for the foreseeable future; no current assets other than cash</w:t>
      </w:r>
      <w:r w:rsidR="00484497" w:rsidRPr="00361EC3">
        <w:rPr>
          <w:rFonts w:ascii="Arial" w:hAnsi="Arial" w:cs="Arial"/>
          <w:sz w:val="18"/>
          <w:szCs w:val="18"/>
        </w:rPr>
        <w:t xml:space="preserve"> and prepaid expenses</w:t>
      </w:r>
      <w:r w:rsidRPr="00361EC3">
        <w:rPr>
          <w:rFonts w:ascii="Arial" w:hAnsi="Arial" w:cs="Arial"/>
          <w:sz w:val="18"/>
          <w:szCs w:val="18"/>
        </w:rPr>
        <w:t>; uncertain ability to raise additional funds when required; reliance on a small number of key managers lacking backup; potential conflicts of interest among directors and officers of the Company; lack of liquidity for shareholders of the Company; ability to secure needed permits, ability to physically access and work the Company’s property assets due to poor weather, a potential lack of key contract personnel and services providers needed to execute elements of the Company’s exploration plans, and market risk consisting of fluctuations in the Company’s share price, metal prices, credit market conditions and investor appetite for early stage exploration companies. See “Risks and Uncertainties”.</w:t>
      </w:r>
    </w:p>
    <w:p w14:paraId="34D44FA4" w14:textId="508FE446" w:rsidR="00425000" w:rsidRDefault="00425000">
      <w:pPr>
        <w:spacing w:after="160" w:line="259" w:lineRule="auto"/>
        <w:jc w:val="left"/>
        <w:rPr>
          <w:rFonts w:ascii="Arial" w:hAnsi="Arial" w:cs="Arial"/>
          <w:sz w:val="18"/>
          <w:szCs w:val="18"/>
        </w:rPr>
      </w:pPr>
      <w:r>
        <w:rPr>
          <w:rFonts w:ascii="Arial" w:hAnsi="Arial" w:cs="Arial"/>
          <w:sz w:val="18"/>
          <w:szCs w:val="18"/>
        </w:rPr>
        <w:br w:type="page"/>
      </w:r>
    </w:p>
    <w:p w14:paraId="3B353742" w14:textId="77777777" w:rsidR="006C3941" w:rsidRPr="00361EC3" w:rsidRDefault="006C3941" w:rsidP="00361EC3">
      <w:pPr>
        <w:contextualSpacing/>
        <w:rPr>
          <w:rFonts w:ascii="Arial" w:hAnsi="Arial" w:cs="Arial"/>
          <w:sz w:val="18"/>
          <w:szCs w:val="18"/>
        </w:rPr>
      </w:pPr>
    </w:p>
    <w:p w14:paraId="500015ED" w14:textId="77777777" w:rsidR="006C3941" w:rsidRPr="00361EC3" w:rsidRDefault="006C3941" w:rsidP="00361EC3">
      <w:pPr>
        <w:contextualSpacing/>
        <w:rPr>
          <w:rFonts w:ascii="Arial" w:hAnsi="Arial" w:cs="Arial"/>
          <w:sz w:val="18"/>
          <w:szCs w:val="18"/>
        </w:rPr>
      </w:pPr>
      <w:r w:rsidRPr="00361EC3">
        <w:rPr>
          <w:rFonts w:ascii="Arial" w:hAnsi="Arial" w:cs="Arial"/>
          <w:sz w:val="18"/>
          <w:szCs w:val="18"/>
        </w:rPr>
        <w:t xml:space="preserve">Management provides forward-looking statements because they believe such statements deliver useful guidance and information to readers when considering their investment objectives. Though management believes such statements to be as accurate as possible in the context of the information available to management at the time in which they are made, management cautions readers that the guidance and information contained in such statements may rapidly be superseded by subsequent events. Consequently, all of the forward-looking statements made in this MD&amp;A are qualified by these cautionary statements and other cautionary statements or factors contained herein, and there can be no assurance that the actual results or developments suggested by such forward-looking statement will be realized or, even if substantially realized, that they will have the expected results, or effects upon, the Company. These forward-looking statements are made as of the date of this MD&amp;A and the Company assumes no obligation to update or revise them to reflect subsequent information, </w:t>
      </w:r>
      <w:proofErr w:type="gramStart"/>
      <w:r w:rsidRPr="00361EC3">
        <w:rPr>
          <w:rFonts w:ascii="Arial" w:hAnsi="Arial" w:cs="Arial"/>
          <w:sz w:val="18"/>
          <w:szCs w:val="18"/>
        </w:rPr>
        <w:t>events</w:t>
      </w:r>
      <w:proofErr w:type="gramEnd"/>
      <w:r w:rsidRPr="00361EC3">
        <w:rPr>
          <w:rFonts w:ascii="Arial" w:hAnsi="Arial" w:cs="Arial"/>
          <w:sz w:val="18"/>
          <w:szCs w:val="18"/>
        </w:rPr>
        <w:t xml:space="preserve"> or circumstances or otherwise, except as required by law.</w:t>
      </w:r>
    </w:p>
    <w:p w14:paraId="427FED1A" w14:textId="77777777" w:rsidR="006C3941" w:rsidRPr="00361EC3" w:rsidRDefault="006C3941" w:rsidP="00361EC3">
      <w:pPr>
        <w:contextualSpacing/>
        <w:rPr>
          <w:rFonts w:ascii="Arial" w:hAnsi="Arial" w:cs="Arial"/>
          <w:sz w:val="18"/>
          <w:szCs w:val="18"/>
        </w:rPr>
      </w:pPr>
    </w:p>
    <w:p w14:paraId="77FEFB13" w14:textId="2115F53D" w:rsidR="006C3941" w:rsidRPr="00361EC3" w:rsidRDefault="006C3941" w:rsidP="00361EC3">
      <w:pPr>
        <w:contextualSpacing/>
        <w:rPr>
          <w:rFonts w:ascii="Arial" w:hAnsi="Arial" w:cs="Arial"/>
          <w:sz w:val="18"/>
          <w:szCs w:val="18"/>
        </w:rPr>
      </w:pPr>
      <w:r w:rsidRPr="00361EC3">
        <w:rPr>
          <w:rFonts w:ascii="Arial" w:hAnsi="Arial" w:cs="Arial"/>
          <w:sz w:val="18"/>
          <w:szCs w:val="18"/>
        </w:rPr>
        <w:t>The forward-looking statements in this MD&amp;A are based on numerous assumptions regarding the Company’s present and future business strategies and the environment in which the Company will operate in the future, including assumptions regarding business and operating strategies.</w:t>
      </w:r>
    </w:p>
    <w:p w14:paraId="3E43CDC1" w14:textId="77777777" w:rsidR="00EF0F14" w:rsidRDefault="00EF0F14" w:rsidP="00EF0F14">
      <w:pPr>
        <w:contextualSpacing/>
        <w:rPr>
          <w:rFonts w:ascii="Arial" w:hAnsi="Arial" w:cs="Arial"/>
          <w:sz w:val="18"/>
          <w:szCs w:val="18"/>
        </w:rPr>
      </w:pPr>
    </w:p>
    <w:p w14:paraId="5B8BA656" w14:textId="19B134D0" w:rsidR="009562F9" w:rsidRPr="00361EC3" w:rsidRDefault="006C3941" w:rsidP="00361EC3">
      <w:pPr>
        <w:pStyle w:val="Heading1"/>
        <w:ind w:left="0"/>
        <w:contextualSpacing/>
        <w:rPr>
          <w:rFonts w:ascii="Arial" w:hAnsi="Arial" w:cs="Arial"/>
          <w:sz w:val="18"/>
          <w:szCs w:val="18"/>
        </w:rPr>
      </w:pPr>
      <w:r w:rsidRPr="00361EC3">
        <w:rPr>
          <w:rFonts w:ascii="Arial" w:hAnsi="Arial" w:cs="Arial"/>
          <w:sz w:val="18"/>
          <w:szCs w:val="18"/>
        </w:rPr>
        <w:t xml:space="preserve">Description of the </w:t>
      </w:r>
      <w:r w:rsidR="007646FA" w:rsidRPr="00361EC3">
        <w:rPr>
          <w:rFonts w:ascii="Arial" w:hAnsi="Arial" w:cs="Arial"/>
          <w:sz w:val="18"/>
          <w:szCs w:val="18"/>
        </w:rPr>
        <w:t>b</w:t>
      </w:r>
      <w:r w:rsidRPr="00361EC3">
        <w:rPr>
          <w:rFonts w:ascii="Arial" w:hAnsi="Arial" w:cs="Arial"/>
          <w:sz w:val="18"/>
          <w:szCs w:val="18"/>
        </w:rPr>
        <w:t>usiness</w:t>
      </w:r>
    </w:p>
    <w:p w14:paraId="1B3D6433" w14:textId="77777777" w:rsidR="009562F9" w:rsidRPr="00361EC3" w:rsidRDefault="009562F9" w:rsidP="00361EC3">
      <w:pPr>
        <w:contextualSpacing/>
        <w:rPr>
          <w:rFonts w:ascii="Arial" w:hAnsi="Arial" w:cs="Arial"/>
          <w:sz w:val="18"/>
          <w:szCs w:val="18"/>
        </w:rPr>
      </w:pPr>
    </w:p>
    <w:p w14:paraId="39962C97" w14:textId="22F1E3BC" w:rsidR="001A55A6" w:rsidRDefault="009562F9" w:rsidP="00361EC3">
      <w:pPr>
        <w:contextualSpacing/>
        <w:rPr>
          <w:rFonts w:ascii="Arial" w:hAnsi="Arial" w:cs="Arial"/>
          <w:sz w:val="18"/>
          <w:szCs w:val="18"/>
        </w:rPr>
      </w:pPr>
      <w:r w:rsidRPr="00361EC3">
        <w:rPr>
          <w:rFonts w:ascii="Arial" w:hAnsi="Arial" w:cs="Arial"/>
          <w:sz w:val="18"/>
          <w:szCs w:val="18"/>
        </w:rPr>
        <w:t xml:space="preserve">The Company was incorporated on </w:t>
      </w:r>
      <w:r w:rsidR="001A55A6" w:rsidRPr="00361EC3">
        <w:rPr>
          <w:rFonts w:ascii="Arial" w:hAnsi="Arial" w:cs="Arial"/>
          <w:sz w:val="18"/>
          <w:szCs w:val="18"/>
        </w:rPr>
        <w:t>October 26, 2018 and focuses on the exploration of mineral claims located in Quebec, Canada</w:t>
      </w:r>
      <w:r w:rsidRPr="00361EC3">
        <w:rPr>
          <w:rFonts w:ascii="Arial" w:hAnsi="Arial" w:cs="Arial"/>
          <w:sz w:val="18"/>
          <w:szCs w:val="18"/>
        </w:rPr>
        <w:t>.</w:t>
      </w:r>
      <w:r w:rsidR="006C3941" w:rsidRPr="00361EC3">
        <w:rPr>
          <w:rFonts w:ascii="Arial" w:hAnsi="Arial" w:cs="Arial"/>
          <w:sz w:val="18"/>
          <w:szCs w:val="18"/>
        </w:rPr>
        <w:t xml:space="preserve"> </w:t>
      </w:r>
      <w:r w:rsidR="00215A78">
        <w:rPr>
          <w:rFonts w:ascii="Arial" w:hAnsi="Arial" w:cs="Arial"/>
          <w:sz w:val="18"/>
          <w:szCs w:val="18"/>
        </w:rPr>
        <w:t>T</w:t>
      </w:r>
      <w:r w:rsidR="00000DA7" w:rsidRPr="00000DA7">
        <w:rPr>
          <w:rFonts w:ascii="Arial" w:hAnsi="Arial" w:cs="Arial"/>
          <w:sz w:val="18"/>
          <w:szCs w:val="18"/>
        </w:rPr>
        <w:t>he Company is focusing on the exploration of mineral claims located in Quebec, Canada. The Company’s registered and records office is</w:t>
      </w:r>
      <w:r w:rsidR="00DA4B91">
        <w:rPr>
          <w:rFonts w:ascii="Arial" w:hAnsi="Arial" w:cs="Arial"/>
          <w:sz w:val="18"/>
          <w:szCs w:val="18"/>
        </w:rPr>
        <w:t xml:space="preserve"> </w:t>
      </w:r>
      <w:bookmarkStart w:id="0" w:name="_Hlk104461026"/>
      <w:r w:rsidR="00DA4B91">
        <w:rPr>
          <w:rFonts w:ascii="Arial" w:hAnsi="Arial" w:cs="Arial"/>
          <w:sz w:val="18"/>
          <w:szCs w:val="18"/>
        </w:rPr>
        <w:t xml:space="preserve">401 – 353 Water </w:t>
      </w:r>
      <w:r w:rsidR="00BC070F">
        <w:rPr>
          <w:rFonts w:ascii="Arial" w:hAnsi="Arial" w:cs="Arial"/>
          <w:sz w:val="18"/>
          <w:szCs w:val="18"/>
        </w:rPr>
        <w:t>Street, Vancouver, BC, V6B 1B8</w:t>
      </w:r>
      <w:bookmarkEnd w:id="0"/>
      <w:r w:rsidR="00000DA7" w:rsidRPr="00000DA7">
        <w:rPr>
          <w:rFonts w:ascii="Arial" w:hAnsi="Arial" w:cs="Arial"/>
          <w:sz w:val="18"/>
          <w:szCs w:val="18"/>
        </w:rPr>
        <w:t>, Canada. On</w:t>
      </w:r>
      <w:r w:rsidR="00544064">
        <w:rPr>
          <w:rFonts w:ascii="Arial" w:hAnsi="Arial" w:cs="Arial"/>
          <w:sz w:val="18"/>
          <w:szCs w:val="18"/>
        </w:rPr>
        <w:t xml:space="preserve"> February</w:t>
      </w:r>
      <w:r w:rsidR="00000DA7" w:rsidRPr="00000DA7">
        <w:rPr>
          <w:rFonts w:ascii="Arial" w:hAnsi="Arial" w:cs="Arial"/>
          <w:sz w:val="18"/>
          <w:szCs w:val="18"/>
        </w:rPr>
        <w:t xml:space="preserve"> </w:t>
      </w:r>
      <w:r w:rsidR="00544064">
        <w:rPr>
          <w:rFonts w:ascii="Arial" w:hAnsi="Arial" w:cs="Arial"/>
          <w:sz w:val="18"/>
          <w:szCs w:val="18"/>
        </w:rPr>
        <w:t>11</w:t>
      </w:r>
      <w:r w:rsidR="00000DA7" w:rsidRPr="00000DA7">
        <w:rPr>
          <w:rFonts w:ascii="Arial" w:hAnsi="Arial" w:cs="Arial"/>
          <w:sz w:val="18"/>
          <w:szCs w:val="18"/>
        </w:rPr>
        <w:t xml:space="preserve">, 2021, the shares of the Company began trading on the Canadian </w:t>
      </w:r>
      <w:r w:rsidR="00AD4135" w:rsidRPr="00000DA7">
        <w:rPr>
          <w:rFonts w:ascii="Arial" w:hAnsi="Arial" w:cs="Arial"/>
          <w:sz w:val="18"/>
          <w:szCs w:val="18"/>
        </w:rPr>
        <w:t>S</w:t>
      </w:r>
      <w:r w:rsidR="00AD4135">
        <w:rPr>
          <w:rFonts w:ascii="Arial" w:hAnsi="Arial" w:cs="Arial"/>
          <w:sz w:val="18"/>
          <w:szCs w:val="18"/>
        </w:rPr>
        <w:t>ecurities</w:t>
      </w:r>
      <w:r w:rsidR="00AD4135" w:rsidRPr="00000DA7">
        <w:rPr>
          <w:rFonts w:ascii="Arial" w:hAnsi="Arial" w:cs="Arial"/>
          <w:sz w:val="18"/>
          <w:szCs w:val="18"/>
        </w:rPr>
        <w:t xml:space="preserve"> </w:t>
      </w:r>
      <w:r w:rsidR="00000DA7" w:rsidRPr="00000DA7">
        <w:rPr>
          <w:rFonts w:ascii="Arial" w:hAnsi="Arial" w:cs="Arial"/>
          <w:sz w:val="18"/>
          <w:szCs w:val="18"/>
        </w:rPr>
        <w:t>Exchange</w:t>
      </w:r>
      <w:r w:rsidR="00B32483">
        <w:rPr>
          <w:rFonts w:ascii="Arial" w:hAnsi="Arial" w:cs="Arial"/>
          <w:sz w:val="18"/>
          <w:szCs w:val="18"/>
        </w:rPr>
        <w:t xml:space="preserve"> </w:t>
      </w:r>
      <w:r w:rsidR="00000DA7" w:rsidRPr="00000DA7">
        <w:rPr>
          <w:rFonts w:ascii="Arial" w:hAnsi="Arial" w:cs="Arial"/>
          <w:sz w:val="18"/>
          <w:szCs w:val="18"/>
        </w:rPr>
        <w:t>under the symbol “RCHR”.</w:t>
      </w:r>
    </w:p>
    <w:p w14:paraId="262C2996" w14:textId="77777777" w:rsidR="001A55A6" w:rsidRPr="00361EC3" w:rsidRDefault="001A55A6" w:rsidP="00361EC3">
      <w:pPr>
        <w:contextualSpacing/>
        <w:rPr>
          <w:rFonts w:ascii="Arial" w:hAnsi="Arial" w:cs="Arial"/>
          <w:sz w:val="18"/>
          <w:szCs w:val="18"/>
        </w:rPr>
      </w:pPr>
    </w:p>
    <w:p w14:paraId="17AE9C01" w14:textId="052B76B2" w:rsidR="001A55A6" w:rsidRDefault="001A55A6" w:rsidP="00361EC3">
      <w:pPr>
        <w:contextualSpacing/>
        <w:rPr>
          <w:rFonts w:ascii="Arial" w:hAnsi="Arial" w:cs="Arial"/>
          <w:sz w:val="18"/>
          <w:szCs w:val="18"/>
        </w:rPr>
      </w:pPr>
      <w:r w:rsidRPr="00361EC3">
        <w:rPr>
          <w:rFonts w:ascii="Arial" w:hAnsi="Arial" w:cs="Arial"/>
          <w:sz w:val="18"/>
          <w:szCs w:val="18"/>
        </w:rPr>
        <w:t>The Company expenses all exploration, evaluation and development expenditures until management concludes that a future economic benefit is more likely than not to be realized.</w:t>
      </w:r>
    </w:p>
    <w:p w14:paraId="6F754C26" w14:textId="01F74492" w:rsidR="00000DA7" w:rsidRDefault="00000DA7" w:rsidP="00361EC3">
      <w:pPr>
        <w:contextualSpacing/>
        <w:rPr>
          <w:rFonts w:ascii="Arial" w:hAnsi="Arial" w:cs="Arial"/>
          <w:sz w:val="18"/>
          <w:szCs w:val="18"/>
        </w:rPr>
      </w:pPr>
    </w:p>
    <w:p w14:paraId="6C710817" w14:textId="2102A58F" w:rsidR="00000DA7" w:rsidRPr="00361EC3" w:rsidRDefault="00000DA7" w:rsidP="00000DA7">
      <w:pPr>
        <w:contextualSpacing/>
        <w:rPr>
          <w:rFonts w:ascii="Arial" w:hAnsi="Arial" w:cs="Arial"/>
          <w:sz w:val="18"/>
          <w:szCs w:val="18"/>
        </w:rPr>
      </w:pPr>
      <w:r w:rsidRPr="00361EC3">
        <w:rPr>
          <w:rFonts w:ascii="Arial" w:hAnsi="Arial" w:cs="Arial"/>
          <w:sz w:val="18"/>
          <w:szCs w:val="18"/>
        </w:rPr>
        <w:t>Costs relating to the acquisition and claim maintenance of exploration and evaluation assets (including option payments and annual fees to maintain the property in good standing) are capitalized and deferred by property until the project to which they relate is sold, abandoned, impaired</w:t>
      </w:r>
      <w:r w:rsidR="00425000">
        <w:rPr>
          <w:rFonts w:ascii="Arial" w:hAnsi="Arial" w:cs="Arial"/>
          <w:sz w:val="18"/>
          <w:szCs w:val="18"/>
        </w:rPr>
        <w:t>,</w:t>
      </w:r>
      <w:r w:rsidRPr="00361EC3">
        <w:rPr>
          <w:rFonts w:ascii="Arial" w:hAnsi="Arial" w:cs="Arial"/>
          <w:sz w:val="18"/>
          <w:szCs w:val="18"/>
        </w:rPr>
        <w:t xml:space="preserve"> or placed into production.</w:t>
      </w:r>
    </w:p>
    <w:p w14:paraId="3C18DD5D" w14:textId="77777777" w:rsidR="001A55A6" w:rsidRPr="00361EC3" w:rsidRDefault="001A55A6" w:rsidP="00361EC3">
      <w:pPr>
        <w:contextualSpacing/>
        <w:rPr>
          <w:rFonts w:ascii="Arial" w:hAnsi="Arial" w:cs="Arial"/>
          <w:sz w:val="18"/>
          <w:szCs w:val="18"/>
        </w:rPr>
      </w:pPr>
    </w:p>
    <w:p w14:paraId="71C13A58" w14:textId="03E236B9" w:rsidR="009562F9" w:rsidRDefault="009562F9" w:rsidP="00361EC3">
      <w:pPr>
        <w:contextualSpacing/>
        <w:rPr>
          <w:rFonts w:ascii="Arial" w:hAnsi="Arial" w:cs="Arial"/>
          <w:sz w:val="18"/>
          <w:szCs w:val="18"/>
        </w:rPr>
      </w:pPr>
      <w:r w:rsidRPr="00361EC3">
        <w:rPr>
          <w:rFonts w:ascii="Arial" w:hAnsi="Arial" w:cs="Arial"/>
          <w:sz w:val="18"/>
          <w:szCs w:val="18"/>
        </w:rPr>
        <w:t xml:space="preserve">The Company has no operating cash </w:t>
      </w:r>
      <w:proofErr w:type="gramStart"/>
      <w:r w:rsidR="00B349D2" w:rsidRPr="00361EC3">
        <w:rPr>
          <w:rFonts w:ascii="Arial" w:hAnsi="Arial" w:cs="Arial"/>
          <w:sz w:val="18"/>
          <w:szCs w:val="18"/>
        </w:rPr>
        <w:t>flow</w:t>
      </w:r>
      <w:proofErr w:type="gramEnd"/>
      <w:r w:rsidR="00B349D2">
        <w:rPr>
          <w:rFonts w:ascii="Arial" w:hAnsi="Arial" w:cs="Arial"/>
          <w:sz w:val="18"/>
          <w:szCs w:val="18"/>
        </w:rPr>
        <w:t xml:space="preserve"> </w:t>
      </w:r>
      <w:r w:rsidRPr="00361EC3">
        <w:rPr>
          <w:rFonts w:ascii="Arial" w:hAnsi="Arial" w:cs="Arial"/>
          <w:sz w:val="18"/>
          <w:szCs w:val="18"/>
        </w:rPr>
        <w:t xml:space="preserve">and its level of expenditures is dependent on </w:t>
      </w:r>
      <w:r w:rsidR="005923A1" w:rsidRPr="00361EC3">
        <w:rPr>
          <w:rFonts w:ascii="Arial" w:hAnsi="Arial" w:cs="Arial"/>
          <w:sz w:val="18"/>
          <w:szCs w:val="18"/>
        </w:rPr>
        <w:t xml:space="preserve">debt </w:t>
      </w:r>
      <w:r w:rsidR="00644761">
        <w:rPr>
          <w:rFonts w:ascii="Arial" w:hAnsi="Arial" w:cs="Arial"/>
          <w:sz w:val="18"/>
          <w:szCs w:val="18"/>
        </w:rPr>
        <w:t xml:space="preserve">and </w:t>
      </w:r>
      <w:r w:rsidRPr="00361EC3">
        <w:rPr>
          <w:rFonts w:ascii="Arial" w:hAnsi="Arial" w:cs="Arial"/>
          <w:sz w:val="18"/>
          <w:szCs w:val="18"/>
        </w:rPr>
        <w:t>equity to finance its exploration operations. Therefore, it is difficult to identify any meaningful trends or develop an analysis from cash flows.</w:t>
      </w:r>
    </w:p>
    <w:p w14:paraId="08E5AE87" w14:textId="6E651B73" w:rsidR="008A7282" w:rsidRDefault="008A7282" w:rsidP="00361EC3">
      <w:pPr>
        <w:contextualSpacing/>
        <w:rPr>
          <w:rFonts w:ascii="Arial" w:hAnsi="Arial" w:cs="Arial"/>
          <w:sz w:val="18"/>
          <w:szCs w:val="18"/>
        </w:rPr>
      </w:pPr>
    </w:p>
    <w:p w14:paraId="37DB03A3" w14:textId="6285BD2E" w:rsidR="008A7282" w:rsidRPr="006C6B26" w:rsidRDefault="008A7282" w:rsidP="006C6B26">
      <w:pPr>
        <w:pStyle w:val="Heading1"/>
        <w:ind w:left="0"/>
        <w:contextualSpacing/>
        <w:rPr>
          <w:rFonts w:ascii="Arial" w:hAnsi="Arial" w:cs="Arial"/>
          <w:sz w:val="18"/>
          <w:szCs w:val="18"/>
        </w:rPr>
      </w:pPr>
      <w:r w:rsidRPr="006C6B26">
        <w:rPr>
          <w:rFonts w:ascii="Arial" w:hAnsi="Arial" w:cs="Arial"/>
          <w:sz w:val="18"/>
          <w:szCs w:val="18"/>
        </w:rPr>
        <w:t xml:space="preserve">Financial </w:t>
      </w:r>
      <w:r w:rsidR="006C6B26" w:rsidRPr="006C6B26">
        <w:rPr>
          <w:rFonts w:ascii="Arial" w:hAnsi="Arial" w:cs="Arial"/>
          <w:sz w:val="18"/>
          <w:szCs w:val="18"/>
        </w:rPr>
        <w:t>p</w:t>
      </w:r>
      <w:r w:rsidRPr="006C6B26">
        <w:rPr>
          <w:rFonts w:ascii="Arial" w:hAnsi="Arial" w:cs="Arial"/>
          <w:sz w:val="18"/>
          <w:szCs w:val="18"/>
        </w:rPr>
        <w:t>erformance</w:t>
      </w:r>
    </w:p>
    <w:p w14:paraId="336C106C" w14:textId="27224F66" w:rsidR="008A7282" w:rsidRDefault="008A7282" w:rsidP="00361EC3">
      <w:pPr>
        <w:contextualSpacing/>
        <w:rPr>
          <w:rFonts w:ascii="Arial" w:hAnsi="Arial" w:cs="Arial"/>
          <w:sz w:val="18"/>
          <w:szCs w:val="18"/>
        </w:rPr>
      </w:pPr>
    </w:p>
    <w:p w14:paraId="7574D8CB" w14:textId="451D512D" w:rsidR="00D116C6" w:rsidRDefault="006C6B26" w:rsidP="00361EC3">
      <w:pPr>
        <w:contextualSpacing/>
        <w:rPr>
          <w:rFonts w:ascii="Arial" w:hAnsi="Arial" w:cs="Arial"/>
          <w:sz w:val="18"/>
          <w:szCs w:val="18"/>
        </w:rPr>
      </w:pPr>
      <w:r w:rsidRPr="006C6B26">
        <w:rPr>
          <w:rFonts w:ascii="Arial" w:hAnsi="Arial" w:cs="Arial"/>
          <w:sz w:val="18"/>
          <w:szCs w:val="18"/>
        </w:rPr>
        <w:t xml:space="preserve">As at </w:t>
      </w:r>
      <w:r w:rsidR="00EE38FA">
        <w:rPr>
          <w:rFonts w:ascii="Arial" w:hAnsi="Arial" w:cs="Arial"/>
          <w:sz w:val="18"/>
          <w:szCs w:val="18"/>
        </w:rPr>
        <w:t>March 31, 2022</w:t>
      </w:r>
      <w:r w:rsidRPr="006C6B26">
        <w:rPr>
          <w:rFonts w:ascii="Arial" w:hAnsi="Arial" w:cs="Arial"/>
          <w:sz w:val="18"/>
          <w:szCs w:val="18"/>
        </w:rPr>
        <w:t>, current assets were $</w:t>
      </w:r>
      <w:r w:rsidR="00C416CC" w:rsidRPr="00C416CC">
        <w:rPr>
          <w:rFonts w:ascii="Arial" w:hAnsi="Arial" w:cs="Arial"/>
          <w:sz w:val="18"/>
          <w:szCs w:val="18"/>
        </w:rPr>
        <w:t>1,910,939</w:t>
      </w:r>
      <w:r w:rsidRPr="006C6B26">
        <w:rPr>
          <w:rFonts w:ascii="Arial" w:hAnsi="Arial" w:cs="Arial"/>
          <w:sz w:val="18"/>
          <w:szCs w:val="18"/>
        </w:rPr>
        <w:t xml:space="preserve"> (September 30, 2021</w:t>
      </w:r>
      <w:r w:rsidR="00B349D2">
        <w:rPr>
          <w:rFonts w:ascii="Arial" w:hAnsi="Arial" w:cs="Arial"/>
          <w:sz w:val="18"/>
          <w:szCs w:val="18"/>
        </w:rPr>
        <w:t xml:space="preserve"> </w:t>
      </w:r>
      <w:r w:rsidRPr="006C6B26">
        <w:rPr>
          <w:rFonts w:ascii="Arial" w:hAnsi="Arial" w:cs="Arial"/>
          <w:sz w:val="18"/>
          <w:szCs w:val="18"/>
        </w:rPr>
        <w:t xml:space="preserve">- $1,498,277) and current liabilities were </w:t>
      </w:r>
      <w:r w:rsidRPr="00836D8C">
        <w:rPr>
          <w:rFonts w:ascii="Arial" w:hAnsi="Arial" w:cs="Arial"/>
          <w:sz w:val="18"/>
          <w:szCs w:val="18"/>
        </w:rPr>
        <w:t>$</w:t>
      </w:r>
      <w:r w:rsidR="00836D8C" w:rsidRPr="00836D8C">
        <w:rPr>
          <w:rFonts w:ascii="Arial" w:hAnsi="Arial" w:cs="Arial"/>
          <w:sz w:val="18"/>
          <w:szCs w:val="18"/>
        </w:rPr>
        <w:t xml:space="preserve">48,887 </w:t>
      </w:r>
      <w:r w:rsidRPr="006C6B26">
        <w:rPr>
          <w:rFonts w:ascii="Arial" w:hAnsi="Arial" w:cs="Arial"/>
          <w:sz w:val="18"/>
          <w:szCs w:val="18"/>
        </w:rPr>
        <w:t xml:space="preserve">(September 30, 2021 - $224,611), resulting in working capital </w:t>
      </w:r>
      <w:r w:rsidRPr="00836D8C">
        <w:rPr>
          <w:rFonts w:ascii="Arial" w:hAnsi="Arial" w:cs="Arial"/>
          <w:sz w:val="18"/>
          <w:szCs w:val="18"/>
        </w:rPr>
        <w:t>of $</w:t>
      </w:r>
      <w:r w:rsidR="00836D8C" w:rsidRPr="00836D8C">
        <w:rPr>
          <w:rFonts w:ascii="Arial" w:hAnsi="Arial" w:cs="Arial"/>
          <w:sz w:val="18"/>
          <w:szCs w:val="18"/>
        </w:rPr>
        <w:t>1,862,052</w:t>
      </w:r>
      <w:r w:rsidRPr="006C6B26">
        <w:rPr>
          <w:rFonts w:ascii="Arial" w:hAnsi="Arial" w:cs="Arial"/>
          <w:sz w:val="18"/>
          <w:szCs w:val="18"/>
        </w:rPr>
        <w:t xml:space="preserve"> (September 30, 2021 - $1,273,666). The increase in working capital during the </w:t>
      </w:r>
      <w:r w:rsidR="00EE38FA">
        <w:rPr>
          <w:rFonts w:ascii="Arial" w:hAnsi="Arial" w:cs="Arial"/>
          <w:sz w:val="18"/>
          <w:szCs w:val="18"/>
        </w:rPr>
        <w:t>six</w:t>
      </w:r>
      <w:r w:rsidRPr="006C6B26">
        <w:rPr>
          <w:rFonts w:ascii="Arial" w:hAnsi="Arial" w:cs="Arial"/>
          <w:sz w:val="18"/>
          <w:szCs w:val="18"/>
        </w:rPr>
        <w:t xml:space="preserve"> months ended </w:t>
      </w:r>
      <w:r w:rsidR="00EE38FA">
        <w:rPr>
          <w:rFonts w:ascii="Arial" w:hAnsi="Arial" w:cs="Arial"/>
          <w:sz w:val="18"/>
          <w:szCs w:val="18"/>
        </w:rPr>
        <w:t>March 31, 2022</w:t>
      </w:r>
      <w:r w:rsidRPr="006C6B26">
        <w:rPr>
          <w:rFonts w:ascii="Arial" w:hAnsi="Arial" w:cs="Arial"/>
          <w:sz w:val="18"/>
          <w:szCs w:val="18"/>
        </w:rPr>
        <w:t xml:space="preserve"> </w:t>
      </w:r>
      <w:r w:rsidR="00644761">
        <w:rPr>
          <w:rFonts w:ascii="Arial" w:hAnsi="Arial" w:cs="Arial"/>
          <w:sz w:val="18"/>
          <w:szCs w:val="18"/>
        </w:rPr>
        <w:t xml:space="preserve">is </w:t>
      </w:r>
      <w:r w:rsidRPr="006C6B26">
        <w:rPr>
          <w:rFonts w:ascii="Arial" w:hAnsi="Arial" w:cs="Arial"/>
          <w:sz w:val="18"/>
          <w:szCs w:val="18"/>
        </w:rPr>
        <w:t>due to the increase in cash</w:t>
      </w:r>
      <w:r w:rsidR="00425FB0">
        <w:rPr>
          <w:rFonts w:ascii="Arial" w:hAnsi="Arial" w:cs="Arial"/>
          <w:sz w:val="18"/>
          <w:szCs w:val="18"/>
        </w:rPr>
        <w:t xml:space="preserve">, GST/HST receivable, </w:t>
      </w:r>
      <w:r w:rsidRPr="006C6B26">
        <w:rPr>
          <w:rFonts w:ascii="Arial" w:hAnsi="Arial" w:cs="Arial"/>
          <w:sz w:val="18"/>
          <w:szCs w:val="18"/>
        </w:rPr>
        <w:t>prepaid expenses</w:t>
      </w:r>
      <w:r w:rsidR="00425FB0">
        <w:rPr>
          <w:rFonts w:ascii="Arial" w:hAnsi="Arial" w:cs="Arial"/>
          <w:sz w:val="18"/>
          <w:szCs w:val="18"/>
        </w:rPr>
        <w:t>, and the decrease in trade and other payables</w:t>
      </w:r>
      <w:r w:rsidRPr="006C6B26">
        <w:rPr>
          <w:rFonts w:ascii="Arial" w:hAnsi="Arial" w:cs="Arial"/>
          <w:sz w:val="18"/>
          <w:szCs w:val="18"/>
        </w:rPr>
        <w:t>.</w:t>
      </w:r>
    </w:p>
    <w:p w14:paraId="0F879908" w14:textId="77777777" w:rsidR="00D116C6" w:rsidRDefault="00D116C6" w:rsidP="00361EC3">
      <w:pPr>
        <w:contextualSpacing/>
        <w:rPr>
          <w:rFonts w:ascii="Arial" w:hAnsi="Arial" w:cs="Arial"/>
          <w:sz w:val="18"/>
          <w:szCs w:val="18"/>
        </w:rPr>
      </w:pPr>
    </w:p>
    <w:p w14:paraId="59C314C8" w14:textId="46B778C3" w:rsidR="008A7282" w:rsidRPr="00361EC3" w:rsidRDefault="006C6B26" w:rsidP="00361EC3">
      <w:pPr>
        <w:contextualSpacing/>
        <w:rPr>
          <w:rFonts w:ascii="Arial" w:hAnsi="Arial" w:cs="Arial"/>
          <w:sz w:val="18"/>
          <w:szCs w:val="18"/>
        </w:rPr>
      </w:pPr>
      <w:r w:rsidRPr="006C6B26">
        <w:rPr>
          <w:rFonts w:ascii="Arial" w:hAnsi="Arial" w:cs="Arial"/>
          <w:sz w:val="18"/>
          <w:szCs w:val="18"/>
        </w:rPr>
        <w:t xml:space="preserve">As at </w:t>
      </w:r>
      <w:r w:rsidR="00EE38FA">
        <w:rPr>
          <w:rFonts w:ascii="Arial" w:hAnsi="Arial" w:cs="Arial"/>
          <w:sz w:val="18"/>
          <w:szCs w:val="18"/>
        </w:rPr>
        <w:t>March 31, 2022</w:t>
      </w:r>
      <w:r w:rsidRPr="006C6B26">
        <w:rPr>
          <w:rFonts w:ascii="Arial" w:hAnsi="Arial" w:cs="Arial"/>
          <w:sz w:val="18"/>
          <w:szCs w:val="18"/>
        </w:rPr>
        <w:t xml:space="preserve">, the Company had total assets of </w:t>
      </w:r>
      <w:r w:rsidR="00871FF9">
        <w:rPr>
          <w:rFonts w:ascii="Arial" w:hAnsi="Arial" w:cs="Arial"/>
          <w:sz w:val="18"/>
          <w:szCs w:val="18"/>
        </w:rPr>
        <w:t>$</w:t>
      </w:r>
      <w:r w:rsidR="00425000">
        <w:rPr>
          <w:rFonts w:ascii="Arial" w:hAnsi="Arial" w:cs="Arial"/>
          <w:sz w:val="18"/>
          <w:szCs w:val="18"/>
        </w:rPr>
        <w:t>2,058</w:t>
      </w:r>
      <w:r w:rsidR="00871FF9" w:rsidRPr="00871FF9">
        <w:rPr>
          <w:rFonts w:ascii="Arial" w:hAnsi="Arial" w:cs="Arial"/>
          <w:sz w:val="18"/>
          <w:szCs w:val="18"/>
        </w:rPr>
        <w:t>,4</w:t>
      </w:r>
      <w:r w:rsidR="00425000">
        <w:rPr>
          <w:rFonts w:ascii="Arial" w:hAnsi="Arial" w:cs="Arial"/>
          <w:sz w:val="18"/>
          <w:szCs w:val="18"/>
        </w:rPr>
        <w:t>2</w:t>
      </w:r>
      <w:r w:rsidR="00871FF9" w:rsidRPr="00871FF9">
        <w:rPr>
          <w:rFonts w:ascii="Arial" w:hAnsi="Arial" w:cs="Arial"/>
          <w:sz w:val="18"/>
          <w:szCs w:val="18"/>
        </w:rPr>
        <w:t xml:space="preserve">9 </w:t>
      </w:r>
      <w:r w:rsidRPr="006C6B26">
        <w:rPr>
          <w:rFonts w:ascii="Arial" w:hAnsi="Arial" w:cs="Arial"/>
          <w:sz w:val="18"/>
          <w:szCs w:val="18"/>
        </w:rPr>
        <w:t xml:space="preserve">(September 30, 2021 - $1,535,777) which is comprised of </w:t>
      </w:r>
      <w:r w:rsidRPr="007E7AA9">
        <w:rPr>
          <w:rFonts w:ascii="Arial" w:hAnsi="Arial" w:cs="Arial"/>
          <w:sz w:val="18"/>
          <w:szCs w:val="18"/>
        </w:rPr>
        <w:t>$</w:t>
      </w:r>
      <w:r w:rsidR="007E7AA9" w:rsidRPr="007E7AA9">
        <w:rPr>
          <w:rFonts w:ascii="Arial" w:hAnsi="Arial" w:cs="Arial"/>
          <w:sz w:val="18"/>
          <w:szCs w:val="18"/>
        </w:rPr>
        <w:t xml:space="preserve">760,548 </w:t>
      </w:r>
      <w:r w:rsidRPr="006C6B26">
        <w:rPr>
          <w:rFonts w:ascii="Arial" w:hAnsi="Arial" w:cs="Arial"/>
          <w:sz w:val="18"/>
          <w:szCs w:val="18"/>
        </w:rPr>
        <w:t>of cash (September 30, 2021 - $731,346),</w:t>
      </w:r>
      <w:r w:rsidR="00000DA7">
        <w:rPr>
          <w:rFonts w:ascii="Arial" w:hAnsi="Arial" w:cs="Arial"/>
          <w:sz w:val="18"/>
          <w:szCs w:val="18"/>
        </w:rPr>
        <w:t xml:space="preserve"> </w:t>
      </w:r>
      <w:r w:rsidRPr="006C6B26">
        <w:rPr>
          <w:rFonts w:ascii="Arial" w:hAnsi="Arial" w:cs="Arial"/>
          <w:sz w:val="18"/>
          <w:szCs w:val="18"/>
        </w:rPr>
        <w:t xml:space="preserve">GST/HST receivable of </w:t>
      </w:r>
      <w:r w:rsidRPr="007E7AA9">
        <w:rPr>
          <w:rFonts w:ascii="Arial" w:hAnsi="Arial" w:cs="Arial"/>
          <w:sz w:val="18"/>
          <w:szCs w:val="18"/>
        </w:rPr>
        <w:t>$</w:t>
      </w:r>
      <w:r w:rsidR="007E7AA9" w:rsidRPr="007E7AA9">
        <w:rPr>
          <w:rFonts w:ascii="Arial" w:hAnsi="Arial" w:cs="Arial"/>
          <w:sz w:val="18"/>
          <w:szCs w:val="18"/>
        </w:rPr>
        <w:t>60,133</w:t>
      </w:r>
      <w:r w:rsidRPr="006C6B26">
        <w:rPr>
          <w:rFonts w:ascii="Arial" w:hAnsi="Arial" w:cs="Arial"/>
          <w:sz w:val="18"/>
          <w:szCs w:val="18"/>
        </w:rPr>
        <w:t xml:space="preserve"> (September 30, 2021 - $5,597),</w:t>
      </w:r>
      <w:r w:rsidR="00000DA7">
        <w:rPr>
          <w:rFonts w:ascii="Arial" w:hAnsi="Arial" w:cs="Arial"/>
          <w:sz w:val="18"/>
          <w:szCs w:val="18"/>
        </w:rPr>
        <w:t xml:space="preserve"> </w:t>
      </w:r>
      <w:r w:rsidR="00000DA7" w:rsidRPr="00904BC8">
        <w:rPr>
          <w:rFonts w:ascii="Arial" w:hAnsi="Arial" w:cs="Arial"/>
          <w:sz w:val="18"/>
          <w:szCs w:val="18"/>
        </w:rPr>
        <w:t>$</w:t>
      </w:r>
      <w:r w:rsidR="00904BC8" w:rsidRPr="00904BC8">
        <w:rPr>
          <w:rFonts w:ascii="Arial" w:hAnsi="Arial" w:cs="Arial"/>
          <w:sz w:val="18"/>
          <w:szCs w:val="18"/>
        </w:rPr>
        <w:t>1,090,258</w:t>
      </w:r>
      <w:r w:rsidR="00000DA7" w:rsidRPr="006C6B26">
        <w:rPr>
          <w:rFonts w:ascii="Arial" w:hAnsi="Arial" w:cs="Arial"/>
          <w:sz w:val="18"/>
          <w:szCs w:val="18"/>
        </w:rPr>
        <w:t xml:space="preserve"> of prepaid expenses (September 30, 2021 - $761,334)</w:t>
      </w:r>
      <w:r w:rsidR="00000DA7">
        <w:rPr>
          <w:rFonts w:ascii="Arial" w:hAnsi="Arial" w:cs="Arial"/>
          <w:sz w:val="18"/>
          <w:szCs w:val="18"/>
        </w:rPr>
        <w:t xml:space="preserve">, </w:t>
      </w:r>
      <w:r w:rsidRPr="006C6B26">
        <w:rPr>
          <w:rFonts w:ascii="Arial" w:hAnsi="Arial" w:cs="Arial"/>
          <w:sz w:val="18"/>
          <w:szCs w:val="18"/>
        </w:rPr>
        <w:t xml:space="preserve">and exploration and evaluation </w:t>
      </w:r>
      <w:r w:rsidR="002948AF">
        <w:rPr>
          <w:rFonts w:ascii="Arial" w:hAnsi="Arial" w:cs="Arial"/>
          <w:sz w:val="18"/>
          <w:szCs w:val="18"/>
        </w:rPr>
        <w:t>assets</w:t>
      </w:r>
      <w:r w:rsidRPr="006C6B26">
        <w:rPr>
          <w:rFonts w:ascii="Arial" w:hAnsi="Arial" w:cs="Arial"/>
          <w:sz w:val="18"/>
          <w:szCs w:val="18"/>
        </w:rPr>
        <w:t xml:space="preserve"> of </w:t>
      </w:r>
      <w:r w:rsidRPr="00904BC8">
        <w:rPr>
          <w:rFonts w:ascii="Arial" w:hAnsi="Arial" w:cs="Arial"/>
          <w:sz w:val="18"/>
          <w:szCs w:val="18"/>
        </w:rPr>
        <w:t>$</w:t>
      </w:r>
      <w:r w:rsidR="002948AF">
        <w:rPr>
          <w:rFonts w:ascii="Arial" w:hAnsi="Arial" w:cs="Arial"/>
          <w:sz w:val="18"/>
          <w:szCs w:val="18"/>
        </w:rPr>
        <w:t>147</w:t>
      </w:r>
      <w:r w:rsidRPr="00904BC8">
        <w:rPr>
          <w:rFonts w:ascii="Arial" w:hAnsi="Arial" w:cs="Arial"/>
          <w:sz w:val="18"/>
          <w:szCs w:val="18"/>
        </w:rPr>
        <w:t>,</w:t>
      </w:r>
      <w:r w:rsidR="002948AF">
        <w:rPr>
          <w:rFonts w:ascii="Arial" w:hAnsi="Arial" w:cs="Arial"/>
          <w:sz w:val="18"/>
          <w:szCs w:val="18"/>
        </w:rPr>
        <w:t>490</w:t>
      </w:r>
      <w:r w:rsidRPr="006C6B26">
        <w:rPr>
          <w:rFonts w:ascii="Arial" w:hAnsi="Arial" w:cs="Arial"/>
          <w:sz w:val="18"/>
          <w:szCs w:val="18"/>
        </w:rPr>
        <w:t xml:space="preserve"> (September 30, 2021 - $37,500).</w:t>
      </w:r>
    </w:p>
    <w:p w14:paraId="60AADB77" w14:textId="73EECDD0" w:rsidR="009562F9" w:rsidRDefault="009562F9" w:rsidP="00361EC3">
      <w:pPr>
        <w:contextualSpacing/>
        <w:rPr>
          <w:rFonts w:ascii="Arial" w:hAnsi="Arial" w:cs="Arial"/>
          <w:sz w:val="18"/>
          <w:szCs w:val="18"/>
        </w:rPr>
      </w:pPr>
    </w:p>
    <w:p w14:paraId="4F22285E" w14:textId="777495C6" w:rsidR="00D116C6" w:rsidRPr="00D116C6" w:rsidRDefault="00D116C6" w:rsidP="00D116C6">
      <w:pPr>
        <w:contextualSpacing/>
        <w:rPr>
          <w:rFonts w:ascii="Arial" w:hAnsi="Arial" w:cs="Arial"/>
          <w:sz w:val="18"/>
          <w:szCs w:val="18"/>
        </w:rPr>
      </w:pPr>
      <w:r w:rsidRPr="00D116C6">
        <w:rPr>
          <w:rFonts w:ascii="Arial" w:hAnsi="Arial" w:cs="Arial"/>
          <w:sz w:val="18"/>
          <w:szCs w:val="18"/>
        </w:rPr>
        <w:t xml:space="preserve">As at </w:t>
      </w:r>
      <w:r w:rsidR="00EE38FA">
        <w:rPr>
          <w:rFonts w:ascii="Arial" w:hAnsi="Arial" w:cs="Arial"/>
          <w:sz w:val="18"/>
          <w:szCs w:val="18"/>
        </w:rPr>
        <w:t>March 31, 2022</w:t>
      </w:r>
      <w:r w:rsidRPr="00D116C6">
        <w:rPr>
          <w:rFonts w:ascii="Arial" w:hAnsi="Arial" w:cs="Arial"/>
          <w:sz w:val="18"/>
          <w:szCs w:val="18"/>
        </w:rPr>
        <w:t xml:space="preserve">, </w:t>
      </w:r>
      <w:r w:rsidR="00D55629">
        <w:rPr>
          <w:rFonts w:ascii="Arial" w:hAnsi="Arial" w:cs="Arial"/>
          <w:sz w:val="18"/>
          <w:szCs w:val="18"/>
        </w:rPr>
        <w:t>the Company had total</w:t>
      </w:r>
      <w:r w:rsidRPr="00D116C6">
        <w:rPr>
          <w:rFonts w:ascii="Arial" w:hAnsi="Arial" w:cs="Arial"/>
          <w:sz w:val="18"/>
          <w:szCs w:val="18"/>
        </w:rPr>
        <w:t xml:space="preserve"> liabilities </w:t>
      </w:r>
      <w:r w:rsidR="00D55629">
        <w:rPr>
          <w:rFonts w:ascii="Arial" w:hAnsi="Arial" w:cs="Arial"/>
          <w:sz w:val="18"/>
          <w:szCs w:val="18"/>
        </w:rPr>
        <w:t xml:space="preserve">of </w:t>
      </w:r>
      <w:r w:rsidRPr="00272F49">
        <w:rPr>
          <w:rFonts w:ascii="Arial" w:hAnsi="Arial" w:cs="Arial"/>
          <w:sz w:val="18"/>
          <w:szCs w:val="18"/>
        </w:rPr>
        <w:t>$</w:t>
      </w:r>
      <w:r w:rsidR="00272F49" w:rsidRPr="00272F49">
        <w:rPr>
          <w:rFonts w:ascii="Arial" w:hAnsi="Arial" w:cs="Arial"/>
          <w:sz w:val="18"/>
          <w:szCs w:val="18"/>
        </w:rPr>
        <w:t>48,887</w:t>
      </w:r>
      <w:r w:rsidRPr="00D116C6">
        <w:rPr>
          <w:rFonts w:ascii="Arial" w:hAnsi="Arial" w:cs="Arial"/>
          <w:sz w:val="18"/>
          <w:szCs w:val="18"/>
        </w:rPr>
        <w:t xml:space="preserve"> (September 30, 2021 - $</w:t>
      </w:r>
      <w:r>
        <w:rPr>
          <w:rFonts w:ascii="Arial" w:hAnsi="Arial" w:cs="Arial"/>
          <w:sz w:val="18"/>
          <w:szCs w:val="18"/>
        </w:rPr>
        <w:t>224</w:t>
      </w:r>
      <w:r w:rsidRPr="00D116C6">
        <w:rPr>
          <w:rFonts w:ascii="Arial" w:hAnsi="Arial" w:cs="Arial"/>
          <w:sz w:val="18"/>
          <w:szCs w:val="18"/>
        </w:rPr>
        <w:t>,</w:t>
      </w:r>
      <w:r>
        <w:rPr>
          <w:rFonts w:ascii="Arial" w:hAnsi="Arial" w:cs="Arial"/>
          <w:sz w:val="18"/>
          <w:szCs w:val="18"/>
        </w:rPr>
        <w:t>611</w:t>
      </w:r>
      <w:r w:rsidRPr="00D116C6">
        <w:rPr>
          <w:rFonts w:ascii="Arial" w:hAnsi="Arial" w:cs="Arial"/>
          <w:sz w:val="18"/>
          <w:szCs w:val="18"/>
        </w:rPr>
        <w:t>)</w:t>
      </w:r>
      <w:r>
        <w:rPr>
          <w:rFonts w:ascii="Arial" w:hAnsi="Arial" w:cs="Arial"/>
          <w:sz w:val="18"/>
          <w:szCs w:val="18"/>
        </w:rPr>
        <w:t xml:space="preserve">, all of which </w:t>
      </w:r>
      <w:r w:rsidR="00D55629">
        <w:rPr>
          <w:rFonts w:ascii="Arial" w:hAnsi="Arial" w:cs="Arial"/>
          <w:sz w:val="18"/>
          <w:szCs w:val="18"/>
        </w:rPr>
        <w:t>are</w:t>
      </w:r>
      <w:r>
        <w:rPr>
          <w:rFonts w:ascii="Arial" w:hAnsi="Arial" w:cs="Arial"/>
          <w:sz w:val="18"/>
          <w:szCs w:val="18"/>
        </w:rPr>
        <w:t xml:space="preserve"> trade and other payables.</w:t>
      </w:r>
    </w:p>
    <w:p w14:paraId="2B5AA2BE" w14:textId="260A5E85" w:rsidR="00D116C6" w:rsidRDefault="00D116C6" w:rsidP="00361EC3">
      <w:pPr>
        <w:contextualSpacing/>
        <w:rPr>
          <w:rFonts w:ascii="Arial" w:hAnsi="Arial" w:cs="Arial"/>
          <w:sz w:val="18"/>
          <w:szCs w:val="18"/>
        </w:rPr>
      </w:pPr>
    </w:p>
    <w:p w14:paraId="78414836" w14:textId="48DCA3A8" w:rsidR="00D116C6" w:rsidRPr="00D116C6" w:rsidRDefault="00D55629" w:rsidP="00D116C6">
      <w:pPr>
        <w:contextualSpacing/>
        <w:rPr>
          <w:rFonts w:ascii="Arial" w:hAnsi="Arial" w:cs="Arial"/>
          <w:sz w:val="18"/>
          <w:szCs w:val="18"/>
        </w:rPr>
      </w:pPr>
      <w:r w:rsidRPr="00D55629">
        <w:rPr>
          <w:rFonts w:ascii="Arial" w:hAnsi="Arial" w:cs="Arial"/>
          <w:sz w:val="18"/>
          <w:szCs w:val="18"/>
        </w:rPr>
        <w:t xml:space="preserve">As at </w:t>
      </w:r>
      <w:r w:rsidR="00EE38FA">
        <w:rPr>
          <w:rFonts w:ascii="Arial" w:hAnsi="Arial" w:cs="Arial"/>
          <w:sz w:val="18"/>
          <w:szCs w:val="18"/>
        </w:rPr>
        <w:t>March 31, 2022</w:t>
      </w:r>
      <w:r>
        <w:rPr>
          <w:rFonts w:ascii="Arial" w:hAnsi="Arial" w:cs="Arial"/>
          <w:sz w:val="18"/>
          <w:szCs w:val="18"/>
        </w:rPr>
        <w:t>, s</w:t>
      </w:r>
      <w:r w:rsidR="00D116C6" w:rsidRPr="00D116C6">
        <w:rPr>
          <w:rFonts w:ascii="Arial" w:hAnsi="Arial" w:cs="Arial"/>
          <w:sz w:val="18"/>
          <w:szCs w:val="18"/>
        </w:rPr>
        <w:t xml:space="preserve">hareholders’ </w:t>
      </w:r>
      <w:r w:rsidR="00D116C6">
        <w:rPr>
          <w:rFonts w:ascii="Arial" w:hAnsi="Arial" w:cs="Arial"/>
          <w:sz w:val="18"/>
          <w:szCs w:val="18"/>
        </w:rPr>
        <w:t>equity</w:t>
      </w:r>
      <w:r w:rsidR="00D116C6" w:rsidRPr="00D116C6">
        <w:rPr>
          <w:rFonts w:ascii="Arial" w:hAnsi="Arial" w:cs="Arial"/>
          <w:sz w:val="18"/>
          <w:szCs w:val="18"/>
        </w:rPr>
        <w:t xml:space="preserve"> was comprised of share capital </w:t>
      </w:r>
      <w:r w:rsidR="00D116C6" w:rsidRPr="001823DD">
        <w:rPr>
          <w:rFonts w:ascii="Arial" w:hAnsi="Arial" w:cs="Arial"/>
          <w:sz w:val="18"/>
          <w:szCs w:val="18"/>
        </w:rPr>
        <w:t>of $</w:t>
      </w:r>
      <w:r w:rsidR="001823DD" w:rsidRPr="001823DD">
        <w:rPr>
          <w:rFonts w:ascii="Arial" w:hAnsi="Arial" w:cs="Arial"/>
          <w:sz w:val="18"/>
          <w:szCs w:val="18"/>
        </w:rPr>
        <w:t>3,111,142</w:t>
      </w:r>
      <w:r w:rsidR="00D116C6" w:rsidRPr="00D116C6">
        <w:rPr>
          <w:rFonts w:ascii="Arial" w:hAnsi="Arial" w:cs="Arial"/>
          <w:sz w:val="18"/>
          <w:szCs w:val="18"/>
        </w:rPr>
        <w:t xml:space="preserve"> (September 30, 2021 - $1,17</w:t>
      </w:r>
      <w:r w:rsidR="004C0638">
        <w:rPr>
          <w:rFonts w:ascii="Arial" w:hAnsi="Arial" w:cs="Arial"/>
          <w:sz w:val="18"/>
          <w:szCs w:val="18"/>
        </w:rPr>
        <w:t>4</w:t>
      </w:r>
      <w:r w:rsidR="00D116C6" w:rsidRPr="00D116C6">
        <w:rPr>
          <w:rFonts w:ascii="Arial" w:hAnsi="Arial" w:cs="Arial"/>
          <w:sz w:val="18"/>
          <w:szCs w:val="18"/>
        </w:rPr>
        <w:t>,</w:t>
      </w:r>
      <w:r w:rsidR="004C0638">
        <w:rPr>
          <w:rFonts w:ascii="Arial" w:hAnsi="Arial" w:cs="Arial"/>
          <w:sz w:val="18"/>
          <w:szCs w:val="18"/>
        </w:rPr>
        <w:t>961</w:t>
      </w:r>
      <w:r w:rsidR="00D116C6" w:rsidRPr="00D116C6">
        <w:rPr>
          <w:rFonts w:ascii="Arial" w:hAnsi="Arial" w:cs="Arial"/>
          <w:sz w:val="18"/>
          <w:szCs w:val="18"/>
        </w:rPr>
        <w:t xml:space="preserve">), </w:t>
      </w:r>
      <w:r w:rsidR="004C0638">
        <w:rPr>
          <w:rFonts w:ascii="Arial" w:hAnsi="Arial" w:cs="Arial"/>
          <w:sz w:val="18"/>
          <w:szCs w:val="18"/>
        </w:rPr>
        <w:t xml:space="preserve">warrants </w:t>
      </w:r>
      <w:r w:rsidR="00D116C6" w:rsidRPr="00D116C6">
        <w:rPr>
          <w:rFonts w:ascii="Arial" w:hAnsi="Arial" w:cs="Arial"/>
          <w:sz w:val="18"/>
          <w:szCs w:val="18"/>
        </w:rPr>
        <w:t>reserve</w:t>
      </w:r>
      <w:r w:rsidR="004C0638">
        <w:rPr>
          <w:rFonts w:ascii="Arial" w:hAnsi="Arial" w:cs="Arial"/>
          <w:sz w:val="18"/>
          <w:szCs w:val="18"/>
        </w:rPr>
        <w:t xml:space="preserve"> </w:t>
      </w:r>
      <w:r w:rsidR="00D116C6" w:rsidRPr="00D116C6">
        <w:rPr>
          <w:rFonts w:ascii="Arial" w:hAnsi="Arial" w:cs="Arial"/>
          <w:sz w:val="18"/>
          <w:szCs w:val="18"/>
        </w:rPr>
        <w:t>of $</w:t>
      </w:r>
      <w:r w:rsidR="004C0638" w:rsidRPr="000F6CB4">
        <w:rPr>
          <w:rFonts w:ascii="Arial" w:hAnsi="Arial" w:cs="Arial"/>
          <w:sz w:val="18"/>
          <w:szCs w:val="18"/>
        </w:rPr>
        <w:t>699,457</w:t>
      </w:r>
      <w:r w:rsidR="00D116C6" w:rsidRPr="00D116C6">
        <w:rPr>
          <w:rFonts w:ascii="Arial" w:hAnsi="Arial" w:cs="Arial"/>
          <w:sz w:val="18"/>
          <w:szCs w:val="18"/>
        </w:rPr>
        <w:t xml:space="preserve"> (September 30, 2021 - $</w:t>
      </w:r>
      <w:r w:rsidR="004C0638">
        <w:rPr>
          <w:rFonts w:ascii="Arial" w:hAnsi="Arial" w:cs="Arial"/>
          <w:sz w:val="18"/>
          <w:szCs w:val="18"/>
        </w:rPr>
        <w:t>429</w:t>
      </w:r>
      <w:r w:rsidR="00D116C6" w:rsidRPr="00D116C6">
        <w:rPr>
          <w:rFonts w:ascii="Arial" w:hAnsi="Arial" w:cs="Arial"/>
          <w:sz w:val="18"/>
          <w:szCs w:val="18"/>
        </w:rPr>
        <w:t>,</w:t>
      </w:r>
      <w:r w:rsidR="004C0638">
        <w:rPr>
          <w:rFonts w:ascii="Arial" w:hAnsi="Arial" w:cs="Arial"/>
          <w:sz w:val="18"/>
          <w:szCs w:val="18"/>
        </w:rPr>
        <w:t>952</w:t>
      </w:r>
      <w:r w:rsidR="00D116C6" w:rsidRPr="00D116C6">
        <w:rPr>
          <w:rFonts w:ascii="Arial" w:hAnsi="Arial" w:cs="Arial"/>
          <w:sz w:val="18"/>
          <w:szCs w:val="18"/>
        </w:rPr>
        <w:t xml:space="preserve">), </w:t>
      </w:r>
      <w:r w:rsidR="004C0638">
        <w:rPr>
          <w:rFonts w:ascii="Arial" w:hAnsi="Arial" w:cs="Arial"/>
          <w:sz w:val="18"/>
          <w:szCs w:val="18"/>
        </w:rPr>
        <w:t>share-based payments reserve of $</w:t>
      </w:r>
      <w:r w:rsidR="000F6CB4" w:rsidRPr="000F6CB4">
        <w:rPr>
          <w:rFonts w:ascii="Arial" w:hAnsi="Arial" w:cs="Arial"/>
          <w:sz w:val="18"/>
          <w:szCs w:val="18"/>
        </w:rPr>
        <w:t>278,084</w:t>
      </w:r>
      <w:r w:rsidR="004C0638">
        <w:rPr>
          <w:rFonts w:ascii="Arial" w:hAnsi="Arial" w:cs="Arial"/>
          <w:sz w:val="18"/>
          <w:szCs w:val="18"/>
        </w:rPr>
        <w:t xml:space="preserve"> (September 30, 2021 - </w:t>
      </w:r>
      <w:r w:rsidR="00570FDE">
        <w:rPr>
          <w:rFonts w:ascii="Arial" w:hAnsi="Arial" w:cs="Arial"/>
          <w:sz w:val="18"/>
          <w:szCs w:val="18"/>
        </w:rPr>
        <w:t xml:space="preserve">$21,956), shares to be issued of </w:t>
      </w:r>
      <w:r w:rsidR="00570FDE" w:rsidRPr="000F6CB4">
        <w:rPr>
          <w:rFonts w:ascii="Arial" w:hAnsi="Arial" w:cs="Arial"/>
          <w:sz w:val="18"/>
          <w:szCs w:val="18"/>
        </w:rPr>
        <w:t>$nil</w:t>
      </w:r>
      <w:r w:rsidR="00570FDE">
        <w:rPr>
          <w:rFonts w:ascii="Arial" w:hAnsi="Arial" w:cs="Arial"/>
          <w:sz w:val="18"/>
          <w:szCs w:val="18"/>
        </w:rPr>
        <w:t xml:space="preserve"> (</w:t>
      </w:r>
      <w:r w:rsidR="00570FDE" w:rsidRPr="00570FDE">
        <w:rPr>
          <w:rFonts w:ascii="Arial" w:hAnsi="Arial" w:cs="Arial"/>
          <w:sz w:val="18"/>
          <w:szCs w:val="18"/>
        </w:rPr>
        <w:t>September 30, 2021 - $</w:t>
      </w:r>
      <w:r w:rsidR="00570FDE">
        <w:rPr>
          <w:rFonts w:ascii="Arial" w:hAnsi="Arial" w:cs="Arial"/>
          <w:sz w:val="18"/>
          <w:szCs w:val="18"/>
        </w:rPr>
        <w:t>427,500)</w:t>
      </w:r>
      <w:r w:rsidR="00425FB0">
        <w:rPr>
          <w:rFonts w:ascii="Arial" w:hAnsi="Arial" w:cs="Arial"/>
          <w:sz w:val="18"/>
          <w:szCs w:val="18"/>
        </w:rPr>
        <w:t>,</w:t>
      </w:r>
      <w:r w:rsidR="00570FDE">
        <w:rPr>
          <w:rFonts w:ascii="Arial" w:hAnsi="Arial" w:cs="Arial"/>
          <w:sz w:val="18"/>
          <w:szCs w:val="18"/>
        </w:rPr>
        <w:t xml:space="preserve"> </w:t>
      </w:r>
      <w:r w:rsidR="00D116C6" w:rsidRPr="00D116C6">
        <w:rPr>
          <w:rFonts w:ascii="Arial" w:hAnsi="Arial" w:cs="Arial"/>
          <w:sz w:val="18"/>
          <w:szCs w:val="18"/>
        </w:rPr>
        <w:t xml:space="preserve">and a deficit of </w:t>
      </w:r>
      <w:r w:rsidR="00D116C6" w:rsidRPr="000F6CB4">
        <w:rPr>
          <w:rFonts w:ascii="Arial" w:hAnsi="Arial" w:cs="Arial"/>
          <w:sz w:val="18"/>
          <w:szCs w:val="18"/>
        </w:rPr>
        <w:t>$</w:t>
      </w:r>
      <w:r w:rsidR="000F6CB4" w:rsidRPr="000F6CB4">
        <w:rPr>
          <w:rFonts w:ascii="Arial" w:hAnsi="Arial" w:cs="Arial"/>
          <w:sz w:val="18"/>
          <w:szCs w:val="18"/>
        </w:rPr>
        <w:t>2,</w:t>
      </w:r>
      <w:r w:rsidR="002948AF">
        <w:rPr>
          <w:rFonts w:ascii="Arial" w:hAnsi="Arial" w:cs="Arial"/>
          <w:sz w:val="18"/>
          <w:szCs w:val="18"/>
        </w:rPr>
        <w:t>079</w:t>
      </w:r>
      <w:r w:rsidR="000F6CB4" w:rsidRPr="000F6CB4">
        <w:rPr>
          <w:rFonts w:ascii="Arial" w:hAnsi="Arial" w:cs="Arial"/>
          <w:sz w:val="18"/>
          <w:szCs w:val="18"/>
        </w:rPr>
        <w:t>,1</w:t>
      </w:r>
      <w:r w:rsidR="002948AF">
        <w:rPr>
          <w:rFonts w:ascii="Arial" w:hAnsi="Arial" w:cs="Arial"/>
          <w:sz w:val="18"/>
          <w:szCs w:val="18"/>
        </w:rPr>
        <w:t>41</w:t>
      </w:r>
      <w:r w:rsidR="00D116C6" w:rsidRPr="00D116C6">
        <w:rPr>
          <w:rFonts w:ascii="Arial" w:hAnsi="Arial" w:cs="Arial"/>
          <w:sz w:val="18"/>
          <w:szCs w:val="18"/>
        </w:rPr>
        <w:t xml:space="preserve"> (September 30, 2021 - $</w:t>
      </w:r>
      <w:r w:rsidR="00570FDE">
        <w:rPr>
          <w:rFonts w:ascii="Arial" w:hAnsi="Arial" w:cs="Arial"/>
          <w:sz w:val="18"/>
          <w:szCs w:val="18"/>
        </w:rPr>
        <w:t>743,203</w:t>
      </w:r>
      <w:r w:rsidR="00D116C6" w:rsidRPr="00D116C6">
        <w:rPr>
          <w:rFonts w:ascii="Arial" w:hAnsi="Arial" w:cs="Arial"/>
          <w:sz w:val="18"/>
          <w:szCs w:val="18"/>
        </w:rPr>
        <w:t xml:space="preserve">) for a total shareholders’ </w:t>
      </w:r>
      <w:r w:rsidR="00570FDE">
        <w:rPr>
          <w:rFonts w:ascii="Arial" w:hAnsi="Arial" w:cs="Arial"/>
          <w:sz w:val="18"/>
          <w:szCs w:val="18"/>
        </w:rPr>
        <w:t xml:space="preserve">equity </w:t>
      </w:r>
      <w:r w:rsidR="00D116C6" w:rsidRPr="00D116C6">
        <w:rPr>
          <w:rFonts w:ascii="Arial" w:hAnsi="Arial" w:cs="Arial"/>
          <w:sz w:val="18"/>
          <w:szCs w:val="18"/>
        </w:rPr>
        <w:t xml:space="preserve">of </w:t>
      </w:r>
      <w:r w:rsidR="00D116C6" w:rsidRPr="000F6CB4">
        <w:rPr>
          <w:rFonts w:ascii="Arial" w:hAnsi="Arial" w:cs="Arial"/>
          <w:sz w:val="18"/>
          <w:szCs w:val="18"/>
        </w:rPr>
        <w:t>$</w:t>
      </w:r>
      <w:r w:rsidR="002948AF">
        <w:rPr>
          <w:rFonts w:ascii="Arial" w:hAnsi="Arial" w:cs="Arial"/>
          <w:sz w:val="18"/>
          <w:szCs w:val="18"/>
        </w:rPr>
        <w:t>2</w:t>
      </w:r>
      <w:r w:rsidR="000F6CB4" w:rsidRPr="000F6CB4">
        <w:rPr>
          <w:rFonts w:ascii="Arial" w:hAnsi="Arial" w:cs="Arial"/>
          <w:sz w:val="18"/>
          <w:szCs w:val="18"/>
        </w:rPr>
        <w:t>,</w:t>
      </w:r>
      <w:r w:rsidR="002948AF">
        <w:rPr>
          <w:rFonts w:ascii="Arial" w:hAnsi="Arial" w:cs="Arial"/>
          <w:sz w:val="18"/>
          <w:szCs w:val="18"/>
        </w:rPr>
        <w:t>009</w:t>
      </w:r>
      <w:r w:rsidR="000F6CB4" w:rsidRPr="000F6CB4">
        <w:rPr>
          <w:rFonts w:ascii="Arial" w:hAnsi="Arial" w:cs="Arial"/>
          <w:sz w:val="18"/>
          <w:szCs w:val="18"/>
        </w:rPr>
        <w:t>,5</w:t>
      </w:r>
      <w:r w:rsidR="002948AF">
        <w:rPr>
          <w:rFonts w:ascii="Arial" w:hAnsi="Arial" w:cs="Arial"/>
          <w:sz w:val="18"/>
          <w:szCs w:val="18"/>
        </w:rPr>
        <w:t>42</w:t>
      </w:r>
      <w:r w:rsidR="00D116C6" w:rsidRPr="00D116C6">
        <w:rPr>
          <w:rFonts w:ascii="Arial" w:hAnsi="Arial" w:cs="Arial"/>
          <w:sz w:val="18"/>
          <w:szCs w:val="18"/>
        </w:rPr>
        <w:t xml:space="preserve"> (September 30, 2021 - $1</w:t>
      </w:r>
      <w:r w:rsidR="00570FDE">
        <w:rPr>
          <w:rFonts w:ascii="Arial" w:hAnsi="Arial" w:cs="Arial"/>
          <w:sz w:val="18"/>
          <w:szCs w:val="18"/>
        </w:rPr>
        <w:t>,311</w:t>
      </w:r>
      <w:r w:rsidR="00D116C6" w:rsidRPr="00D116C6">
        <w:rPr>
          <w:rFonts w:ascii="Arial" w:hAnsi="Arial" w:cs="Arial"/>
          <w:sz w:val="18"/>
          <w:szCs w:val="18"/>
        </w:rPr>
        <w:t>,</w:t>
      </w:r>
      <w:r w:rsidR="00570FDE">
        <w:rPr>
          <w:rFonts w:ascii="Arial" w:hAnsi="Arial" w:cs="Arial"/>
          <w:sz w:val="18"/>
          <w:szCs w:val="18"/>
        </w:rPr>
        <w:t>166</w:t>
      </w:r>
      <w:r w:rsidR="00D116C6" w:rsidRPr="00D116C6">
        <w:rPr>
          <w:rFonts w:ascii="Arial" w:hAnsi="Arial" w:cs="Arial"/>
          <w:sz w:val="18"/>
          <w:szCs w:val="18"/>
        </w:rPr>
        <w:t>).</w:t>
      </w:r>
    </w:p>
    <w:p w14:paraId="76D8DA72" w14:textId="77777777" w:rsidR="00D116C6" w:rsidRDefault="00D116C6" w:rsidP="00361EC3">
      <w:pPr>
        <w:contextualSpacing/>
        <w:rPr>
          <w:rFonts w:ascii="Arial" w:hAnsi="Arial" w:cs="Arial"/>
          <w:sz w:val="18"/>
          <w:szCs w:val="18"/>
        </w:rPr>
      </w:pPr>
    </w:p>
    <w:p w14:paraId="4A76851B" w14:textId="158D4D4A" w:rsidR="00D116C6" w:rsidRDefault="00D116C6" w:rsidP="00D116C6">
      <w:pPr>
        <w:contextualSpacing/>
        <w:rPr>
          <w:rFonts w:ascii="Arial" w:hAnsi="Arial" w:cs="Arial"/>
          <w:sz w:val="18"/>
          <w:szCs w:val="18"/>
        </w:rPr>
      </w:pPr>
      <w:r w:rsidRPr="00D116C6">
        <w:rPr>
          <w:rFonts w:ascii="Arial" w:hAnsi="Arial" w:cs="Arial"/>
          <w:sz w:val="18"/>
          <w:szCs w:val="18"/>
        </w:rPr>
        <w:t xml:space="preserve">The weighted average number of common shares outstanding for the three months ended </w:t>
      </w:r>
      <w:r w:rsidR="00EE38FA">
        <w:rPr>
          <w:rFonts w:ascii="Arial" w:hAnsi="Arial" w:cs="Arial"/>
          <w:sz w:val="18"/>
          <w:szCs w:val="18"/>
        </w:rPr>
        <w:t>March 31, 2022</w:t>
      </w:r>
      <w:r w:rsidRPr="00D116C6">
        <w:rPr>
          <w:rFonts w:ascii="Arial" w:hAnsi="Arial" w:cs="Arial"/>
          <w:sz w:val="18"/>
          <w:szCs w:val="18"/>
        </w:rPr>
        <w:t xml:space="preserve"> was </w:t>
      </w:r>
      <w:r w:rsidR="004C68EA" w:rsidRPr="004C68EA">
        <w:rPr>
          <w:rFonts w:ascii="Arial" w:hAnsi="Arial" w:cs="Arial"/>
          <w:sz w:val="18"/>
          <w:szCs w:val="18"/>
        </w:rPr>
        <w:t>26,864,915</w:t>
      </w:r>
      <w:r w:rsidRPr="00D116C6">
        <w:rPr>
          <w:rFonts w:ascii="Arial" w:hAnsi="Arial" w:cs="Arial"/>
          <w:sz w:val="18"/>
          <w:szCs w:val="18"/>
        </w:rPr>
        <w:t xml:space="preserve"> (202</w:t>
      </w:r>
      <w:r w:rsidR="00EE38FA">
        <w:rPr>
          <w:rFonts w:ascii="Arial" w:hAnsi="Arial" w:cs="Arial"/>
          <w:sz w:val="18"/>
          <w:szCs w:val="18"/>
        </w:rPr>
        <w:t>1</w:t>
      </w:r>
      <w:r w:rsidRPr="00D116C6">
        <w:rPr>
          <w:rFonts w:ascii="Arial" w:hAnsi="Arial" w:cs="Arial"/>
          <w:sz w:val="18"/>
          <w:szCs w:val="18"/>
        </w:rPr>
        <w:t xml:space="preserve"> </w:t>
      </w:r>
      <w:r w:rsidR="00425FB0">
        <w:rPr>
          <w:rFonts w:ascii="Arial" w:hAnsi="Arial" w:cs="Arial"/>
          <w:sz w:val="18"/>
          <w:szCs w:val="18"/>
        </w:rPr>
        <w:t>-</w:t>
      </w:r>
      <w:r w:rsidRPr="00D116C6">
        <w:rPr>
          <w:rFonts w:ascii="Arial" w:hAnsi="Arial" w:cs="Arial"/>
          <w:sz w:val="18"/>
          <w:szCs w:val="18"/>
        </w:rPr>
        <w:t xml:space="preserve"> </w:t>
      </w:r>
      <w:r w:rsidR="00EE38FA">
        <w:rPr>
          <w:rFonts w:ascii="Arial" w:hAnsi="Arial" w:cs="Arial"/>
          <w:sz w:val="18"/>
          <w:szCs w:val="18"/>
        </w:rPr>
        <w:t>13,348,250</w:t>
      </w:r>
      <w:r w:rsidRPr="00D116C6">
        <w:rPr>
          <w:rFonts w:ascii="Arial" w:hAnsi="Arial" w:cs="Arial"/>
          <w:sz w:val="18"/>
          <w:szCs w:val="18"/>
        </w:rPr>
        <w:t>).</w:t>
      </w:r>
    </w:p>
    <w:p w14:paraId="2FB83FDB" w14:textId="77777777" w:rsidR="00D116C6" w:rsidRPr="00361EC3" w:rsidRDefault="00D116C6" w:rsidP="00361EC3">
      <w:pPr>
        <w:contextualSpacing/>
        <w:rPr>
          <w:rFonts w:ascii="Arial" w:hAnsi="Arial" w:cs="Arial"/>
          <w:sz w:val="18"/>
          <w:szCs w:val="18"/>
        </w:rPr>
      </w:pPr>
    </w:p>
    <w:p w14:paraId="756DE2E5" w14:textId="48E15B84" w:rsidR="009562F9" w:rsidRPr="00361EC3" w:rsidRDefault="009562F9" w:rsidP="00361EC3">
      <w:pPr>
        <w:pStyle w:val="Heading1"/>
        <w:ind w:left="0"/>
        <w:contextualSpacing/>
        <w:rPr>
          <w:rFonts w:ascii="Arial" w:hAnsi="Arial" w:cs="Arial"/>
          <w:sz w:val="18"/>
          <w:szCs w:val="18"/>
        </w:rPr>
      </w:pPr>
      <w:r w:rsidRPr="00361EC3">
        <w:rPr>
          <w:rFonts w:ascii="Arial" w:hAnsi="Arial" w:cs="Arial"/>
          <w:sz w:val="18"/>
          <w:szCs w:val="18"/>
        </w:rPr>
        <w:t xml:space="preserve">Liquidity and </w:t>
      </w:r>
      <w:r w:rsidR="007646FA" w:rsidRPr="00361EC3">
        <w:rPr>
          <w:rFonts w:ascii="Arial" w:hAnsi="Arial" w:cs="Arial"/>
          <w:sz w:val="18"/>
          <w:szCs w:val="18"/>
        </w:rPr>
        <w:t>c</w:t>
      </w:r>
      <w:r w:rsidRPr="00361EC3">
        <w:rPr>
          <w:rFonts w:ascii="Arial" w:hAnsi="Arial" w:cs="Arial"/>
          <w:sz w:val="18"/>
          <w:szCs w:val="18"/>
        </w:rPr>
        <w:t xml:space="preserve">apital </w:t>
      </w:r>
      <w:r w:rsidR="007646FA" w:rsidRPr="00361EC3">
        <w:rPr>
          <w:rFonts w:ascii="Arial" w:hAnsi="Arial" w:cs="Arial"/>
          <w:sz w:val="18"/>
          <w:szCs w:val="18"/>
        </w:rPr>
        <w:t>r</w:t>
      </w:r>
      <w:r w:rsidRPr="00361EC3">
        <w:rPr>
          <w:rFonts w:ascii="Arial" w:hAnsi="Arial" w:cs="Arial"/>
          <w:sz w:val="18"/>
          <w:szCs w:val="18"/>
        </w:rPr>
        <w:t>esources</w:t>
      </w:r>
    </w:p>
    <w:p w14:paraId="42D43198" w14:textId="617F6630" w:rsidR="009562F9" w:rsidRPr="00361EC3" w:rsidRDefault="009562F9" w:rsidP="00361EC3">
      <w:pPr>
        <w:contextualSpacing/>
        <w:rPr>
          <w:rFonts w:ascii="Arial" w:hAnsi="Arial" w:cs="Arial"/>
          <w:b/>
          <w:bCs/>
          <w:sz w:val="18"/>
          <w:szCs w:val="18"/>
        </w:rPr>
      </w:pPr>
    </w:p>
    <w:p w14:paraId="05AA6361" w14:textId="31826A9C" w:rsidR="002B18ED" w:rsidRDefault="009562F9" w:rsidP="00361EC3">
      <w:pPr>
        <w:contextualSpacing/>
        <w:rPr>
          <w:rFonts w:ascii="Arial" w:hAnsi="Arial" w:cs="Arial"/>
          <w:sz w:val="18"/>
          <w:szCs w:val="18"/>
        </w:rPr>
      </w:pPr>
      <w:r w:rsidRPr="00361EC3">
        <w:rPr>
          <w:rFonts w:ascii="Arial" w:hAnsi="Arial" w:cs="Arial"/>
          <w:sz w:val="18"/>
          <w:szCs w:val="18"/>
        </w:rPr>
        <w:t>The Company is in the</w:t>
      </w:r>
      <w:r w:rsidR="005923A1" w:rsidRPr="00361EC3">
        <w:rPr>
          <w:rFonts w:ascii="Arial" w:hAnsi="Arial" w:cs="Arial"/>
          <w:sz w:val="18"/>
          <w:szCs w:val="18"/>
        </w:rPr>
        <w:t xml:space="preserve"> exploration </w:t>
      </w:r>
      <w:r w:rsidRPr="00361EC3">
        <w:rPr>
          <w:rFonts w:ascii="Arial" w:hAnsi="Arial" w:cs="Arial"/>
          <w:sz w:val="18"/>
          <w:szCs w:val="18"/>
        </w:rPr>
        <w:t xml:space="preserve">stage and therefore has no cash flow from operations. Its only source of funds since incorporation has been from the </w:t>
      </w:r>
      <w:r w:rsidR="00000DA7">
        <w:rPr>
          <w:rFonts w:ascii="Arial" w:hAnsi="Arial" w:cs="Arial"/>
          <w:sz w:val="18"/>
          <w:szCs w:val="18"/>
        </w:rPr>
        <w:t>issuance</w:t>
      </w:r>
      <w:r w:rsidRPr="00361EC3">
        <w:rPr>
          <w:rFonts w:ascii="Arial" w:hAnsi="Arial" w:cs="Arial"/>
          <w:sz w:val="18"/>
          <w:szCs w:val="18"/>
        </w:rPr>
        <w:t xml:space="preserve"> of common shares</w:t>
      </w:r>
      <w:r w:rsidR="0049668C">
        <w:rPr>
          <w:rFonts w:ascii="Arial" w:hAnsi="Arial" w:cs="Arial"/>
          <w:sz w:val="18"/>
          <w:szCs w:val="18"/>
        </w:rPr>
        <w:t xml:space="preserve">, </w:t>
      </w:r>
      <w:r w:rsidR="00F00493" w:rsidRPr="00361EC3">
        <w:rPr>
          <w:rFonts w:ascii="Arial" w:hAnsi="Arial" w:cs="Arial"/>
          <w:sz w:val="18"/>
          <w:szCs w:val="18"/>
        </w:rPr>
        <w:t>special warrants</w:t>
      </w:r>
      <w:r w:rsidR="0049668C">
        <w:rPr>
          <w:rFonts w:ascii="Arial" w:hAnsi="Arial" w:cs="Arial"/>
          <w:sz w:val="18"/>
          <w:szCs w:val="18"/>
        </w:rPr>
        <w:t xml:space="preserve">, </w:t>
      </w:r>
      <w:r w:rsidR="0049668C" w:rsidRPr="002B18ED">
        <w:rPr>
          <w:rFonts w:ascii="Arial" w:hAnsi="Arial" w:cs="Arial"/>
          <w:sz w:val="18"/>
          <w:szCs w:val="18"/>
        </w:rPr>
        <w:t>and units</w:t>
      </w:r>
      <w:r w:rsidRPr="002B18ED">
        <w:rPr>
          <w:rFonts w:ascii="Arial" w:hAnsi="Arial" w:cs="Arial"/>
          <w:sz w:val="18"/>
          <w:szCs w:val="18"/>
        </w:rPr>
        <w:t xml:space="preserve">. </w:t>
      </w:r>
    </w:p>
    <w:p w14:paraId="425D79AE" w14:textId="537F3B79" w:rsidR="002948AF" w:rsidRDefault="002948AF">
      <w:pPr>
        <w:spacing w:after="160" w:line="259" w:lineRule="auto"/>
        <w:jc w:val="left"/>
        <w:rPr>
          <w:rFonts w:ascii="Arial" w:hAnsi="Arial" w:cs="Arial"/>
          <w:sz w:val="18"/>
          <w:szCs w:val="18"/>
        </w:rPr>
      </w:pPr>
      <w:r>
        <w:rPr>
          <w:rFonts w:ascii="Arial" w:hAnsi="Arial" w:cs="Arial"/>
          <w:sz w:val="18"/>
          <w:szCs w:val="18"/>
        </w:rPr>
        <w:br w:type="page"/>
      </w:r>
    </w:p>
    <w:p w14:paraId="531969D2" w14:textId="77777777" w:rsidR="002B18ED" w:rsidRDefault="002B18ED" w:rsidP="00361EC3">
      <w:pPr>
        <w:contextualSpacing/>
        <w:rPr>
          <w:rFonts w:ascii="Arial" w:hAnsi="Arial" w:cs="Arial"/>
          <w:sz w:val="18"/>
          <w:szCs w:val="18"/>
        </w:rPr>
      </w:pPr>
    </w:p>
    <w:p w14:paraId="563B6FF7" w14:textId="2ED84BD1" w:rsidR="002B18ED" w:rsidRDefault="00EC26B4" w:rsidP="00361EC3">
      <w:pPr>
        <w:contextualSpacing/>
        <w:rPr>
          <w:rFonts w:ascii="Arial" w:hAnsi="Arial" w:cs="Arial"/>
          <w:sz w:val="18"/>
          <w:szCs w:val="18"/>
        </w:rPr>
      </w:pPr>
      <w:r w:rsidRPr="00EC26B4">
        <w:rPr>
          <w:rFonts w:ascii="Arial" w:hAnsi="Arial" w:cs="Arial"/>
          <w:sz w:val="18"/>
          <w:szCs w:val="18"/>
        </w:rPr>
        <w:t xml:space="preserve">On October 1, 2021, the Company closed a non-brokered private placement for gross proceeds of $1,499,999 from the issuance of 5,999,998 units (the “Units”) at a price of $0.25 per Unit (the “Private Placement”). Each </w:t>
      </w:r>
      <w:r w:rsidR="00425FB0">
        <w:rPr>
          <w:rFonts w:ascii="Arial" w:hAnsi="Arial" w:cs="Arial"/>
          <w:sz w:val="18"/>
          <w:szCs w:val="18"/>
        </w:rPr>
        <w:t>U</w:t>
      </w:r>
      <w:r w:rsidRPr="00EC26B4">
        <w:rPr>
          <w:rFonts w:ascii="Arial" w:hAnsi="Arial" w:cs="Arial"/>
          <w:sz w:val="18"/>
          <w:szCs w:val="18"/>
        </w:rPr>
        <w:t>nit consists of one common share and one-half warrant. A whole warrant may be exercised for one common share at price of $0.50 for a period of twenty-four months from the closing date of the Private Placement. Gross proceeds were allocated between share capital and warrants reserve using the relative fair value method. As a result, $1,230,494 was allocated to share capital and $269,505 was allocated to warrants reserve.</w:t>
      </w:r>
    </w:p>
    <w:p w14:paraId="218D496D" w14:textId="77777777" w:rsidR="00EC26B4" w:rsidRDefault="00EC26B4" w:rsidP="00361EC3">
      <w:pPr>
        <w:contextualSpacing/>
        <w:rPr>
          <w:rFonts w:ascii="Arial" w:hAnsi="Arial" w:cs="Arial"/>
          <w:sz w:val="18"/>
          <w:szCs w:val="18"/>
        </w:rPr>
      </w:pPr>
    </w:p>
    <w:p w14:paraId="74890733" w14:textId="51F4376E" w:rsidR="00570FDE" w:rsidRDefault="00570FDE" w:rsidP="00361EC3">
      <w:pPr>
        <w:contextualSpacing/>
        <w:rPr>
          <w:rFonts w:ascii="Arial" w:hAnsi="Arial" w:cs="Arial"/>
          <w:sz w:val="18"/>
          <w:szCs w:val="18"/>
        </w:rPr>
      </w:pPr>
      <w:r w:rsidRPr="00570FDE">
        <w:rPr>
          <w:rFonts w:ascii="Arial" w:hAnsi="Arial" w:cs="Arial"/>
          <w:sz w:val="18"/>
          <w:szCs w:val="18"/>
        </w:rPr>
        <w:t xml:space="preserve">During the </w:t>
      </w:r>
      <w:r w:rsidR="00EE38FA">
        <w:rPr>
          <w:rFonts w:ascii="Arial" w:hAnsi="Arial" w:cs="Arial"/>
          <w:sz w:val="18"/>
          <w:szCs w:val="18"/>
        </w:rPr>
        <w:t>six months ended March 31, 2022</w:t>
      </w:r>
      <w:r w:rsidRPr="00570FDE">
        <w:rPr>
          <w:rFonts w:ascii="Arial" w:hAnsi="Arial" w:cs="Arial"/>
          <w:sz w:val="18"/>
          <w:szCs w:val="18"/>
        </w:rPr>
        <w:t xml:space="preserve">, the Company used </w:t>
      </w:r>
      <w:r w:rsidR="00EC26B4">
        <w:rPr>
          <w:rFonts w:ascii="Arial" w:hAnsi="Arial" w:cs="Arial"/>
          <w:sz w:val="18"/>
          <w:szCs w:val="18"/>
        </w:rPr>
        <w:t xml:space="preserve">cash of </w:t>
      </w:r>
      <w:r w:rsidRPr="00245122">
        <w:rPr>
          <w:rFonts w:ascii="Arial" w:hAnsi="Arial" w:cs="Arial"/>
          <w:sz w:val="18"/>
          <w:szCs w:val="18"/>
        </w:rPr>
        <w:t>$</w:t>
      </w:r>
      <w:r w:rsidR="00245122" w:rsidRPr="00245122">
        <w:rPr>
          <w:rFonts w:ascii="Arial" w:hAnsi="Arial" w:cs="Arial"/>
          <w:sz w:val="18"/>
          <w:szCs w:val="18"/>
        </w:rPr>
        <w:t>1,</w:t>
      </w:r>
      <w:r w:rsidR="002948AF">
        <w:rPr>
          <w:rFonts w:ascii="Arial" w:hAnsi="Arial" w:cs="Arial"/>
          <w:sz w:val="18"/>
          <w:szCs w:val="18"/>
        </w:rPr>
        <w:t>638</w:t>
      </w:r>
      <w:r w:rsidR="00245122" w:rsidRPr="00245122">
        <w:rPr>
          <w:rFonts w:ascii="Arial" w:hAnsi="Arial" w:cs="Arial"/>
          <w:sz w:val="18"/>
          <w:szCs w:val="18"/>
        </w:rPr>
        <w:t>,</w:t>
      </w:r>
      <w:r w:rsidR="002948AF">
        <w:rPr>
          <w:rFonts w:ascii="Arial" w:hAnsi="Arial" w:cs="Arial"/>
          <w:sz w:val="18"/>
          <w:szCs w:val="18"/>
        </w:rPr>
        <w:t>80</w:t>
      </w:r>
      <w:r w:rsidR="00245122" w:rsidRPr="00245122">
        <w:rPr>
          <w:rFonts w:ascii="Arial" w:hAnsi="Arial" w:cs="Arial"/>
          <w:sz w:val="18"/>
          <w:szCs w:val="18"/>
        </w:rPr>
        <w:t>7</w:t>
      </w:r>
      <w:r w:rsidRPr="00570FDE">
        <w:rPr>
          <w:rFonts w:ascii="Arial" w:hAnsi="Arial" w:cs="Arial"/>
          <w:sz w:val="18"/>
          <w:szCs w:val="18"/>
        </w:rPr>
        <w:t xml:space="preserve"> in operating activities</w:t>
      </w:r>
      <w:r w:rsidR="00644761">
        <w:rPr>
          <w:rFonts w:ascii="Arial" w:hAnsi="Arial" w:cs="Arial"/>
          <w:sz w:val="18"/>
          <w:szCs w:val="18"/>
        </w:rPr>
        <w:t xml:space="preserve"> </w:t>
      </w:r>
      <w:r w:rsidR="003C38EF" w:rsidRPr="00570FDE">
        <w:rPr>
          <w:rFonts w:ascii="Arial" w:hAnsi="Arial" w:cs="Arial"/>
          <w:sz w:val="18"/>
          <w:szCs w:val="18"/>
        </w:rPr>
        <w:t>(202</w:t>
      </w:r>
      <w:r w:rsidR="003C38EF">
        <w:rPr>
          <w:rFonts w:ascii="Arial" w:hAnsi="Arial" w:cs="Arial"/>
          <w:sz w:val="18"/>
          <w:szCs w:val="18"/>
        </w:rPr>
        <w:t>1</w:t>
      </w:r>
      <w:r w:rsidR="003C38EF" w:rsidRPr="00570FDE">
        <w:rPr>
          <w:rFonts w:ascii="Arial" w:hAnsi="Arial" w:cs="Arial"/>
          <w:sz w:val="18"/>
          <w:szCs w:val="18"/>
        </w:rPr>
        <w:t xml:space="preserve"> - $</w:t>
      </w:r>
      <w:r w:rsidR="003C38EF">
        <w:rPr>
          <w:rFonts w:ascii="Arial" w:hAnsi="Arial" w:cs="Arial"/>
          <w:sz w:val="18"/>
          <w:szCs w:val="18"/>
        </w:rPr>
        <w:t>56,107</w:t>
      </w:r>
      <w:r w:rsidR="003C38EF" w:rsidRPr="00570FDE">
        <w:rPr>
          <w:rFonts w:ascii="Arial" w:hAnsi="Arial" w:cs="Arial"/>
          <w:sz w:val="18"/>
          <w:szCs w:val="18"/>
        </w:rPr>
        <w:t>)</w:t>
      </w:r>
      <w:r w:rsidR="003C38EF">
        <w:rPr>
          <w:rFonts w:ascii="Arial" w:hAnsi="Arial" w:cs="Arial"/>
          <w:sz w:val="18"/>
          <w:szCs w:val="18"/>
        </w:rPr>
        <w:t xml:space="preserve"> </w:t>
      </w:r>
      <w:r w:rsidR="00644761" w:rsidRPr="00644761">
        <w:rPr>
          <w:rFonts w:ascii="Arial" w:hAnsi="Arial" w:cs="Arial"/>
          <w:sz w:val="18"/>
          <w:szCs w:val="18"/>
        </w:rPr>
        <w:t>primarily related to exploration activities, filing and legal fees as well as professional fees</w:t>
      </w:r>
      <w:r w:rsidRPr="00570FDE">
        <w:rPr>
          <w:rFonts w:ascii="Arial" w:hAnsi="Arial" w:cs="Arial"/>
          <w:sz w:val="18"/>
          <w:szCs w:val="18"/>
        </w:rPr>
        <w:t>, and changes in non-cash working capital.</w:t>
      </w:r>
    </w:p>
    <w:p w14:paraId="6060DD1E" w14:textId="2E0CB95B" w:rsidR="00570FDE" w:rsidRDefault="00570FDE" w:rsidP="00361EC3">
      <w:pPr>
        <w:contextualSpacing/>
        <w:rPr>
          <w:rFonts w:ascii="Arial" w:hAnsi="Arial" w:cs="Arial"/>
          <w:sz w:val="18"/>
          <w:szCs w:val="18"/>
        </w:rPr>
      </w:pPr>
    </w:p>
    <w:p w14:paraId="392FAA41" w14:textId="124258D7" w:rsidR="00FF702D" w:rsidRDefault="00FF702D" w:rsidP="00361EC3">
      <w:pPr>
        <w:contextualSpacing/>
        <w:rPr>
          <w:rFonts w:ascii="Arial" w:hAnsi="Arial" w:cs="Arial"/>
          <w:sz w:val="18"/>
          <w:szCs w:val="18"/>
        </w:rPr>
      </w:pPr>
      <w:r w:rsidRPr="00FF702D">
        <w:rPr>
          <w:rFonts w:ascii="Arial" w:hAnsi="Arial" w:cs="Arial"/>
          <w:sz w:val="18"/>
          <w:szCs w:val="18"/>
        </w:rPr>
        <w:t>During</w:t>
      </w:r>
      <w:r w:rsidR="008A7CF0">
        <w:rPr>
          <w:rFonts w:ascii="Arial" w:hAnsi="Arial" w:cs="Arial"/>
          <w:sz w:val="18"/>
          <w:szCs w:val="18"/>
        </w:rPr>
        <w:t xml:space="preserve"> the</w:t>
      </w:r>
      <w:r w:rsidRPr="00FF702D">
        <w:rPr>
          <w:rFonts w:ascii="Arial" w:hAnsi="Arial" w:cs="Arial"/>
          <w:sz w:val="18"/>
          <w:szCs w:val="18"/>
        </w:rPr>
        <w:t xml:space="preserve"> </w:t>
      </w:r>
      <w:r w:rsidR="004959B8">
        <w:rPr>
          <w:rFonts w:ascii="Arial" w:hAnsi="Arial" w:cs="Arial"/>
          <w:sz w:val="18"/>
          <w:szCs w:val="18"/>
        </w:rPr>
        <w:t>six months ended March 31, 2022</w:t>
      </w:r>
      <w:r w:rsidRPr="00FF702D">
        <w:rPr>
          <w:rFonts w:ascii="Arial" w:hAnsi="Arial" w:cs="Arial"/>
          <w:sz w:val="18"/>
          <w:szCs w:val="18"/>
        </w:rPr>
        <w:t xml:space="preserve">, the Company used </w:t>
      </w:r>
      <w:r w:rsidR="00EC26B4">
        <w:rPr>
          <w:rFonts w:ascii="Arial" w:hAnsi="Arial" w:cs="Arial"/>
          <w:sz w:val="18"/>
          <w:szCs w:val="18"/>
        </w:rPr>
        <w:t xml:space="preserve">cash of </w:t>
      </w:r>
      <w:r w:rsidRPr="00FF702D">
        <w:rPr>
          <w:rFonts w:ascii="Arial" w:hAnsi="Arial" w:cs="Arial"/>
          <w:sz w:val="18"/>
          <w:szCs w:val="18"/>
        </w:rPr>
        <w:t>$</w:t>
      </w:r>
      <w:r w:rsidR="002948AF">
        <w:rPr>
          <w:rFonts w:ascii="Arial" w:hAnsi="Arial" w:cs="Arial"/>
          <w:sz w:val="18"/>
          <w:szCs w:val="18"/>
        </w:rPr>
        <w:t>109,990</w:t>
      </w:r>
      <w:r w:rsidRPr="00FF702D">
        <w:rPr>
          <w:rFonts w:ascii="Arial" w:hAnsi="Arial" w:cs="Arial"/>
          <w:sz w:val="18"/>
          <w:szCs w:val="18"/>
        </w:rPr>
        <w:t xml:space="preserve"> in </w:t>
      </w:r>
      <w:r>
        <w:rPr>
          <w:rFonts w:ascii="Arial" w:hAnsi="Arial" w:cs="Arial"/>
          <w:sz w:val="18"/>
          <w:szCs w:val="18"/>
        </w:rPr>
        <w:t xml:space="preserve">investing </w:t>
      </w:r>
      <w:r w:rsidRPr="00FF702D">
        <w:rPr>
          <w:rFonts w:ascii="Arial" w:hAnsi="Arial" w:cs="Arial"/>
          <w:sz w:val="18"/>
          <w:szCs w:val="18"/>
        </w:rPr>
        <w:t>activities</w:t>
      </w:r>
      <w:r>
        <w:rPr>
          <w:rFonts w:ascii="Arial" w:hAnsi="Arial" w:cs="Arial"/>
          <w:sz w:val="18"/>
          <w:szCs w:val="18"/>
        </w:rPr>
        <w:t xml:space="preserve"> </w:t>
      </w:r>
      <w:r w:rsidR="003C38EF" w:rsidRPr="00FF702D">
        <w:rPr>
          <w:rFonts w:ascii="Arial" w:hAnsi="Arial" w:cs="Arial"/>
          <w:sz w:val="18"/>
          <w:szCs w:val="18"/>
        </w:rPr>
        <w:t>(202</w:t>
      </w:r>
      <w:r w:rsidR="003C38EF">
        <w:rPr>
          <w:rFonts w:ascii="Arial" w:hAnsi="Arial" w:cs="Arial"/>
          <w:sz w:val="18"/>
          <w:szCs w:val="18"/>
        </w:rPr>
        <w:t>1</w:t>
      </w:r>
      <w:r w:rsidR="003C38EF" w:rsidRPr="00FF702D">
        <w:rPr>
          <w:rFonts w:ascii="Arial" w:hAnsi="Arial" w:cs="Arial"/>
          <w:sz w:val="18"/>
          <w:szCs w:val="18"/>
        </w:rPr>
        <w:t xml:space="preserve"> - $</w:t>
      </w:r>
      <w:r w:rsidR="003C38EF">
        <w:rPr>
          <w:rFonts w:ascii="Arial" w:hAnsi="Arial" w:cs="Arial"/>
          <w:sz w:val="18"/>
          <w:szCs w:val="18"/>
        </w:rPr>
        <w:t>37</w:t>
      </w:r>
      <w:r w:rsidR="003C38EF" w:rsidRPr="00FF702D">
        <w:rPr>
          <w:rFonts w:ascii="Arial" w:hAnsi="Arial" w:cs="Arial"/>
          <w:sz w:val="18"/>
          <w:szCs w:val="18"/>
        </w:rPr>
        <w:t>,</w:t>
      </w:r>
      <w:r w:rsidR="003C38EF">
        <w:rPr>
          <w:rFonts w:ascii="Arial" w:hAnsi="Arial" w:cs="Arial"/>
          <w:sz w:val="18"/>
          <w:szCs w:val="18"/>
        </w:rPr>
        <w:t>500</w:t>
      </w:r>
      <w:r w:rsidR="003C38EF" w:rsidRPr="00FF702D">
        <w:rPr>
          <w:rFonts w:ascii="Arial" w:hAnsi="Arial" w:cs="Arial"/>
          <w:sz w:val="18"/>
          <w:szCs w:val="18"/>
        </w:rPr>
        <w:t xml:space="preserve">) </w:t>
      </w:r>
      <w:r>
        <w:rPr>
          <w:rFonts w:ascii="Arial" w:hAnsi="Arial" w:cs="Arial"/>
          <w:sz w:val="18"/>
          <w:szCs w:val="18"/>
        </w:rPr>
        <w:t>for</w:t>
      </w:r>
      <w:r w:rsidR="002948AF">
        <w:rPr>
          <w:rFonts w:ascii="Arial" w:hAnsi="Arial" w:cs="Arial"/>
          <w:sz w:val="18"/>
          <w:szCs w:val="18"/>
        </w:rPr>
        <w:t xml:space="preserve"> expenditures on </w:t>
      </w:r>
      <w:r>
        <w:rPr>
          <w:rFonts w:ascii="Arial" w:hAnsi="Arial" w:cs="Arial"/>
          <w:sz w:val="18"/>
          <w:szCs w:val="18"/>
        </w:rPr>
        <w:t xml:space="preserve">exploration and evaluation </w:t>
      </w:r>
      <w:r w:rsidR="00000DA7">
        <w:rPr>
          <w:rFonts w:ascii="Arial" w:hAnsi="Arial" w:cs="Arial"/>
          <w:sz w:val="18"/>
          <w:szCs w:val="18"/>
        </w:rPr>
        <w:t>assets</w:t>
      </w:r>
      <w:r w:rsidRPr="00FF702D">
        <w:rPr>
          <w:rFonts w:ascii="Arial" w:hAnsi="Arial" w:cs="Arial"/>
          <w:sz w:val="18"/>
          <w:szCs w:val="18"/>
        </w:rPr>
        <w:t>.</w:t>
      </w:r>
    </w:p>
    <w:p w14:paraId="24A88A0D" w14:textId="77777777" w:rsidR="00000DA7" w:rsidRDefault="00000DA7" w:rsidP="00FF702D">
      <w:pPr>
        <w:contextualSpacing/>
        <w:rPr>
          <w:rFonts w:ascii="Arial" w:hAnsi="Arial" w:cs="Arial"/>
          <w:sz w:val="18"/>
          <w:szCs w:val="18"/>
        </w:rPr>
      </w:pPr>
    </w:p>
    <w:p w14:paraId="678E9796" w14:textId="643BCFDE" w:rsidR="00FF702D" w:rsidRDefault="00FF702D" w:rsidP="00FF702D">
      <w:pPr>
        <w:contextualSpacing/>
        <w:rPr>
          <w:rFonts w:ascii="Arial" w:hAnsi="Arial" w:cs="Arial"/>
          <w:sz w:val="18"/>
          <w:szCs w:val="18"/>
        </w:rPr>
      </w:pPr>
      <w:r w:rsidRPr="00570FDE">
        <w:rPr>
          <w:rFonts w:ascii="Arial" w:hAnsi="Arial" w:cs="Arial"/>
          <w:sz w:val="18"/>
          <w:szCs w:val="18"/>
        </w:rPr>
        <w:t>During</w:t>
      </w:r>
      <w:r w:rsidR="008A7CF0">
        <w:rPr>
          <w:rFonts w:ascii="Arial" w:hAnsi="Arial" w:cs="Arial"/>
          <w:sz w:val="18"/>
          <w:szCs w:val="18"/>
        </w:rPr>
        <w:t xml:space="preserve"> the</w:t>
      </w:r>
      <w:r w:rsidRPr="00570FDE">
        <w:rPr>
          <w:rFonts w:ascii="Arial" w:hAnsi="Arial" w:cs="Arial"/>
          <w:sz w:val="18"/>
          <w:szCs w:val="18"/>
        </w:rPr>
        <w:t xml:space="preserve"> </w:t>
      </w:r>
      <w:r w:rsidR="004959B8">
        <w:rPr>
          <w:rFonts w:ascii="Arial" w:hAnsi="Arial" w:cs="Arial"/>
          <w:sz w:val="18"/>
          <w:szCs w:val="18"/>
        </w:rPr>
        <w:t>six months ended March 31, 2022</w:t>
      </w:r>
      <w:r w:rsidRPr="00570FDE">
        <w:rPr>
          <w:rFonts w:ascii="Arial" w:hAnsi="Arial" w:cs="Arial"/>
          <w:sz w:val="18"/>
          <w:szCs w:val="18"/>
        </w:rPr>
        <w:t xml:space="preserve">, the Company </w:t>
      </w:r>
      <w:r>
        <w:rPr>
          <w:rFonts w:ascii="Arial" w:hAnsi="Arial" w:cs="Arial"/>
          <w:sz w:val="18"/>
          <w:szCs w:val="18"/>
        </w:rPr>
        <w:t>received</w:t>
      </w:r>
      <w:r w:rsidRPr="00570FDE">
        <w:rPr>
          <w:rFonts w:ascii="Arial" w:hAnsi="Arial" w:cs="Arial"/>
          <w:sz w:val="18"/>
          <w:szCs w:val="18"/>
        </w:rPr>
        <w:t xml:space="preserve"> </w:t>
      </w:r>
      <w:r w:rsidR="00EC26B4">
        <w:rPr>
          <w:rFonts w:ascii="Arial" w:hAnsi="Arial" w:cs="Arial"/>
          <w:sz w:val="18"/>
          <w:szCs w:val="18"/>
        </w:rPr>
        <w:t xml:space="preserve">cash </w:t>
      </w:r>
      <w:r w:rsidR="00F1779F">
        <w:rPr>
          <w:rFonts w:ascii="Arial" w:hAnsi="Arial" w:cs="Arial"/>
          <w:sz w:val="18"/>
          <w:szCs w:val="18"/>
        </w:rPr>
        <w:t xml:space="preserve">of </w:t>
      </w:r>
      <w:r w:rsidR="00F1779F" w:rsidRPr="000B0DAB">
        <w:rPr>
          <w:rFonts w:ascii="Arial" w:hAnsi="Arial" w:cs="Arial"/>
          <w:sz w:val="18"/>
          <w:szCs w:val="18"/>
        </w:rPr>
        <w:t>$</w:t>
      </w:r>
      <w:r w:rsidR="000B0DAB" w:rsidRPr="000B0DAB">
        <w:rPr>
          <w:rFonts w:ascii="Arial" w:hAnsi="Arial" w:cs="Arial"/>
          <w:sz w:val="18"/>
          <w:szCs w:val="18"/>
        </w:rPr>
        <w:t>1,777,999</w:t>
      </w:r>
      <w:r w:rsidRPr="00570FDE">
        <w:rPr>
          <w:rFonts w:ascii="Arial" w:hAnsi="Arial" w:cs="Arial"/>
          <w:sz w:val="18"/>
          <w:szCs w:val="18"/>
        </w:rPr>
        <w:t xml:space="preserve"> </w:t>
      </w:r>
      <w:r>
        <w:rPr>
          <w:rFonts w:ascii="Arial" w:hAnsi="Arial" w:cs="Arial"/>
          <w:sz w:val="18"/>
          <w:szCs w:val="18"/>
        </w:rPr>
        <w:t xml:space="preserve">from financing </w:t>
      </w:r>
      <w:r w:rsidRPr="00570FDE">
        <w:rPr>
          <w:rFonts w:ascii="Arial" w:hAnsi="Arial" w:cs="Arial"/>
          <w:sz w:val="18"/>
          <w:szCs w:val="18"/>
        </w:rPr>
        <w:t xml:space="preserve">activities </w:t>
      </w:r>
      <w:r w:rsidR="003C38EF" w:rsidRPr="00570FDE">
        <w:rPr>
          <w:rFonts w:ascii="Arial" w:hAnsi="Arial" w:cs="Arial"/>
          <w:sz w:val="18"/>
          <w:szCs w:val="18"/>
        </w:rPr>
        <w:t>(202</w:t>
      </w:r>
      <w:r w:rsidR="003C38EF">
        <w:rPr>
          <w:rFonts w:ascii="Arial" w:hAnsi="Arial" w:cs="Arial"/>
          <w:sz w:val="18"/>
          <w:szCs w:val="18"/>
        </w:rPr>
        <w:t>1</w:t>
      </w:r>
      <w:r w:rsidR="003C38EF" w:rsidRPr="00570FDE">
        <w:rPr>
          <w:rFonts w:ascii="Arial" w:hAnsi="Arial" w:cs="Arial"/>
          <w:sz w:val="18"/>
          <w:szCs w:val="18"/>
        </w:rPr>
        <w:t xml:space="preserve"> - $1</w:t>
      </w:r>
      <w:r w:rsidR="003C38EF">
        <w:rPr>
          <w:rFonts w:ascii="Arial" w:hAnsi="Arial" w:cs="Arial"/>
          <w:sz w:val="18"/>
          <w:szCs w:val="18"/>
        </w:rPr>
        <w:t>20</w:t>
      </w:r>
      <w:r w:rsidR="003C38EF" w:rsidRPr="00570FDE">
        <w:rPr>
          <w:rFonts w:ascii="Arial" w:hAnsi="Arial" w:cs="Arial"/>
          <w:sz w:val="18"/>
          <w:szCs w:val="18"/>
        </w:rPr>
        <w:t>,</w:t>
      </w:r>
      <w:r w:rsidR="003C38EF">
        <w:rPr>
          <w:rFonts w:ascii="Arial" w:hAnsi="Arial" w:cs="Arial"/>
          <w:sz w:val="18"/>
          <w:szCs w:val="18"/>
        </w:rPr>
        <w:t>000</w:t>
      </w:r>
      <w:r w:rsidR="003C38EF" w:rsidRPr="00570FDE">
        <w:rPr>
          <w:rFonts w:ascii="Arial" w:hAnsi="Arial" w:cs="Arial"/>
          <w:sz w:val="18"/>
          <w:szCs w:val="18"/>
        </w:rPr>
        <w:t xml:space="preserve">) </w:t>
      </w:r>
      <w:r w:rsidRPr="00570FDE">
        <w:rPr>
          <w:rFonts w:ascii="Arial" w:hAnsi="Arial" w:cs="Arial"/>
          <w:sz w:val="18"/>
          <w:szCs w:val="18"/>
        </w:rPr>
        <w:t>related</w:t>
      </w:r>
      <w:r w:rsidR="00644761">
        <w:rPr>
          <w:rFonts w:ascii="Arial" w:hAnsi="Arial" w:cs="Arial"/>
          <w:sz w:val="18"/>
          <w:szCs w:val="18"/>
        </w:rPr>
        <w:t xml:space="preserve"> to</w:t>
      </w:r>
      <w:r>
        <w:rPr>
          <w:rFonts w:ascii="Arial" w:hAnsi="Arial" w:cs="Arial"/>
          <w:sz w:val="18"/>
          <w:szCs w:val="18"/>
        </w:rPr>
        <w:t xml:space="preserve"> proceeds from issuance of units</w:t>
      </w:r>
      <w:r w:rsidR="003C38EF">
        <w:rPr>
          <w:rFonts w:ascii="Arial" w:hAnsi="Arial" w:cs="Arial"/>
          <w:sz w:val="18"/>
          <w:szCs w:val="18"/>
        </w:rPr>
        <w:t>, proceeds from options exercise and warrants exercise.</w:t>
      </w:r>
    </w:p>
    <w:p w14:paraId="0ACDC484" w14:textId="12F8B3ED" w:rsidR="009562F9" w:rsidRPr="00361EC3" w:rsidRDefault="009562F9" w:rsidP="00361EC3">
      <w:pPr>
        <w:contextualSpacing/>
        <w:rPr>
          <w:rFonts w:ascii="Arial" w:hAnsi="Arial" w:cs="Arial"/>
          <w:sz w:val="18"/>
          <w:szCs w:val="18"/>
        </w:rPr>
      </w:pPr>
    </w:p>
    <w:p w14:paraId="2E818553" w14:textId="67F90A94" w:rsidR="00FF702D" w:rsidRDefault="009562F9" w:rsidP="00361EC3">
      <w:pPr>
        <w:contextualSpacing/>
        <w:rPr>
          <w:rFonts w:ascii="Arial" w:hAnsi="Arial" w:cs="Arial"/>
          <w:sz w:val="18"/>
          <w:szCs w:val="18"/>
        </w:rPr>
      </w:pPr>
      <w:r w:rsidRPr="00361EC3">
        <w:rPr>
          <w:rFonts w:ascii="Arial" w:hAnsi="Arial" w:cs="Arial"/>
          <w:sz w:val="18"/>
          <w:szCs w:val="18"/>
        </w:rPr>
        <w:t xml:space="preserve">The Company is in the process of </w:t>
      </w:r>
      <w:r w:rsidR="005923A1" w:rsidRPr="00361EC3">
        <w:rPr>
          <w:rFonts w:ascii="Arial" w:hAnsi="Arial" w:cs="Arial"/>
          <w:sz w:val="18"/>
          <w:szCs w:val="18"/>
        </w:rPr>
        <w:t>exploring mineral claims. The</w:t>
      </w:r>
      <w:r w:rsidRPr="00361EC3">
        <w:rPr>
          <w:rFonts w:ascii="Arial" w:hAnsi="Arial" w:cs="Arial"/>
          <w:sz w:val="18"/>
          <w:szCs w:val="18"/>
        </w:rPr>
        <w:t xml:space="preserve"> Company has not yet determined whether</w:t>
      </w:r>
      <w:r w:rsidR="005923A1" w:rsidRPr="00361EC3">
        <w:rPr>
          <w:rFonts w:ascii="Arial" w:hAnsi="Arial" w:cs="Arial"/>
          <w:sz w:val="18"/>
          <w:szCs w:val="18"/>
        </w:rPr>
        <w:t xml:space="preserve"> or when the claims could </w:t>
      </w:r>
      <w:r w:rsidRPr="00361EC3">
        <w:rPr>
          <w:rFonts w:ascii="Arial" w:hAnsi="Arial" w:cs="Arial"/>
          <w:sz w:val="18"/>
          <w:szCs w:val="18"/>
        </w:rPr>
        <w:t>be economically viable</w:t>
      </w:r>
      <w:r w:rsidR="005923A1" w:rsidRPr="00361EC3">
        <w:rPr>
          <w:rFonts w:ascii="Arial" w:hAnsi="Arial" w:cs="Arial"/>
          <w:sz w:val="18"/>
          <w:szCs w:val="18"/>
        </w:rPr>
        <w:t>.</w:t>
      </w:r>
    </w:p>
    <w:p w14:paraId="0F26D5F6" w14:textId="77777777" w:rsidR="009562F9" w:rsidRPr="00361EC3" w:rsidRDefault="009562F9" w:rsidP="00361EC3">
      <w:pPr>
        <w:contextualSpacing/>
        <w:rPr>
          <w:rFonts w:ascii="Arial" w:hAnsi="Arial" w:cs="Arial"/>
          <w:sz w:val="18"/>
          <w:szCs w:val="18"/>
        </w:rPr>
      </w:pPr>
    </w:p>
    <w:p w14:paraId="6A1B58DF" w14:textId="4BFE5322" w:rsidR="00570FDE" w:rsidRDefault="009562F9" w:rsidP="00361EC3">
      <w:pPr>
        <w:contextualSpacing/>
        <w:rPr>
          <w:rFonts w:ascii="Arial" w:hAnsi="Arial" w:cs="Arial"/>
          <w:sz w:val="18"/>
          <w:szCs w:val="18"/>
        </w:rPr>
      </w:pPr>
      <w:r w:rsidRPr="00361EC3">
        <w:rPr>
          <w:rFonts w:ascii="Arial" w:hAnsi="Arial" w:cs="Arial"/>
          <w:sz w:val="18"/>
          <w:szCs w:val="18"/>
        </w:rPr>
        <w:t xml:space="preserve">While the information in </w:t>
      </w:r>
      <w:r w:rsidR="0093522C" w:rsidRPr="00361EC3">
        <w:rPr>
          <w:rFonts w:ascii="Arial" w:hAnsi="Arial" w:cs="Arial"/>
          <w:sz w:val="18"/>
          <w:szCs w:val="18"/>
        </w:rPr>
        <w:t>the</w:t>
      </w:r>
      <w:r w:rsidR="009A50BB" w:rsidRPr="00361EC3">
        <w:rPr>
          <w:rFonts w:ascii="Arial" w:hAnsi="Arial" w:cs="Arial"/>
          <w:sz w:val="18"/>
          <w:szCs w:val="18"/>
        </w:rPr>
        <w:t xml:space="preserve"> </w:t>
      </w:r>
      <w:r w:rsidR="00937B6A" w:rsidRPr="00361EC3">
        <w:rPr>
          <w:rFonts w:ascii="Arial" w:hAnsi="Arial" w:cs="Arial"/>
          <w:sz w:val="18"/>
          <w:szCs w:val="18"/>
        </w:rPr>
        <w:t>financial statements</w:t>
      </w:r>
      <w:r w:rsidRPr="00361EC3">
        <w:rPr>
          <w:rFonts w:ascii="Arial" w:hAnsi="Arial" w:cs="Arial"/>
          <w:sz w:val="18"/>
          <w:szCs w:val="18"/>
        </w:rPr>
        <w:t xml:space="preserve"> has been prepared in accordance with IFRS on a going concern basis, which presumes the realization of assets and discharge of liabilities in the normal course of business for the foreseeable future, there are conditions and events that cast significant doubt on the validity of this presumption. The Company’s ability to continue as a going concern is dependent upon achieving profitable operations and upon obtaining additional financing. While the Company is making its best efforts in this regard, the outcome of these matters cannot be predicted at this time.</w:t>
      </w:r>
    </w:p>
    <w:p w14:paraId="76C82194" w14:textId="76BD2FFC" w:rsidR="00000DA7" w:rsidRDefault="00000DA7" w:rsidP="00361EC3">
      <w:pPr>
        <w:contextualSpacing/>
        <w:rPr>
          <w:rFonts w:ascii="Arial" w:hAnsi="Arial" w:cs="Arial"/>
          <w:sz w:val="18"/>
          <w:szCs w:val="18"/>
        </w:rPr>
      </w:pPr>
    </w:p>
    <w:p w14:paraId="52E6D540" w14:textId="13F73FC3" w:rsidR="00000DA7" w:rsidRDefault="00000DA7" w:rsidP="00361EC3">
      <w:pPr>
        <w:contextualSpacing/>
        <w:rPr>
          <w:rFonts w:ascii="Arial" w:hAnsi="Arial" w:cs="Arial"/>
          <w:sz w:val="18"/>
          <w:szCs w:val="18"/>
        </w:rPr>
      </w:pPr>
      <w:r w:rsidRPr="00000DA7">
        <w:rPr>
          <w:rFonts w:ascii="Arial" w:hAnsi="Arial" w:cs="Arial"/>
          <w:sz w:val="18"/>
          <w:szCs w:val="18"/>
        </w:rPr>
        <w:t xml:space="preserve">As of the date of </w:t>
      </w:r>
      <w:r>
        <w:rPr>
          <w:rFonts w:ascii="Arial" w:hAnsi="Arial" w:cs="Arial"/>
          <w:sz w:val="18"/>
          <w:szCs w:val="18"/>
        </w:rPr>
        <w:t>the</w:t>
      </w:r>
      <w:r w:rsidRPr="00000DA7">
        <w:rPr>
          <w:rFonts w:ascii="Arial" w:hAnsi="Arial" w:cs="Arial"/>
          <w:sz w:val="18"/>
          <w:szCs w:val="18"/>
        </w:rPr>
        <w:t xml:space="preserve"> interim financial statements, COVID-19 has had no impact on the Company’s ability to access and explore its current properties but may impact the Company’s ability to raise funding or explore its properties should travel restrictions related to COVID-19 be extended or expanded in scope.</w:t>
      </w:r>
    </w:p>
    <w:p w14:paraId="06A2DAC7" w14:textId="77777777" w:rsidR="00E42972" w:rsidRPr="00361EC3" w:rsidRDefault="00E42972" w:rsidP="00361EC3">
      <w:pPr>
        <w:contextualSpacing/>
        <w:rPr>
          <w:rFonts w:ascii="Arial" w:hAnsi="Arial" w:cs="Arial"/>
          <w:sz w:val="18"/>
          <w:szCs w:val="18"/>
        </w:rPr>
      </w:pPr>
    </w:p>
    <w:p w14:paraId="0619FF68" w14:textId="0A61756A" w:rsidR="009562F9" w:rsidRPr="00361EC3" w:rsidRDefault="009562F9" w:rsidP="00361EC3">
      <w:pPr>
        <w:pStyle w:val="Heading1"/>
        <w:ind w:left="0"/>
        <w:contextualSpacing/>
        <w:rPr>
          <w:rFonts w:ascii="Arial" w:hAnsi="Arial" w:cs="Arial"/>
          <w:sz w:val="18"/>
          <w:szCs w:val="18"/>
        </w:rPr>
      </w:pPr>
      <w:r w:rsidRPr="00361EC3">
        <w:rPr>
          <w:rFonts w:ascii="Arial" w:hAnsi="Arial" w:cs="Arial"/>
          <w:sz w:val="18"/>
          <w:szCs w:val="18"/>
        </w:rPr>
        <w:t xml:space="preserve">Results of </w:t>
      </w:r>
      <w:r w:rsidR="007646FA" w:rsidRPr="00361EC3">
        <w:rPr>
          <w:rFonts w:ascii="Arial" w:hAnsi="Arial" w:cs="Arial"/>
          <w:sz w:val="18"/>
          <w:szCs w:val="18"/>
        </w:rPr>
        <w:t>o</w:t>
      </w:r>
      <w:r w:rsidRPr="00361EC3">
        <w:rPr>
          <w:rFonts w:ascii="Arial" w:hAnsi="Arial" w:cs="Arial"/>
          <w:sz w:val="18"/>
          <w:szCs w:val="18"/>
        </w:rPr>
        <w:t xml:space="preserve">perations </w:t>
      </w:r>
    </w:p>
    <w:p w14:paraId="0C86244A" w14:textId="112ADA51" w:rsidR="005923A1" w:rsidRPr="00361EC3" w:rsidRDefault="005923A1" w:rsidP="00361EC3">
      <w:pPr>
        <w:contextualSpacing/>
        <w:rPr>
          <w:rFonts w:ascii="Arial" w:hAnsi="Arial" w:cs="Arial"/>
          <w:sz w:val="18"/>
          <w:szCs w:val="18"/>
        </w:rPr>
      </w:pPr>
    </w:p>
    <w:p w14:paraId="0D3DB569" w14:textId="620DD97C" w:rsidR="00B77F80" w:rsidRDefault="0093522C" w:rsidP="00361EC3">
      <w:pPr>
        <w:contextualSpacing/>
        <w:rPr>
          <w:rFonts w:ascii="Arial" w:hAnsi="Arial" w:cs="Arial"/>
          <w:sz w:val="18"/>
          <w:szCs w:val="18"/>
        </w:rPr>
      </w:pPr>
      <w:r w:rsidRPr="00361EC3">
        <w:rPr>
          <w:rFonts w:ascii="Arial" w:hAnsi="Arial" w:cs="Arial"/>
          <w:sz w:val="18"/>
          <w:szCs w:val="18"/>
        </w:rPr>
        <w:t>The net loss</w:t>
      </w:r>
      <w:r w:rsidR="00EC26B4">
        <w:rPr>
          <w:rFonts w:ascii="Arial" w:hAnsi="Arial" w:cs="Arial"/>
          <w:sz w:val="18"/>
          <w:szCs w:val="18"/>
        </w:rPr>
        <w:t xml:space="preserve"> and comprehensive loss</w:t>
      </w:r>
      <w:r w:rsidRPr="00361EC3">
        <w:rPr>
          <w:rFonts w:ascii="Arial" w:hAnsi="Arial" w:cs="Arial"/>
          <w:sz w:val="18"/>
          <w:szCs w:val="18"/>
        </w:rPr>
        <w:t xml:space="preserve"> for </w:t>
      </w:r>
      <w:r w:rsidR="002C050B">
        <w:rPr>
          <w:rFonts w:ascii="Arial" w:hAnsi="Arial" w:cs="Arial"/>
          <w:sz w:val="18"/>
          <w:szCs w:val="18"/>
        </w:rPr>
        <w:t>six months ended March 31, 2022</w:t>
      </w:r>
      <w:r w:rsidRPr="00361EC3">
        <w:rPr>
          <w:rFonts w:ascii="Arial" w:hAnsi="Arial" w:cs="Arial"/>
          <w:sz w:val="18"/>
          <w:szCs w:val="18"/>
        </w:rPr>
        <w:t xml:space="preserve"> was </w:t>
      </w:r>
      <w:r w:rsidRPr="00C132D1">
        <w:rPr>
          <w:rFonts w:ascii="Arial" w:hAnsi="Arial" w:cs="Arial"/>
          <w:sz w:val="18"/>
          <w:szCs w:val="18"/>
        </w:rPr>
        <w:t>$</w:t>
      </w:r>
      <w:r w:rsidR="00C132D1" w:rsidRPr="00C132D1">
        <w:rPr>
          <w:rFonts w:ascii="Arial" w:hAnsi="Arial" w:cs="Arial"/>
          <w:sz w:val="18"/>
          <w:szCs w:val="18"/>
        </w:rPr>
        <w:t>1,</w:t>
      </w:r>
      <w:r w:rsidR="00E121D1">
        <w:rPr>
          <w:rFonts w:ascii="Arial" w:hAnsi="Arial" w:cs="Arial"/>
          <w:sz w:val="18"/>
          <w:szCs w:val="18"/>
        </w:rPr>
        <w:t>335,938</w:t>
      </w:r>
      <w:r w:rsidRPr="00361EC3">
        <w:rPr>
          <w:rFonts w:ascii="Arial" w:hAnsi="Arial" w:cs="Arial"/>
          <w:sz w:val="18"/>
          <w:szCs w:val="18"/>
        </w:rPr>
        <w:t xml:space="preserve"> (202</w:t>
      </w:r>
      <w:r w:rsidR="008952FF">
        <w:rPr>
          <w:rFonts w:ascii="Arial" w:hAnsi="Arial" w:cs="Arial"/>
          <w:sz w:val="18"/>
          <w:szCs w:val="18"/>
        </w:rPr>
        <w:t>1</w:t>
      </w:r>
      <w:r w:rsidRPr="00361EC3">
        <w:rPr>
          <w:rFonts w:ascii="Arial" w:hAnsi="Arial" w:cs="Arial"/>
          <w:sz w:val="18"/>
          <w:szCs w:val="18"/>
        </w:rPr>
        <w:t xml:space="preserve"> - </w:t>
      </w:r>
      <w:r w:rsidR="00540A51" w:rsidRPr="00540A51">
        <w:rPr>
          <w:rFonts w:ascii="Arial" w:hAnsi="Arial" w:cs="Arial"/>
          <w:sz w:val="18"/>
          <w:szCs w:val="18"/>
        </w:rPr>
        <w:t>$</w:t>
      </w:r>
      <w:r w:rsidR="00CE7D33">
        <w:rPr>
          <w:rFonts w:ascii="Arial" w:hAnsi="Arial" w:cs="Arial"/>
          <w:sz w:val="18"/>
          <w:szCs w:val="18"/>
        </w:rPr>
        <w:t>216,717</w:t>
      </w:r>
      <w:r w:rsidRPr="00361EC3">
        <w:rPr>
          <w:rFonts w:ascii="Arial" w:hAnsi="Arial" w:cs="Arial"/>
          <w:sz w:val="18"/>
          <w:szCs w:val="18"/>
        </w:rPr>
        <w:t xml:space="preserve">), attributable </w:t>
      </w:r>
      <w:r w:rsidR="00EC26B4">
        <w:rPr>
          <w:rFonts w:ascii="Arial" w:hAnsi="Arial" w:cs="Arial"/>
          <w:sz w:val="18"/>
          <w:szCs w:val="18"/>
        </w:rPr>
        <w:t>to</w:t>
      </w:r>
      <w:r w:rsidR="00164036" w:rsidRPr="00361EC3">
        <w:rPr>
          <w:rFonts w:ascii="Arial" w:hAnsi="Arial" w:cs="Arial"/>
          <w:sz w:val="18"/>
          <w:szCs w:val="18"/>
        </w:rPr>
        <w:t xml:space="preserve"> exploration and evaluation costs of </w:t>
      </w:r>
      <w:r w:rsidR="00164036" w:rsidRPr="00A3723F">
        <w:rPr>
          <w:rFonts w:ascii="Arial" w:hAnsi="Arial" w:cs="Arial"/>
          <w:sz w:val="18"/>
          <w:szCs w:val="18"/>
        </w:rPr>
        <w:t>$</w:t>
      </w:r>
      <w:r w:rsidR="00D331B8">
        <w:rPr>
          <w:rFonts w:ascii="Arial" w:hAnsi="Arial" w:cs="Arial"/>
          <w:sz w:val="18"/>
          <w:szCs w:val="18"/>
        </w:rPr>
        <w:t>153,744</w:t>
      </w:r>
      <w:r w:rsidR="009810E8">
        <w:rPr>
          <w:rFonts w:ascii="Arial" w:hAnsi="Arial" w:cs="Arial"/>
          <w:sz w:val="18"/>
          <w:szCs w:val="18"/>
        </w:rPr>
        <w:t xml:space="preserve"> (202</w:t>
      </w:r>
      <w:r w:rsidR="00AF64A5">
        <w:rPr>
          <w:rFonts w:ascii="Arial" w:hAnsi="Arial" w:cs="Arial"/>
          <w:sz w:val="18"/>
          <w:szCs w:val="18"/>
        </w:rPr>
        <w:t>1</w:t>
      </w:r>
      <w:r w:rsidR="009810E8">
        <w:rPr>
          <w:rFonts w:ascii="Arial" w:hAnsi="Arial" w:cs="Arial"/>
          <w:sz w:val="18"/>
          <w:szCs w:val="18"/>
        </w:rPr>
        <w:t xml:space="preserve"> - $nil)</w:t>
      </w:r>
      <w:r w:rsidR="00164036" w:rsidRPr="00361EC3">
        <w:rPr>
          <w:rFonts w:ascii="Arial" w:hAnsi="Arial" w:cs="Arial"/>
          <w:sz w:val="18"/>
          <w:szCs w:val="18"/>
        </w:rPr>
        <w:t>,</w:t>
      </w:r>
      <w:r w:rsidRPr="00361EC3">
        <w:rPr>
          <w:rFonts w:ascii="Arial" w:hAnsi="Arial" w:cs="Arial"/>
          <w:sz w:val="18"/>
          <w:szCs w:val="18"/>
        </w:rPr>
        <w:t xml:space="preserve"> </w:t>
      </w:r>
      <w:r w:rsidR="009810E8">
        <w:rPr>
          <w:rFonts w:ascii="Arial" w:hAnsi="Arial" w:cs="Arial"/>
          <w:sz w:val="18"/>
          <w:szCs w:val="18"/>
        </w:rPr>
        <w:t xml:space="preserve">filing and legal fees of </w:t>
      </w:r>
      <w:r w:rsidR="009810E8" w:rsidRPr="00DB38D0">
        <w:rPr>
          <w:rFonts w:ascii="Arial" w:hAnsi="Arial" w:cs="Arial"/>
          <w:sz w:val="18"/>
          <w:szCs w:val="18"/>
        </w:rPr>
        <w:t>$</w:t>
      </w:r>
      <w:r w:rsidR="00D331B8">
        <w:rPr>
          <w:rFonts w:ascii="Arial" w:hAnsi="Arial" w:cs="Arial"/>
          <w:sz w:val="18"/>
          <w:szCs w:val="18"/>
        </w:rPr>
        <w:t>398,936</w:t>
      </w:r>
      <w:r w:rsidR="00D55E6A">
        <w:rPr>
          <w:rFonts w:ascii="Arial" w:hAnsi="Arial" w:cs="Arial"/>
          <w:sz w:val="18"/>
          <w:szCs w:val="18"/>
        </w:rPr>
        <w:t xml:space="preserve"> </w:t>
      </w:r>
      <w:r w:rsidR="009810E8">
        <w:rPr>
          <w:rFonts w:ascii="Arial" w:hAnsi="Arial" w:cs="Arial"/>
          <w:sz w:val="18"/>
          <w:szCs w:val="18"/>
        </w:rPr>
        <w:t>(202</w:t>
      </w:r>
      <w:r w:rsidR="00AF64A5">
        <w:rPr>
          <w:rFonts w:ascii="Arial" w:hAnsi="Arial" w:cs="Arial"/>
          <w:sz w:val="18"/>
          <w:szCs w:val="18"/>
        </w:rPr>
        <w:t>1</w:t>
      </w:r>
      <w:r w:rsidR="009810E8">
        <w:rPr>
          <w:rFonts w:ascii="Arial" w:hAnsi="Arial" w:cs="Arial"/>
          <w:sz w:val="18"/>
          <w:szCs w:val="18"/>
        </w:rPr>
        <w:t xml:space="preserve"> - $nil), </w:t>
      </w:r>
      <w:r w:rsidRPr="00361EC3">
        <w:rPr>
          <w:rFonts w:ascii="Arial" w:hAnsi="Arial" w:cs="Arial"/>
          <w:sz w:val="18"/>
          <w:szCs w:val="18"/>
        </w:rPr>
        <w:t xml:space="preserve">general and administrative costs of </w:t>
      </w:r>
      <w:r w:rsidRPr="00BD4D21">
        <w:rPr>
          <w:rFonts w:ascii="Arial" w:hAnsi="Arial" w:cs="Arial"/>
          <w:sz w:val="18"/>
          <w:szCs w:val="18"/>
        </w:rPr>
        <w:t>$</w:t>
      </w:r>
      <w:r w:rsidR="00D331B8">
        <w:rPr>
          <w:rFonts w:ascii="Arial" w:hAnsi="Arial" w:cs="Arial"/>
          <w:sz w:val="18"/>
          <w:szCs w:val="18"/>
        </w:rPr>
        <w:t>79,637</w:t>
      </w:r>
      <w:r w:rsidR="009810E8">
        <w:rPr>
          <w:rFonts w:ascii="Arial" w:hAnsi="Arial" w:cs="Arial"/>
          <w:sz w:val="18"/>
          <w:szCs w:val="18"/>
        </w:rPr>
        <w:t xml:space="preserve"> (202</w:t>
      </w:r>
      <w:r w:rsidR="00AF64A5">
        <w:rPr>
          <w:rFonts w:ascii="Arial" w:hAnsi="Arial" w:cs="Arial"/>
          <w:sz w:val="18"/>
          <w:szCs w:val="18"/>
        </w:rPr>
        <w:t>1</w:t>
      </w:r>
      <w:r w:rsidR="009810E8">
        <w:rPr>
          <w:rFonts w:ascii="Arial" w:hAnsi="Arial" w:cs="Arial"/>
          <w:sz w:val="18"/>
          <w:szCs w:val="18"/>
        </w:rPr>
        <w:t xml:space="preserve"> - $</w:t>
      </w:r>
      <w:r w:rsidR="00AF64A5">
        <w:rPr>
          <w:rFonts w:ascii="Arial" w:hAnsi="Arial" w:cs="Arial"/>
          <w:sz w:val="18"/>
          <w:szCs w:val="18"/>
        </w:rPr>
        <w:t>138</w:t>
      </w:r>
      <w:r w:rsidR="009810E8">
        <w:rPr>
          <w:rFonts w:ascii="Arial" w:hAnsi="Arial" w:cs="Arial"/>
          <w:sz w:val="18"/>
          <w:szCs w:val="18"/>
        </w:rPr>
        <w:t>)</w:t>
      </w:r>
      <w:r w:rsidRPr="00361EC3">
        <w:rPr>
          <w:rFonts w:ascii="Arial" w:hAnsi="Arial" w:cs="Arial"/>
          <w:sz w:val="18"/>
          <w:szCs w:val="18"/>
        </w:rPr>
        <w:t>,</w:t>
      </w:r>
      <w:r w:rsidR="006500BD">
        <w:rPr>
          <w:rFonts w:ascii="Arial" w:hAnsi="Arial" w:cs="Arial"/>
          <w:sz w:val="18"/>
          <w:szCs w:val="18"/>
        </w:rPr>
        <w:t xml:space="preserve"> management fess of $124,797</w:t>
      </w:r>
      <w:r w:rsidR="00D331B8">
        <w:rPr>
          <w:rFonts w:ascii="Arial" w:hAnsi="Arial" w:cs="Arial"/>
          <w:sz w:val="18"/>
          <w:szCs w:val="18"/>
        </w:rPr>
        <w:t xml:space="preserve"> (2021 - $13,513)</w:t>
      </w:r>
      <w:r w:rsidR="006500BD">
        <w:rPr>
          <w:rFonts w:ascii="Arial" w:hAnsi="Arial" w:cs="Arial"/>
          <w:sz w:val="18"/>
          <w:szCs w:val="18"/>
        </w:rPr>
        <w:t>,</w:t>
      </w:r>
      <w:r w:rsidR="009810E8">
        <w:rPr>
          <w:rFonts w:ascii="Arial" w:hAnsi="Arial" w:cs="Arial"/>
          <w:sz w:val="18"/>
          <w:szCs w:val="18"/>
        </w:rPr>
        <w:t xml:space="preserve"> marketing </w:t>
      </w:r>
      <w:r w:rsidR="009810E8" w:rsidRPr="00D55E6A">
        <w:rPr>
          <w:rFonts w:ascii="Arial" w:hAnsi="Arial" w:cs="Arial"/>
          <w:sz w:val="18"/>
          <w:szCs w:val="18"/>
        </w:rPr>
        <w:t xml:space="preserve">costs of </w:t>
      </w:r>
      <w:r w:rsidR="009810E8" w:rsidRPr="003449C2">
        <w:rPr>
          <w:rFonts w:ascii="Arial" w:hAnsi="Arial" w:cs="Arial"/>
          <w:sz w:val="18"/>
          <w:szCs w:val="18"/>
        </w:rPr>
        <w:t>$</w:t>
      </w:r>
      <w:r w:rsidR="003449C2" w:rsidRPr="003449C2">
        <w:rPr>
          <w:rFonts w:ascii="Arial" w:hAnsi="Arial" w:cs="Arial"/>
          <w:sz w:val="18"/>
          <w:szCs w:val="18"/>
        </w:rPr>
        <w:t>10,974</w:t>
      </w:r>
      <w:r w:rsidR="009810E8">
        <w:rPr>
          <w:rFonts w:ascii="Arial" w:hAnsi="Arial" w:cs="Arial"/>
          <w:sz w:val="18"/>
          <w:szCs w:val="18"/>
        </w:rPr>
        <w:t xml:space="preserve"> (202</w:t>
      </w:r>
      <w:r w:rsidR="00AF64A5">
        <w:rPr>
          <w:rFonts w:ascii="Arial" w:hAnsi="Arial" w:cs="Arial"/>
          <w:sz w:val="18"/>
          <w:szCs w:val="18"/>
        </w:rPr>
        <w:t>1</w:t>
      </w:r>
      <w:r w:rsidR="009810E8">
        <w:rPr>
          <w:rFonts w:ascii="Arial" w:hAnsi="Arial" w:cs="Arial"/>
          <w:sz w:val="18"/>
          <w:szCs w:val="18"/>
        </w:rPr>
        <w:t xml:space="preserve"> - $nil), </w:t>
      </w:r>
      <w:r w:rsidR="009810E8" w:rsidRPr="00361EC3">
        <w:rPr>
          <w:rFonts w:ascii="Arial" w:hAnsi="Arial" w:cs="Arial"/>
          <w:sz w:val="18"/>
          <w:szCs w:val="18"/>
        </w:rPr>
        <w:t xml:space="preserve">professional fees of </w:t>
      </w:r>
      <w:r w:rsidR="009810E8" w:rsidRPr="001A1CB2">
        <w:rPr>
          <w:rFonts w:ascii="Arial" w:hAnsi="Arial" w:cs="Arial"/>
          <w:sz w:val="18"/>
          <w:szCs w:val="18"/>
        </w:rPr>
        <w:t>$</w:t>
      </w:r>
      <w:r w:rsidR="006500BD">
        <w:rPr>
          <w:rFonts w:ascii="Arial" w:hAnsi="Arial" w:cs="Arial"/>
          <w:sz w:val="18"/>
          <w:szCs w:val="18"/>
        </w:rPr>
        <w:t>254</w:t>
      </w:r>
      <w:r w:rsidR="001A1CB2" w:rsidRPr="001A1CB2">
        <w:rPr>
          <w:rFonts w:ascii="Arial" w:hAnsi="Arial" w:cs="Arial"/>
          <w:sz w:val="18"/>
          <w:szCs w:val="18"/>
        </w:rPr>
        <w:t>,</w:t>
      </w:r>
      <w:r w:rsidR="006500BD">
        <w:rPr>
          <w:rFonts w:ascii="Arial" w:hAnsi="Arial" w:cs="Arial"/>
          <w:sz w:val="18"/>
          <w:szCs w:val="18"/>
        </w:rPr>
        <w:t>848</w:t>
      </w:r>
      <w:r w:rsidR="009810E8" w:rsidRPr="00D55E6A">
        <w:rPr>
          <w:rFonts w:ascii="Arial" w:hAnsi="Arial" w:cs="Arial"/>
          <w:sz w:val="18"/>
          <w:szCs w:val="18"/>
        </w:rPr>
        <w:t xml:space="preserve"> (</w:t>
      </w:r>
      <w:r w:rsidR="009810E8">
        <w:rPr>
          <w:rFonts w:ascii="Arial" w:hAnsi="Arial" w:cs="Arial"/>
          <w:sz w:val="18"/>
          <w:szCs w:val="18"/>
        </w:rPr>
        <w:t>202</w:t>
      </w:r>
      <w:r w:rsidR="00A8777C">
        <w:rPr>
          <w:rFonts w:ascii="Arial" w:hAnsi="Arial" w:cs="Arial"/>
          <w:sz w:val="18"/>
          <w:szCs w:val="18"/>
        </w:rPr>
        <w:t>1</w:t>
      </w:r>
      <w:r w:rsidR="009810E8">
        <w:rPr>
          <w:rFonts w:ascii="Arial" w:hAnsi="Arial" w:cs="Arial"/>
          <w:sz w:val="18"/>
          <w:szCs w:val="18"/>
        </w:rPr>
        <w:t xml:space="preserve"> - $</w:t>
      </w:r>
      <w:r w:rsidR="00D331B8">
        <w:rPr>
          <w:rFonts w:ascii="Arial" w:hAnsi="Arial" w:cs="Arial"/>
          <w:sz w:val="18"/>
          <w:szCs w:val="18"/>
        </w:rPr>
        <w:t>36</w:t>
      </w:r>
      <w:r w:rsidR="00DC6B55">
        <w:rPr>
          <w:rFonts w:ascii="Arial" w:hAnsi="Arial" w:cs="Arial"/>
          <w:sz w:val="18"/>
          <w:szCs w:val="18"/>
        </w:rPr>
        <w:t>,</w:t>
      </w:r>
      <w:r w:rsidR="00D331B8">
        <w:rPr>
          <w:rFonts w:ascii="Arial" w:hAnsi="Arial" w:cs="Arial"/>
          <w:sz w:val="18"/>
          <w:szCs w:val="18"/>
        </w:rPr>
        <w:t>367</w:t>
      </w:r>
      <w:r w:rsidR="009810E8">
        <w:rPr>
          <w:rFonts w:ascii="Arial" w:hAnsi="Arial" w:cs="Arial"/>
          <w:sz w:val="18"/>
          <w:szCs w:val="18"/>
        </w:rPr>
        <w:t xml:space="preserve">), rent of </w:t>
      </w:r>
      <w:r w:rsidR="009810E8" w:rsidRPr="00D55E6A">
        <w:rPr>
          <w:rFonts w:ascii="Arial" w:hAnsi="Arial" w:cs="Arial"/>
          <w:sz w:val="18"/>
          <w:szCs w:val="18"/>
        </w:rPr>
        <w:t>$</w:t>
      </w:r>
      <w:r w:rsidR="00504CC5" w:rsidRPr="00504CC5">
        <w:rPr>
          <w:rFonts w:ascii="Arial" w:hAnsi="Arial" w:cs="Arial"/>
          <w:sz w:val="18"/>
          <w:szCs w:val="18"/>
        </w:rPr>
        <w:t>24,000</w:t>
      </w:r>
      <w:r w:rsidR="009810E8">
        <w:rPr>
          <w:rFonts w:ascii="Arial" w:hAnsi="Arial" w:cs="Arial"/>
          <w:sz w:val="18"/>
          <w:szCs w:val="18"/>
        </w:rPr>
        <w:t xml:space="preserve"> (202</w:t>
      </w:r>
      <w:r w:rsidR="00AF64A5">
        <w:rPr>
          <w:rFonts w:ascii="Arial" w:hAnsi="Arial" w:cs="Arial"/>
          <w:sz w:val="18"/>
          <w:szCs w:val="18"/>
        </w:rPr>
        <w:t>1</w:t>
      </w:r>
      <w:r w:rsidR="009810E8">
        <w:rPr>
          <w:rFonts w:ascii="Arial" w:hAnsi="Arial" w:cs="Arial"/>
          <w:sz w:val="18"/>
          <w:szCs w:val="18"/>
        </w:rPr>
        <w:t xml:space="preserve"> - $nil), and</w:t>
      </w:r>
      <w:r w:rsidRPr="00361EC3">
        <w:rPr>
          <w:rFonts w:ascii="Arial" w:hAnsi="Arial" w:cs="Arial"/>
          <w:sz w:val="18"/>
          <w:szCs w:val="18"/>
        </w:rPr>
        <w:t xml:space="preserve"> share-based payments </w:t>
      </w:r>
      <w:r w:rsidRPr="00D55E6A">
        <w:rPr>
          <w:rFonts w:ascii="Arial" w:hAnsi="Arial" w:cs="Arial"/>
          <w:sz w:val="18"/>
          <w:szCs w:val="18"/>
        </w:rPr>
        <w:t xml:space="preserve">of </w:t>
      </w:r>
      <w:r w:rsidRPr="006849A6">
        <w:rPr>
          <w:rFonts w:ascii="Arial" w:hAnsi="Arial" w:cs="Arial"/>
          <w:sz w:val="18"/>
          <w:szCs w:val="18"/>
        </w:rPr>
        <w:t>$</w:t>
      </w:r>
      <w:r w:rsidR="006849A6" w:rsidRPr="006849A6">
        <w:rPr>
          <w:rFonts w:ascii="Arial" w:hAnsi="Arial" w:cs="Arial"/>
          <w:sz w:val="18"/>
          <w:szCs w:val="18"/>
        </w:rPr>
        <w:t>256,315</w:t>
      </w:r>
      <w:r w:rsidR="009810E8">
        <w:rPr>
          <w:rFonts w:ascii="Arial" w:hAnsi="Arial" w:cs="Arial"/>
          <w:sz w:val="18"/>
          <w:szCs w:val="18"/>
        </w:rPr>
        <w:t xml:space="preserve"> (202</w:t>
      </w:r>
      <w:r w:rsidR="00AF64A5">
        <w:rPr>
          <w:rFonts w:ascii="Arial" w:hAnsi="Arial" w:cs="Arial"/>
          <w:sz w:val="18"/>
          <w:szCs w:val="18"/>
        </w:rPr>
        <w:t>1</w:t>
      </w:r>
      <w:r w:rsidR="009810E8">
        <w:rPr>
          <w:rFonts w:ascii="Arial" w:hAnsi="Arial" w:cs="Arial"/>
          <w:sz w:val="18"/>
          <w:szCs w:val="18"/>
        </w:rPr>
        <w:t xml:space="preserve"> - $</w:t>
      </w:r>
      <w:r w:rsidR="00580404">
        <w:rPr>
          <w:rFonts w:ascii="Arial" w:hAnsi="Arial" w:cs="Arial"/>
          <w:sz w:val="18"/>
          <w:szCs w:val="18"/>
        </w:rPr>
        <w:t>2,</w:t>
      </w:r>
      <w:r w:rsidR="00DC6B55">
        <w:rPr>
          <w:rFonts w:ascii="Arial" w:hAnsi="Arial" w:cs="Arial"/>
          <w:sz w:val="18"/>
          <w:szCs w:val="18"/>
        </w:rPr>
        <w:t>301</w:t>
      </w:r>
      <w:r w:rsidR="009810E8">
        <w:rPr>
          <w:rFonts w:ascii="Arial" w:hAnsi="Arial" w:cs="Arial"/>
          <w:sz w:val="18"/>
          <w:szCs w:val="18"/>
        </w:rPr>
        <w:t>)</w:t>
      </w:r>
      <w:r w:rsidRPr="00361EC3">
        <w:rPr>
          <w:rFonts w:ascii="Arial" w:hAnsi="Arial" w:cs="Arial"/>
          <w:sz w:val="18"/>
          <w:szCs w:val="18"/>
        </w:rPr>
        <w:t>,</w:t>
      </w:r>
      <w:r w:rsidR="00D331B8">
        <w:rPr>
          <w:rFonts w:ascii="Arial" w:hAnsi="Arial" w:cs="Arial"/>
          <w:sz w:val="18"/>
          <w:szCs w:val="18"/>
        </w:rPr>
        <w:t xml:space="preserve"> foreign exchange loss of $32,687 (2021 - $nil</w:t>
      </w:r>
      <w:r w:rsidR="00C2642C">
        <w:rPr>
          <w:rFonts w:ascii="Arial" w:hAnsi="Arial" w:cs="Arial"/>
          <w:sz w:val="18"/>
          <w:szCs w:val="18"/>
        </w:rPr>
        <w:t>),</w:t>
      </w:r>
      <w:r w:rsidRPr="00361EC3">
        <w:rPr>
          <w:rFonts w:ascii="Arial" w:hAnsi="Arial" w:cs="Arial"/>
          <w:sz w:val="18"/>
          <w:szCs w:val="18"/>
        </w:rPr>
        <w:t xml:space="preserve"> all of which have increased over the prior year comparable period due to the Company having increased activity. Professional fees consist of audit, accounting</w:t>
      </w:r>
      <w:r w:rsidR="005178D9">
        <w:rPr>
          <w:rFonts w:ascii="Arial" w:hAnsi="Arial" w:cs="Arial"/>
          <w:sz w:val="18"/>
          <w:szCs w:val="18"/>
        </w:rPr>
        <w:t>,</w:t>
      </w:r>
      <w:r w:rsidRPr="00361EC3">
        <w:rPr>
          <w:rFonts w:ascii="Arial" w:hAnsi="Arial" w:cs="Arial"/>
          <w:sz w:val="18"/>
          <w:szCs w:val="18"/>
        </w:rPr>
        <w:t xml:space="preserve"> and</w:t>
      </w:r>
      <w:r w:rsidR="005178D9">
        <w:rPr>
          <w:rFonts w:ascii="Arial" w:hAnsi="Arial" w:cs="Arial"/>
          <w:sz w:val="18"/>
          <w:szCs w:val="18"/>
        </w:rPr>
        <w:t xml:space="preserve"> consulting </w:t>
      </w:r>
      <w:r w:rsidRPr="00361EC3">
        <w:rPr>
          <w:rFonts w:ascii="Arial" w:hAnsi="Arial" w:cs="Arial"/>
          <w:sz w:val="18"/>
          <w:szCs w:val="18"/>
        </w:rPr>
        <w:t>fees</w:t>
      </w:r>
      <w:r w:rsidR="00000DA7">
        <w:rPr>
          <w:rFonts w:ascii="Arial" w:hAnsi="Arial" w:cs="Arial"/>
          <w:sz w:val="18"/>
          <w:szCs w:val="18"/>
        </w:rPr>
        <w:t xml:space="preserve"> t</w:t>
      </w:r>
      <w:r w:rsidR="00000DA7" w:rsidRPr="00000DA7">
        <w:rPr>
          <w:rFonts w:ascii="Arial" w:hAnsi="Arial" w:cs="Arial"/>
          <w:sz w:val="18"/>
          <w:szCs w:val="18"/>
        </w:rPr>
        <w:t>o operate the business within compliance requirements</w:t>
      </w:r>
      <w:r w:rsidRPr="00361EC3">
        <w:rPr>
          <w:rFonts w:ascii="Arial" w:hAnsi="Arial" w:cs="Arial"/>
          <w:sz w:val="18"/>
          <w:szCs w:val="18"/>
        </w:rPr>
        <w:t>.</w:t>
      </w:r>
    </w:p>
    <w:p w14:paraId="6EF33F66" w14:textId="77777777" w:rsidR="00D55E6A" w:rsidRDefault="00D55E6A" w:rsidP="00361EC3">
      <w:pPr>
        <w:contextualSpacing/>
        <w:rPr>
          <w:rFonts w:ascii="Arial" w:hAnsi="Arial" w:cs="Arial"/>
          <w:b/>
          <w:bCs/>
          <w:sz w:val="18"/>
          <w:szCs w:val="18"/>
        </w:rPr>
      </w:pPr>
    </w:p>
    <w:p w14:paraId="0D49CEEE" w14:textId="50E28EB3" w:rsidR="00243C38" w:rsidRDefault="00243C38" w:rsidP="00243C38">
      <w:pPr>
        <w:contextualSpacing/>
        <w:rPr>
          <w:rFonts w:ascii="Arial" w:hAnsi="Arial" w:cs="Arial"/>
          <w:sz w:val="18"/>
          <w:szCs w:val="18"/>
        </w:rPr>
      </w:pPr>
      <w:r w:rsidRPr="00361EC3">
        <w:rPr>
          <w:rFonts w:ascii="Arial" w:hAnsi="Arial" w:cs="Arial"/>
          <w:sz w:val="18"/>
          <w:szCs w:val="18"/>
        </w:rPr>
        <w:t>The net loss</w:t>
      </w:r>
      <w:r>
        <w:rPr>
          <w:rFonts w:ascii="Arial" w:hAnsi="Arial" w:cs="Arial"/>
          <w:sz w:val="18"/>
          <w:szCs w:val="18"/>
        </w:rPr>
        <w:t xml:space="preserve"> and comprehensive loss</w:t>
      </w:r>
      <w:r w:rsidRPr="00361EC3">
        <w:rPr>
          <w:rFonts w:ascii="Arial" w:hAnsi="Arial" w:cs="Arial"/>
          <w:sz w:val="18"/>
          <w:szCs w:val="18"/>
        </w:rPr>
        <w:t xml:space="preserve"> for </w:t>
      </w:r>
      <w:r>
        <w:rPr>
          <w:rFonts w:ascii="Arial" w:hAnsi="Arial" w:cs="Arial"/>
          <w:sz w:val="18"/>
          <w:szCs w:val="18"/>
        </w:rPr>
        <w:t>three months ended March 31, 2022</w:t>
      </w:r>
      <w:r w:rsidRPr="00361EC3">
        <w:rPr>
          <w:rFonts w:ascii="Arial" w:hAnsi="Arial" w:cs="Arial"/>
          <w:sz w:val="18"/>
          <w:szCs w:val="18"/>
        </w:rPr>
        <w:t xml:space="preserve"> was </w:t>
      </w:r>
      <w:r w:rsidRPr="00C132D1">
        <w:rPr>
          <w:rFonts w:ascii="Arial" w:hAnsi="Arial" w:cs="Arial"/>
          <w:sz w:val="18"/>
          <w:szCs w:val="18"/>
        </w:rPr>
        <w:t>$</w:t>
      </w:r>
      <w:r>
        <w:rPr>
          <w:rFonts w:ascii="Arial" w:hAnsi="Arial" w:cs="Arial"/>
          <w:sz w:val="18"/>
          <w:szCs w:val="18"/>
        </w:rPr>
        <w:t>137,331</w:t>
      </w:r>
      <w:r w:rsidRPr="00361EC3">
        <w:rPr>
          <w:rFonts w:ascii="Arial" w:hAnsi="Arial" w:cs="Arial"/>
          <w:sz w:val="18"/>
          <w:szCs w:val="18"/>
        </w:rPr>
        <w:t xml:space="preserve"> (202</w:t>
      </w:r>
      <w:r>
        <w:rPr>
          <w:rFonts w:ascii="Arial" w:hAnsi="Arial" w:cs="Arial"/>
          <w:sz w:val="18"/>
          <w:szCs w:val="18"/>
        </w:rPr>
        <w:t>1</w:t>
      </w:r>
      <w:r w:rsidRPr="00361EC3">
        <w:rPr>
          <w:rFonts w:ascii="Arial" w:hAnsi="Arial" w:cs="Arial"/>
          <w:sz w:val="18"/>
          <w:szCs w:val="18"/>
        </w:rPr>
        <w:t xml:space="preserve"> - </w:t>
      </w:r>
      <w:r w:rsidRPr="00540A51">
        <w:rPr>
          <w:rFonts w:ascii="Arial" w:hAnsi="Arial" w:cs="Arial"/>
          <w:sz w:val="18"/>
          <w:szCs w:val="18"/>
        </w:rPr>
        <w:t>$</w:t>
      </w:r>
      <w:r w:rsidR="009F0902">
        <w:rPr>
          <w:rFonts w:ascii="Arial" w:hAnsi="Arial" w:cs="Arial"/>
          <w:sz w:val="18"/>
          <w:szCs w:val="18"/>
        </w:rPr>
        <w:t>185</w:t>
      </w:r>
      <w:r>
        <w:rPr>
          <w:rFonts w:ascii="Arial" w:hAnsi="Arial" w:cs="Arial"/>
          <w:sz w:val="18"/>
          <w:szCs w:val="18"/>
        </w:rPr>
        <w:t>,406</w:t>
      </w:r>
      <w:r w:rsidRPr="00361EC3">
        <w:rPr>
          <w:rFonts w:ascii="Arial" w:hAnsi="Arial" w:cs="Arial"/>
          <w:sz w:val="18"/>
          <w:szCs w:val="18"/>
        </w:rPr>
        <w:t xml:space="preserve">), attributable </w:t>
      </w:r>
      <w:r>
        <w:rPr>
          <w:rFonts w:ascii="Arial" w:hAnsi="Arial" w:cs="Arial"/>
          <w:sz w:val="18"/>
          <w:szCs w:val="18"/>
        </w:rPr>
        <w:t>to</w:t>
      </w:r>
      <w:r w:rsidRPr="00361EC3">
        <w:rPr>
          <w:rFonts w:ascii="Arial" w:hAnsi="Arial" w:cs="Arial"/>
          <w:sz w:val="18"/>
          <w:szCs w:val="18"/>
        </w:rPr>
        <w:t xml:space="preserve"> exploration and evaluation costs of </w:t>
      </w:r>
      <w:r w:rsidRPr="00A3723F">
        <w:rPr>
          <w:rFonts w:ascii="Arial" w:hAnsi="Arial" w:cs="Arial"/>
          <w:sz w:val="18"/>
          <w:szCs w:val="18"/>
        </w:rPr>
        <w:t>$</w:t>
      </w:r>
      <w:r>
        <w:rPr>
          <w:rFonts w:ascii="Arial" w:hAnsi="Arial" w:cs="Arial"/>
          <w:sz w:val="18"/>
          <w:szCs w:val="18"/>
        </w:rPr>
        <w:t>(44,682) (2021 - $nil)</w:t>
      </w:r>
      <w:r w:rsidRPr="00361EC3">
        <w:rPr>
          <w:rFonts w:ascii="Arial" w:hAnsi="Arial" w:cs="Arial"/>
          <w:sz w:val="18"/>
          <w:szCs w:val="18"/>
        </w:rPr>
        <w:t xml:space="preserve">, </w:t>
      </w:r>
      <w:r>
        <w:rPr>
          <w:rFonts w:ascii="Arial" w:hAnsi="Arial" w:cs="Arial"/>
          <w:sz w:val="18"/>
          <w:szCs w:val="18"/>
        </w:rPr>
        <w:t xml:space="preserve">filing and legal fees of </w:t>
      </w:r>
      <w:r w:rsidRPr="00DB38D0">
        <w:rPr>
          <w:rFonts w:ascii="Arial" w:hAnsi="Arial" w:cs="Arial"/>
          <w:sz w:val="18"/>
          <w:szCs w:val="18"/>
        </w:rPr>
        <w:t>$</w:t>
      </w:r>
      <w:r>
        <w:rPr>
          <w:rFonts w:ascii="Arial" w:hAnsi="Arial" w:cs="Arial"/>
          <w:sz w:val="18"/>
          <w:szCs w:val="18"/>
        </w:rPr>
        <w:t xml:space="preserve">(43,978) (2021 - $nil), </w:t>
      </w:r>
      <w:r w:rsidRPr="00361EC3">
        <w:rPr>
          <w:rFonts w:ascii="Arial" w:hAnsi="Arial" w:cs="Arial"/>
          <w:sz w:val="18"/>
          <w:szCs w:val="18"/>
        </w:rPr>
        <w:t xml:space="preserve">general and administrative costs of </w:t>
      </w:r>
      <w:r w:rsidRPr="00BD4D21">
        <w:rPr>
          <w:rFonts w:ascii="Arial" w:hAnsi="Arial" w:cs="Arial"/>
          <w:sz w:val="18"/>
          <w:szCs w:val="18"/>
        </w:rPr>
        <w:t>$</w:t>
      </w:r>
      <w:r>
        <w:rPr>
          <w:rFonts w:ascii="Arial" w:hAnsi="Arial" w:cs="Arial"/>
          <w:sz w:val="18"/>
          <w:szCs w:val="18"/>
        </w:rPr>
        <w:t>44,510 (2021 - $74)</w:t>
      </w:r>
      <w:r w:rsidRPr="00361EC3">
        <w:rPr>
          <w:rFonts w:ascii="Arial" w:hAnsi="Arial" w:cs="Arial"/>
          <w:sz w:val="18"/>
          <w:szCs w:val="18"/>
        </w:rPr>
        <w:t>,</w:t>
      </w:r>
      <w:r>
        <w:rPr>
          <w:rFonts w:ascii="Arial" w:hAnsi="Arial" w:cs="Arial"/>
          <w:sz w:val="18"/>
          <w:szCs w:val="18"/>
        </w:rPr>
        <w:t xml:space="preserve"> management fess of $51,048 (2021 - $6,013), marketing </w:t>
      </w:r>
      <w:r w:rsidRPr="00D55E6A">
        <w:rPr>
          <w:rFonts w:ascii="Arial" w:hAnsi="Arial" w:cs="Arial"/>
          <w:sz w:val="18"/>
          <w:szCs w:val="18"/>
        </w:rPr>
        <w:t xml:space="preserve">costs of </w:t>
      </w:r>
      <w:r w:rsidRPr="003449C2">
        <w:rPr>
          <w:rFonts w:ascii="Arial" w:hAnsi="Arial" w:cs="Arial"/>
          <w:sz w:val="18"/>
          <w:szCs w:val="18"/>
        </w:rPr>
        <w:t>$</w:t>
      </w:r>
      <w:r>
        <w:rPr>
          <w:rFonts w:ascii="Arial" w:hAnsi="Arial" w:cs="Arial"/>
          <w:sz w:val="18"/>
          <w:szCs w:val="18"/>
        </w:rPr>
        <w:t>4</w:t>
      </w:r>
      <w:r w:rsidRPr="003449C2">
        <w:rPr>
          <w:rFonts w:ascii="Arial" w:hAnsi="Arial" w:cs="Arial"/>
          <w:sz w:val="18"/>
          <w:szCs w:val="18"/>
        </w:rPr>
        <w:t>,</w:t>
      </w:r>
      <w:r>
        <w:rPr>
          <w:rFonts w:ascii="Arial" w:hAnsi="Arial" w:cs="Arial"/>
          <w:sz w:val="18"/>
          <w:szCs w:val="18"/>
        </w:rPr>
        <w:t xml:space="preserve">281 (2021 - $nil), </w:t>
      </w:r>
      <w:r w:rsidRPr="00361EC3">
        <w:rPr>
          <w:rFonts w:ascii="Arial" w:hAnsi="Arial" w:cs="Arial"/>
          <w:sz w:val="18"/>
          <w:szCs w:val="18"/>
        </w:rPr>
        <w:t xml:space="preserve">professional fees of </w:t>
      </w:r>
      <w:r w:rsidRPr="001A1CB2">
        <w:rPr>
          <w:rFonts w:ascii="Arial" w:hAnsi="Arial" w:cs="Arial"/>
          <w:sz w:val="18"/>
          <w:szCs w:val="18"/>
        </w:rPr>
        <w:t>$</w:t>
      </w:r>
      <w:r>
        <w:rPr>
          <w:rFonts w:ascii="Arial" w:hAnsi="Arial" w:cs="Arial"/>
          <w:sz w:val="18"/>
          <w:szCs w:val="18"/>
        </w:rPr>
        <w:t>45</w:t>
      </w:r>
      <w:r w:rsidRPr="001A1CB2">
        <w:rPr>
          <w:rFonts w:ascii="Arial" w:hAnsi="Arial" w:cs="Arial"/>
          <w:sz w:val="18"/>
          <w:szCs w:val="18"/>
        </w:rPr>
        <w:t>,</w:t>
      </w:r>
      <w:r>
        <w:rPr>
          <w:rFonts w:ascii="Arial" w:hAnsi="Arial" w:cs="Arial"/>
          <w:sz w:val="18"/>
          <w:szCs w:val="18"/>
        </w:rPr>
        <w:t>107</w:t>
      </w:r>
      <w:r w:rsidRPr="00D55E6A">
        <w:rPr>
          <w:rFonts w:ascii="Arial" w:hAnsi="Arial" w:cs="Arial"/>
          <w:sz w:val="18"/>
          <w:szCs w:val="18"/>
        </w:rPr>
        <w:t xml:space="preserve"> (</w:t>
      </w:r>
      <w:r>
        <w:rPr>
          <w:rFonts w:ascii="Arial" w:hAnsi="Arial" w:cs="Arial"/>
          <w:sz w:val="18"/>
          <w:szCs w:val="18"/>
        </w:rPr>
        <w:t xml:space="preserve">2021 - $14,605), rent of </w:t>
      </w:r>
      <w:r w:rsidRPr="00D55E6A">
        <w:rPr>
          <w:rFonts w:ascii="Arial" w:hAnsi="Arial" w:cs="Arial"/>
          <w:sz w:val="18"/>
          <w:szCs w:val="18"/>
        </w:rPr>
        <w:t>$</w:t>
      </w:r>
      <w:r>
        <w:rPr>
          <w:rFonts w:ascii="Arial" w:hAnsi="Arial" w:cs="Arial"/>
          <w:sz w:val="18"/>
          <w:szCs w:val="18"/>
        </w:rPr>
        <w:t>12</w:t>
      </w:r>
      <w:r w:rsidRPr="00504CC5">
        <w:rPr>
          <w:rFonts w:ascii="Arial" w:hAnsi="Arial" w:cs="Arial"/>
          <w:sz w:val="18"/>
          <w:szCs w:val="18"/>
        </w:rPr>
        <w:t>,000</w:t>
      </w:r>
      <w:r>
        <w:rPr>
          <w:rFonts w:ascii="Arial" w:hAnsi="Arial" w:cs="Arial"/>
          <w:sz w:val="18"/>
          <w:szCs w:val="18"/>
        </w:rPr>
        <w:t xml:space="preserve"> (2021 - $nil), and</w:t>
      </w:r>
      <w:r w:rsidRPr="00361EC3">
        <w:rPr>
          <w:rFonts w:ascii="Arial" w:hAnsi="Arial" w:cs="Arial"/>
          <w:sz w:val="18"/>
          <w:szCs w:val="18"/>
        </w:rPr>
        <w:t xml:space="preserve"> share-based payments </w:t>
      </w:r>
      <w:r w:rsidRPr="00D55E6A">
        <w:rPr>
          <w:rFonts w:ascii="Arial" w:hAnsi="Arial" w:cs="Arial"/>
          <w:sz w:val="18"/>
          <w:szCs w:val="18"/>
        </w:rPr>
        <w:t xml:space="preserve">of </w:t>
      </w:r>
      <w:r w:rsidRPr="006849A6">
        <w:rPr>
          <w:rFonts w:ascii="Arial" w:hAnsi="Arial" w:cs="Arial"/>
          <w:sz w:val="18"/>
          <w:szCs w:val="18"/>
        </w:rPr>
        <w:t>$</w:t>
      </w:r>
      <w:r>
        <w:rPr>
          <w:rFonts w:ascii="Arial" w:hAnsi="Arial" w:cs="Arial"/>
          <w:sz w:val="18"/>
          <w:szCs w:val="18"/>
        </w:rPr>
        <w:t>69</w:t>
      </w:r>
      <w:r w:rsidRPr="006849A6">
        <w:rPr>
          <w:rFonts w:ascii="Arial" w:hAnsi="Arial" w:cs="Arial"/>
          <w:sz w:val="18"/>
          <w:szCs w:val="18"/>
        </w:rPr>
        <w:t>,</w:t>
      </w:r>
      <w:r>
        <w:rPr>
          <w:rFonts w:ascii="Arial" w:hAnsi="Arial" w:cs="Arial"/>
          <w:sz w:val="18"/>
          <w:szCs w:val="18"/>
        </w:rPr>
        <w:t>045 (2021 - $301)</w:t>
      </w:r>
      <w:r w:rsidR="009F0902">
        <w:rPr>
          <w:rFonts w:ascii="Arial" w:hAnsi="Arial" w:cs="Arial"/>
          <w:sz w:val="18"/>
          <w:szCs w:val="18"/>
        </w:rPr>
        <w:t>. Except for exploration and evaluation expenses and filing and legal fees,</w:t>
      </w:r>
      <w:r w:rsidRPr="00361EC3">
        <w:rPr>
          <w:rFonts w:ascii="Arial" w:hAnsi="Arial" w:cs="Arial"/>
          <w:sz w:val="18"/>
          <w:szCs w:val="18"/>
        </w:rPr>
        <w:t xml:space="preserve"> all of </w:t>
      </w:r>
      <w:r w:rsidR="009F0902">
        <w:rPr>
          <w:rFonts w:ascii="Arial" w:hAnsi="Arial" w:cs="Arial"/>
          <w:sz w:val="18"/>
          <w:szCs w:val="18"/>
        </w:rPr>
        <w:t xml:space="preserve">the expenses </w:t>
      </w:r>
      <w:r w:rsidRPr="00361EC3">
        <w:rPr>
          <w:rFonts w:ascii="Arial" w:hAnsi="Arial" w:cs="Arial"/>
          <w:sz w:val="18"/>
          <w:szCs w:val="18"/>
        </w:rPr>
        <w:t>have increased over the prior year comparable period due to the Company having increased activity.</w:t>
      </w:r>
    </w:p>
    <w:p w14:paraId="1E8948A3" w14:textId="13B4665D" w:rsidR="009F0902" w:rsidRDefault="009F0902" w:rsidP="00243C38">
      <w:pPr>
        <w:contextualSpacing/>
        <w:rPr>
          <w:rFonts w:ascii="Arial" w:hAnsi="Arial" w:cs="Arial"/>
          <w:sz w:val="18"/>
          <w:szCs w:val="18"/>
        </w:rPr>
      </w:pPr>
    </w:p>
    <w:p w14:paraId="63E72DE9" w14:textId="34BA67C8" w:rsidR="009F0902" w:rsidRDefault="009F0902" w:rsidP="00243C38">
      <w:pPr>
        <w:contextualSpacing/>
        <w:rPr>
          <w:rFonts w:ascii="Arial" w:hAnsi="Arial" w:cs="Arial"/>
          <w:sz w:val="18"/>
          <w:szCs w:val="18"/>
        </w:rPr>
      </w:pPr>
      <w:r w:rsidRPr="009B5127">
        <w:rPr>
          <w:rFonts w:ascii="Arial" w:hAnsi="Arial" w:cs="Arial"/>
          <w:sz w:val="18"/>
          <w:szCs w:val="18"/>
        </w:rPr>
        <w:t xml:space="preserve">During the three months ended March 31, 2022, the exploration and evaluation expenses were $(44,682) </w:t>
      </w:r>
      <w:r w:rsidR="00264829" w:rsidRPr="009B5127">
        <w:rPr>
          <w:rFonts w:ascii="Arial" w:hAnsi="Arial" w:cs="Arial"/>
          <w:sz w:val="18"/>
          <w:szCs w:val="18"/>
        </w:rPr>
        <w:t xml:space="preserve">(2021 - $nil) </w:t>
      </w:r>
      <w:r w:rsidRPr="009B5127">
        <w:rPr>
          <w:rFonts w:ascii="Arial" w:hAnsi="Arial" w:cs="Arial"/>
          <w:sz w:val="18"/>
          <w:szCs w:val="18"/>
        </w:rPr>
        <w:t xml:space="preserve">because the Company capitalized </w:t>
      </w:r>
      <w:r w:rsidR="004E6242" w:rsidRPr="009B5127">
        <w:rPr>
          <w:rFonts w:ascii="Arial" w:hAnsi="Arial" w:cs="Arial"/>
          <w:sz w:val="18"/>
          <w:szCs w:val="18"/>
        </w:rPr>
        <w:t xml:space="preserve">$109,990 of </w:t>
      </w:r>
      <w:r w:rsidRPr="009B5127">
        <w:rPr>
          <w:rFonts w:ascii="Arial" w:hAnsi="Arial" w:cs="Arial"/>
          <w:sz w:val="18"/>
          <w:szCs w:val="18"/>
        </w:rPr>
        <w:t>expenses</w:t>
      </w:r>
      <w:r>
        <w:rPr>
          <w:rFonts w:ascii="Arial" w:hAnsi="Arial" w:cs="Arial"/>
          <w:sz w:val="18"/>
          <w:szCs w:val="18"/>
        </w:rPr>
        <w:t xml:space="preserve"> </w:t>
      </w:r>
      <w:r w:rsidR="009D25C7">
        <w:rPr>
          <w:rFonts w:ascii="Arial" w:hAnsi="Arial" w:cs="Arial"/>
          <w:sz w:val="18"/>
          <w:szCs w:val="18"/>
        </w:rPr>
        <w:t xml:space="preserve">paid </w:t>
      </w:r>
      <w:r>
        <w:rPr>
          <w:rFonts w:ascii="Arial" w:hAnsi="Arial" w:cs="Arial"/>
          <w:sz w:val="18"/>
          <w:szCs w:val="18"/>
        </w:rPr>
        <w:t xml:space="preserve">on the </w:t>
      </w:r>
      <w:r w:rsidR="007A2DC6">
        <w:rPr>
          <w:rFonts w:ascii="Arial" w:hAnsi="Arial" w:cs="Arial"/>
          <w:sz w:val="18"/>
          <w:szCs w:val="18"/>
        </w:rPr>
        <w:t>Castor</w:t>
      </w:r>
      <w:r>
        <w:rPr>
          <w:rFonts w:ascii="Arial" w:hAnsi="Arial" w:cs="Arial"/>
          <w:sz w:val="18"/>
          <w:szCs w:val="18"/>
        </w:rPr>
        <w:t xml:space="preserve"> Property and the filing and legal fees were $</w:t>
      </w:r>
      <w:r w:rsidR="00264829">
        <w:rPr>
          <w:rFonts w:ascii="Arial" w:hAnsi="Arial" w:cs="Arial"/>
          <w:sz w:val="18"/>
          <w:szCs w:val="18"/>
        </w:rPr>
        <w:t>(43,978) (2021 - $nil) because the Company reversed $67,198 of legal fees accrued in Q4 2021.</w:t>
      </w:r>
    </w:p>
    <w:p w14:paraId="13E29AFB" w14:textId="1C84AD01" w:rsidR="00264829" w:rsidRDefault="00264829">
      <w:pPr>
        <w:spacing w:after="160" w:line="259" w:lineRule="auto"/>
        <w:jc w:val="left"/>
        <w:rPr>
          <w:rFonts w:ascii="Arial" w:hAnsi="Arial" w:cs="Arial"/>
          <w:b/>
          <w:bCs/>
          <w:sz w:val="18"/>
          <w:szCs w:val="18"/>
        </w:rPr>
      </w:pPr>
      <w:r>
        <w:rPr>
          <w:rFonts w:ascii="Arial" w:hAnsi="Arial" w:cs="Arial"/>
          <w:b/>
          <w:bCs/>
          <w:sz w:val="18"/>
          <w:szCs w:val="18"/>
        </w:rPr>
        <w:br w:type="page"/>
      </w:r>
    </w:p>
    <w:p w14:paraId="28EDC5A6" w14:textId="77777777" w:rsidR="00E6653C" w:rsidRDefault="00E6653C" w:rsidP="00361EC3">
      <w:pPr>
        <w:contextualSpacing/>
        <w:rPr>
          <w:rFonts w:ascii="Arial" w:hAnsi="Arial" w:cs="Arial"/>
          <w:b/>
          <w:bCs/>
          <w:sz w:val="18"/>
          <w:szCs w:val="18"/>
        </w:rPr>
      </w:pPr>
    </w:p>
    <w:p w14:paraId="56D710C8" w14:textId="6B5675D4" w:rsidR="00D91A10" w:rsidRPr="00361EC3" w:rsidRDefault="00D91A10" w:rsidP="00361EC3">
      <w:pPr>
        <w:contextualSpacing/>
        <w:rPr>
          <w:rFonts w:ascii="Arial" w:hAnsi="Arial" w:cs="Arial"/>
          <w:b/>
          <w:bCs/>
          <w:sz w:val="18"/>
          <w:szCs w:val="18"/>
        </w:rPr>
      </w:pPr>
      <w:r w:rsidRPr="00361EC3">
        <w:rPr>
          <w:rFonts w:ascii="Arial" w:hAnsi="Arial" w:cs="Arial"/>
          <w:b/>
          <w:bCs/>
          <w:sz w:val="18"/>
          <w:szCs w:val="18"/>
        </w:rPr>
        <w:t xml:space="preserve">Selected </w:t>
      </w:r>
      <w:r w:rsidR="007646FA" w:rsidRPr="00361EC3">
        <w:rPr>
          <w:rFonts w:ascii="Arial" w:hAnsi="Arial" w:cs="Arial"/>
          <w:b/>
          <w:bCs/>
          <w:sz w:val="18"/>
          <w:szCs w:val="18"/>
        </w:rPr>
        <w:t>q</w:t>
      </w:r>
      <w:r w:rsidRPr="00361EC3">
        <w:rPr>
          <w:rFonts w:ascii="Arial" w:hAnsi="Arial" w:cs="Arial"/>
          <w:b/>
          <w:bCs/>
          <w:sz w:val="18"/>
          <w:szCs w:val="18"/>
        </w:rPr>
        <w:t xml:space="preserve">uarterly </w:t>
      </w:r>
      <w:r w:rsidR="007646FA" w:rsidRPr="00361EC3">
        <w:rPr>
          <w:rFonts w:ascii="Arial" w:hAnsi="Arial" w:cs="Arial"/>
          <w:b/>
          <w:bCs/>
          <w:sz w:val="18"/>
          <w:szCs w:val="18"/>
        </w:rPr>
        <w:t>f</w:t>
      </w:r>
      <w:r w:rsidRPr="00361EC3">
        <w:rPr>
          <w:rFonts w:ascii="Arial" w:hAnsi="Arial" w:cs="Arial"/>
          <w:b/>
          <w:bCs/>
          <w:sz w:val="18"/>
          <w:szCs w:val="18"/>
        </w:rPr>
        <w:t xml:space="preserve">inancial </w:t>
      </w:r>
      <w:r w:rsidR="007646FA" w:rsidRPr="00361EC3">
        <w:rPr>
          <w:rFonts w:ascii="Arial" w:hAnsi="Arial" w:cs="Arial"/>
          <w:b/>
          <w:bCs/>
          <w:sz w:val="18"/>
          <w:szCs w:val="18"/>
        </w:rPr>
        <w:t>i</w:t>
      </w:r>
      <w:r w:rsidRPr="00361EC3">
        <w:rPr>
          <w:rFonts w:ascii="Arial" w:hAnsi="Arial" w:cs="Arial"/>
          <w:b/>
          <w:bCs/>
          <w:sz w:val="18"/>
          <w:szCs w:val="18"/>
        </w:rPr>
        <w:t>nformation</w:t>
      </w:r>
    </w:p>
    <w:p w14:paraId="13ABBD9F" w14:textId="77777777" w:rsidR="00D91A10" w:rsidRPr="00361EC3" w:rsidRDefault="00D91A10" w:rsidP="00361EC3">
      <w:pPr>
        <w:contextualSpacing/>
        <w:rPr>
          <w:rFonts w:ascii="Arial" w:hAnsi="Arial" w:cs="Arial"/>
          <w:sz w:val="18"/>
          <w:szCs w:val="18"/>
        </w:rPr>
      </w:pPr>
    </w:p>
    <w:tbl>
      <w:tblPr>
        <w:tblW w:w="5000" w:type="pct"/>
        <w:shd w:val="clear" w:color="000000" w:fill="auto"/>
        <w:tblLook w:val="04A0" w:firstRow="1" w:lastRow="0" w:firstColumn="1" w:lastColumn="0" w:noHBand="0" w:noVBand="1"/>
      </w:tblPr>
      <w:tblGrid>
        <w:gridCol w:w="2520"/>
        <w:gridCol w:w="2520"/>
        <w:gridCol w:w="2520"/>
        <w:gridCol w:w="2520"/>
      </w:tblGrid>
      <w:tr w:rsidR="00D91A10" w:rsidRPr="001D16F5" w14:paraId="16BCD8D4" w14:textId="77777777" w:rsidTr="00E03197">
        <w:trPr>
          <w:trHeight w:val="144"/>
        </w:trPr>
        <w:tc>
          <w:tcPr>
            <w:tcW w:w="1250" w:type="pct"/>
            <w:tcBorders>
              <w:top w:val="single" w:sz="4" w:space="0" w:color="auto"/>
              <w:left w:val="nil"/>
              <w:bottom w:val="single" w:sz="8" w:space="0" w:color="auto"/>
              <w:right w:val="nil"/>
            </w:tcBorders>
            <w:shd w:val="clear" w:color="000000" w:fill="auto"/>
            <w:vAlign w:val="bottom"/>
          </w:tcPr>
          <w:p w14:paraId="581FD199" w14:textId="65D66966" w:rsidR="00D91A10" w:rsidRPr="001D16F5" w:rsidRDefault="00D91A10" w:rsidP="00361EC3">
            <w:pPr>
              <w:contextualSpacing/>
              <w:jc w:val="left"/>
              <w:rPr>
                <w:rFonts w:ascii="Arial" w:hAnsi="Arial" w:cs="Arial"/>
                <w:b/>
                <w:bCs/>
                <w:sz w:val="18"/>
                <w:szCs w:val="18"/>
              </w:rPr>
            </w:pPr>
            <w:r w:rsidRPr="001D16F5">
              <w:rPr>
                <w:rFonts w:ascii="Arial" w:hAnsi="Arial" w:cs="Arial"/>
                <w:b/>
                <w:sz w:val="18"/>
                <w:szCs w:val="18"/>
              </w:rPr>
              <w:t xml:space="preserve">Three </w:t>
            </w:r>
            <w:r w:rsidR="00ED05CE" w:rsidRPr="001D16F5">
              <w:rPr>
                <w:rFonts w:ascii="Arial" w:hAnsi="Arial" w:cs="Arial"/>
                <w:b/>
                <w:sz w:val="18"/>
                <w:szCs w:val="18"/>
              </w:rPr>
              <w:t>m</w:t>
            </w:r>
            <w:r w:rsidRPr="001D16F5">
              <w:rPr>
                <w:rFonts w:ascii="Arial" w:hAnsi="Arial" w:cs="Arial"/>
                <w:b/>
                <w:sz w:val="18"/>
                <w:szCs w:val="18"/>
              </w:rPr>
              <w:t xml:space="preserve">onths </w:t>
            </w:r>
            <w:r w:rsidR="00ED05CE" w:rsidRPr="001D16F5">
              <w:rPr>
                <w:rFonts w:ascii="Arial" w:hAnsi="Arial" w:cs="Arial"/>
                <w:b/>
                <w:sz w:val="18"/>
                <w:szCs w:val="18"/>
              </w:rPr>
              <w:t>e</w:t>
            </w:r>
            <w:r w:rsidRPr="001D16F5">
              <w:rPr>
                <w:rFonts w:ascii="Arial" w:hAnsi="Arial" w:cs="Arial"/>
                <w:b/>
                <w:sz w:val="18"/>
                <w:szCs w:val="18"/>
              </w:rPr>
              <w:t>nded</w:t>
            </w:r>
          </w:p>
        </w:tc>
        <w:tc>
          <w:tcPr>
            <w:tcW w:w="1250" w:type="pct"/>
            <w:tcBorders>
              <w:top w:val="single" w:sz="4" w:space="0" w:color="auto"/>
              <w:left w:val="nil"/>
              <w:bottom w:val="single" w:sz="8" w:space="0" w:color="auto"/>
              <w:right w:val="nil"/>
            </w:tcBorders>
            <w:shd w:val="clear" w:color="000000" w:fill="auto"/>
            <w:vAlign w:val="bottom"/>
            <w:hideMark/>
          </w:tcPr>
          <w:p w14:paraId="57B8BCF6" w14:textId="3B8FD400" w:rsidR="00D91A10" w:rsidRPr="001D16F5" w:rsidRDefault="00D91A10" w:rsidP="00E03197">
            <w:pPr>
              <w:contextualSpacing/>
              <w:jc w:val="right"/>
              <w:rPr>
                <w:rFonts w:ascii="Arial" w:hAnsi="Arial" w:cs="Arial"/>
                <w:b/>
                <w:bCs/>
                <w:sz w:val="18"/>
                <w:szCs w:val="18"/>
              </w:rPr>
            </w:pPr>
            <w:r w:rsidRPr="001D16F5">
              <w:rPr>
                <w:rFonts w:ascii="Arial" w:hAnsi="Arial" w:cs="Arial"/>
                <w:b/>
                <w:bCs/>
                <w:sz w:val="18"/>
                <w:szCs w:val="18"/>
              </w:rPr>
              <w:t xml:space="preserve">Net </w:t>
            </w:r>
            <w:r w:rsidR="00ED05CE" w:rsidRPr="001D16F5">
              <w:rPr>
                <w:rFonts w:ascii="Arial" w:hAnsi="Arial" w:cs="Arial"/>
                <w:b/>
                <w:bCs/>
                <w:sz w:val="18"/>
                <w:szCs w:val="18"/>
              </w:rPr>
              <w:t>l</w:t>
            </w:r>
            <w:r w:rsidRPr="001D16F5">
              <w:rPr>
                <w:rFonts w:ascii="Arial" w:hAnsi="Arial" w:cs="Arial"/>
                <w:b/>
                <w:bCs/>
                <w:sz w:val="18"/>
                <w:szCs w:val="18"/>
              </w:rPr>
              <w:t>oss</w:t>
            </w:r>
          </w:p>
        </w:tc>
        <w:tc>
          <w:tcPr>
            <w:tcW w:w="1250" w:type="pct"/>
            <w:tcBorders>
              <w:top w:val="single" w:sz="4" w:space="0" w:color="auto"/>
              <w:left w:val="nil"/>
              <w:bottom w:val="single" w:sz="8" w:space="0" w:color="auto"/>
              <w:right w:val="nil"/>
            </w:tcBorders>
            <w:shd w:val="clear" w:color="000000" w:fill="auto"/>
            <w:vAlign w:val="bottom"/>
            <w:hideMark/>
          </w:tcPr>
          <w:p w14:paraId="387C8EF9" w14:textId="77777777" w:rsidR="0014213D" w:rsidRPr="001D16F5" w:rsidRDefault="00D91A10" w:rsidP="00E03197">
            <w:pPr>
              <w:pStyle w:val="TableParagraph"/>
              <w:spacing w:line="256" w:lineRule="auto"/>
              <w:ind w:hanging="22"/>
              <w:contextualSpacing/>
              <w:rPr>
                <w:b/>
                <w:sz w:val="18"/>
                <w:szCs w:val="18"/>
              </w:rPr>
            </w:pPr>
            <w:r w:rsidRPr="001D16F5">
              <w:rPr>
                <w:b/>
                <w:sz w:val="18"/>
                <w:szCs w:val="18"/>
              </w:rPr>
              <w:t xml:space="preserve">Weighted </w:t>
            </w:r>
            <w:r w:rsidR="00ED05CE" w:rsidRPr="001D16F5">
              <w:rPr>
                <w:b/>
                <w:sz w:val="18"/>
                <w:szCs w:val="18"/>
              </w:rPr>
              <w:t>a</w:t>
            </w:r>
            <w:r w:rsidRPr="001D16F5">
              <w:rPr>
                <w:b/>
                <w:sz w:val="18"/>
                <w:szCs w:val="18"/>
              </w:rPr>
              <w:t xml:space="preserve">verage </w:t>
            </w:r>
          </w:p>
          <w:p w14:paraId="65361629" w14:textId="11CE7574" w:rsidR="00D91A10" w:rsidRPr="001D16F5" w:rsidRDefault="00ED05CE" w:rsidP="00E03197">
            <w:pPr>
              <w:pStyle w:val="TableParagraph"/>
              <w:spacing w:line="256" w:lineRule="auto"/>
              <w:ind w:hanging="22"/>
              <w:contextualSpacing/>
              <w:rPr>
                <w:sz w:val="18"/>
                <w:szCs w:val="18"/>
              </w:rPr>
            </w:pPr>
            <w:r w:rsidRPr="001D16F5">
              <w:rPr>
                <w:b/>
                <w:sz w:val="18"/>
                <w:szCs w:val="18"/>
              </w:rPr>
              <w:t>n</w:t>
            </w:r>
            <w:r w:rsidR="00D91A10" w:rsidRPr="001D16F5">
              <w:rPr>
                <w:b/>
                <w:sz w:val="18"/>
                <w:szCs w:val="18"/>
              </w:rPr>
              <w:t xml:space="preserve">umber of </w:t>
            </w:r>
            <w:r w:rsidRPr="001D16F5">
              <w:rPr>
                <w:b/>
                <w:sz w:val="18"/>
                <w:szCs w:val="18"/>
              </w:rPr>
              <w:t>s</w:t>
            </w:r>
            <w:r w:rsidR="00D91A10" w:rsidRPr="001D16F5">
              <w:rPr>
                <w:b/>
                <w:sz w:val="18"/>
                <w:szCs w:val="18"/>
              </w:rPr>
              <w:t>hares</w:t>
            </w:r>
          </w:p>
        </w:tc>
        <w:tc>
          <w:tcPr>
            <w:tcW w:w="1250" w:type="pct"/>
            <w:tcBorders>
              <w:top w:val="single" w:sz="4" w:space="0" w:color="auto"/>
              <w:left w:val="nil"/>
              <w:bottom w:val="single" w:sz="8" w:space="0" w:color="auto"/>
              <w:right w:val="nil"/>
            </w:tcBorders>
            <w:shd w:val="clear" w:color="000000" w:fill="auto"/>
            <w:vAlign w:val="bottom"/>
          </w:tcPr>
          <w:p w14:paraId="30AD4415" w14:textId="77777777" w:rsidR="0014213D" w:rsidRPr="001D16F5" w:rsidRDefault="00D91A10" w:rsidP="00E03197">
            <w:pPr>
              <w:contextualSpacing/>
              <w:jc w:val="right"/>
              <w:rPr>
                <w:rFonts w:ascii="Arial" w:hAnsi="Arial" w:cs="Arial"/>
                <w:b/>
                <w:bCs/>
                <w:sz w:val="18"/>
                <w:szCs w:val="18"/>
              </w:rPr>
            </w:pPr>
            <w:r w:rsidRPr="001D16F5">
              <w:rPr>
                <w:rFonts w:ascii="Arial" w:hAnsi="Arial" w:cs="Arial"/>
                <w:b/>
                <w:bCs/>
                <w:sz w:val="18"/>
                <w:szCs w:val="18"/>
              </w:rPr>
              <w:t xml:space="preserve">Basic and </w:t>
            </w:r>
            <w:r w:rsidR="00ED05CE" w:rsidRPr="001D16F5">
              <w:rPr>
                <w:rFonts w:ascii="Arial" w:hAnsi="Arial" w:cs="Arial"/>
                <w:b/>
                <w:bCs/>
                <w:sz w:val="18"/>
                <w:szCs w:val="18"/>
              </w:rPr>
              <w:t>d</w:t>
            </w:r>
            <w:r w:rsidRPr="001D16F5">
              <w:rPr>
                <w:rFonts w:ascii="Arial" w:hAnsi="Arial" w:cs="Arial"/>
                <w:b/>
                <w:bCs/>
                <w:sz w:val="18"/>
                <w:szCs w:val="18"/>
              </w:rPr>
              <w:t xml:space="preserve">iluted </w:t>
            </w:r>
          </w:p>
          <w:p w14:paraId="66FD1934" w14:textId="1D85CA44" w:rsidR="00D91A10" w:rsidRPr="001D16F5" w:rsidRDefault="00ED05CE" w:rsidP="00E03197">
            <w:pPr>
              <w:contextualSpacing/>
              <w:jc w:val="right"/>
              <w:rPr>
                <w:rFonts w:ascii="Arial" w:hAnsi="Arial" w:cs="Arial"/>
                <w:b/>
                <w:bCs/>
                <w:sz w:val="18"/>
                <w:szCs w:val="18"/>
              </w:rPr>
            </w:pPr>
            <w:r w:rsidRPr="001D16F5">
              <w:rPr>
                <w:rFonts w:ascii="Arial" w:hAnsi="Arial" w:cs="Arial"/>
                <w:b/>
                <w:bCs/>
                <w:sz w:val="18"/>
                <w:szCs w:val="18"/>
              </w:rPr>
              <w:t>l</w:t>
            </w:r>
            <w:r w:rsidR="00D91A10" w:rsidRPr="001D16F5">
              <w:rPr>
                <w:rFonts w:ascii="Arial" w:hAnsi="Arial" w:cs="Arial"/>
                <w:b/>
                <w:bCs/>
                <w:sz w:val="18"/>
                <w:szCs w:val="18"/>
              </w:rPr>
              <w:t xml:space="preserve">oss </w:t>
            </w:r>
            <w:r w:rsidRPr="001D16F5">
              <w:rPr>
                <w:rFonts w:ascii="Arial" w:hAnsi="Arial" w:cs="Arial"/>
                <w:b/>
                <w:bCs/>
                <w:sz w:val="18"/>
                <w:szCs w:val="18"/>
              </w:rPr>
              <w:t>p</w:t>
            </w:r>
            <w:r w:rsidR="00D91A10" w:rsidRPr="001D16F5">
              <w:rPr>
                <w:rFonts w:ascii="Arial" w:hAnsi="Arial" w:cs="Arial"/>
                <w:b/>
                <w:bCs/>
                <w:sz w:val="18"/>
                <w:szCs w:val="18"/>
              </w:rPr>
              <w:t xml:space="preserve">er </w:t>
            </w:r>
            <w:r w:rsidRPr="001D16F5">
              <w:rPr>
                <w:rFonts w:ascii="Arial" w:hAnsi="Arial" w:cs="Arial"/>
                <w:b/>
                <w:bCs/>
                <w:sz w:val="18"/>
                <w:szCs w:val="18"/>
              </w:rPr>
              <w:t>s</w:t>
            </w:r>
            <w:r w:rsidR="00D91A10" w:rsidRPr="001D16F5">
              <w:rPr>
                <w:rFonts w:ascii="Arial" w:hAnsi="Arial" w:cs="Arial"/>
                <w:b/>
                <w:bCs/>
                <w:sz w:val="18"/>
                <w:szCs w:val="18"/>
              </w:rPr>
              <w:t>hare</w:t>
            </w:r>
          </w:p>
        </w:tc>
      </w:tr>
      <w:tr w:rsidR="00D91A10" w:rsidRPr="001D16F5" w14:paraId="1859C861" w14:textId="77777777" w:rsidTr="00E03197">
        <w:trPr>
          <w:trHeight w:val="144"/>
        </w:trPr>
        <w:tc>
          <w:tcPr>
            <w:tcW w:w="1250" w:type="pct"/>
            <w:tcBorders>
              <w:top w:val="single" w:sz="8" w:space="0" w:color="auto"/>
              <w:left w:val="nil"/>
              <w:right w:val="nil"/>
            </w:tcBorders>
            <w:shd w:val="clear" w:color="000000" w:fill="auto"/>
            <w:noWrap/>
            <w:vAlign w:val="bottom"/>
          </w:tcPr>
          <w:p w14:paraId="65D6F6EF" w14:textId="77777777" w:rsidR="00D91A10" w:rsidRPr="001D16F5" w:rsidRDefault="00D91A10" w:rsidP="00361EC3">
            <w:pPr>
              <w:contextualSpacing/>
              <w:jc w:val="left"/>
              <w:rPr>
                <w:rFonts w:ascii="Arial" w:hAnsi="Arial" w:cs="Arial"/>
                <w:sz w:val="18"/>
                <w:szCs w:val="18"/>
              </w:rPr>
            </w:pPr>
          </w:p>
        </w:tc>
        <w:tc>
          <w:tcPr>
            <w:tcW w:w="1250" w:type="pct"/>
            <w:tcBorders>
              <w:top w:val="single" w:sz="8" w:space="0" w:color="auto"/>
              <w:left w:val="nil"/>
              <w:right w:val="nil"/>
            </w:tcBorders>
            <w:shd w:val="clear" w:color="000000" w:fill="auto"/>
            <w:noWrap/>
            <w:vAlign w:val="bottom"/>
          </w:tcPr>
          <w:p w14:paraId="02CC1854" w14:textId="77777777" w:rsidR="00D91A10" w:rsidRPr="001D16F5" w:rsidRDefault="00D91A10" w:rsidP="00E03197">
            <w:pPr>
              <w:contextualSpacing/>
              <w:jc w:val="right"/>
              <w:rPr>
                <w:rFonts w:ascii="Arial" w:hAnsi="Arial" w:cs="Arial"/>
                <w:sz w:val="18"/>
                <w:szCs w:val="18"/>
              </w:rPr>
            </w:pPr>
            <w:r w:rsidRPr="001D16F5">
              <w:rPr>
                <w:rFonts w:ascii="Arial" w:hAnsi="Arial" w:cs="Arial"/>
                <w:sz w:val="18"/>
                <w:szCs w:val="18"/>
              </w:rPr>
              <w:t>$</w:t>
            </w:r>
          </w:p>
        </w:tc>
        <w:tc>
          <w:tcPr>
            <w:tcW w:w="1250" w:type="pct"/>
            <w:tcBorders>
              <w:top w:val="single" w:sz="8" w:space="0" w:color="auto"/>
              <w:left w:val="nil"/>
              <w:right w:val="nil"/>
            </w:tcBorders>
            <w:shd w:val="clear" w:color="auto" w:fill="auto"/>
            <w:noWrap/>
            <w:vAlign w:val="bottom"/>
          </w:tcPr>
          <w:p w14:paraId="6ACDF866" w14:textId="77777777" w:rsidR="00D91A10" w:rsidRPr="001D16F5" w:rsidRDefault="00D91A10" w:rsidP="00E03197">
            <w:pPr>
              <w:pStyle w:val="TableFigures"/>
              <w:tabs>
                <w:tab w:val="clear" w:pos="1296"/>
                <w:tab w:val="decimal" w:pos="1186"/>
              </w:tabs>
              <w:ind w:right="5"/>
              <w:contextualSpacing/>
              <w:jc w:val="right"/>
              <w:rPr>
                <w:rFonts w:ascii="Arial" w:eastAsia="Arial Unicode MS" w:hAnsi="Arial" w:cs="Arial"/>
                <w:bCs/>
                <w:sz w:val="18"/>
                <w:szCs w:val="18"/>
              </w:rPr>
            </w:pPr>
            <w:r w:rsidRPr="001D16F5">
              <w:rPr>
                <w:rFonts w:ascii="Arial" w:eastAsia="Arial Unicode MS" w:hAnsi="Arial" w:cs="Arial"/>
                <w:bCs/>
                <w:sz w:val="18"/>
                <w:szCs w:val="18"/>
              </w:rPr>
              <w:t>#</w:t>
            </w:r>
          </w:p>
        </w:tc>
        <w:tc>
          <w:tcPr>
            <w:tcW w:w="1250" w:type="pct"/>
            <w:tcBorders>
              <w:top w:val="single" w:sz="8" w:space="0" w:color="auto"/>
              <w:left w:val="nil"/>
              <w:right w:val="nil"/>
            </w:tcBorders>
            <w:shd w:val="clear" w:color="auto" w:fill="auto"/>
            <w:vAlign w:val="bottom"/>
          </w:tcPr>
          <w:p w14:paraId="7ABF4F80" w14:textId="77777777" w:rsidR="00D91A10" w:rsidRPr="001D16F5" w:rsidRDefault="00D91A10" w:rsidP="00E03197">
            <w:pPr>
              <w:pStyle w:val="TableFigures"/>
              <w:tabs>
                <w:tab w:val="clear" w:pos="1296"/>
                <w:tab w:val="decimal" w:pos="1186"/>
              </w:tabs>
              <w:ind w:right="5"/>
              <w:contextualSpacing/>
              <w:jc w:val="right"/>
              <w:rPr>
                <w:rFonts w:ascii="Arial" w:eastAsia="Arial Unicode MS" w:hAnsi="Arial" w:cs="Arial"/>
                <w:bCs/>
                <w:sz w:val="18"/>
                <w:szCs w:val="18"/>
              </w:rPr>
            </w:pPr>
            <w:r w:rsidRPr="001D16F5">
              <w:rPr>
                <w:rFonts w:ascii="Arial" w:eastAsia="Arial Unicode MS" w:hAnsi="Arial" w:cs="Arial"/>
                <w:bCs/>
                <w:sz w:val="18"/>
                <w:szCs w:val="18"/>
              </w:rPr>
              <w:t>$</w:t>
            </w:r>
          </w:p>
        </w:tc>
      </w:tr>
      <w:tr w:rsidR="008E3CE4" w:rsidRPr="001D16F5" w14:paraId="226C40BE" w14:textId="77777777" w:rsidTr="008E3CE4">
        <w:trPr>
          <w:trHeight w:val="144"/>
        </w:trPr>
        <w:tc>
          <w:tcPr>
            <w:tcW w:w="1250" w:type="pct"/>
            <w:tcBorders>
              <w:left w:val="nil"/>
              <w:right w:val="nil"/>
            </w:tcBorders>
            <w:shd w:val="clear" w:color="000000" w:fill="auto"/>
            <w:noWrap/>
            <w:vAlign w:val="bottom"/>
          </w:tcPr>
          <w:p w14:paraId="4DF5B525" w14:textId="40E46136" w:rsidR="008E3CE4" w:rsidRPr="001D16F5" w:rsidRDefault="008E3CE4" w:rsidP="008E3CE4">
            <w:pPr>
              <w:contextualSpacing/>
              <w:jc w:val="left"/>
              <w:rPr>
                <w:rFonts w:ascii="Arial" w:hAnsi="Arial" w:cs="Arial"/>
                <w:b/>
                <w:bCs/>
                <w:sz w:val="18"/>
                <w:szCs w:val="18"/>
              </w:rPr>
            </w:pPr>
            <w:r w:rsidRPr="001D16F5">
              <w:rPr>
                <w:rFonts w:ascii="Arial" w:hAnsi="Arial" w:cs="Arial"/>
                <w:b/>
                <w:bCs/>
                <w:sz w:val="18"/>
                <w:szCs w:val="18"/>
              </w:rPr>
              <w:t>March 31, 2022</w:t>
            </w:r>
          </w:p>
        </w:tc>
        <w:tc>
          <w:tcPr>
            <w:tcW w:w="1250" w:type="pct"/>
            <w:tcBorders>
              <w:left w:val="nil"/>
              <w:right w:val="nil"/>
            </w:tcBorders>
            <w:shd w:val="clear" w:color="000000" w:fill="auto"/>
            <w:noWrap/>
            <w:vAlign w:val="bottom"/>
          </w:tcPr>
          <w:p w14:paraId="66333A22" w14:textId="01C7A2D9" w:rsidR="008E3CE4" w:rsidRPr="001D16F5" w:rsidRDefault="008A7CF0" w:rsidP="008E3CE4">
            <w:pPr>
              <w:contextualSpacing/>
              <w:jc w:val="right"/>
              <w:rPr>
                <w:rFonts w:ascii="Arial" w:hAnsi="Arial" w:cs="Arial"/>
                <w:b/>
                <w:bCs/>
                <w:sz w:val="18"/>
                <w:szCs w:val="18"/>
                <w:highlight w:val="yellow"/>
              </w:rPr>
            </w:pPr>
            <w:r>
              <w:rPr>
                <w:rFonts w:ascii="Arial" w:hAnsi="Arial" w:cs="Arial"/>
                <w:b/>
                <w:bCs/>
                <w:color w:val="000000"/>
                <w:sz w:val="18"/>
                <w:szCs w:val="18"/>
              </w:rPr>
              <w:t>137</w:t>
            </w:r>
            <w:r w:rsidR="008E3CE4">
              <w:rPr>
                <w:rFonts w:ascii="Arial" w:hAnsi="Arial" w:cs="Arial"/>
                <w:b/>
                <w:bCs/>
                <w:color w:val="000000"/>
                <w:sz w:val="18"/>
                <w:szCs w:val="18"/>
              </w:rPr>
              <w:t>,</w:t>
            </w:r>
            <w:r>
              <w:rPr>
                <w:rFonts w:ascii="Arial" w:hAnsi="Arial" w:cs="Arial"/>
                <w:b/>
                <w:bCs/>
                <w:color w:val="000000"/>
                <w:sz w:val="18"/>
                <w:szCs w:val="18"/>
              </w:rPr>
              <w:t>331</w:t>
            </w:r>
          </w:p>
        </w:tc>
        <w:tc>
          <w:tcPr>
            <w:tcW w:w="1250" w:type="pct"/>
            <w:tcBorders>
              <w:top w:val="nil"/>
              <w:left w:val="nil"/>
              <w:right w:val="nil"/>
            </w:tcBorders>
            <w:shd w:val="clear" w:color="auto" w:fill="auto"/>
            <w:noWrap/>
            <w:vAlign w:val="bottom"/>
          </w:tcPr>
          <w:p w14:paraId="564A278E" w14:textId="5103D782" w:rsidR="008E3CE4" w:rsidRPr="001D16F5" w:rsidRDefault="008E3CE4" w:rsidP="008E3CE4">
            <w:pPr>
              <w:pStyle w:val="TableFigures"/>
              <w:tabs>
                <w:tab w:val="clear" w:pos="1296"/>
                <w:tab w:val="decimal" w:pos="1186"/>
              </w:tabs>
              <w:ind w:right="5"/>
              <w:contextualSpacing/>
              <w:jc w:val="right"/>
              <w:rPr>
                <w:rFonts w:ascii="Arial" w:hAnsi="Arial" w:cs="Arial"/>
                <w:b/>
                <w:bCs/>
                <w:sz w:val="18"/>
                <w:szCs w:val="18"/>
                <w:highlight w:val="yellow"/>
                <w:lang w:val="en-US"/>
              </w:rPr>
            </w:pPr>
            <w:r>
              <w:rPr>
                <w:rFonts w:ascii="Arial" w:hAnsi="Arial" w:cs="Arial"/>
                <w:b/>
                <w:bCs/>
                <w:color w:val="000000"/>
                <w:sz w:val="18"/>
                <w:szCs w:val="18"/>
              </w:rPr>
              <w:t>26,864,915</w:t>
            </w:r>
          </w:p>
        </w:tc>
        <w:tc>
          <w:tcPr>
            <w:tcW w:w="1250" w:type="pct"/>
            <w:tcBorders>
              <w:top w:val="nil"/>
              <w:left w:val="nil"/>
              <w:right w:val="nil"/>
            </w:tcBorders>
            <w:shd w:val="clear" w:color="auto" w:fill="auto"/>
            <w:vAlign w:val="bottom"/>
          </w:tcPr>
          <w:p w14:paraId="75DC606E" w14:textId="63D68A9E" w:rsidR="008E3CE4" w:rsidRPr="001D16F5" w:rsidRDefault="008E3CE4" w:rsidP="008E3CE4">
            <w:pPr>
              <w:pStyle w:val="TableFigures"/>
              <w:tabs>
                <w:tab w:val="clear" w:pos="1296"/>
                <w:tab w:val="decimal" w:pos="1186"/>
              </w:tabs>
              <w:ind w:right="5"/>
              <w:contextualSpacing/>
              <w:jc w:val="right"/>
              <w:rPr>
                <w:rFonts w:ascii="Arial" w:hAnsi="Arial" w:cs="Arial"/>
                <w:b/>
                <w:bCs/>
                <w:sz w:val="18"/>
                <w:szCs w:val="18"/>
                <w:highlight w:val="yellow"/>
                <w:lang w:val="en-US"/>
              </w:rPr>
            </w:pPr>
            <w:r>
              <w:rPr>
                <w:rFonts w:ascii="Arial" w:hAnsi="Arial" w:cs="Arial"/>
                <w:b/>
                <w:bCs/>
                <w:color w:val="000000"/>
                <w:sz w:val="18"/>
                <w:szCs w:val="18"/>
              </w:rPr>
              <w:t>0.01</w:t>
            </w:r>
          </w:p>
        </w:tc>
      </w:tr>
      <w:tr w:rsidR="008E3CE4" w:rsidRPr="001D16F5" w14:paraId="76BE0342" w14:textId="77777777" w:rsidTr="008E3CE4">
        <w:trPr>
          <w:trHeight w:val="144"/>
        </w:trPr>
        <w:tc>
          <w:tcPr>
            <w:tcW w:w="1250" w:type="pct"/>
            <w:tcBorders>
              <w:left w:val="nil"/>
              <w:right w:val="nil"/>
            </w:tcBorders>
            <w:shd w:val="clear" w:color="000000" w:fill="auto"/>
            <w:noWrap/>
            <w:vAlign w:val="bottom"/>
          </w:tcPr>
          <w:p w14:paraId="7D4A80F9" w14:textId="77777777" w:rsidR="008E3CE4" w:rsidRPr="001D16F5" w:rsidRDefault="008E3CE4" w:rsidP="008E3CE4">
            <w:pPr>
              <w:contextualSpacing/>
              <w:jc w:val="left"/>
              <w:rPr>
                <w:rFonts w:ascii="Arial" w:hAnsi="Arial" w:cs="Arial"/>
                <w:sz w:val="18"/>
                <w:szCs w:val="18"/>
              </w:rPr>
            </w:pPr>
            <w:r w:rsidRPr="001D16F5">
              <w:rPr>
                <w:rFonts w:ascii="Arial" w:hAnsi="Arial" w:cs="Arial"/>
                <w:sz w:val="18"/>
                <w:szCs w:val="18"/>
              </w:rPr>
              <w:t>December 31, 2021</w:t>
            </w:r>
          </w:p>
        </w:tc>
        <w:tc>
          <w:tcPr>
            <w:tcW w:w="1250" w:type="pct"/>
            <w:tcBorders>
              <w:left w:val="nil"/>
              <w:right w:val="nil"/>
            </w:tcBorders>
            <w:shd w:val="clear" w:color="000000" w:fill="auto"/>
            <w:noWrap/>
            <w:vAlign w:val="bottom"/>
          </w:tcPr>
          <w:p w14:paraId="2E42DD66" w14:textId="6A655FB8" w:rsidR="008E3CE4" w:rsidRPr="001D16F5" w:rsidRDefault="008E3CE4" w:rsidP="008E3CE4">
            <w:pPr>
              <w:contextualSpacing/>
              <w:jc w:val="right"/>
              <w:rPr>
                <w:rFonts w:ascii="Arial" w:hAnsi="Arial" w:cs="Arial"/>
                <w:color w:val="000000"/>
                <w:sz w:val="18"/>
                <w:szCs w:val="18"/>
                <w:highlight w:val="yellow"/>
              </w:rPr>
            </w:pPr>
            <w:r>
              <w:rPr>
                <w:rFonts w:ascii="Arial" w:hAnsi="Arial" w:cs="Arial"/>
                <w:color w:val="000000"/>
                <w:sz w:val="18"/>
                <w:szCs w:val="18"/>
              </w:rPr>
              <w:t>1,</w:t>
            </w:r>
            <w:r w:rsidR="008A7CF0">
              <w:rPr>
                <w:rFonts w:ascii="Arial" w:hAnsi="Arial" w:cs="Arial"/>
                <w:color w:val="000000"/>
                <w:sz w:val="18"/>
                <w:szCs w:val="18"/>
              </w:rPr>
              <w:t>198</w:t>
            </w:r>
            <w:r>
              <w:rPr>
                <w:rFonts w:ascii="Arial" w:hAnsi="Arial" w:cs="Arial"/>
                <w:color w:val="000000"/>
                <w:sz w:val="18"/>
                <w:szCs w:val="18"/>
              </w:rPr>
              <w:t>,</w:t>
            </w:r>
            <w:r w:rsidR="008A7CF0">
              <w:rPr>
                <w:rFonts w:ascii="Arial" w:hAnsi="Arial" w:cs="Arial"/>
                <w:color w:val="000000"/>
                <w:sz w:val="18"/>
                <w:szCs w:val="18"/>
              </w:rPr>
              <w:t>607</w:t>
            </w:r>
          </w:p>
        </w:tc>
        <w:tc>
          <w:tcPr>
            <w:tcW w:w="1250" w:type="pct"/>
            <w:tcBorders>
              <w:left w:val="nil"/>
              <w:right w:val="nil"/>
            </w:tcBorders>
            <w:shd w:val="clear" w:color="auto" w:fill="auto"/>
            <w:noWrap/>
            <w:vAlign w:val="bottom"/>
          </w:tcPr>
          <w:p w14:paraId="56345F28" w14:textId="3164069F" w:rsidR="008E3CE4" w:rsidRPr="001D16F5" w:rsidRDefault="008E3CE4" w:rsidP="008E3CE4">
            <w:pPr>
              <w:contextualSpacing/>
              <w:jc w:val="right"/>
              <w:rPr>
                <w:rFonts w:ascii="Arial" w:hAnsi="Arial" w:cs="Arial"/>
                <w:color w:val="000000"/>
                <w:sz w:val="18"/>
                <w:szCs w:val="18"/>
                <w:highlight w:val="yellow"/>
              </w:rPr>
            </w:pPr>
            <w:r>
              <w:rPr>
                <w:rFonts w:ascii="Arial" w:hAnsi="Arial" w:cs="Arial"/>
                <w:color w:val="000000"/>
                <w:sz w:val="18"/>
                <w:szCs w:val="18"/>
              </w:rPr>
              <w:t>25,528,248</w:t>
            </w:r>
          </w:p>
        </w:tc>
        <w:tc>
          <w:tcPr>
            <w:tcW w:w="1250" w:type="pct"/>
            <w:tcBorders>
              <w:left w:val="nil"/>
              <w:right w:val="nil"/>
            </w:tcBorders>
            <w:shd w:val="clear" w:color="auto" w:fill="auto"/>
            <w:vAlign w:val="bottom"/>
          </w:tcPr>
          <w:p w14:paraId="323357DA" w14:textId="6B5F6B41" w:rsidR="008E3CE4" w:rsidRPr="001D16F5" w:rsidRDefault="008E3CE4" w:rsidP="008E3CE4">
            <w:pPr>
              <w:contextualSpacing/>
              <w:jc w:val="right"/>
              <w:rPr>
                <w:rFonts w:ascii="Arial" w:hAnsi="Arial" w:cs="Arial"/>
                <w:color w:val="000000"/>
                <w:sz w:val="18"/>
                <w:szCs w:val="18"/>
                <w:highlight w:val="yellow"/>
              </w:rPr>
            </w:pPr>
            <w:r>
              <w:rPr>
                <w:rFonts w:ascii="Arial" w:hAnsi="Arial" w:cs="Arial"/>
                <w:color w:val="000000"/>
                <w:sz w:val="18"/>
                <w:szCs w:val="18"/>
              </w:rPr>
              <w:t>0.05</w:t>
            </w:r>
          </w:p>
        </w:tc>
      </w:tr>
      <w:tr w:rsidR="00CE4FC2" w:rsidRPr="001D16F5" w14:paraId="557EE78F" w14:textId="77777777" w:rsidTr="00E03197">
        <w:trPr>
          <w:trHeight w:val="144"/>
        </w:trPr>
        <w:tc>
          <w:tcPr>
            <w:tcW w:w="1250" w:type="pct"/>
            <w:tcBorders>
              <w:left w:val="nil"/>
              <w:right w:val="nil"/>
            </w:tcBorders>
            <w:shd w:val="clear" w:color="000000" w:fill="auto"/>
            <w:noWrap/>
            <w:vAlign w:val="bottom"/>
          </w:tcPr>
          <w:p w14:paraId="728FFC9A" w14:textId="77777777" w:rsidR="00CE4FC2" w:rsidRPr="001D16F5" w:rsidRDefault="00CE4FC2" w:rsidP="00D9608E">
            <w:pPr>
              <w:contextualSpacing/>
              <w:jc w:val="left"/>
              <w:rPr>
                <w:rFonts w:ascii="Arial" w:hAnsi="Arial" w:cs="Arial"/>
                <w:sz w:val="18"/>
                <w:szCs w:val="18"/>
              </w:rPr>
            </w:pPr>
            <w:r w:rsidRPr="001D16F5">
              <w:rPr>
                <w:rFonts w:ascii="Arial" w:hAnsi="Arial" w:cs="Arial"/>
                <w:sz w:val="18"/>
                <w:szCs w:val="18"/>
              </w:rPr>
              <w:t>September 30, 2021</w:t>
            </w:r>
          </w:p>
        </w:tc>
        <w:tc>
          <w:tcPr>
            <w:tcW w:w="1250" w:type="pct"/>
            <w:tcBorders>
              <w:left w:val="nil"/>
              <w:right w:val="nil"/>
            </w:tcBorders>
            <w:shd w:val="clear" w:color="000000" w:fill="auto"/>
            <w:noWrap/>
            <w:vAlign w:val="bottom"/>
          </w:tcPr>
          <w:p w14:paraId="18DA8314" w14:textId="77777777" w:rsidR="00CE4FC2" w:rsidRPr="001D16F5" w:rsidRDefault="00CE4FC2" w:rsidP="00E03197">
            <w:pPr>
              <w:contextualSpacing/>
              <w:jc w:val="right"/>
              <w:rPr>
                <w:rFonts w:ascii="Arial" w:hAnsi="Arial" w:cs="Arial"/>
                <w:color w:val="000000"/>
                <w:sz w:val="18"/>
                <w:szCs w:val="18"/>
              </w:rPr>
            </w:pPr>
            <w:r w:rsidRPr="001D16F5">
              <w:rPr>
                <w:rFonts w:ascii="Arial" w:hAnsi="Arial" w:cs="Arial"/>
                <w:color w:val="000000"/>
                <w:sz w:val="18"/>
                <w:szCs w:val="18"/>
              </w:rPr>
              <w:t>408,457</w:t>
            </w:r>
          </w:p>
        </w:tc>
        <w:tc>
          <w:tcPr>
            <w:tcW w:w="1250" w:type="pct"/>
            <w:tcBorders>
              <w:left w:val="nil"/>
              <w:bottom w:val="nil"/>
              <w:right w:val="nil"/>
            </w:tcBorders>
            <w:shd w:val="clear" w:color="auto" w:fill="auto"/>
            <w:noWrap/>
            <w:vAlign w:val="bottom"/>
          </w:tcPr>
          <w:p w14:paraId="11E355BC" w14:textId="77777777" w:rsidR="00CE4FC2" w:rsidRPr="001D16F5" w:rsidRDefault="00CE4FC2" w:rsidP="00E03197">
            <w:pPr>
              <w:contextualSpacing/>
              <w:jc w:val="right"/>
              <w:rPr>
                <w:rFonts w:ascii="Arial" w:hAnsi="Arial" w:cs="Arial"/>
                <w:color w:val="000000"/>
                <w:sz w:val="18"/>
                <w:szCs w:val="18"/>
              </w:rPr>
            </w:pPr>
            <w:r w:rsidRPr="001D16F5">
              <w:rPr>
                <w:rFonts w:ascii="Arial" w:hAnsi="Arial" w:cs="Arial"/>
                <w:sz w:val="18"/>
                <w:szCs w:val="18"/>
              </w:rPr>
              <w:t>18,342,815</w:t>
            </w:r>
          </w:p>
        </w:tc>
        <w:tc>
          <w:tcPr>
            <w:tcW w:w="1250" w:type="pct"/>
            <w:tcBorders>
              <w:left w:val="nil"/>
              <w:bottom w:val="nil"/>
              <w:right w:val="nil"/>
            </w:tcBorders>
            <w:shd w:val="clear" w:color="auto" w:fill="auto"/>
            <w:vAlign w:val="bottom"/>
          </w:tcPr>
          <w:p w14:paraId="595CBB00" w14:textId="77777777" w:rsidR="00CE4FC2" w:rsidRPr="001D16F5" w:rsidRDefault="00CE4FC2" w:rsidP="00E03197">
            <w:pPr>
              <w:contextualSpacing/>
              <w:jc w:val="right"/>
              <w:rPr>
                <w:rFonts w:ascii="Arial" w:hAnsi="Arial" w:cs="Arial"/>
                <w:color w:val="000000"/>
                <w:sz w:val="18"/>
                <w:szCs w:val="18"/>
              </w:rPr>
            </w:pPr>
            <w:r w:rsidRPr="001D16F5">
              <w:rPr>
                <w:rFonts w:ascii="Arial" w:hAnsi="Arial" w:cs="Arial"/>
                <w:sz w:val="18"/>
                <w:szCs w:val="18"/>
              </w:rPr>
              <w:t>0.02</w:t>
            </w:r>
          </w:p>
        </w:tc>
      </w:tr>
      <w:tr w:rsidR="00CE4FC2" w:rsidRPr="001D16F5" w14:paraId="2DDABC0E" w14:textId="77777777" w:rsidTr="00E03197">
        <w:trPr>
          <w:trHeight w:val="144"/>
        </w:trPr>
        <w:tc>
          <w:tcPr>
            <w:tcW w:w="1250" w:type="pct"/>
            <w:tcBorders>
              <w:left w:val="nil"/>
              <w:right w:val="nil"/>
            </w:tcBorders>
            <w:shd w:val="clear" w:color="000000" w:fill="auto"/>
            <w:noWrap/>
            <w:vAlign w:val="bottom"/>
          </w:tcPr>
          <w:p w14:paraId="00863CC2" w14:textId="77777777" w:rsidR="00CE4FC2" w:rsidRPr="001D16F5" w:rsidRDefault="00CE4FC2" w:rsidP="00D9608E">
            <w:pPr>
              <w:contextualSpacing/>
              <w:jc w:val="left"/>
              <w:rPr>
                <w:rFonts w:ascii="Arial" w:hAnsi="Arial" w:cs="Arial"/>
                <w:sz w:val="18"/>
                <w:szCs w:val="18"/>
                <w:highlight w:val="yellow"/>
              </w:rPr>
            </w:pPr>
            <w:r w:rsidRPr="001D16F5">
              <w:rPr>
                <w:rFonts w:ascii="Arial" w:hAnsi="Arial" w:cs="Arial"/>
                <w:sz w:val="18"/>
                <w:szCs w:val="18"/>
              </w:rPr>
              <w:t>June 30, 2021</w:t>
            </w:r>
          </w:p>
        </w:tc>
        <w:tc>
          <w:tcPr>
            <w:tcW w:w="1250" w:type="pct"/>
            <w:tcBorders>
              <w:left w:val="nil"/>
              <w:right w:val="nil"/>
            </w:tcBorders>
            <w:shd w:val="clear" w:color="000000" w:fill="auto"/>
            <w:noWrap/>
            <w:vAlign w:val="bottom"/>
          </w:tcPr>
          <w:p w14:paraId="38D58FDB" w14:textId="77777777" w:rsidR="00CE4FC2" w:rsidRPr="001D16F5" w:rsidRDefault="00CE4FC2" w:rsidP="00E03197">
            <w:pPr>
              <w:contextualSpacing/>
              <w:jc w:val="right"/>
              <w:rPr>
                <w:rFonts w:ascii="Arial" w:hAnsi="Arial" w:cs="Arial"/>
                <w:sz w:val="18"/>
                <w:szCs w:val="18"/>
                <w:highlight w:val="yellow"/>
              </w:rPr>
            </w:pPr>
            <w:r w:rsidRPr="001D16F5">
              <w:rPr>
                <w:rFonts w:ascii="Arial" w:hAnsi="Arial" w:cs="Arial"/>
                <w:color w:val="000000"/>
                <w:sz w:val="18"/>
                <w:szCs w:val="18"/>
              </w:rPr>
              <w:t>109,623</w:t>
            </w:r>
          </w:p>
        </w:tc>
        <w:tc>
          <w:tcPr>
            <w:tcW w:w="1250" w:type="pct"/>
            <w:tcBorders>
              <w:top w:val="nil"/>
              <w:left w:val="nil"/>
              <w:bottom w:val="nil"/>
              <w:right w:val="nil"/>
            </w:tcBorders>
            <w:shd w:val="clear" w:color="auto" w:fill="auto"/>
            <w:noWrap/>
            <w:vAlign w:val="bottom"/>
          </w:tcPr>
          <w:p w14:paraId="73FC92EF" w14:textId="77777777" w:rsidR="00CE4FC2" w:rsidRPr="001D16F5" w:rsidRDefault="00CE4FC2" w:rsidP="00E03197">
            <w:pPr>
              <w:pStyle w:val="TableFigures"/>
              <w:tabs>
                <w:tab w:val="clear" w:pos="1296"/>
                <w:tab w:val="decimal" w:pos="1186"/>
              </w:tabs>
              <w:ind w:right="5"/>
              <w:contextualSpacing/>
              <w:jc w:val="right"/>
              <w:rPr>
                <w:rFonts w:ascii="Arial" w:hAnsi="Arial" w:cs="Arial"/>
                <w:sz w:val="18"/>
                <w:szCs w:val="18"/>
                <w:highlight w:val="yellow"/>
              </w:rPr>
            </w:pPr>
            <w:r w:rsidRPr="001D16F5">
              <w:rPr>
                <w:rFonts w:ascii="Arial" w:hAnsi="Arial" w:cs="Arial"/>
                <w:color w:val="000000"/>
                <w:sz w:val="18"/>
                <w:szCs w:val="18"/>
              </w:rPr>
              <w:t>13,788,250</w:t>
            </w:r>
          </w:p>
        </w:tc>
        <w:tc>
          <w:tcPr>
            <w:tcW w:w="1250" w:type="pct"/>
            <w:tcBorders>
              <w:top w:val="nil"/>
              <w:left w:val="nil"/>
              <w:bottom w:val="nil"/>
              <w:right w:val="nil"/>
            </w:tcBorders>
            <w:shd w:val="clear" w:color="auto" w:fill="auto"/>
            <w:vAlign w:val="bottom"/>
          </w:tcPr>
          <w:p w14:paraId="3B9DBFFA" w14:textId="77777777" w:rsidR="00CE4FC2" w:rsidRPr="001D16F5" w:rsidRDefault="00CE4FC2" w:rsidP="00E03197">
            <w:pPr>
              <w:pStyle w:val="TableFigures"/>
              <w:tabs>
                <w:tab w:val="clear" w:pos="1296"/>
                <w:tab w:val="decimal" w:pos="1186"/>
              </w:tabs>
              <w:ind w:right="5"/>
              <w:contextualSpacing/>
              <w:jc w:val="right"/>
              <w:rPr>
                <w:rFonts w:ascii="Arial" w:hAnsi="Arial" w:cs="Arial"/>
                <w:sz w:val="18"/>
                <w:szCs w:val="18"/>
                <w:highlight w:val="yellow"/>
              </w:rPr>
            </w:pPr>
            <w:r w:rsidRPr="001D16F5">
              <w:rPr>
                <w:rFonts w:ascii="Arial" w:hAnsi="Arial" w:cs="Arial"/>
                <w:color w:val="000000"/>
                <w:sz w:val="18"/>
                <w:szCs w:val="18"/>
              </w:rPr>
              <w:t>0.01</w:t>
            </w:r>
          </w:p>
        </w:tc>
      </w:tr>
      <w:tr w:rsidR="00CE4FC2" w:rsidRPr="001D16F5" w14:paraId="1F5FA9FC" w14:textId="77777777" w:rsidTr="00E03197">
        <w:trPr>
          <w:trHeight w:val="144"/>
        </w:trPr>
        <w:tc>
          <w:tcPr>
            <w:tcW w:w="1250" w:type="pct"/>
            <w:tcBorders>
              <w:left w:val="nil"/>
              <w:right w:val="nil"/>
            </w:tcBorders>
            <w:shd w:val="clear" w:color="000000" w:fill="auto"/>
            <w:noWrap/>
            <w:vAlign w:val="bottom"/>
          </w:tcPr>
          <w:p w14:paraId="3B6D1D95" w14:textId="77777777" w:rsidR="00CE4FC2" w:rsidRPr="001D16F5" w:rsidRDefault="00CE4FC2" w:rsidP="00D9608E">
            <w:pPr>
              <w:contextualSpacing/>
              <w:jc w:val="left"/>
              <w:rPr>
                <w:rFonts w:ascii="Arial" w:hAnsi="Arial" w:cs="Arial"/>
                <w:sz w:val="18"/>
                <w:szCs w:val="18"/>
              </w:rPr>
            </w:pPr>
            <w:r w:rsidRPr="001D16F5">
              <w:rPr>
                <w:rFonts w:ascii="Arial" w:hAnsi="Arial" w:cs="Arial"/>
                <w:sz w:val="18"/>
                <w:szCs w:val="18"/>
              </w:rPr>
              <w:t>March 31, 2021</w:t>
            </w:r>
          </w:p>
        </w:tc>
        <w:tc>
          <w:tcPr>
            <w:tcW w:w="1250" w:type="pct"/>
            <w:tcBorders>
              <w:left w:val="nil"/>
              <w:right w:val="nil"/>
            </w:tcBorders>
            <w:shd w:val="clear" w:color="000000" w:fill="auto"/>
            <w:noWrap/>
            <w:vAlign w:val="bottom"/>
          </w:tcPr>
          <w:p w14:paraId="6414B551" w14:textId="77777777" w:rsidR="00CE4FC2" w:rsidRPr="001D16F5" w:rsidRDefault="00CE4FC2" w:rsidP="00E03197">
            <w:pPr>
              <w:contextualSpacing/>
              <w:jc w:val="right"/>
              <w:rPr>
                <w:rFonts w:ascii="Arial" w:hAnsi="Arial" w:cs="Arial"/>
                <w:sz w:val="18"/>
                <w:szCs w:val="18"/>
              </w:rPr>
            </w:pPr>
            <w:r w:rsidRPr="001D16F5">
              <w:rPr>
                <w:rFonts w:ascii="Arial" w:hAnsi="Arial" w:cs="Arial"/>
                <w:color w:val="000000"/>
                <w:sz w:val="18"/>
                <w:szCs w:val="18"/>
              </w:rPr>
              <w:t>185,406</w:t>
            </w:r>
          </w:p>
        </w:tc>
        <w:tc>
          <w:tcPr>
            <w:tcW w:w="1250" w:type="pct"/>
            <w:tcBorders>
              <w:top w:val="nil"/>
              <w:left w:val="nil"/>
              <w:bottom w:val="nil"/>
              <w:right w:val="nil"/>
            </w:tcBorders>
            <w:shd w:val="clear" w:color="auto" w:fill="auto"/>
            <w:noWrap/>
            <w:vAlign w:val="bottom"/>
          </w:tcPr>
          <w:p w14:paraId="097CDC9D" w14:textId="77777777" w:rsidR="00CE4FC2" w:rsidRPr="001D16F5" w:rsidRDefault="00CE4FC2" w:rsidP="00E03197">
            <w:pPr>
              <w:contextualSpacing/>
              <w:jc w:val="right"/>
              <w:rPr>
                <w:rFonts w:ascii="Arial" w:hAnsi="Arial" w:cs="Arial"/>
                <w:sz w:val="18"/>
                <w:szCs w:val="18"/>
              </w:rPr>
            </w:pPr>
            <w:r w:rsidRPr="001D16F5">
              <w:rPr>
                <w:rFonts w:ascii="Arial" w:hAnsi="Arial" w:cs="Arial"/>
                <w:color w:val="000000"/>
                <w:sz w:val="18"/>
                <w:szCs w:val="18"/>
              </w:rPr>
              <w:t>13,348,250</w:t>
            </w:r>
          </w:p>
        </w:tc>
        <w:tc>
          <w:tcPr>
            <w:tcW w:w="1250" w:type="pct"/>
            <w:tcBorders>
              <w:top w:val="nil"/>
              <w:left w:val="nil"/>
              <w:bottom w:val="nil"/>
              <w:right w:val="nil"/>
            </w:tcBorders>
            <w:shd w:val="clear" w:color="auto" w:fill="auto"/>
            <w:vAlign w:val="bottom"/>
          </w:tcPr>
          <w:p w14:paraId="16283400" w14:textId="77777777" w:rsidR="00CE4FC2" w:rsidRPr="001D16F5" w:rsidRDefault="00CE4FC2" w:rsidP="00E03197">
            <w:pPr>
              <w:pStyle w:val="TableFigures"/>
              <w:tabs>
                <w:tab w:val="clear" w:pos="1296"/>
                <w:tab w:val="decimal" w:pos="1186"/>
              </w:tabs>
              <w:ind w:right="5"/>
              <w:contextualSpacing/>
              <w:jc w:val="right"/>
              <w:rPr>
                <w:rFonts w:ascii="Arial" w:eastAsia="Arial Unicode MS" w:hAnsi="Arial" w:cs="Arial"/>
                <w:sz w:val="18"/>
                <w:szCs w:val="18"/>
              </w:rPr>
            </w:pPr>
            <w:r w:rsidRPr="001D16F5">
              <w:rPr>
                <w:rFonts w:ascii="Arial" w:hAnsi="Arial" w:cs="Arial"/>
                <w:color w:val="000000"/>
                <w:sz w:val="18"/>
                <w:szCs w:val="18"/>
              </w:rPr>
              <w:t>0.01</w:t>
            </w:r>
          </w:p>
        </w:tc>
      </w:tr>
      <w:tr w:rsidR="00CE4FC2" w:rsidRPr="001D16F5" w14:paraId="65AF56D7" w14:textId="77777777" w:rsidTr="00E03197">
        <w:trPr>
          <w:trHeight w:val="144"/>
        </w:trPr>
        <w:tc>
          <w:tcPr>
            <w:tcW w:w="1250" w:type="pct"/>
            <w:tcBorders>
              <w:left w:val="nil"/>
              <w:right w:val="nil"/>
            </w:tcBorders>
            <w:shd w:val="clear" w:color="000000" w:fill="auto"/>
            <w:noWrap/>
            <w:vAlign w:val="bottom"/>
          </w:tcPr>
          <w:p w14:paraId="3408F50D" w14:textId="77777777" w:rsidR="00CE4FC2" w:rsidRPr="001D16F5" w:rsidRDefault="00CE4FC2" w:rsidP="00D9608E">
            <w:pPr>
              <w:contextualSpacing/>
              <w:jc w:val="left"/>
              <w:rPr>
                <w:rFonts w:ascii="Arial" w:hAnsi="Arial" w:cs="Arial"/>
                <w:sz w:val="18"/>
                <w:szCs w:val="18"/>
              </w:rPr>
            </w:pPr>
            <w:r w:rsidRPr="001D16F5">
              <w:rPr>
                <w:rFonts w:ascii="Arial" w:hAnsi="Arial" w:cs="Arial"/>
                <w:sz w:val="18"/>
                <w:szCs w:val="18"/>
              </w:rPr>
              <w:t>December 31, 2020</w:t>
            </w:r>
          </w:p>
        </w:tc>
        <w:tc>
          <w:tcPr>
            <w:tcW w:w="1250" w:type="pct"/>
            <w:tcBorders>
              <w:left w:val="nil"/>
              <w:right w:val="nil"/>
            </w:tcBorders>
            <w:shd w:val="clear" w:color="000000" w:fill="auto"/>
            <w:noWrap/>
            <w:vAlign w:val="bottom"/>
          </w:tcPr>
          <w:p w14:paraId="56ADB8A8" w14:textId="77777777" w:rsidR="00CE4FC2" w:rsidRPr="001D16F5" w:rsidRDefault="00CE4FC2" w:rsidP="00E03197">
            <w:pPr>
              <w:contextualSpacing/>
              <w:jc w:val="right"/>
              <w:rPr>
                <w:rFonts w:ascii="Arial" w:hAnsi="Arial" w:cs="Arial"/>
                <w:sz w:val="18"/>
                <w:szCs w:val="18"/>
              </w:rPr>
            </w:pPr>
            <w:r w:rsidRPr="001D16F5">
              <w:rPr>
                <w:rFonts w:ascii="Arial" w:hAnsi="Arial" w:cs="Arial"/>
                <w:color w:val="000000"/>
                <w:sz w:val="18"/>
                <w:szCs w:val="18"/>
              </w:rPr>
              <w:t>31,311</w:t>
            </w:r>
          </w:p>
        </w:tc>
        <w:tc>
          <w:tcPr>
            <w:tcW w:w="1250" w:type="pct"/>
            <w:tcBorders>
              <w:top w:val="nil"/>
              <w:left w:val="nil"/>
              <w:bottom w:val="nil"/>
              <w:right w:val="nil"/>
            </w:tcBorders>
            <w:shd w:val="clear" w:color="auto" w:fill="auto"/>
            <w:noWrap/>
            <w:vAlign w:val="bottom"/>
          </w:tcPr>
          <w:p w14:paraId="6191E311" w14:textId="77777777" w:rsidR="00CE4FC2" w:rsidRPr="001D16F5" w:rsidRDefault="00CE4FC2" w:rsidP="00E03197">
            <w:pPr>
              <w:contextualSpacing/>
              <w:jc w:val="right"/>
              <w:rPr>
                <w:rFonts w:ascii="Arial" w:hAnsi="Arial" w:cs="Arial"/>
                <w:sz w:val="18"/>
                <w:szCs w:val="18"/>
              </w:rPr>
            </w:pPr>
            <w:r w:rsidRPr="001D16F5">
              <w:rPr>
                <w:rFonts w:ascii="Arial" w:hAnsi="Arial" w:cs="Arial"/>
                <w:color w:val="000000"/>
                <w:sz w:val="18"/>
                <w:szCs w:val="18"/>
              </w:rPr>
              <w:t>12,159,348</w:t>
            </w:r>
          </w:p>
        </w:tc>
        <w:tc>
          <w:tcPr>
            <w:tcW w:w="1250" w:type="pct"/>
            <w:tcBorders>
              <w:top w:val="nil"/>
              <w:left w:val="nil"/>
              <w:bottom w:val="nil"/>
              <w:right w:val="nil"/>
            </w:tcBorders>
            <w:shd w:val="clear" w:color="auto" w:fill="auto"/>
            <w:vAlign w:val="bottom"/>
          </w:tcPr>
          <w:p w14:paraId="34C0DB71" w14:textId="77777777" w:rsidR="00CE4FC2" w:rsidRPr="001D16F5" w:rsidRDefault="00CE4FC2" w:rsidP="00E03197">
            <w:pPr>
              <w:pStyle w:val="TableFigures"/>
              <w:tabs>
                <w:tab w:val="clear" w:pos="1296"/>
                <w:tab w:val="decimal" w:pos="1186"/>
              </w:tabs>
              <w:ind w:right="5"/>
              <w:contextualSpacing/>
              <w:jc w:val="right"/>
              <w:rPr>
                <w:rFonts w:ascii="Arial" w:eastAsia="Arial Unicode MS" w:hAnsi="Arial" w:cs="Arial"/>
                <w:sz w:val="18"/>
                <w:szCs w:val="18"/>
              </w:rPr>
            </w:pPr>
            <w:r w:rsidRPr="001D16F5">
              <w:rPr>
                <w:rFonts w:ascii="Arial" w:hAnsi="Arial" w:cs="Arial"/>
                <w:color w:val="000000"/>
                <w:sz w:val="18"/>
                <w:szCs w:val="18"/>
              </w:rPr>
              <w:t>0.00</w:t>
            </w:r>
          </w:p>
        </w:tc>
      </w:tr>
      <w:tr w:rsidR="00CE4FC2" w:rsidRPr="001D16F5" w14:paraId="709C1A64" w14:textId="77777777" w:rsidTr="003C38EF">
        <w:trPr>
          <w:trHeight w:val="144"/>
        </w:trPr>
        <w:tc>
          <w:tcPr>
            <w:tcW w:w="1250" w:type="pct"/>
            <w:tcBorders>
              <w:left w:val="nil"/>
              <w:right w:val="nil"/>
            </w:tcBorders>
            <w:shd w:val="clear" w:color="000000" w:fill="auto"/>
            <w:noWrap/>
            <w:vAlign w:val="bottom"/>
          </w:tcPr>
          <w:p w14:paraId="12A35950" w14:textId="77777777" w:rsidR="00CE4FC2" w:rsidRPr="001D16F5" w:rsidRDefault="00CE4FC2" w:rsidP="00D9608E">
            <w:pPr>
              <w:contextualSpacing/>
              <w:jc w:val="left"/>
              <w:rPr>
                <w:rFonts w:ascii="Arial" w:hAnsi="Arial" w:cs="Arial"/>
                <w:sz w:val="18"/>
                <w:szCs w:val="18"/>
              </w:rPr>
            </w:pPr>
            <w:r w:rsidRPr="001D16F5">
              <w:rPr>
                <w:rFonts w:ascii="Arial" w:hAnsi="Arial" w:cs="Arial"/>
                <w:sz w:val="18"/>
                <w:szCs w:val="18"/>
              </w:rPr>
              <w:t>September 30, 2020</w:t>
            </w:r>
          </w:p>
        </w:tc>
        <w:tc>
          <w:tcPr>
            <w:tcW w:w="1250" w:type="pct"/>
            <w:tcBorders>
              <w:left w:val="nil"/>
              <w:right w:val="nil"/>
            </w:tcBorders>
            <w:shd w:val="clear" w:color="auto" w:fill="auto"/>
            <w:noWrap/>
            <w:vAlign w:val="bottom"/>
          </w:tcPr>
          <w:p w14:paraId="1FA6186C" w14:textId="77777777" w:rsidR="00CE4FC2" w:rsidRPr="001D16F5" w:rsidRDefault="00CE4FC2" w:rsidP="00E03197">
            <w:pPr>
              <w:contextualSpacing/>
              <w:jc w:val="right"/>
              <w:rPr>
                <w:rFonts w:ascii="Arial" w:hAnsi="Arial" w:cs="Arial"/>
                <w:sz w:val="18"/>
                <w:szCs w:val="18"/>
              </w:rPr>
            </w:pPr>
            <w:r w:rsidRPr="001D16F5">
              <w:rPr>
                <w:rFonts w:ascii="Arial" w:hAnsi="Arial" w:cs="Arial"/>
                <w:color w:val="000000"/>
                <w:sz w:val="18"/>
                <w:szCs w:val="18"/>
              </w:rPr>
              <w:t>8,406</w:t>
            </w:r>
          </w:p>
        </w:tc>
        <w:tc>
          <w:tcPr>
            <w:tcW w:w="1250" w:type="pct"/>
            <w:tcBorders>
              <w:top w:val="nil"/>
              <w:left w:val="nil"/>
              <w:right w:val="nil"/>
            </w:tcBorders>
            <w:shd w:val="clear" w:color="auto" w:fill="auto"/>
            <w:noWrap/>
            <w:vAlign w:val="bottom"/>
          </w:tcPr>
          <w:p w14:paraId="4203B037" w14:textId="77777777" w:rsidR="00CE4FC2" w:rsidRPr="001D16F5" w:rsidRDefault="00CE4FC2" w:rsidP="00E03197">
            <w:pPr>
              <w:pStyle w:val="TableFigures"/>
              <w:tabs>
                <w:tab w:val="clear" w:pos="1296"/>
                <w:tab w:val="decimal" w:pos="1186"/>
              </w:tabs>
              <w:ind w:right="5"/>
              <w:contextualSpacing/>
              <w:jc w:val="right"/>
              <w:rPr>
                <w:rFonts w:ascii="Arial" w:hAnsi="Arial" w:cs="Arial"/>
                <w:sz w:val="18"/>
                <w:szCs w:val="18"/>
              </w:rPr>
            </w:pPr>
            <w:r w:rsidRPr="001D16F5">
              <w:rPr>
                <w:rFonts w:ascii="Arial" w:hAnsi="Arial" w:cs="Arial"/>
                <w:color w:val="000000"/>
                <w:sz w:val="18"/>
                <w:szCs w:val="18"/>
              </w:rPr>
              <w:t>4,796,721</w:t>
            </w:r>
          </w:p>
        </w:tc>
        <w:tc>
          <w:tcPr>
            <w:tcW w:w="1250" w:type="pct"/>
            <w:tcBorders>
              <w:top w:val="nil"/>
              <w:left w:val="nil"/>
              <w:right w:val="nil"/>
            </w:tcBorders>
            <w:shd w:val="clear" w:color="auto" w:fill="auto"/>
            <w:vAlign w:val="bottom"/>
          </w:tcPr>
          <w:p w14:paraId="228C04AD" w14:textId="77777777" w:rsidR="00CE4FC2" w:rsidRPr="001D16F5" w:rsidRDefault="00CE4FC2" w:rsidP="00E03197">
            <w:pPr>
              <w:pStyle w:val="TableFigures"/>
              <w:tabs>
                <w:tab w:val="clear" w:pos="1296"/>
                <w:tab w:val="decimal" w:pos="1186"/>
              </w:tabs>
              <w:ind w:right="5"/>
              <w:contextualSpacing/>
              <w:jc w:val="right"/>
              <w:rPr>
                <w:rFonts w:ascii="Arial" w:hAnsi="Arial" w:cs="Arial"/>
                <w:sz w:val="18"/>
                <w:szCs w:val="18"/>
              </w:rPr>
            </w:pPr>
            <w:r w:rsidRPr="001D16F5">
              <w:rPr>
                <w:rFonts w:ascii="Arial" w:hAnsi="Arial" w:cs="Arial"/>
                <w:color w:val="000000"/>
                <w:sz w:val="18"/>
                <w:szCs w:val="18"/>
              </w:rPr>
              <w:t>0.00</w:t>
            </w:r>
          </w:p>
        </w:tc>
      </w:tr>
      <w:tr w:rsidR="00CE4FC2" w:rsidRPr="001D16F5" w14:paraId="0BD93579" w14:textId="77777777" w:rsidTr="003C38EF">
        <w:trPr>
          <w:trHeight w:val="144"/>
        </w:trPr>
        <w:tc>
          <w:tcPr>
            <w:tcW w:w="1250" w:type="pct"/>
            <w:tcBorders>
              <w:left w:val="nil"/>
              <w:bottom w:val="single" w:sz="8" w:space="0" w:color="auto"/>
              <w:right w:val="nil"/>
            </w:tcBorders>
            <w:shd w:val="clear" w:color="000000" w:fill="auto"/>
            <w:noWrap/>
            <w:vAlign w:val="bottom"/>
          </w:tcPr>
          <w:p w14:paraId="2FAD5B5A" w14:textId="77777777" w:rsidR="00CE4FC2" w:rsidRPr="001D16F5" w:rsidRDefault="00CE4FC2" w:rsidP="00D9608E">
            <w:pPr>
              <w:contextualSpacing/>
              <w:jc w:val="left"/>
              <w:rPr>
                <w:rFonts w:ascii="Arial" w:hAnsi="Arial" w:cs="Arial"/>
                <w:sz w:val="18"/>
                <w:szCs w:val="18"/>
              </w:rPr>
            </w:pPr>
            <w:r w:rsidRPr="001D16F5">
              <w:rPr>
                <w:rFonts w:ascii="Arial" w:hAnsi="Arial" w:cs="Arial"/>
                <w:sz w:val="18"/>
                <w:szCs w:val="18"/>
              </w:rPr>
              <w:t>June 30, 2020</w:t>
            </w:r>
          </w:p>
        </w:tc>
        <w:tc>
          <w:tcPr>
            <w:tcW w:w="1250" w:type="pct"/>
            <w:tcBorders>
              <w:left w:val="nil"/>
              <w:bottom w:val="single" w:sz="8" w:space="0" w:color="auto"/>
              <w:right w:val="nil"/>
            </w:tcBorders>
            <w:shd w:val="clear" w:color="auto" w:fill="auto"/>
            <w:noWrap/>
            <w:vAlign w:val="bottom"/>
          </w:tcPr>
          <w:p w14:paraId="28964A43" w14:textId="77777777" w:rsidR="00CE4FC2" w:rsidRPr="001D16F5" w:rsidRDefault="00CE4FC2" w:rsidP="00E03197">
            <w:pPr>
              <w:contextualSpacing/>
              <w:jc w:val="right"/>
              <w:rPr>
                <w:rFonts w:ascii="Arial" w:hAnsi="Arial" w:cs="Arial"/>
                <w:sz w:val="18"/>
                <w:szCs w:val="18"/>
              </w:rPr>
            </w:pPr>
            <w:r w:rsidRPr="001D16F5">
              <w:rPr>
                <w:rFonts w:ascii="Arial" w:hAnsi="Arial" w:cs="Arial"/>
                <w:sz w:val="18"/>
                <w:szCs w:val="18"/>
              </w:rPr>
              <w:t>-</w:t>
            </w:r>
          </w:p>
        </w:tc>
        <w:tc>
          <w:tcPr>
            <w:tcW w:w="1250" w:type="pct"/>
            <w:tcBorders>
              <w:top w:val="nil"/>
              <w:left w:val="nil"/>
              <w:bottom w:val="single" w:sz="8" w:space="0" w:color="auto"/>
              <w:right w:val="nil"/>
            </w:tcBorders>
            <w:shd w:val="clear" w:color="auto" w:fill="auto"/>
            <w:noWrap/>
            <w:vAlign w:val="bottom"/>
          </w:tcPr>
          <w:p w14:paraId="28ABB985" w14:textId="77777777" w:rsidR="00CE4FC2" w:rsidRPr="001D16F5" w:rsidRDefault="00CE4FC2" w:rsidP="00E03197">
            <w:pPr>
              <w:pStyle w:val="TableFigures"/>
              <w:tabs>
                <w:tab w:val="clear" w:pos="1296"/>
                <w:tab w:val="decimal" w:pos="1186"/>
              </w:tabs>
              <w:ind w:right="5"/>
              <w:contextualSpacing/>
              <w:jc w:val="right"/>
              <w:rPr>
                <w:rFonts w:ascii="Arial" w:hAnsi="Arial" w:cs="Arial"/>
                <w:sz w:val="18"/>
                <w:szCs w:val="18"/>
              </w:rPr>
            </w:pPr>
            <w:r w:rsidRPr="001D16F5">
              <w:rPr>
                <w:rFonts w:ascii="Arial" w:hAnsi="Arial" w:cs="Arial"/>
                <w:sz w:val="18"/>
                <w:szCs w:val="18"/>
              </w:rPr>
              <w:t>-</w:t>
            </w:r>
          </w:p>
        </w:tc>
        <w:tc>
          <w:tcPr>
            <w:tcW w:w="1250" w:type="pct"/>
            <w:tcBorders>
              <w:top w:val="nil"/>
              <w:left w:val="nil"/>
              <w:bottom w:val="single" w:sz="8" w:space="0" w:color="auto"/>
              <w:right w:val="nil"/>
            </w:tcBorders>
            <w:shd w:val="clear" w:color="auto" w:fill="auto"/>
            <w:vAlign w:val="bottom"/>
          </w:tcPr>
          <w:p w14:paraId="5EF8DA3D" w14:textId="77777777" w:rsidR="00CE4FC2" w:rsidRPr="001D16F5" w:rsidRDefault="00CE4FC2" w:rsidP="00E03197">
            <w:pPr>
              <w:pStyle w:val="TableFigures"/>
              <w:tabs>
                <w:tab w:val="clear" w:pos="1296"/>
                <w:tab w:val="decimal" w:pos="1186"/>
              </w:tabs>
              <w:ind w:right="5"/>
              <w:contextualSpacing/>
              <w:jc w:val="right"/>
              <w:rPr>
                <w:rFonts w:ascii="Arial" w:hAnsi="Arial" w:cs="Arial"/>
                <w:sz w:val="18"/>
                <w:szCs w:val="18"/>
              </w:rPr>
            </w:pPr>
            <w:r w:rsidRPr="001D16F5">
              <w:rPr>
                <w:rFonts w:ascii="Arial" w:hAnsi="Arial" w:cs="Arial"/>
                <w:sz w:val="18"/>
                <w:szCs w:val="18"/>
              </w:rPr>
              <w:t>-</w:t>
            </w:r>
          </w:p>
        </w:tc>
      </w:tr>
    </w:tbl>
    <w:p w14:paraId="4337DDA1" w14:textId="77777777" w:rsidR="00D91A10" w:rsidRPr="00361EC3" w:rsidRDefault="00D91A10" w:rsidP="00361EC3">
      <w:pPr>
        <w:contextualSpacing/>
        <w:rPr>
          <w:rFonts w:ascii="Arial" w:hAnsi="Arial" w:cs="Arial"/>
          <w:b/>
          <w:bCs/>
          <w:sz w:val="18"/>
          <w:szCs w:val="18"/>
        </w:rPr>
      </w:pPr>
    </w:p>
    <w:p w14:paraId="4606CE76" w14:textId="34F4FCCC" w:rsidR="009562F9" w:rsidRPr="00361EC3" w:rsidRDefault="009562F9" w:rsidP="00361EC3">
      <w:pPr>
        <w:pStyle w:val="Heading1"/>
        <w:ind w:left="0"/>
        <w:contextualSpacing/>
        <w:rPr>
          <w:rFonts w:ascii="Arial" w:hAnsi="Arial" w:cs="Arial"/>
          <w:sz w:val="18"/>
          <w:szCs w:val="18"/>
        </w:rPr>
      </w:pPr>
      <w:r w:rsidRPr="00361EC3">
        <w:rPr>
          <w:rFonts w:ascii="Arial" w:hAnsi="Arial" w:cs="Arial"/>
          <w:sz w:val="18"/>
          <w:szCs w:val="18"/>
        </w:rPr>
        <w:t xml:space="preserve">Disclosure of </w:t>
      </w:r>
      <w:r w:rsidR="007646FA" w:rsidRPr="00361EC3">
        <w:rPr>
          <w:rFonts w:ascii="Arial" w:hAnsi="Arial" w:cs="Arial"/>
          <w:sz w:val="18"/>
          <w:szCs w:val="18"/>
        </w:rPr>
        <w:t>o</w:t>
      </w:r>
      <w:r w:rsidRPr="00361EC3">
        <w:rPr>
          <w:rFonts w:ascii="Arial" w:hAnsi="Arial" w:cs="Arial"/>
          <w:sz w:val="18"/>
          <w:szCs w:val="18"/>
        </w:rPr>
        <w:t xml:space="preserve">utstanding </w:t>
      </w:r>
      <w:r w:rsidR="007646FA" w:rsidRPr="00361EC3">
        <w:rPr>
          <w:rFonts w:ascii="Arial" w:hAnsi="Arial" w:cs="Arial"/>
          <w:sz w:val="18"/>
          <w:szCs w:val="18"/>
        </w:rPr>
        <w:t>s</w:t>
      </w:r>
      <w:r w:rsidRPr="00361EC3">
        <w:rPr>
          <w:rFonts w:ascii="Arial" w:hAnsi="Arial" w:cs="Arial"/>
          <w:sz w:val="18"/>
          <w:szCs w:val="18"/>
        </w:rPr>
        <w:t xml:space="preserve">ecurity </w:t>
      </w:r>
      <w:r w:rsidR="007646FA" w:rsidRPr="00361EC3">
        <w:rPr>
          <w:rFonts w:ascii="Arial" w:hAnsi="Arial" w:cs="Arial"/>
          <w:sz w:val="18"/>
          <w:szCs w:val="18"/>
        </w:rPr>
        <w:t>d</w:t>
      </w:r>
      <w:r w:rsidRPr="00361EC3">
        <w:rPr>
          <w:rFonts w:ascii="Arial" w:hAnsi="Arial" w:cs="Arial"/>
          <w:sz w:val="18"/>
          <w:szCs w:val="18"/>
        </w:rPr>
        <w:t xml:space="preserve">ata </w:t>
      </w:r>
    </w:p>
    <w:p w14:paraId="50A22E01" w14:textId="02FABBDC" w:rsidR="00C477BA" w:rsidRPr="00361EC3" w:rsidRDefault="00C477BA" w:rsidP="00361EC3">
      <w:pPr>
        <w:spacing w:line="259" w:lineRule="auto"/>
        <w:contextualSpacing/>
        <w:jc w:val="left"/>
        <w:rPr>
          <w:rFonts w:ascii="Arial" w:hAnsi="Arial" w:cs="Arial"/>
          <w:sz w:val="18"/>
          <w:szCs w:val="18"/>
        </w:rPr>
      </w:pPr>
    </w:p>
    <w:p w14:paraId="072D47BB" w14:textId="2312E827" w:rsidR="0072685F" w:rsidRDefault="009562F9" w:rsidP="00361EC3">
      <w:pPr>
        <w:contextualSpacing/>
        <w:rPr>
          <w:rFonts w:ascii="Arial" w:hAnsi="Arial" w:cs="Arial"/>
          <w:sz w:val="18"/>
          <w:szCs w:val="18"/>
        </w:rPr>
      </w:pPr>
      <w:r w:rsidRPr="00361EC3">
        <w:rPr>
          <w:rFonts w:ascii="Arial" w:hAnsi="Arial" w:cs="Arial"/>
          <w:sz w:val="18"/>
          <w:szCs w:val="18"/>
        </w:rPr>
        <w:t>As of the date of this</w:t>
      </w:r>
      <w:r w:rsidR="00933E91">
        <w:rPr>
          <w:rFonts w:ascii="Arial" w:hAnsi="Arial" w:cs="Arial"/>
          <w:sz w:val="18"/>
          <w:szCs w:val="18"/>
        </w:rPr>
        <w:t xml:space="preserve"> MD&amp;A</w:t>
      </w:r>
      <w:r w:rsidRPr="00361EC3">
        <w:rPr>
          <w:rFonts w:ascii="Arial" w:hAnsi="Arial" w:cs="Arial"/>
          <w:sz w:val="18"/>
          <w:szCs w:val="18"/>
        </w:rPr>
        <w:t xml:space="preserve">, the Company has: </w:t>
      </w:r>
    </w:p>
    <w:p w14:paraId="0EAE724D" w14:textId="77777777" w:rsidR="0072685F" w:rsidRDefault="0072685F" w:rsidP="00361EC3">
      <w:pPr>
        <w:contextualSpacing/>
        <w:rPr>
          <w:rFonts w:ascii="Arial" w:hAnsi="Arial" w:cs="Arial"/>
          <w:sz w:val="18"/>
          <w:szCs w:val="18"/>
        </w:rPr>
      </w:pPr>
    </w:p>
    <w:p w14:paraId="753C8E21" w14:textId="0E85C44C" w:rsidR="00BD7853" w:rsidRPr="00EC26B4" w:rsidRDefault="0059706C" w:rsidP="00EC26B4">
      <w:pPr>
        <w:pStyle w:val="ListParagraph"/>
        <w:numPr>
          <w:ilvl w:val="0"/>
          <w:numId w:val="2"/>
        </w:numPr>
        <w:ind w:left="180" w:hanging="180"/>
        <w:rPr>
          <w:rFonts w:ascii="Arial" w:hAnsi="Arial" w:cs="Arial"/>
          <w:sz w:val="18"/>
          <w:szCs w:val="18"/>
        </w:rPr>
      </w:pPr>
      <w:r w:rsidRPr="0059706C">
        <w:rPr>
          <w:rFonts w:ascii="Arial" w:hAnsi="Arial" w:cs="Arial"/>
          <w:sz w:val="18"/>
          <w:szCs w:val="18"/>
        </w:rPr>
        <w:t>32,</w:t>
      </w:r>
      <w:r w:rsidR="003C38EF">
        <w:rPr>
          <w:rFonts w:ascii="Arial" w:hAnsi="Arial" w:cs="Arial"/>
          <w:sz w:val="18"/>
          <w:szCs w:val="18"/>
        </w:rPr>
        <w:t>9</w:t>
      </w:r>
      <w:r w:rsidRPr="0059706C">
        <w:rPr>
          <w:rFonts w:ascii="Arial" w:hAnsi="Arial" w:cs="Arial"/>
          <w:sz w:val="18"/>
          <w:szCs w:val="18"/>
        </w:rPr>
        <w:t>83,248</w:t>
      </w:r>
      <w:r w:rsidR="00987FEE" w:rsidRPr="00BD7853">
        <w:rPr>
          <w:rFonts w:ascii="Arial" w:hAnsi="Arial" w:cs="Arial"/>
          <w:sz w:val="18"/>
          <w:szCs w:val="18"/>
        </w:rPr>
        <w:t xml:space="preserve"> common shares issued and outstanding</w:t>
      </w:r>
      <w:r w:rsidR="0072685F" w:rsidRPr="00BD7853">
        <w:rPr>
          <w:rFonts w:ascii="Arial" w:hAnsi="Arial" w:cs="Arial"/>
          <w:sz w:val="18"/>
          <w:szCs w:val="18"/>
        </w:rPr>
        <w:t>.</w:t>
      </w:r>
    </w:p>
    <w:p w14:paraId="57F173C3" w14:textId="3BC0DDD1" w:rsidR="00BD7853" w:rsidRPr="00EC26B4" w:rsidRDefault="003C38EF" w:rsidP="00B020AB">
      <w:pPr>
        <w:pStyle w:val="ListParagraph"/>
        <w:numPr>
          <w:ilvl w:val="0"/>
          <w:numId w:val="2"/>
        </w:numPr>
        <w:ind w:left="180" w:hanging="180"/>
        <w:rPr>
          <w:rFonts w:ascii="Arial" w:hAnsi="Arial" w:cs="Arial"/>
          <w:sz w:val="18"/>
          <w:szCs w:val="18"/>
        </w:rPr>
      </w:pPr>
      <w:r>
        <w:rPr>
          <w:rFonts w:ascii="Arial" w:hAnsi="Arial" w:cs="Arial"/>
          <w:sz w:val="18"/>
          <w:szCs w:val="18"/>
        </w:rPr>
        <w:t>7,6</w:t>
      </w:r>
      <w:r w:rsidR="00FD6196" w:rsidRPr="00FD6196">
        <w:rPr>
          <w:rFonts w:ascii="Arial" w:hAnsi="Arial" w:cs="Arial"/>
          <w:sz w:val="18"/>
          <w:szCs w:val="18"/>
        </w:rPr>
        <w:t>44,999</w:t>
      </w:r>
      <w:r w:rsidR="00BD7853" w:rsidRPr="00EC26B4">
        <w:rPr>
          <w:rFonts w:ascii="Arial" w:hAnsi="Arial" w:cs="Arial"/>
          <w:sz w:val="18"/>
          <w:szCs w:val="18"/>
        </w:rPr>
        <w:t xml:space="preserve"> warrants outstanding</w:t>
      </w:r>
      <w:r w:rsidR="00EC26B4">
        <w:rPr>
          <w:rFonts w:ascii="Arial" w:hAnsi="Arial" w:cs="Arial"/>
          <w:sz w:val="18"/>
          <w:szCs w:val="18"/>
        </w:rPr>
        <w:t>.</w:t>
      </w:r>
    </w:p>
    <w:p w14:paraId="63BCB458" w14:textId="7751333F" w:rsidR="00BD7853" w:rsidRDefault="00FD6196" w:rsidP="00EC26B4">
      <w:pPr>
        <w:pStyle w:val="ListParagraph"/>
        <w:numPr>
          <w:ilvl w:val="0"/>
          <w:numId w:val="2"/>
        </w:numPr>
        <w:ind w:left="180" w:hanging="180"/>
        <w:rPr>
          <w:rFonts w:ascii="Arial" w:hAnsi="Arial" w:cs="Arial"/>
          <w:sz w:val="18"/>
          <w:szCs w:val="18"/>
        </w:rPr>
      </w:pPr>
      <w:r w:rsidRPr="00FD6196">
        <w:rPr>
          <w:rFonts w:ascii="Arial" w:hAnsi="Arial" w:cs="Arial"/>
          <w:sz w:val="18"/>
          <w:szCs w:val="18"/>
        </w:rPr>
        <w:t>2,060,136</w:t>
      </w:r>
      <w:r w:rsidR="00B349D2" w:rsidRPr="0072685F">
        <w:rPr>
          <w:rFonts w:ascii="Arial" w:hAnsi="Arial" w:cs="Arial"/>
          <w:sz w:val="18"/>
          <w:szCs w:val="18"/>
        </w:rPr>
        <w:t xml:space="preserve"> options outstanding</w:t>
      </w:r>
    </w:p>
    <w:p w14:paraId="3EB57C09" w14:textId="77777777" w:rsidR="00EC26B4" w:rsidRPr="001D16F5" w:rsidRDefault="00EC26B4" w:rsidP="001D16F5">
      <w:pPr>
        <w:rPr>
          <w:rFonts w:ascii="Arial" w:hAnsi="Arial" w:cs="Arial"/>
          <w:sz w:val="18"/>
          <w:szCs w:val="18"/>
        </w:rPr>
      </w:pPr>
    </w:p>
    <w:p w14:paraId="4575C275" w14:textId="4C971FBF" w:rsidR="009562F9" w:rsidRPr="00361EC3" w:rsidRDefault="009562F9" w:rsidP="00361EC3">
      <w:pPr>
        <w:pStyle w:val="Heading1"/>
        <w:ind w:left="0"/>
        <w:contextualSpacing/>
        <w:rPr>
          <w:rFonts w:ascii="Arial" w:hAnsi="Arial" w:cs="Arial"/>
          <w:sz w:val="18"/>
          <w:szCs w:val="18"/>
        </w:rPr>
      </w:pPr>
      <w:r w:rsidRPr="00361EC3">
        <w:rPr>
          <w:rFonts w:ascii="Arial" w:hAnsi="Arial" w:cs="Arial"/>
          <w:sz w:val="18"/>
          <w:szCs w:val="18"/>
        </w:rPr>
        <w:t xml:space="preserve">Financial </w:t>
      </w:r>
      <w:r w:rsidR="007646FA" w:rsidRPr="00361EC3">
        <w:rPr>
          <w:rFonts w:ascii="Arial" w:hAnsi="Arial" w:cs="Arial"/>
          <w:sz w:val="18"/>
          <w:szCs w:val="18"/>
        </w:rPr>
        <w:t>i</w:t>
      </w:r>
      <w:r w:rsidRPr="00361EC3">
        <w:rPr>
          <w:rFonts w:ascii="Arial" w:hAnsi="Arial" w:cs="Arial"/>
          <w:sz w:val="18"/>
          <w:szCs w:val="18"/>
        </w:rPr>
        <w:t xml:space="preserve">nstruments and </w:t>
      </w:r>
      <w:r w:rsidR="007646FA" w:rsidRPr="00361EC3">
        <w:rPr>
          <w:rFonts w:ascii="Arial" w:hAnsi="Arial" w:cs="Arial"/>
          <w:sz w:val="18"/>
          <w:szCs w:val="18"/>
        </w:rPr>
        <w:t>o</w:t>
      </w:r>
      <w:r w:rsidRPr="00361EC3">
        <w:rPr>
          <w:rFonts w:ascii="Arial" w:hAnsi="Arial" w:cs="Arial"/>
          <w:sz w:val="18"/>
          <w:szCs w:val="18"/>
        </w:rPr>
        <w:t xml:space="preserve">ther </w:t>
      </w:r>
      <w:r w:rsidR="007646FA" w:rsidRPr="00361EC3">
        <w:rPr>
          <w:rFonts w:ascii="Arial" w:hAnsi="Arial" w:cs="Arial"/>
          <w:sz w:val="18"/>
          <w:szCs w:val="18"/>
        </w:rPr>
        <w:t>i</w:t>
      </w:r>
      <w:r w:rsidRPr="00361EC3">
        <w:rPr>
          <w:rFonts w:ascii="Arial" w:hAnsi="Arial" w:cs="Arial"/>
          <w:sz w:val="18"/>
          <w:szCs w:val="18"/>
        </w:rPr>
        <w:t xml:space="preserve">nstruments </w:t>
      </w:r>
    </w:p>
    <w:p w14:paraId="30B4FE41" w14:textId="77777777" w:rsidR="009562F9" w:rsidRPr="00361EC3" w:rsidRDefault="009562F9" w:rsidP="00361EC3">
      <w:pPr>
        <w:contextualSpacing/>
        <w:rPr>
          <w:rFonts w:ascii="Arial" w:hAnsi="Arial" w:cs="Arial"/>
          <w:sz w:val="18"/>
          <w:szCs w:val="18"/>
        </w:rPr>
      </w:pPr>
    </w:p>
    <w:p w14:paraId="13BBB229" w14:textId="54C5DFFA" w:rsidR="009562F9" w:rsidRPr="00361EC3" w:rsidRDefault="009562F9" w:rsidP="00361EC3">
      <w:pPr>
        <w:contextualSpacing/>
        <w:rPr>
          <w:rFonts w:ascii="Arial" w:hAnsi="Arial" w:cs="Arial"/>
          <w:sz w:val="18"/>
          <w:szCs w:val="18"/>
        </w:rPr>
      </w:pPr>
      <w:r w:rsidRPr="00361EC3">
        <w:rPr>
          <w:rFonts w:ascii="Arial" w:hAnsi="Arial" w:cs="Arial"/>
          <w:sz w:val="18"/>
          <w:szCs w:val="18"/>
        </w:rPr>
        <w:t>The carrying values of cash</w:t>
      </w:r>
      <w:r w:rsidR="0049668C">
        <w:rPr>
          <w:rFonts w:ascii="Arial" w:hAnsi="Arial" w:cs="Arial"/>
          <w:sz w:val="18"/>
          <w:szCs w:val="18"/>
        </w:rPr>
        <w:t>, trade and other</w:t>
      </w:r>
      <w:r w:rsidRPr="00361EC3">
        <w:rPr>
          <w:rFonts w:ascii="Arial" w:hAnsi="Arial" w:cs="Arial"/>
          <w:sz w:val="18"/>
          <w:szCs w:val="18"/>
        </w:rPr>
        <w:t xml:space="preserve"> payable</w:t>
      </w:r>
      <w:r w:rsidR="0049668C">
        <w:rPr>
          <w:rFonts w:ascii="Arial" w:hAnsi="Arial" w:cs="Arial"/>
          <w:sz w:val="18"/>
          <w:szCs w:val="18"/>
        </w:rPr>
        <w:t>s</w:t>
      </w:r>
      <w:r w:rsidRPr="00361EC3">
        <w:rPr>
          <w:rFonts w:ascii="Arial" w:hAnsi="Arial" w:cs="Arial"/>
          <w:sz w:val="18"/>
          <w:szCs w:val="18"/>
        </w:rPr>
        <w:t xml:space="preserve"> approximate their fair values because of the short-term maturity of these financial instruments.</w:t>
      </w:r>
    </w:p>
    <w:p w14:paraId="4C743286" w14:textId="77777777" w:rsidR="009562F9" w:rsidRPr="00361EC3" w:rsidRDefault="009562F9" w:rsidP="00361EC3">
      <w:pPr>
        <w:contextualSpacing/>
        <w:rPr>
          <w:rFonts w:ascii="Arial" w:hAnsi="Arial" w:cs="Arial"/>
          <w:sz w:val="18"/>
          <w:szCs w:val="18"/>
        </w:rPr>
      </w:pPr>
    </w:p>
    <w:p w14:paraId="120D2F87" w14:textId="4ADE8B41" w:rsidR="009562F9" w:rsidRPr="00361EC3" w:rsidRDefault="009562F9" w:rsidP="00361EC3">
      <w:pPr>
        <w:pStyle w:val="Heading1"/>
        <w:ind w:left="0"/>
        <w:contextualSpacing/>
        <w:rPr>
          <w:rFonts w:ascii="Arial" w:hAnsi="Arial" w:cs="Arial"/>
          <w:sz w:val="18"/>
          <w:szCs w:val="18"/>
        </w:rPr>
      </w:pPr>
      <w:r w:rsidRPr="00361EC3">
        <w:rPr>
          <w:rFonts w:ascii="Arial" w:hAnsi="Arial" w:cs="Arial"/>
          <w:sz w:val="18"/>
          <w:szCs w:val="18"/>
        </w:rPr>
        <w:t>Off</w:t>
      </w:r>
      <w:r w:rsidRPr="00361EC3">
        <w:rPr>
          <w:rFonts w:ascii="Cambria Math" w:hAnsi="Cambria Math" w:cs="Cambria Math"/>
          <w:sz w:val="18"/>
          <w:szCs w:val="18"/>
        </w:rPr>
        <w:t>‐</w:t>
      </w:r>
      <w:r w:rsidR="007646FA" w:rsidRPr="00361EC3">
        <w:rPr>
          <w:rFonts w:ascii="Arial" w:hAnsi="Arial" w:cs="Arial"/>
          <w:sz w:val="18"/>
          <w:szCs w:val="18"/>
        </w:rPr>
        <w:t>b</w:t>
      </w:r>
      <w:r w:rsidRPr="00361EC3">
        <w:rPr>
          <w:rFonts w:ascii="Arial" w:hAnsi="Arial" w:cs="Arial"/>
          <w:sz w:val="18"/>
          <w:szCs w:val="18"/>
        </w:rPr>
        <w:t xml:space="preserve">alance </w:t>
      </w:r>
      <w:r w:rsidR="007646FA" w:rsidRPr="00361EC3">
        <w:rPr>
          <w:rFonts w:ascii="Arial" w:hAnsi="Arial" w:cs="Arial"/>
          <w:sz w:val="18"/>
          <w:szCs w:val="18"/>
        </w:rPr>
        <w:t>s</w:t>
      </w:r>
      <w:r w:rsidRPr="00361EC3">
        <w:rPr>
          <w:rFonts w:ascii="Arial" w:hAnsi="Arial" w:cs="Arial"/>
          <w:sz w:val="18"/>
          <w:szCs w:val="18"/>
        </w:rPr>
        <w:t xml:space="preserve">heet </w:t>
      </w:r>
      <w:r w:rsidR="007646FA" w:rsidRPr="00361EC3">
        <w:rPr>
          <w:rFonts w:ascii="Arial" w:hAnsi="Arial" w:cs="Arial"/>
          <w:sz w:val="18"/>
          <w:szCs w:val="18"/>
        </w:rPr>
        <w:t>a</w:t>
      </w:r>
      <w:r w:rsidRPr="00361EC3">
        <w:rPr>
          <w:rFonts w:ascii="Arial" w:hAnsi="Arial" w:cs="Arial"/>
          <w:sz w:val="18"/>
          <w:szCs w:val="18"/>
        </w:rPr>
        <w:t>rrangements</w:t>
      </w:r>
    </w:p>
    <w:p w14:paraId="5332F495" w14:textId="77777777" w:rsidR="009562F9" w:rsidRPr="00361EC3" w:rsidRDefault="009562F9" w:rsidP="00361EC3">
      <w:pPr>
        <w:contextualSpacing/>
        <w:rPr>
          <w:rFonts w:ascii="Arial" w:hAnsi="Arial" w:cs="Arial"/>
          <w:sz w:val="18"/>
          <w:szCs w:val="18"/>
        </w:rPr>
      </w:pPr>
    </w:p>
    <w:p w14:paraId="2ABD0FA4" w14:textId="43AEC652" w:rsidR="008A64B8" w:rsidRDefault="009562F9" w:rsidP="00361EC3">
      <w:pPr>
        <w:contextualSpacing/>
        <w:rPr>
          <w:rFonts w:ascii="Arial" w:hAnsi="Arial" w:cs="Arial"/>
          <w:sz w:val="18"/>
          <w:szCs w:val="18"/>
        </w:rPr>
      </w:pPr>
      <w:r w:rsidRPr="00361EC3">
        <w:rPr>
          <w:rFonts w:ascii="Arial" w:hAnsi="Arial" w:cs="Arial"/>
          <w:sz w:val="18"/>
          <w:szCs w:val="18"/>
        </w:rPr>
        <w:t>The Company does not have any off-balance sheet arrangements and does not contemplate having them in the foreseeable future.</w:t>
      </w:r>
    </w:p>
    <w:p w14:paraId="22FB0318" w14:textId="77777777" w:rsidR="001D16F5" w:rsidRPr="00361EC3" w:rsidRDefault="001D16F5" w:rsidP="00361EC3">
      <w:pPr>
        <w:contextualSpacing/>
        <w:rPr>
          <w:rFonts w:ascii="Arial" w:hAnsi="Arial" w:cs="Arial"/>
          <w:sz w:val="18"/>
          <w:szCs w:val="18"/>
        </w:rPr>
      </w:pPr>
    </w:p>
    <w:p w14:paraId="79A4EF1B" w14:textId="0D3598D2" w:rsidR="008A64B8" w:rsidRDefault="008A64B8" w:rsidP="00361EC3">
      <w:pPr>
        <w:pStyle w:val="Heading1"/>
        <w:ind w:left="0"/>
        <w:contextualSpacing/>
        <w:rPr>
          <w:rFonts w:ascii="Arial" w:hAnsi="Arial" w:cs="Arial"/>
          <w:sz w:val="18"/>
          <w:szCs w:val="18"/>
        </w:rPr>
      </w:pPr>
      <w:r w:rsidRPr="00F93D9F">
        <w:rPr>
          <w:rFonts w:ascii="Arial" w:hAnsi="Arial" w:cs="Arial"/>
          <w:sz w:val="18"/>
          <w:szCs w:val="18"/>
        </w:rPr>
        <w:t xml:space="preserve">Proposed </w:t>
      </w:r>
      <w:r w:rsidR="007646FA" w:rsidRPr="00F93D9F">
        <w:rPr>
          <w:rFonts w:ascii="Arial" w:hAnsi="Arial" w:cs="Arial"/>
          <w:sz w:val="18"/>
          <w:szCs w:val="18"/>
        </w:rPr>
        <w:t>t</w:t>
      </w:r>
      <w:r w:rsidRPr="00F93D9F">
        <w:rPr>
          <w:rFonts w:ascii="Arial" w:hAnsi="Arial" w:cs="Arial"/>
          <w:sz w:val="18"/>
          <w:szCs w:val="18"/>
        </w:rPr>
        <w:t>ransaction</w:t>
      </w:r>
      <w:r w:rsidR="00000DA7">
        <w:rPr>
          <w:rFonts w:ascii="Arial" w:hAnsi="Arial" w:cs="Arial"/>
          <w:sz w:val="18"/>
          <w:szCs w:val="18"/>
        </w:rPr>
        <w:t>s</w:t>
      </w:r>
    </w:p>
    <w:p w14:paraId="5C346137" w14:textId="60826C45" w:rsidR="00D55629" w:rsidRDefault="00D55629" w:rsidP="00D55629">
      <w:pPr>
        <w:contextualSpacing/>
        <w:rPr>
          <w:rFonts w:ascii="Arial" w:hAnsi="Arial" w:cs="Arial"/>
          <w:sz w:val="18"/>
          <w:szCs w:val="18"/>
        </w:rPr>
      </w:pPr>
    </w:p>
    <w:p w14:paraId="54A9692A" w14:textId="2095BD52" w:rsidR="00B32483" w:rsidRDefault="00C66843" w:rsidP="00361EC3">
      <w:pPr>
        <w:contextualSpacing/>
        <w:rPr>
          <w:rFonts w:ascii="Arial" w:hAnsi="Arial" w:cs="Arial"/>
          <w:sz w:val="18"/>
          <w:szCs w:val="18"/>
        </w:rPr>
      </w:pPr>
      <w:r w:rsidRPr="00C66843">
        <w:rPr>
          <w:rFonts w:ascii="Arial" w:hAnsi="Arial" w:cs="Arial"/>
          <w:sz w:val="18"/>
          <w:szCs w:val="18"/>
        </w:rPr>
        <w:t>On September 7, 2021 Echelon Minerals Ltd. (“Echelon”), pursuant to which the Company may acquire all of the issued and outstanding common shares of Echelon, which owns the rights to the Zanzui Prospecting Licence. Pursuant to the letter of intent, the Company paid Echelon a refundable deposit of $761,334 (USD $600,000).</w:t>
      </w:r>
    </w:p>
    <w:p w14:paraId="2B8CBFBE" w14:textId="77777777" w:rsidR="00C66843" w:rsidRPr="00361EC3" w:rsidRDefault="00C66843" w:rsidP="00361EC3">
      <w:pPr>
        <w:contextualSpacing/>
        <w:rPr>
          <w:rFonts w:ascii="Arial" w:hAnsi="Arial" w:cs="Arial"/>
          <w:sz w:val="18"/>
          <w:szCs w:val="18"/>
        </w:rPr>
      </w:pPr>
    </w:p>
    <w:p w14:paraId="672C49ED" w14:textId="49C57F83" w:rsidR="009562F9" w:rsidRPr="00361EC3" w:rsidRDefault="009562F9" w:rsidP="00361EC3">
      <w:pPr>
        <w:pStyle w:val="Heading1"/>
        <w:ind w:left="0"/>
        <w:contextualSpacing/>
        <w:rPr>
          <w:rFonts w:ascii="Arial" w:hAnsi="Arial" w:cs="Arial"/>
          <w:sz w:val="18"/>
          <w:szCs w:val="18"/>
        </w:rPr>
      </w:pPr>
      <w:r w:rsidRPr="00361EC3">
        <w:rPr>
          <w:rFonts w:ascii="Arial" w:hAnsi="Arial" w:cs="Arial"/>
          <w:sz w:val="18"/>
          <w:szCs w:val="18"/>
        </w:rPr>
        <w:t xml:space="preserve">Use of </w:t>
      </w:r>
      <w:r w:rsidR="007646FA" w:rsidRPr="00361EC3">
        <w:rPr>
          <w:rFonts w:ascii="Arial" w:hAnsi="Arial" w:cs="Arial"/>
          <w:sz w:val="18"/>
          <w:szCs w:val="18"/>
        </w:rPr>
        <w:t>e</w:t>
      </w:r>
      <w:r w:rsidRPr="00361EC3">
        <w:rPr>
          <w:rFonts w:ascii="Arial" w:hAnsi="Arial" w:cs="Arial"/>
          <w:sz w:val="18"/>
          <w:szCs w:val="18"/>
        </w:rPr>
        <w:t>stimates</w:t>
      </w:r>
      <w:r w:rsidR="008B0F5F">
        <w:rPr>
          <w:rFonts w:ascii="Arial" w:hAnsi="Arial" w:cs="Arial"/>
          <w:sz w:val="18"/>
          <w:szCs w:val="18"/>
        </w:rPr>
        <w:t xml:space="preserve"> and significant accounting policies</w:t>
      </w:r>
    </w:p>
    <w:p w14:paraId="5703C2C9" w14:textId="77777777" w:rsidR="009562F9" w:rsidRPr="00361EC3" w:rsidRDefault="009562F9" w:rsidP="00361EC3">
      <w:pPr>
        <w:contextualSpacing/>
        <w:rPr>
          <w:rFonts w:ascii="Arial" w:hAnsi="Arial" w:cs="Arial"/>
          <w:sz w:val="18"/>
          <w:szCs w:val="18"/>
        </w:rPr>
      </w:pPr>
    </w:p>
    <w:p w14:paraId="0ECA99FE" w14:textId="62048DD6" w:rsidR="004B6372" w:rsidRDefault="009562F9" w:rsidP="00361EC3">
      <w:pPr>
        <w:contextualSpacing/>
        <w:rPr>
          <w:rFonts w:ascii="Arial" w:hAnsi="Arial" w:cs="Arial"/>
          <w:sz w:val="18"/>
          <w:szCs w:val="18"/>
        </w:rPr>
      </w:pPr>
      <w:r w:rsidRPr="00361EC3">
        <w:rPr>
          <w:rFonts w:ascii="Arial" w:hAnsi="Arial" w:cs="Arial"/>
          <w:sz w:val="18"/>
          <w:szCs w:val="18"/>
        </w:rPr>
        <w:t>Preparing financial statements requires management to make estimates and assumptions that affect the reported results. The estimates are based on historical experience and other assumptions believed to be reasonable under the circumstances. Critical accounting policies are disclosed in the annual financial statement</w:t>
      </w:r>
      <w:r w:rsidR="001E4F12" w:rsidRPr="00361EC3">
        <w:rPr>
          <w:rFonts w:ascii="Arial" w:hAnsi="Arial" w:cs="Arial"/>
          <w:sz w:val="18"/>
          <w:szCs w:val="18"/>
        </w:rPr>
        <w:t>s</w:t>
      </w:r>
      <w:r w:rsidR="008B0F5F">
        <w:rPr>
          <w:rFonts w:ascii="Arial" w:hAnsi="Arial" w:cs="Arial"/>
          <w:sz w:val="18"/>
          <w:szCs w:val="18"/>
        </w:rPr>
        <w:t xml:space="preserve"> for the years ended September 30, 2021 and 2020</w:t>
      </w:r>
      <w:r w:rsidR="00000DA7">
        <w:rPr>
          <w:rFonts w:ascii="Arial" w:hAnsi="Arial" w:cs="Arial"/>
          <w:sz w:val="18"/>
          <w:szCs w:val="18"/>
        </w:rPr>
        <w:t>.</w:t>
      </w:r>
    </w:p>
    <w:p w14:paraId="72733A15" w14:textId="77777777" w:rsidR="00000DA7" w:rsidRPr="00361EC3" w:rsidRDefault="00000DA7" w:rsidP="00361EC3">
      <w:pPr>
        <w:contextualSpacing/>
        <w:rPr>
          <w:rFonts w:ascii="Arial" w:hAnsi="Arial" w:cs="Arial"/>
          <w:b/>
          <w:bCs/>
          <w:sz w:val="18"/>
          <w:szCs w:val="18"/>
        </w:rPr>
      </w:pPr>
    </w:p>
    <w:p w14:paraId="42866019" w14:textId="238D0110" w:rsidR="009562F9" w:rsidRPr="00361EC3" w:rsidRDefault="009562F9" w:rsidP="00361EC3">
      <w:pPr>
        <w:pStyle w:val="Heading1"/>
        <w:ind w:left="0"/>
        <w:contextualSpacing/>
        <w:rPr>
          <w:rFonts w:ascii="Arial" w:hAnsi="Arial" w:cs="Arial"/>
          <w:sz w:val="18"/>
          <w:szCs w:val="18"/>
        </w:rPr>
      </w:pPr>
      <w:r w:rsidRPr="00361EC3">
        <w:rPr>
          <w:rFonts w:ascii="Arial" w:hAnsi="Arial" w:cs="Arial"/>
          <w:sz w:val="18"/>
          <w:szCs w:val="18"/>
        </w:rPr>
        <w:t xml:space="preserve">Transactions between </w:t>
      </w:r>
      <w:r w:rsidR="007646FA" w:rsidRPr="00361EC3">
        <w:rPr>
          <w:rFonts w:ascii="Arial" w:hAnsi="Arial" w:cs="Arial"/>
          <w:sz w:val="18"/>
          <w:szCs w:val="18"/>
        </w:rPr>
        <w:t>r</w:t>
      </w:r>
      <w:r w:rsidRPr="00361EC3">
        <w:rPr>
          <w:rFonts w:ascii="Arial" w:hAnsi="Arial" w:cs="Arial"/>
          <w:sz w:val="18"/>
          <w:szCs w:val="18"/>
        </w:rPr>
        <w:t xml:space="preserve">elated </w:t>
      </w:r>
      <w:r w:rsidR="007646FA" w:rsidRPr="00361EC3">
        <w:rPr>
          <w:rFonts w:ascii="Arial" w:hAnsi="Arial" w:cs="Arial"/>
          <w:sz w:val="18"/>
          <w:szCs w:val="18"/>
        </w:rPr>
        <w:t>p</w:t>
      </w:r>
      <w:r w:rsidRPr="00361EC3">
        <w:rPr>
          <w:rFonts w:ascii="Arial" w:hAnsi="Arial" w:cs="Arial"/>
          <w:sz w:val="18"/>
          <w:szCs w:val="18"/>
        </w:rPr>
        <w:t xml:space="preserve">arties </w:t>
      </w:r>
    </w:p>
    <w:p w14:paraId="777C23A7" w14:textId="77777777" w:rsidR="009562F9" w:rsidRPr="00361EC3" w:rsidRDefault="009562F9" w:rsidP="00361EC3">
      <w:pPr>
        <w:contextualSpacing/>
        <w:rPr>
          <w:rFonts w:ascii="Arial" w:hAnsi="Arial" w:cs="Arial"/>
          <w:sz w:val="18"/>
          <w:szCs w:val="18"/>
        </w:rPr>
      </w:pPr>
    </w:p>
    <w:p w14:paraId="3C3ACDF1" w14:textId="14B2D5C5" w:rsidR="00F41D70" w:rsidRPr="00361EC3" w:rsidRDefault="00F41D70" w:rsidP="00361EC3">
      <w:pPr>
        <w:contextualSpacing/>
        <w:rPr>
          <w:rFonts w:ascii="Arial" w:hAnsi="Arial" w:cs="Arial"/>
          <w:sz w:val="18"/>
          <w:szCs w:val="18"/>
        </w:rPr>
      </w:pPr>
      <w:r w:rsidRPr="00361EC3">
        <w:rPr>
          <w:rFonts w:ascii="Arial" w:hAnsi="Arial" w:cs="Arial"/>
          <w:sz w:val="18"/>
          <w:szCs w:val="18"/>
        </w:rPr>
        <w:t xml:space="preserve">Key management personnel include those persons having authority and responsibility for planning, </w:t>
      </w:r>
      <w:proofErr w:type="gramStart"/>
      <w:r w:rsidRPr="00361EC3">
        <w:rPr>
          <w:rFonts w:ascii="Arial" w:hAnsi="Arial" w:cs="Arial"/>
          <w:sz w:val="18"/>
          <w:szCs w:val="18"/>
        </w:rPr>
        <w:t>directing</w:t>
      </w:r>
      <w:proofErr w:type="gramEnd"/>
      <w:r w:rsidRPr="00361EC3">
        <w:rPr>
          <w:rFonts w:ascii="Arial" w:hAnsi="Arial" w:cs="Arial"/>
          <w:sz w:val="18"/>
          <w:szCs w:val="18"/>
        </w:rPr>
        <w:t xml:space="preserve"> and controlling the activities of the Company as a whole. The Company has determined that key management personnel consist of executive and non-executive members of the Company’s Board of Directors and Corporate Officers</w:t>
      </w:r>
      <w:r w:rsidR="008A64B8" w:rsidRPr="00361EC3">
        <w:rPr>
          <w:rFonts w:ascii="Arial" w:hAnsi="Arial" w:cs="Arial"/>
          <w:sz w:val="18"/>
          <w:szCs w:val="18"/>
        </w:rPr>
        <w:t>.</w:t>
      </w:r>
    </w:p>
    <w:p w14:paraId="36FB6441" w14:textId="77777777" w:rsidR="00F41D70" w:rsidRPr="00361EC3" w:rsidRDefault="00F41D70" w:rsidP="00361EC3">
      <w:pPr>
        <w:contextualSpacing/>
        <w:rPr>
          <w:rFonts w:ascii="Arial" w:hAnsi="Arial" w:cs="Arial"/>
          <w:sz w:val="18"/>
          <w:szCs w:val="18"/>
        </w:rPr>
      </w:pPr>
    </w:p>
    <w:p w14:paraId="6541D2F3" w14:textId="4BA1C514" w:rsidR="00F41D70" w:rsidRPr="00361EC3" w:rsidRDefault="00F41D70" w:rsidP="00361EC3">
      <w:pPr>
        <w:contextualSpacing/>
        <w:rPr>
          <w:rFonts w:ascii="Arial" w:hAnsi="Arial" w:cs="Arial"/>
          <w:sz w:val="18"/>
          <w:szCs w:val="18"/>
        </w:rPr>
      </w:pPr>
      <w:r w:rsidRPr="00361EC3">
        <w:rPr>
          <w:rFonts w:ascii="Arial" w:hAnsi="Arial" w:cs="Arial"/>
          <w:sz w:val="18"/>
          <w:szCs w:val="18"/>
        </w:rPr>
        <w:t xml:space="preserve">During </w:t>
      </w:r>
      <w:r w:rsidR="00C404F1" w:rsidRPr="00C404F1">
        <w:rPr>
          <w:rFonts w:ascii="Arial" w:hAnsi="Arial" w:cs="Arial"/>
          <w:sz w:val="18"/>
          <w:szCs w:val="18"/>
        </w:rPr>
        <w:t xml:space="preserve">the </w:t>
      </w:r>
      <w:r w:rsidR="00033CFB">
        <w:rPr>
          <w:rFonts w:ascii="Arial" w:hAnsi="Arial" w:cs="Arial"/>
          <w:sz w:val="18"/>
          <w:szCs w:val="18"/>
        </w:rPr>
        <w:t xml:space="preserve">three and </w:t>
      </w:r>
      <w:r w:rsidR="00C404F1" w:rsidRPr="00C404F1">
        <w:rPr>
          <w:rFonts w:ascii="Arial" w:hAnsi="Arial" w:cs="Arial"/>
          <w:sz w:val="18"/>
          <w:szCs w:val="18"/>
        </w:rPr>
        <w:t>six months ended March 31, 2022 and 2021</w:t>
      </w:r>
      <w:r w:rsidRPr="00361EC3">
        <w:rPr>
          <w:rFonts w:ascii="Arial" w:hAnsi="Arial" w:cs="Arial"/>
          <w:sz w:val="18"/>
          <w:szCs w:val="18"/>
        </w:rPr>
        <w:t xml:space="preserve">, the Company </w:t>
      </w:r>
      <w:r w:rsidR="00251E13">
        <w:rPr>
          <w:rFonts w:ascii="Arial" w:hAnsi="Arial" w:cs="Arial"/>
          <w:sz w:val="18"/>
          <w:szCs w:val="18"/>
        </w:rPr>
        <w:t>incurred the following</w:t>
      </w:r>
      <w:r w:rsidR="002669A4">
        <w:rPr>
          <w:rFonts w:ascii="Arial" w:hAnsi="Arial" w:cs="Arial"/>
          <w:sz w:val="18"/>
          <w:szCs w:val="18"/>
        </w:rPr>
        <w:t xml:space="preserve"> expenses</w:t>
      </w:r>
      <w:r w:rsidRPr="00361EC3">
        <w:rPr>
          <w:rFonts w:ascii="Arial" w:hAnsi="Arial" w:cs="Arial"/>
          <w:sz w:val="18"/>
          <w:szCs w:val="18"/>
        </w:rPr>
        <w:t xml:space="preserve"> in the ordinary course of business with related part</w:t>
      </w:r>
      <w:r w:rsidR="002669A4">
        <w:rPr>
          <w:rFonts w:ascii="Arial" w:hAnsi="Arial" w:cs="Arial"/>
          <w:sz w:val="18"/>
          <w:szCs w:val="18"/>
        </w:rPr>
        <w:t>ies</w:t>
      </w:r>
      <w:r w:rsidRPr="00361EC3">
        <w:rPr>
          <w:rFonts w:ascii="Arial" w:hAnsi="Arial" w:cs="Arial"/>
          <w:sz w:val="18"/>
          <w:szCs w:val="18"/>
        </w:rPr>
        <w:t xml:space="preserve"> that </w:t>
      </w:r>
      <w:r w:rsidR="002669A4">
        <w:rPr>
          <w:rFonts w:ascii="Arial" w:hAnsi="Arial" w:cs="Arial"/>
          <w:sz w:val="18"/>
          <w:szCs w:val="18"/>
        </w:rPr>
        <w:t xml:space="preserve">are </w:t>
      </w:r>
      <w:r w:rsidRPr="00361EC3">
        <w:rPr>
          <w:rFonts w:ascii="Arial" w:hAnsi="Arial" w:cs="Arial"/>
          <w:sz w:val="18"/>
          <w:szCs w:val="18"/>
        </w:rPr>
        <w:t>not a subsidiary of the Company.</w:t>
      </w:r>
    </w:p>
    <w:p w14:paraId="29469D1B" w14:textId="77777777" w:rsidR="00F41D70" w:rsidRPr="00361EC3" w:rsidRDefault="00F41D70" w:rsidP="00361EC3">
      <w:pPr>
        <w:ind w:left="2" w:right="11"/>
        <w:contextualSpacing/>
        <w:rPr>
          <w:rFonts w:ascii="Arial" w:hAnsi="Arial" w:cs="Arial"/>
          <w:sz w:val="18"/>
          <w:szCs w:val="18"/>
          <w:highlight w:val="yellow"/>
        </w:rPr>
      </w:pPr>
    </w:p>
    <w:tbl>
      <w:tblPr>
        <w:tblW w:w="10084" w:type="dxa"/>
        <w:tblLook w:val="04A0" w:firstRow="1" w:lastRow="0" w:firstColumn="1" w:lastColumn="0" w:noHBand="0" w:noVBand="1"/>
      </w:tblPr>
      <w:tblGrid>
        <w:gridCol w:w="2807"/>
        <w:gridCol w:w="2023"/>
        <w:gridCol w:w="1760"/>
        <w:gridCol w:w="1747"/>
        <w:gridCol w:w="1747"/>
      </w:tblGrid>
      <w:tr w:rsidR="00033CFB" w:rsidRPr="00737E89" w14:paraId="5AEC7BC1" w14:textId="77777777" w:rsidTr="00C66843">
        <w:trPr>
          <w:trHeight w:val="24"/>
        </w:trPr>
        <w:tc>
          <w:tcPr>
            <w:tcW w:w="0" w:type="auto"/>
            <w:tcBorders>
              <w:top w:val="single" w:sz="4" w:space="0" w:color="auto"/>
            </w:tcBorders>
            <w:shd w:val="clear" w:color="auto" w:fill="auto"/>
            <w:vAlign w:val="bottom"/>
            <w:hideMark/>
          </w:tcPr>
          <w:p w14:paraId="745FA6AE" w14:textId="77777777" w:rsidR="00033CFB" w:rsidRPr="00944828" w:rsidRDefault="00033CFB" w:rsidP="00C66843">
            <w:pPr>
              <w:contextualSpacing/>
              <w:jc w:val="left"/>
              <w:rPr>
                <w:rFonts w:ascii="Arial" w:hAnsi="Arial" w:cs="Arial"/>
                <w:b/>
                <w:bCs/>
                <w:sz w:val="18"/>
                <w:szCs w:val="18"/>
                <w:lang w:val="en-US"/>
              </w:rPr>
            </w:pPr>
            <w:r w:rsidRPr="00944828">
              <w:rPr>
                <w:rFonts w:ascii="Arial" w:hAnsi="Arial" w:cs="Arial"/>
                <w:b/>
                <w:bCs/>
                <w:sz w:val="18"/>
                <w:szCs w:val="18"/>
                <w:lang w:val="en-US"/>
              </w:rPr>
              <w:t> </w:t>
            </w:r>
          </w:p>
        </w:tc>
        <w:tc>
          <w:tcPr>
            <w:tcW w:w="0" w:type="auto"/>
            <w:gridSpan w:val="2"/>
            <w:tcBorders>
              <w:top w:val="single" w:sz="4" w:space="0" w:color="auto"/>
            </w:tcBorders>
            <w:vAlign w:val="bottom"/>
          </w:tcPr>
          <w:p w14:paraId="0286C1D8" w14:textId="72A77CCC" w:rsidR="00033CFB" w:rsidRPr="003C38EF" w:rsidRDefault="00033CFB" w:rsidP="00C66843">
            <w:pPr>
              <w:contextualSpacing/>
              <w:jc w:val="right"/>
              <w:rPr>
                <w:rFonts w:ascii="Arial" w:hAnsi="Arial" w:cs="Arial"/>
                <w:b/>
                <w:bCs/>
                <w:sz w:val="18"/>
                <w:szCs w:val="18"/>
                <w:lang w:val="en-US"/>
              </w:rPr>
            </w:pPr>
            <w:r w:rsidRPr="003C38EF">
              <w:rPr>
                <w:rFonts w:ascii="Arial" w:hAnsi="Arial" w:cs="Arial"/>
                <w:b/>
                <w:bCs/>
                <w:sz w:val="18"/>
                <w:szCs w:val="18"/>
                <w:lang w:val="en-US"/>
              </w:rPr>
              <w:t>Three months ended March 31,</w:t>
            </w:r>
          </w:p>
        </w:tc>
        <w:tc>
          <w:tcPr>
            <w:tcW w:w="0" w:type="auto"/>
            <w:gridSpan w:val="2"/>
            <w:tcBorders>
              <w:top w:val="single" w:sz="4" w:space="0" w:color="auto"/>
            </w:tcBorders>
            <w:shd w:val="clear" w:color="auto" w:fill="auto"/>
            <w:vAlign w:val="bottom"/>
            <w:hideMark/>
          </w:tcPr>
          <w:p w14:paraId="19D6A7B5" w14:textId="0C967157" w:rsidR="00033CFB" w:rsidRPr="003C38EF" w:rsidRDefault="00033CFB" w:rsidP="00C66843">
            <w:pPr>
              <w:contextualSpacing/>
              <w:jc w:val="right"/>
              <w:rPr>
                <w:rFonts w:ascii="Arial" w:hAnsi="Arial" w:cs="Arial"/>
                <w:b/>
                <w:bCs/>
                <w:sz w:val="18"/>
                <w:szCs w:val="18"/>
                <w:lang w:val="en-US"/>
              </w:rPr>
            </w:pPr>
            <w:r w:rsidRPr="003C38EF">
              <w:rPr>
                <w:rFonts w:ascii="Arial" w:hAnsi="Arial" w:cs="Arial"/>
                <w:b/>
                <w:bCs/>
                <w:sz w:val="18"/>
                <w:szCs w:val="18"/>
                <w:lang w:val="en-US"/>
              </w:rPr>
              <w:t>Six months ended March 31,</w:t>
            </w:r>
          </w:p>
        </w:tc>
      </w:tr>
      <w:tr w:rsidR="00033CFB" w:rsidRPr="00737E89" w14:paraId="5CBBF0CD" w14:textId="77777777" w:rsidTr="00C66843">
        <w:trPr>
          <w:trHeight w:val="24"/>
        </w:trPr>
        <w:tc>
          <w:tcPr>
            <w:tcW w:w="0" w:type="auto"/>
            <w:tcBorders>
              <w:bottom w:val="single" w:sz="8" w:space="0" w:color="auto"/>
            </w:tcBorders>
            <w:shd w:val="clear" w:color="auto" w:fill="auto"/>
            <w:vAlign w:val="bottom"/>
            <w:hideMark/>
          </w:tcPr>
          <w:p w14:paraId="3D549360" w14:textId="77777777" w:rsidR="00033CFB" w:rsidRPr="00944828" w:rsidRDefault="00033CFB" w:rsidP="00C66843">
            <w:pPr>
              <w:contextualSpacing/>
              <w:jc w:val="left"/>
              <w:rPr>
                <w:rFonts w:ascii="Arial" w:hAnsi="Arial" w:cs="Arial"/>
                <w:sz w:val="18"/>
                <w:szCs w:val="18"/>
                <w:lang w:val="en-US"/>
              </w:rPr>
            </w:pPr>
          </w:p>
        </w:tc>
        <w:tc>
          <w:tcPr>
            <w:tcW w:w="0" w:type="auto"/>
            <w:tcBorders>
              <w:bottom w:val="single" w:sz="8" w:space="0" w:color="auto"/>
            </w:tcBorders>
            <w:shd w:val="clear" w:color="auto" w:fill="auto"/>
            <w:vAlign w:val="bottom"/>
            <w:hideMark/>
          </w:tcPr>
          <w:p w14:paraId="145556C4" w14:textId="1AD614DE" w:rsidR="00033CFB" w:rsidRPr="00944828" w:rsidRDefault="00033CFB" w:rsidP="00C66843">
            <w:pPr>
              <w:contextualSpacing/>
              <w:jc w:val="right"/>
              <w:rPr>
                <w:rFonts w:ascii="Arial" w:hAnsi="Arial" w:cs="Arial"/>
                <w:b/>
                <w:bCs/>
                <w:sz w:val="18"/>
                <w:szCs w:val="18"/>
                <w:lang w:val="en-US"/>
              </w:rPr>
            </w:pPr>
            <w:r w:rsidRPr="00944828">
              <w:rPr>
                <w:rFonts w:ascii="Arial" w:hAnsi="Arial" w:cs="Arial"/>
                <w:b/>
                <w:bCs/>
                <w:sz w:val="18"/>
                <w:szCs w:val="18"/>
                <w:lang w:val="en-US"/>
              </w:rPr>
              <w:t>2022</w:t>
            </w:r>
          </w:p>
        </w:tc>
        <w:tc>
          <w:tcPr>
            <w:tcW w:w="0" w:type="auto"/>
            <w:tcBorders>
              <w:bottom w:val="single" w:sz="8" w:space="0" w:color="auto"/>
            </w:tcBorders>
            <w:vAlign w:val="bottom"/>
          </w:tcPr>
          <w:p w14:paraId="5B234E93" w14:textId="5988A5DC" w:rsidR="00033CFB" w:rsidRPr="00944828" w:rsidRDefault="0039590D" w:rsidP="00C66843">
            <w:pPr>
              <w:contextualSpacing/>
              <w:jc w:val="right"/>
              <w:rPr>
                <w:rFonts w:ascii="Arial" w:hAnsi="Arial" w:cs="Arial"/>
                <w:sz w:val="18"/>
                <w:szCs w:val="18"/>
                <w:lang w:val="en-US"/>
              </w:rPr>
            </w:pPr>
            <w:r w:rsidRPr="00944828">
              <w:rPr>
                <w:rFonts w:ascii="Arial" w:hAnsi="Arial" w:cs="Arial"/>
                <w:sz w:val="18"/>
                <w:szCs w:val="18"/>
                <w:lang w:val="en-US"/>
              </w:rPr>
              <w:t>2021</w:t>
            </w:r>
          </w:p>
        </w:tc>
        <w:tc>
          <w:tcPr>
            <w:tcW w:w="0" w:type="auto"/>
            <w:tcBorders>
              <w:bottom w:val="single" w:sz="8" w:space="0" w:color="auto"/>
            </w:tcBorders>
            <w:vAlign w:val="bottom"/>
          </w:tcPr>
          <w:p w14:paraId="56FF91DF" w14:textId="42AB9626" w:rsidR="00033CFB" w:rsidRPr="003C38EF" w:rsidRDefault="0039590D" w:rsidP="00C66843">
            <w:pPr>
              <w:contextualSpacing/>
              <w:jc w:val="right"/>
              <w:rPr>
                <w:rFonts w:ascii="Arial" w:hAnsi="Arial" w:cs="Arial"/>
                <w:b/>
                <w:bCs/>
                <w:sz w:val="18"/>
                <w:szCs w:val="18"/>
                <w:lang w:val="en-US"/>
              </w:rPr>
            </w:pPr>
            <w:r w:rsidRPr="003C38EF">
              <w:rPr>
                <w:rFonts w:ascii="Arial" w:hAnsi="Arial" w:cs="Arial"/>
                <w:b/>
                <w:bCs/>
                <w:sz w:val="18"/>
                <w:szCs w:val="18"/>
                <w:lang w:val="en-US"/>
              </w:rPr>
              <w:t>2022</w:t>
            </w:r>
          </w:p>
        </w:tc>
        <w:tc>
          <w:tcPr>
            <w:tcW w:w="0" w:type="auto"/>
            <w:tcBorders>
              <w:bottom w:val="single" w:sz="8" w:space="0" w:color="auto"/>
            </w:tcBorders>
            <w:shd w:val="clear" w:color="auto" w:fill="auto"/>
            <w:vAlign w:val="bottom"/>
            <w:hideMark/>
          </w:tcPr>
          <w:p w14:paraId="28EE6596" w14:textId="6AC30765" w:rsidR="00033CFB" w:rsidRPr="00944828" w:rsidRDefault="00033CFB" w:rsidP="00C66843">
            <w:pPr>
              <w:contextualSpacing/>
              <w:jc w:val="right"/>
              <w:rPr>
                <w:rFonts w:ascii="Arial" w:hAnsi="Arial" w:cs="Arial"/>
                <w:sz w:val="18"/>
                <w:szCs w:val="18"/>
                <w:lang w:val="en-US"/>
              </w:rPr>
            </w:pPr>
            <w:r w:rsidRPr="00944828">
              <w:rPr>
                <w:rFonts w:ascii="Arial" w:hAnsi="Arial" w:cs="Arial"/>
                <w:sz w:val="18"/>
                <w:szCs w:val="18"/>
                <w:lang w:val="en-US"/>
              </w:rPr>
              <w:t>2021</w:t>
            </w:r>
          </w:p>
        </w:tc>
      </w:tr>
      <w:tr w:rsidR="00033CFB" w:rsidRPr="00737E89" w14:paraId="4377F33A" w14:textId="77777777" w:rsidTr="00C66843">
        <w:trPr>
          <w:trHeight w:val="24"/>
        </w:trPr>
        <w:tc>
          <w:tcPr>
            <w:tcW w:w="0" w:type="auto"/>
            <w:tcBorders>
              <w:top w:val="single" w:sz="8" w:space="0" w:color="auto"/>
            </w:tcBorders>
            <w:shd w:val="clear" w:color="auto" w:fill="auto"/>
            <w:vAlign w:val="bottom"/>
            <w:hideMark/>
          </w:tcPr>
          <w:p w14:paraId="3111C2FD" w14:textId="77777777" w:rsidR="00033CFB" w:rsidRPr="00944828" w:rsidRDefault="00033CFB" w:rsidP="00C66843">
            <w:pPr>
              <w:contextualSpacing/>
              <w:jc w:val="left"/>
              <w:rPr>
                <w:rFonts w:ascii="Arial" w:hAnsi="Arial" w:cs="Arial"/>
                <w:sz w:val="18"/>
                <w:szCs w:val="18"/>
                <w:lang w:val="en-US"/>
              </w:rPr>
            </w:pPr>
            <w:r w:rsidRPr="00944828">
              <w:rPr>
                <w:rFonts w:ascii="Arial" w:hAnsi="Arial" w:cs="Arial"/>
                <w:sz w:val="18"/>
                <w:szCs w:val="18"/>
                <w:lang w:val="en-US"/>
              </w:rPr>
              <w:t> </w:t>
            </w:r>
          </w:p>
        </w:tc>
        <w:tc>
          <w:tcPr>
            <w:tcW w:w="0" w:type="auto"/>
            <w:tcBorders>
              <w:top w:val="single" w:sz="8" w:space="0" w:color="auto"/>
            </w:tcBorders>
            <w:shd w:val="clear" w:color="auto" w:fill="auto"/>
            <w:vAlign w:val="bottom"/>
            <w:hideMark/>
          </w:tcPr>
          <w:p w14:paraId="30F358FD" w14:textId="77777777" w:rsidR="00033CFB" w:rsidRPr="00944828" w:rsidRDefault="00033CFB" w:rsidP="00C66843">
            <w:pPr>
              <w:contextualSpacing/>
              <w:jc w:val="right"/>
              <w:rPr>
                <w:rFonts w:ascii="Arial" w:hAnsi="Arial" w:cs="Arial"/>
                <w:b/>
                <w:bCs/>
                <w:sz w:val="18"/>
                <w:szCs w:val="18"/>
                <w:highlight w:val="yellow"/>
                <w:lang w:val="en-US"/>
              </w:rPr>
            </w:pPr>
            <w:r w:rsidRPr="00944828">
              <w:rPr>
                <w:rFonts w:ascii="Arial" w:hAnsi="Arial" w:cs="Arial"/>
                <w:b/>
                <w:bCs/>
                <w:sz w:val="18"/>
                <w:szCs w:val="18"/>
                <w:lang w:val="en-US"/>
              </w:rPr>
              <w:t>$</w:t>
            </w:r>
          </w:p>
        </w:tc>
        <w:tc>
          <w:tcPr>
            <w:tcW w:w="0" w:type="auto"/>
            <w:tcBorders>
              <w:top w:val="single" w:sz="8" w:space="0" w:color="auto"/>
            </w:tcBorders>
            <w:vAlign w:val="bottom"/>
          </w:tcPr>
          <w:p w14:paraId="5FC66CC0" w14:textId="43BF2A39" w:rsidR="00033CFB" w:rsidRPr="00944828" w:rsidRDefault="003C38EF" w:rsidP="00C66843">
            <w:pPr>
              <w:contextualSpacing/>
              <w:jc w:val="right"/>
              <w:rPr>
                <w:rFonts w:ascii="Arial" w:hAnsi="Arial" w:cs="Arial"/>
                <w:sz w:val="18"/>
                <w:szCs w:val="18"/>
                <w:lang w:val="en-US"/>
              </w:rPr>
            </w:pPr>
            <w:r>
              <w:rPr>
                <w:rFonts w:ascii="Arial" w:hAnsi="Arial" w:cs="Arial"/>
                <w:sz w:val="18"/>
                <w:szCs w:val="18"/>
                <w:lang w:val="en-US"/>
              </w:rPr>
              <w:t>$</w:t>
            </w:r>
          </w:p>
        </w:tc>
        <w:tc>
          <w:tcPr>
            <w:tcW w:w="0" w:type="auto"/>
            <w:tcBorders>
              <w:top w:val="single" w:sz="8" w:space="0" w:color="auto"/>
            </w:tcBorders>
            <w:vAlign w:val="bottom"/>
          </w:tcPr>
          <w:p w14:paraId="7E2DC5A6" w14:textId="17C3B310" w:rsidR="00033CFB" w:rsidRPr="003C38EF" w:rsidRDefault="003C38EF" w:rsidP="00C66843">
            <w:pPr>
              <w:contextualSpacing/>
              <w:jc w:val="right"/>
              <w:rPr>
                <w:rFonts w:ascii="Arial" w:hAnsi="Arial" w:cs="Arial"/>
                <w:b/>
                <w:bCs/>
                <w:sz w:val="18"/>
                <w:szCs w:val="18"/>
                <w:lang w:val="en-US"/>
              </w:rPr>
            </w:pPr>
            <w:r w:rsidRPr="003C38EF">
              <w:rPr>
                <w:rFonts w:ascii="Arial" w:hAnsi="Arial" w:cs="Arial"/>
                <w:b/>
                <w:bCs/>
                <w:sz w:val="18"/>
                <w:szCs w:val="18"/>
                <w:lang w:val="en-US"/>
              </w:rPr>
              <w:t>$</w:t>
            </w:r>
          </w:p>
        </w:tc>
        <w:tc>
          <w:tcPr>
            <w:tcW w:w="0" w:type="auto"/>
            <w:tcBorders>
              <w:top w:val="single" w:sz="8" w:space="0" w:color="auto"/>
            </w:tcBorders>
            <w:shd w:val="clear" w:color="auto" w:fill="auto"/>
            <w:vAlign w:val="bottom"/>
            <w:hideMark/>
          </w:tcPr>
          <w:p w14:paraId="02A9B456" w14:textId="07485D3E" w:rsidR="00033CFB" w:rsidRPr="00944828" w:rsidRDefault="00033CFB" w:rsidP="00C66843">
            <w:pPr>
              <w:contextualSpacing/>
              <w:jc w:val="right"/>
              <w:rPr>
                <w:rFonts w:ascii="Arial" w:hAnsi="Arial" w:cs="Arial"/>
                <w:sz w:val="18"/>
                <w:szCs w:val="18"/>
                <w:lang w:val="en-US"/>
              </w:rPr>
            </w:pPr>
            <w:r w:rsidRPr="00944828">
              <w:rPr>
                <w:rFonts w:ascii="Arial" w:hAnsi="Arial" w:cs="Arial"/>
                <w:sz w:val="18"/>
                <w:szCs w:val="18"/>
                <w:lang w:val="en-US"/>
              </w:rPr>
              <w:t>$</w:t>
            </w:r>
          </w:p>
        </w:tc>
      </w:tr>
      <w:tr w:rsidR="00E3548C" w:rsidRPr="00737E89" w14:paraId="6CE5A4F0" w14:textId="77777777" w:rsidTr="00C66843">
        <w:trPr>
          <w:trHeight w:val="24"/>
        </w:trPr>
        <w:tc>
          <w:tcPr>
            <w:tcW w:w="0" w:type="auto"/>
            <w:shd w:val="clear" w:color="auto" w:fill="auto"/>
            <w:vAlign w:val="bottom"/>
            <w:hideMark/>
          </w:tcPr>
          <w:p w14:paraId="6BBAC373" w14:textId="1185E74E" w:rsidR="00E3548C" w:rsidRPr="00944828" w:rsidRDefault="00E3548C" w:rsidP="00C66843">
            <w:pPr>
              <w:contextualSpacing/>
              <w:jc w:val="left"/>
              <w:rPr>
                <w:rFonts w:ascii="Arial" w:hAnsi="Arial" w:cs="Arial"/>
                <w:sz w:val="18"/>
                <w:szCs w:val="18"/>
                <w:lang w:val="en-US"/>
              </w:rPr>
            </w:pPr>
            <w:r w:rsidRPr="00944828">
              <w:rPr>
                <w:rFonts w:ascii="Arial" w:hAnsi="Arial" w:cs="Arial"/>
                <w:sz w:val="18"/>
                <w:szCs w:val="18"/>
                <w:lang w:val="en-US"/>
              </w:rPr>
              <w:t xml:space="preserve"> </w:t>
            </w:r>
            <w:r w:rsidR="00C66843">
              <w:rPr>
                <w:rFonts w:ascii="Arial" w:hAnsi="Arial" w:cs="Arial"/>
                <w:sz w:val="18"/>
                <w:szCs w:val="18"/>
                <w:lang w:val="en-US"/>
              </w:rPr>
              <w:t xml:space="preserve">Management </w:t>
            </w:r>
            <w:r w:rsidRPr="00944828">
              <w:rPr>
                <w:rFonts w:ascii="Arial" w:hAnsi="Arial" w:cs="Arial"/>
                <w:sz w:val="18"/>
                <w:szCs w:val="18"/>
                <w:lang w:val="en-US"/>
              </w:rPr>
              <w:t xml:space="preserve">fees </w:t>
            </w:r>
          </w:p>
        </w:tc>
        <w:tc>
          <w:tcPr>
            <w:tcW w:w="0" w:type="auto"/>
            <w:shd w:val="clear" w:color="auto" w:fill="auto"/>
            <w:vAlign w:val="bottom"/>
          </w:tcPr>
          <w:p w14:paraId="15C4E287" w14:textId="51A5298A" w:rsidR="00E3548C" w:rsidRPr="00944828" w:rsidRDefault="00C36AE1" w:rsidP="00C66843">
            <w:pPr>
              <w:contextualSpacing/>
              <w:jc w:val="right"/>
              <w:rPr>
                <w:rFonts w:ascii="Arial" w:hAnsi="Arial" w:cs="Arial"/>
                <w:b/>
                <w:bCs/>
                <w:sz w:val="18"/>
                <w:szCs w:val="18"/>
                <w:highlight w:val="yellow"/>
                <w:lang w:val="en-US"/>
              </w:rPr>
            </w:pPr>
            <w:r w:rsidRPr="00C36AE1">
              <w:rPr>
                <w:rFonts w:ascii="Arial" w:hAnsi="Arial" w:cs="Arial"/>
                <w:b/>
                <w:bCs/>
                <w:sz w:val="18"/>
                <w:szCs w:val="18"/>
                <w:lang w:val="en-US"/>
              </w:rPr>
              <w:t>23,548</w:t>
            </w:r>
          </w:p>
        </w:tc>
        <w:tc>
          <w:tcPr>
            <w:tcW w:w="0" w:type="auto"/>
            <w:vAlign w:val="bottom"/>
          </w:tcPr>
          <w:p w14:paraId="5A1B89EB" w14:textId="587B73D8" w:rsidR="00E3548C" w:rsidRPr="00944828" w:rsidRDefault="00E3548C" w:rsidP="00C66843">
            <w:pPr>
              <w:contextualSpacing/>
              <w:jc w:val="right"/>
              <w:rPr>
                <w:rFonts w:ascii="Arial" w:hAnsi="Arial" w:cs="Arial"/>
                <w:sz w:val="18"/>
                <w:szCs w:val="18"/>
                <w:lang w:val="en-US"/>
              </w:rPr>
            </w:pPr>
            <w:r w:rsidRPr="00944828">
              <w:rPr>
                <w:rFonts w:ascii="Arial" w:hAnsi="Arial" w:cs="Arial"/>
                <w:sz w:val="18"/>
                <w:szCs w:val="18"/>
              </w:rPr>
              <w:t>5,901</w:t>
            </w:r>
          </w:p>
        </w:tc>
        <w:tc>
          <w:tcPr>
            <w:tcW w:w="0" w:type="auto"/>
            <w:vAlign w:val="bottom"/>
          </w:tcPr>
          <w:p w14:paraId="7775A134" w14:textId="1BF7B804" w:rsidR="00E3548C" w:rsidRPr="003C38EF" w:rsidRDefault="00C36AE1" w:rsidP="00C66843">
            <w:pPr>
              <w:contextualSpacing/>
              <w:jc w:val="right"/>
              <w:rPr>
                <w:rFonts w:ascii="Arial" w:hAnsi="Arial" w:cs="Arial"/>
                <w:b/>
                <w:bCs/>
                <w:sz w:val="18"/>
                <w:szCs w:val="18"/>
                <w:lang w:val="en-US"/>
              </w:rPr>
            </w:pPr>
            <w:r w:rsidRPr="003C38EF">
              <w:rPr>
                <w:rFonts w:ascii="Arial" w:hAnsi="Arial" w:cs="Arial"/>
                <w:b/>
                <w:bCs/>
                <w:sz w:val="18"/>
                <w:szCs w:val="18"/>
                <w:lang w:val="en-US"/>
              </w:rPr>
              <w:t>97,297</w:t>
            </w:r>
          </w:p>
        </w:tc>
        <w:tc>
          <w:tcPr>
            <w:tcW w:w="0" w:type="auto"/>
            <w:shd w:val="clear" w:color="auto" w:fill="auto"/>
            <w:vAlign w:val="bottom"/>
            <w:hideMark/>
          </w:tcPr>
          <w:p w14:paraId="3D331CD3" w14:textId="5A2C7AF3" w:rsidR="00E3548C" w:rsidRPr="00944828" w:rsidRDefault="00E3548C" w:rsidP="00C66843">
            <w:pPr>
              <w:contextualSpacing/>
              <w:jc w:val="right"/>
              <w:rPr>
                <w:rFonts w:ascii="Arial" w:hAnsi="Arial" w:cs="Arial"/>
                <w:sz w:val="18"/>
                <w:szCs w:val="18"/>
                <w:lang w:val="en-US"/>
              </w:rPr>
            </w:pPr>
            <w:r w:rsidRPr="00944828">
              <w:rPr>
                <w:rFonts w:ascii="Arial" w:hAnsi="Arial" w:cs="Arial"/>
                <w:sz w:val="18"/>
                <w:szCs w:val="18"/>
                <w:lang w:val="en-US"/>
              </w:rPr>
              <w:t>13,513</w:t>
            </w:r>
          </w:p>
        </w:tc>
      </w:tr>
      <w:tr w:rsidR="00E3548C" w:rsidRPr="00737E89" w14:paraId="23DBD95A" w14:textId="77777777" w:rsidTr="00C66843">
        <w:trPr>
          <w:trHeight w:val="24"/>
        </w:trPr>
        <w:tc>
          <w:tcPr>
            <w:tcW w:w="0" w:type="auto"/>
            <w:tcBorders>
              <w:bottom w:val="single" w:sz="8" w:space="0" w:color="auto"/>
            </w:tcBorders>
            <w:shd w:val="clear" w:color="auto" w:fill="auto"/>
            <w:vAlign w:val="bottom"/>
            <w:hideMark/>
          </w:tcPr>
          <w:p w14:paraId="40F586AB" w14:textId="77777777" w:rsidR="00E3548C" w:rsidRPr="00944828" w:rsidRDefault="00E3548C" w:rsidP="00C66843">
            <w:pPr>
              <w:contextualSpacing/>
              <w:jc w:val="left"/>
              <w:rPr>
                <w:rFonts w:ascii="Arial" w:hAnsi="Arial" w:cs="Arial"/>
                <w:sz w:val="18"/>
                <w:szCs w:val="18"/>
                <w:lang w:val="en-US"/>
              </w:rPr>
            </w:pPr>
            <w:r w:rsidRPr="00944828">
              <w:rPr>
                <w:rFonts w:ascii="Arial" w:hAnsi="Arial" w:cs="Arial"/>
                <w:sz w:val="18"/>
                <w:szCs w:val="18"/>
                <w:lang w:val="en-US"/>
              </w:rPr>
              <w:t xml:space="preserve"> Share-based payments</w:t>
            </w:r>
          </w:p>
        </w:tc>
        <w:tc>
          <w:tcPr>
            <w:tcW w:w="0" w:type="auto"/>
            <w:tcBorders>
              <w:bottom w:val="single" w:sz="8" w:space="0" w:color="auto"/>
            </w:tcBorders>
            <w:shd w:val="clear" w:color="auto" w:fill="auto"/>
            <w:vAlign w:val="bottom"/>
          </w:tcPr>
          <w:p w14:paraId="338357C8" w14:textId="6CEAB120" w:rsidR="00E3548C" w:rsidRPr="00944828" w:rsidRDefault="00C36AE1" w:rsidP="00C66843">
            <w:pPr>
              <w:contextualSpacing/>
              <w:jc w:val="right"/>
              <w:rPr>
                <w:rFonts w:ascii="Arial" w:hAnsi="Arial" w:cs="Arial"/>
                <w:b/>
                <w:bCs/>
                <w:sz w:val="18"/>
                <w:szCs w:val="18"/>
                <w:highlight w:val="yellow"/>
                <w:lang w:val="en-US"/>
              </w:rPr>
            </w:pPr>
            <w:r w:rsidRPr="00C36AE1">
              <w:rPr>
                <w:rFonts w:ascii="Arial" w:hAnsi="Arial" w:cs="Arial"/>
                <w:b/>
                <w:bCs/>
                <w:sz w:val="18"/>
                <w:szCs w:val="18"/>
                <w:lang w:val="en-US"/>
              </w:rPr>
              <w:t>10,950</w:t>
            </w:r>
          </w:p>
        </w:tc>
        <w:tc>
          <w:tcPr>
            <w:tcW w:w="0" w:type="auto"/>
            <w:tcBorders>
              <w:bottom w:val="single" w:sz="8" w:space="0" w:color="auto"/>
            </w:tcBorders>
            <w:vAlign w:val="bottom"/>
          </w:tcPr>
          <w:p w14:paraId="3C77F6A3" w14:textId="1317FB57" w:rsidR="00E3548C" w:rsidRPr="00944828" w:rsidRDefault="00E3548C" w:rsidP="00C66843">
            <w:pPr>
              <w:contextualSpacing/>
              <w:jc w:val="right"/>
              <w:rPr>
                <w:rFonts w:ascii="Arial" w:hAnsi="Arial" w:cs="Arial"/>
                <w:sz w:val="18"/>
                <w:szCs w:val="18"/>
                <w:lang w:val="en-US"/>
              </w:rPr>
            </w:pPr>
            <w:r w:rsidRPr="00944828">
              <w:rPr>
                <w:rFonts w:ascii="Arial" w:hAnsi="Arial" w:cs="Arial"/>
                <w:sz w:val="18"/>
                <w:szCs w:val="18"/>
              </w:rPr>
              <w:t>301</w:t>
            </w:r>
          </w:p>
        </w:tc>
        <w:tc>
          <w:tcPr>
            <w:tcW w:w="0" w:type="auto"/>
            <w:tcBorders>
              <w:bottom w:val="single" w:sz="8" w:space="0" w:color="auto"/>
            </w:tcBorders>
            <w:vAlign w:val="bottom"/>
          </w:tcPr>
          <w:p w14:paraId="4B062574" w14:textId="74D53585" w:rsidR="00E3548C" w:rsidRPr="003C38EF" w:rsidRDefault="00C36AE1" w:rsidP="00C66843">
            <w:pPr>
              <w:contextualSpacing/>
              <w:jc w:val="right"/>
              <w:rPr>
                <w:rFonts w:ascii="Arial" w:hAnsi="Arial" w:cs="Arial"/>
                <w:b/>
                <w:bCs/>
                <w:sz w:val="18"/>
                <w:szCs w:val="18"/>
                <w:lang w:val="en-US"/>
              </w:rPr>
            </w:pPr>
            <w:r w:rsidRPr="003C38EF">
              <w:rPr>
                <w:rFonts w:ascii="Arial" w:hAnsi="Arial" w:cs="Arial"/>
                <w:b/>
                <w:bCs/>
                <w:sz w:val="18"/>
                <w:szCs w:val="18"/>
                <w:lang w:val="en-US"/>
              </w:rPr>
              <w:t>37,336</w:t>
            </w:r>
          </w:p>
        </w:tc>
        <w:tc>
          <w:tcPr>
            <w:tcW w:w="0" w:type="auto"/>
            <w:tcBorders>
              <w:bottom w:val="single" w:sz="8" w:space="0" w:color="auto"/>
            </w:tcBorders>
            <w:shd w:val="clear" w:color="auto" w:fill="auto"/>
            <w:vAlign w:val="bottom"/>
            <w:hideMark/>
          </w:tcPr>
          <w:p w14:paraId="50CB572A" w14:textId="139EB804" w:rsidR="00E3548C" w:rsidRPr="00944828" w:rsidRDefault="00E3548C" w:rsidP="00C66843">
            <w:pPr>
              <w:contextualSpacing/>
              <w:jc w:val="right"/>
              <w:rPr>
                <w:rFonts w:ascii="Arial" w:hAnsi="Arial" w:cs="Arial"/>
                <w:sz w:val="18"/>
                <w:szCs w:val="18"/>
                <w:lang w:val="en-US"/>
              </w:rPr>
            </w:pPr>
            <w:r w:rsidRPr="00944828">
              <w:rPr>
                <w:rFonts w:ascii="Arial" w:hAnsi="Arial" w:cs="Arial"/>
                <w:sz w:val="18"/>
                <w:szCs w:val="18"/>
                <w:lang w:val="en-US"/>
              </w:rPr>
              <w:t>2,301</w:t>
            </w:r>
          </w:p>
        </w:tc>
      </w:tr>
    </w:tbl>
    <w:p w14:paraId="29CD1808" w14:textId="3E7046F9" w:rsidR="00F41D70" w:rsidRPr="00361EC3" w:rsidRDefault="00F41D70" w:rsidP="00361EC3">
      <w:pPr>
        <w:ind w:left="2" w:right="11"/>
        <w:contextualSpacing/>
        <w:rPr>
          <w:rFonts w:ascii="Arial" w:hAnsi="Arial" w:cs="Arial"/>
          <w:sz w:val="18"/>
          <w:szCs w:val="18"/>
          <w:highlight w:val="yellow"/>
        </w:rPr>
      </w:pPr>
    </w:p>
    <w:p w14:paraId="4F8A4D60" w14:textId="6C5CF799" w:rsidR="00EF0F14" w:rsidRDefault="001B13BF" w:rsidP="009E4B85">
      <w:pPr>
        <w:contextualSpacing/>
        <w:rPr>
          <w:rFonts w:ascii="Arial" w:hAnsi="Arial" w:cs="Arial"/>
          <w:sz w:val="18"/>
          <w:szCs w:val="18"/>
        </w:rPr>
      </w:pPr>
      <w:r w:rsidRPr="001B13BF">
        <w:rPr>
          <w:rFonts w:ascii="Arial" w:hAnsi="Arial" w:cs="Arial"/>
          <w:sz w:val="18"/>
          <w:szCs w:val="18"/>
        </w:rPr>
        <w:t xml:space="preserve">As at </w:t>
      </w:r>
      <w:r w:rsidR="009A3C57" w:rsidRPr="009A3C57">
        <w:rPr>
          <w:rFonts w:ascii="Arial" w:hAnsi="Arial" w:cs="Arial"/>
          <w:sz w:val="18"/>
          <w:szCs w:val="18"/>
        </w:rPr>
        <w:t>March 31, 2022</w:t>
      </w:r>
      <w:r w:rsidRPr="001B13BF">
        <w:rPr>
          <w:rFonts w:ascii="Arial" w:hAnsi="Arial" w:cs="Arial"/>
          <w:sz w:val="18"/>
          <w:szCs w:val="18"/>
        </w:rPr>
        <w:t xml:space="preserve">, the Company </w:t>
      </w:r>
      <w:r w:rsidRPr="0032374F">
        <w:rPr>
          <w:rFonts w:ascii="Arial" w:hAnsi="Arial" w:cs="Arial"/>
          <w:sz w:val="18"/>
          <w:szCs w:val="18"/>
        </w:rPr>
        <w:t>had $</w:t>
      </w:r>
      <w:r w:rsidR="0032374F" w:rsidRPr="0032374F">
        <w:rPr>
          <w:rFonts w:ascii="Arial" w:hAnsi="Arial" w:cs="Arial"/>
          <w:sz w:val="18"/>
          <w:szCs w:val="18"/>
        </w:rPr>
        <w:t>nil</w:t>
      </w:r>
      <w:r w:rsidRPr="001B13BF">
        <w:rPr>
          <w:rFonts w:ascii="Arial" w:hAnsi="Arial" w:cs="Arial"/>
          <w:sz w:val="18"/>
          <w:szCs w:val="18"/>
        </w:rPr>
        <w:t xml:space="preserve"> (September 30, 2021 - $46,916) due to related parties included in trade and other payables. Interest is not charged on outstanding balances and there are no specific terms of repayment</w:t>
      </w:r>
      <w:r w:rsidR="00490225" w:rsidRPr="00490225">
        <w:rPr>
          <w:rFonts w:ascii="Arial" w:hAnsi="Arial" w:cs="Arial"/>
          <w:sz w:val="18"/>
          <w:szCs w:val="18"/>
        </w:rPr>
        <w:t>.</w:t>
      </w:r>
    </w:p>
    <w:p w14:paraId="56A8C434" w14:textId="35F1853D" w:rsidR="00264829" w:rsidRDefault="00264829">
      <w:pPr>
        <w:spacing w:after="160" w:line="259" w:lineRule="auto"/>
        <w:jc w:val="left"/>
        <w:rPr>
          <w:rFonts w:ascii="Arial" w:hAnsi="Arial" w:cs="Arial"/>
          <w:b/>
          <w:bCs/>
          <w:sz w:val="18"/>
          <w:szCs w:val="18"/>
        </w:rPr>
      </w:pPr>
      <w:r>
        <w:rPr>
          <w:rFonts w:ascii="Arial" w:hAnsi="Arial" w:cs="Arial"/>
          <w:b/>
          <w:bCs/>
          <w:sz w:val="18"/>
          <w:szCs w:val="18"/>
        </w:rPr>
        <w:br w:type="page"/>
      </w:r>
    </w:p>
    <w:p w14:paraId="0D9154B2" w14:textId="77777777" w:rsidR="00911774" w:rsidRPr="00361EC3" w:rsidRDefault="00911774" w:rsidP="00361EC3">
      <w:pPr>
        <w:spacing w:line="259" w:lineRule="auto"/>
        <w:contextualSpacing/>
        <w:jc w:val="left"/>
        <w:rPr>
          <w:rFonts w:ascii="Arial" w:hAnsi="Arial" w:cs="Arial"/>
          <w:b/>
          <w:bCs/>
          <w:sz w:val="18"/>
          <w:szCs w:val="18"/>
        </w:rPr>
      </w:pPr>
    </w:p>
    <w:p w14:paraId="5E35AF53" w14:textId="6458AF76" w:rsidR="00F41D70" w:rsidRPr="00361EC3" w:rsidRDefault="00F41D70" w:rsidP="00361EC3">
      <w:pPr>
        <w:pStyle w:val="Heading1"/>
        <w:ind w:left="0"/>
        <w:contextualSpacing/>
        <w:rPr>
          <w:rFonts w:ascii="Arial" w:hAnsi="Arial" w:cs="Arial"/>
          <w:sz w:val="18"/>
          <w:szCs w:val="18"/>
        </w:rPr>
      </w:pPr>
      <w:r w:rsidRPr="00361EC3">
        <w:rPr>
          <w:rFonts w:ascii="Arial" w:hAnsi="Arial" w:cs="Arial"/>
          <w:sz w:val="18"/>
          <w:szCs w:val="18"/>
        </w:rPr>
        <w:t xml:space="preserve">Risks and </w:t>
      </w:r>
      <w:r w:rsidR="007646FA" w:rsidRPr="00361EC3">
        <w:rPr>
          <w:rFonts w:ascii="Arial" w:hAnsi="Arial" w:cs="Arial"/>
          <w:sz w:val="18"/>
          <w:szCs w:val="18"/>
        </w:rPr>
        <w:t>u</w:t>
      </w:r>
      <w:r w:rsidRPr="00361EC3">
        <w:rPr>
          <w:rFonts w:ascii="Arial" w:hAnsi="Arial" w:cs="Arial"/>
          <w:sz w:val="18"/>
          <w:szCs w:val="18"/>
        </w:rPr>
        <w:t>ncertainties</w:t>
      </w:r>
    </w:p>
    <w:p w14:paraId="4C93F8B7" w14:textId="77777777" w:rsidR="00F41D70" w:rsidRPr="00361EC3" w:rsidRDefault="00F41D70" w:rsidP="00361EC3">
      <w:pPr>
        <w:contextualSpacing/>
        <w:rPr>
          <w:rFonts w:ascii="Arial" w:hAnsi="Arial" w:cs="Arial"/>
          <w:sz w:val="18"/>
          <w:szCs w:val="18"/>
        </w:rPr>
      </w:pPr>
    </w:p>
    <w:p w14:paraId="63B95E18" w14:textId="6D642495" w:rsidR="00F41D70" w:rsidRPr="00361EC3" w:rsidRDefault="00F41D70" w:rsidP="00361EC3">
      <w:pPr>
        <w:contextualSpacing/>
        <w:rPr>
          <w:rFonts w:ascii="Arial" w:hAnsi="Arial" w:cs="Arial"/>
          <w:sz w:val="18"/>
          <w:szCs w:val="18"/>
        </w:rPr>
      </w:pPr>
      <w:r w:rsidRPr="00361EC3">
        <w:rPr>
          <w:rFonts w:ascii="Arial" w:hAnsi="Arial" w:cs="Arial"/>
          <w:sz w:val="18"/>
          <w:szCs w:val="18"/>
        </w:rPr>
        <w:t>A thorough description of the risks associated with the Company’s exploration and other business activities can be found in the F</w:t>
      </w:r>
      <w:r w:rsidR="0049668C">
        <w:rPr>
          <w:rFonts w:ascii="Arial" w:hAnsi="Arial" w:cs="Arial"/>
          <w:sz w:val="18"/>
          <w:szCs w:val="18"/>
        </w:rPr>
        <w:t>or</w:t>
      </w:r>
      <w:r w:rsidRPr="00361EC3">
        <w:rPr>
          <w:rFonts w:ascii="Arial" w:hAnsi="Arial" w:cs="Arial"/>
          <w:sz w:val="18"/>
          <w:szCs w:val="18"/>
        </w:rPr>
        <w:t xml:space="preserve">m 2A </w:t>
      </w:r>
      <w:r w:rsidR="00F66461" w:rsidRPr="00361EC3">
        <w:rPr>
          <w:rFonts w:ascii="Arial" w:hAnsi="Arial" w:cs="Arial"/>
          <w:sz w:val="18"/>
          <w:szCs w:val="18"/>
        </w:rPr>
        <w:t>-</w:t>
      </w:r>
      <w:r w:rsidRPr="00361EC3">
        <w:rPr>
          <w:rFonts w:ascii="Arial" w:hAnsi="Arial" w:cs="Arial"/>
          <w:sz w:val="18"/>
          <w:szCs w:val="18"/>
        </w:rPr>
        <w:t xml:space="preserve"> Listing Statement dated February 5, 2021 and posted under the Company’s profile on SEDAR (www.sedar.com) as of that date.</w:t>
      </w:r>
    </w:p>
    <w:p w14:paraId="595BA1D9" w14:textId="77777777" w:rsidR="00F41D70" w:rsidRPr="00361EC3" w:rsidRDefault="00F41D70" w:rsidP="00361EC3">
      <w:pPr>
        <w:contextualSpacing/>
        <w:rPr>
          <w:rFonts w:ascii="Arial" w:hAnsi="Arial" w:cs="Arial"/>
          <w:sz w:val="18"/>
          <w:szCs w:val="18"/>
        </w:rPr>
      </w:pPr>
    </w:p>
    <w:p w14:paraId="2B5CE796" w14:textId="77777777" w:rsidR="00F41D70" w:rsidRPr="00361EC3" w:rsidRDefault="00F41D70" w:rsidP="00361EC3">
      <w:pPr>
        <w:contextualSpacing/>
        <w:rPr>
          <w:rFonts w:ascii="Arial" w:hAnsi="Arial" w:cs="Arial"/>
          <w:sz w:val="18"/>
          <w:szCs w:val="18"/>
        </w:rPr>
      </w:pPr>
      <w:r w:rsidRPr="00361EC3">
        <w:rPr>
          <w:rFonts w:ascii="Arial" w:hAnsi="Arial" w:cs="Arial"/>
          <w:sz w:val="18"/>
          <w:szCs w:val="18"/>
        </w:rPr>
        <w:t>An investment in the Company’s common shares is highly speculative and subject to very real risks and uncertainties, the occurrence of any one or more of which could have a material adverse effect on the value of any investment in the Company and the business, prospects, financial position or operating results of the Company. The risk factor listing noted below is in no particular order and is not an exhaustive list of all risk factors associated with an investment in the Company’s common shares or in connection with the operations of the Company.</w:t>
      </w:r>
    </w:p>
    <w:p w14:paraId="262D3298" w14:textId="77777777" w:rsidR="00F41D70" w:rsidRPr="00361EC3" w:rsidRDefault="00F41D70" w:rsidP="00361EC3">
      <w:pPr>
        <w:contextualSpacing/>
        <w:rPr>
          <w:rFonts w:ascii="Arial" w:hAnsi="Arial" w:cs="Arial"/>
          <w:sz w:val="18"/>
          <w:szCs w:val="18"/>
        </w:rPr>
      </w:pPr>
    </w:p>
    <w:p w14:paraId="2EFAC78A" w14:textId="7079D8DB" w:rsidR="00F41D70" w:rsidRPr="00361EC3" w:rsidRDefault="00F41D70" w:rsidP="00361EC3">
      <w:pPr>
        <w:pStyle w:val="BodyText"/>
        <w:widowControl w:val="0"/>
        <w:numPr>
          <w:ilvl w:val="0"/>
          <w:numId w:val="1"/>
        </w:numPr>
        <w:autoSpaceDE w:val="0"/>
        <w:autoSpaceDN w:val="0"/>
        <w:spacing w:before="0" w:line="249" w:lineRule="auto"/>
        <w:contextualSpacing/>
        <w:rPr>
          <w:rFonts w:ascii="Arial" w:hAnsi="Arial" w:cs="Arial"/>
          <w:sz w:val="18"/>
          <w:szCs w:val="18"/>
        </w:rPr>
      </w:pPr>
      <w:r w:rsidRPr="00361EC3">
        <w:rPr>
          <w:rFonts w:ascii="Arial" w:hAnsi="Arial" w:cs="Arial"/>
          <w:sz w:val="18"/>
          <w:szCs w:val="18"/>
        </w:rPr>
        <w:t>Geological risk and the highly uncertain and speculative nature of mineral exploration</w:t>
      </w:r>
    </w:p>
    <w:p w14:paraId="65C5B633" w14:textId="37282E7C" w:rsidR="00F41D70" w:rsidRPr="00361EC3" w:rsidRDefault="00F41D70" w:rsidP="00361EC3">
      <w:pPr>
        <w:pStyle w:val="BodyText"/>
        <w:widowControl w:val="0"/>
        <w:numPr>
          <w:ilvl w:val="0"/>
          <w:numId w:val="1"/>
        </w:numPr>
        <w:autoSpaceDE w:val="0"/>
        <w:autoSpaceDN w:val="0"/>
        <w:spacing w:before="0" w:line="249" w:lineRule="auto"/>
        <w:contextualSpacing/>
        <w:rPr>
          <w:rFonts w:ascii="Arial" w:hAnsi="Arial" w:cs="Arial"/>
          <w:sz w:val="18"/>
          <w:szCs w:val="18"/>
        </w:rPr>
      </w:pPr>
      <w:r w:rsidRPr="00361EC3">
        <w:rPr>
          <w:rFonts w:ascii="Arial" w:hAnsi="Arial" w:cs="Arial"/>
          <w:sz w:val="18"/>
          <w:szCs w:val="18"/>
        </w:rPr>
        <w:t>Early</w:t>
      </w:r>
      <w:r w:rsidR="00E53BA8" w:rsidRPr="00361EC3">
        <w:rPr>
          <w:rFonts w:ascii="Arial" w:hAnsi="Arial" w:cs="Arial"/>
          <w:sz w:val="18"/>
          <w:szCs w:val="18"/>
        </w:rPr>
        <w:t>-</w:t>
      </w:r>
      <w:r w:rsidRPr="00361EC3">
        <w:rPr>
          <w:rFonts w:ascii="Arial" w:hAnsi="Arial" w:cs="Arial"/>
          <w:sz w:val="18"/>
          <w:szCs w:val="18"/>
        </w:rPr>
        <w:t>stage nature of the Company: i.e. a limited operating history and financial resources, no earnings, limited cash assets</w:t>
      </w:r>
    </w:p>
    <w:p w14:paraId="6CEB9DCA" w14:textId="77777777" w:rsidR="00F41D70" w:rsidRPr="00361EC3" w:rsidRDefault="00F41D70" w:rsidP="00361EC3">
      <w:pPr>
        <w:pStyle w:val="BodyText"/>
        <w:widowControl w:val="0"/>
        <w:numPr>
          <w:ilvl w:val="0"/>
          <w:numId w:val="1"/>
        </w:numPr>
        <w:autoSpaceDE w:val="0"/>
        <w:autoSpaceDN w:val="0"/>
        <w:spacing w:before="0" w:line="249" w:lineRule="auto"/>
        <w:contextualSpacing/>
        <w:rPr>
          <w:rFonts w:ascii="Arial" w:hAnsi="Arial" w:cs="Arial"/>
          <w:sz w:val="18"/>
          <w:szCs w:val="18"/>
        </w:rPr>
      </w:pPr>
      <w:r w:rsidRPr="00361EC3">
        <w:rPr>
          <w:rFonts w:ascii="Arial" w:hAnsi="Arial" w:cs="Arial"/>
          <w:sz w:val="18"/>
          <w:szCs w:val="18"/>
        </w:rPr>
        <w:t>Lack of insurance against operating risks in the field and elsewhere</w:t>
      </w:r>
    </w:p>
    <w:p w14:paraId="3237DBF9" w14:textId="2DBDD731" w:rsidR="00D55629" w:rsidRPr="008B0F5F" w:rsidRDefault="00F41D70" w:rsidP="008B0F5F">
      <w:pPr>
        <w:pStyle w:val="BodyText"/>
        <w:widowControl w:val="0"/>
        <w:numPr>
          <w:ilvl w:val="0"/>
          <w:numId w:val="1"/>
        </w:numPr>
        <w:autoSpaceDE w:val="0"/>
        <w:autoSpaceDN w:val="0"/>
        <w:spacing w:before="0" w:line="249" w:lineRule="auto"/>
        <w:contextualSpacing/>
        <w:rPr>
          <w:rFonts w:ascii="Arial" w:hAnsi="Arial" w:cs="Arial"/>
          <w:sz w:val="18"/>
          <w:szCs w:val="18"/>
        </w:rPr>
      </w:pPr>
      <w:r w:rsidRPr="00361EC3">
        <w:rPr>
          <w:rFonts w:ascii="Arial" w:hAnsi="Arial" w:cs="Arial"/>
          <w:sz w:val="18"/>
          <w:szCs w:val="18"/>
        </w:rPr>
        <w:t>Changes to government regulations, including environmental regulations</w:t>
      </w:r>
    </w:p>
    <w:p w14:paraId="7C9F94AC" w14:textId="77777777" w:rsidR="00F41D70" w:rsidRPr="00361EC3" w:rsidRDefault="00F41D70" w:rsidP="00361EC3">
      <w:pPr>
        <w:pStyle w:val="BodyText"/>
        <w:widowControl w:val="0"/>
        <w:numPr>
          <w:ilvl w:val="0"/>
          <w:numId w:val="1"/>
        </w:numPr>
        <w:autoSpaceDE w:val="0"/>
        <w:autoSpaceDN w:val="0"/>
        <w:spacing w:before="0" w:line="249" w:lineRule="auto"/>
        <w:contextualSpacing/>
        <w:rPr>
          <w:rFonts w:ascii="Arial" w:hAnsi="Arial" w:cs="Arial"/>
          <w:sz w:val="18"/>
          <w:szCs w:val="18"/>
        </w:rPr>
      </w:pPr>
      <w:r w:rsidRPr="00361EC3">
        <w:rPr>
          <w:rFonts w:ascii="Arial" w:hAnsi="Arial" w:cs="Arial"/>
          <w:sz w:val="18"/>
          <w:szCs w:val="18"/>
        </w:rPr>
        <w:t>Ability to secure and comply with government permits</w:t>
      </w:r>
    </w:p>
    <w:p w14:paraId="11178D2A" w14:textId="77777777" w:rsidR="00F41D70" w:rsidRPr="00361EC3" w:rsidRDefault="00F41D70" w:rsidP="00361EC3">
      <w:pPr>
        <w:pStyle w:val="BodyText"/>
        <w:widowControl w:val="0"/>
        <w:numPr>
          <w:ilvl w:val="0"/>
          <w:numId w:val="1"/>
        </w:numPr>
        <w:autoSpaceDE w:val="0"/>
        <w:autoSpaceDN w:val="0"/>
        <w:spacing w:before="0" w:line="249" w:lineRule="auto"/>
        <w:contextualSpacing/>
        <w:rPr>
          <w:rFonts w:ascii="Arial" w:hAnsi="Arial" w:cs="Arial"/>
          <w:sz w:val="18"/>
          <w:szCs w:val="18"/>
        </w:rPr>
      </w:pPr>
      <w:r w:rsidRPr="00361EC3">
        <w:rPr>
          <w:rFonts w:ascii="Arial" w:hAnsi="Arial" w:cs="Arial"/>
          <w:sz w:val="18"/>
          <w:szCs w:val="18"/>
        </w:rPr>
        <w:t>Reliance on a small number of key managers and experts and a lack of immediate backup or replacements</w:t>
      </w:r>
    </w:p>
    <w:p w14:paraId="6660C12E" w14:textId="55EA361F" w:rsidR="008B0F5F" w:rsidRPr="004D1546" w:rsidRDefault="00F41D70" w:rsidP="004D1546">
      <w:pPr>
        <w:pStyle w:val="BodyText"/>
        <w:widowControl w:val="0"/>
        <w:numPr>
          <w:ilvl w:val="0"/>
          <w:numId w:val="1"/>
        </w:numPr>
        <w:autoSpaceDE w:val="0"/>
        <w:autoSpaceDN w:val="0"/>
        <w:spacing w:before="0" w:line="249" w:lineRule="auto"/>
        <w:contextualSpacing/>
        <w:rPr>
          <w:rFonts w:ascii="Arial" w:hAnsi="Arial" w:cs="Arial"/>
          <w:sz w:val="18"/>
          <w:szCs w:val="18"/>
        </w:rPr>
      </w:pPr>
      <w:r w:rsidRPr="00361EC3">
        <w:rPr>
          <w:rFonts w:ascii="Arial" w:hAnsi="Arial" w:cs="Arial"/>
          <w:sz w:val="18"/>
          <w:szCs w:val="18"/>
        </w:rPr>
        <w:t>Competition for key personnel and mineral properties</w:t>
      </w:r>
    </w:p>
    <w:p w14:paraId="43180774" w14:textId="7C993693" w:rsidR="00C66843" w:rsidRDefault="00F41D70" w:rsidP="00361EC3">
      <w:pPr>
        <w:pStyle w:val="BodyText"/>
        <w:widowControl w:val="0"/>
        <w:numPr>
          <w:ilvl w:val="0"/>
          <w:numId w:val="1"/>
        </w:numPr>
        <w:autoSpaceDE w:val="0"/>
        <w:autoSpaceDN w:val="0"/>
        <w:spacing w:before="0" w:line="249" w:lineRule="auto"/>
        <w:contextualSpacing/>
        <w:rPr>
          <w:rFonts w:ascii="Arial" w:hAnsi="Arial" w:cs="Arial"/>
          <w:sz w:val="18"/>
          <w:szCs w:val="18"/>
        </w:rPr>
      </w:pPr>
      <w:r w:rsidRPr="00361EC3">
        <w:rPr>
          <w:rFonts w:ascii="Arial" w:hAnsi="Arial" w:cs="Arial"/>
          <w:sz w:val="18"/>
          <w:szCs w:val="18"/>
        </w:rPr>
        <w:t>Potential conflicts of interest among the Company’s directors and/or officers</w:t>
      </w:r>
    </w:p>
    <w:p w14:paraId="3006E856" w14:textId="2D6ABEF0" w:rsidR="00D55629" w:rsidRPr="008B0F5F" w:rsidRDefault="00F41D70" w:rsidP="008B0F5F">
      <w:pPr>
        <w:pStyle w:val="BodyText"/>
        <w:widowControl w:val="0"/>
        <w:numPr>
          <w:ilvl w:val="0"/>
          <w:numId w:val="1"/>
        </w:numPr>
        <w:autoSpaceDE w:val="0"/>
        <w:autoSpaceDN w:val="0"/>
        <w:spacing w:before="0" w:line="249" w:lineRule="auto"/>
        <w:contextualSpacing/>
        <w:rPr>
          <w:rFonts w:ascii="Arial" w:hAnsi="Arial" w:cs="Arial"/>
          <w:sz w:val="18"/>
          <w:szCs w:val="18"/>
        </w:rPr>
      </w:pPr>
      <w:r w:rsidRPr="00361EC3">
        <w:rPr>
          <w:rFonts w:ascii="Arial" w:hAnsi="Arial" w:cs="Arial"/>
          <w:sz w:val="18"/>
          <w:szCs w:val="18"/>
        </w:rPr>
        <w:t>Potential cost overruns and delays</w:t>
      </w:r>
    </w:p>
    <w:p w14:paraId="16151B91" w14:textId="77777777" w:rsidR="00F41D70" w:rsidRPr="00361EC3" w:rsidRDefault="00F41D70" w:rsidP="00361EC3">
      <w:pPr>
        <w:pStyle w:val="BodyText"/>
        <w:widowControl w:val="0"/>
        <w:numPr>
          <w:ilvl w:val="0"/>
          <w:numId w:val="1"/>
        </w:numPr>
        <w:autoSpaceDE w:val="0"/>
        <w:autoSpaceDN w:val="0"/>
        <w:spacing w:before="0" w:line="249" w:lineRule="auto"/>
        <w:contextualSpacing/>
        <w:rPr>
          <w:rFonts w:ascii="Arial" w:hAnsi="Arial" w:cs="Arial"/>
          <w:sz w:val="18"/>
          <w:szCs w:val="18"/>
        </w:rPr>
      </w:pPr>
      <w:r w:rsidRPr="00361EC3">
        <w:rPr>
          <w:rFonts w:ascii="Arial" w:hAnsi="Arial" w:cs="Arial"/>
          <w:sz w:val="18"/>
          <w:szCs w:val="18"/>
        </w:rPr>
        <w:t xml:space="preserve">Timely availability of labour, </w:t>
      </w:r>
      <w:proofErr w:type="gramStart"/>
      <w:r w:rsidRPr="00361EC3">
        <w:rPr>
          <w:rFonts w:ascii="Arial" w:hAnsi="Arial" w:cs="Arial"/>
          <w:sz w:val="18"/>
          <w:szCs w:val="18"/>
        </w:rPr>
        <w:t>contractors</w:t>
      </w:r>
      <w:proofErr w:type="gramEnd"/>
      <w:r w:rsidRPr="00361EC3">
        <w:rPr>
          <w:rFonts w:ascii="Arial" w:hAnsi="Arial" w:cs="Arial"/>
          <w:sz w:val="18"/>
          <w:szCs w:val="18"/>
        </w:rPr>
        <w:t xml:space="preserve"> and key services</w:t>
      </w:r>
    </w:p>
    <w:p w14:paraId="42CF39DB" w14:textId="77777777" w:rsidR="00F41D70" w:rsidRPr="00361EC3" w:rsidRDefault="00F41D70" w:rsidP="00361EC3">
      <w:pPr>
        <w:pStyle w:val="BodyText"/>
        <w:widowControl w:val="0"/>
        <w:numPr>
          <w:ilvl w:val="0"/>
          <w:numId w:val="1"/>
        </w:numPr>
        <w:autoSpaceDE w:val="0"/>
        <w:autoSpaceDN w:val="0"/>
        <w:spacing w:before="0" w:line="249" w:lineRule="auto"/>
        <w:contextualSpacing/>
        <w:rPr>
          <w:rFonts w:ascii="Arial" w:hAnsi="Arial" w:cs="Arial"/>
          <w:sz w:val="18"/>
          <w:szCs w:val="18"/>
        </w:rPr>
      </w:pPr>
      <w:r w:rsidRPr="00361EC3">
        <w:rPr>
          <w:rFonts w:ascii="Arial" w:hAnsi="Arial" w:cs="Arial"/>
          <w:sz w:val="18"/>
          <w:szCs w:val="18"/>
        </w:rPr>
        <w:t>Weather risks</w:t>
      </w:r>
    </w:p>
    <w:p w14:paraId="22EB5888" w14:textId="77777777" w:rsidR="00F41D70" w:rsidRPr="00361EC3" w:rsidRDefault="00F41D70" w:rsidP="00361EC3">
      <w:pPr>
        <w:pStyle w:val="BodyText"/>
        <w:widowControl w:val="0"/>
        <w:numPr>
          <w:ilvl w:val="0"/>
          <w:numId w:val="1"/>
        </w:numPr>
        <w:autoSpaceDE w:val="0"/>
        <w:autoSpaceDN w:val="0"/>
        <w:spacing w:before="0" w:line="249" w:lineRule="auto"/>
        <w:contextualSpacing/>
        <w:rPr>
          <w:rFonts w:ascii="Arial" w:hAnsi="Arial" w:cs="Arial"/>
          <w:sz w:val="18"/>
          <w:szCs w:val="18"/>
        </w:rPr>
      </w:pPr>
      <w:r w:rsidRPr="00361EC3">
        <w:rPr>
          <w:rFonts w:ascii="Arial" w:hAnsi="Arial" w:cs="Arial"/>
          <w:sz w:val="18"/>
          <w:szCs w:val="18"/>
        </w:rPr>
        <w:t>Property title disputes</w:t>
      </w:r>
    </w:p>
    <w:p w14:paraId="36071C71" w14:textId="77777777" w:rsidR="00F41D70" w:rsidRPr="00361EC3" w:rsidRDefault="00F41D70" w:rsidP="00361EC3">
      <w:pPr>
        <w:pStyle w:val="BodyText"/>
        <w:widowControl w:val="0"/>
        <w:numPr>
          <w:ilvl w:val="0"/>
          <w:numId w:val="1"/>
        </w:numPr>
        <w:autoSpaceDE w:val="0"/>
        <w:autoSpaceDN w:val="0"/>
        <w:spacing w:before="0" w:line="249" w:lineRule="auto"/>
        <w:contextualSpacing/>
        <w:rPr>
          <w:rFonts w:ascii="Arial" w:hAnsi="Arial" w:cs="Arial"/>
          <w:sz w:val="18"/>
          <w:szCs w:val="18"/>
        </w:rPr>
      </w:pPr>
      <w:r w:rsidRPr="00361EC3">
        <w:rPr>
          <w:rFonts w:ascii="Arial" w:hAnsi="Arial" w:cs="Arial"/>
          <w:sz w:val="18"/>
          <w:szCs w:val="18"/>
        </w:rPr>
        <w:t>Metal price fluctuations</w:t>
      </w:r>
    </w:p>
    <w:p w14:paraId="757EE2FE" w14:textId="7FB63C56" w:rsidR="00B349D2" w:rsidRPr="00D55629" w:rsidRDefault="00F41D70" w:rsidP="00D55629">
      <w:pPr>
        <w:pStyle w:val="BodyText"/>
        <w:widowControl w:val="0"/>
        <w:numPr>
          <w:ilvl w:val="0"/>
          <w:numId w:val="1"/>
        </w:numPr>
        <w:autoSpaceDE w:val="0"/>
        <w:autoSpaceDN w:val="0"/>
        <w:spacing w:before="0" w:line="249" w:lineRule="auto"/>
        <w:contextualSpacing/>
        <w:rPr>
          <w:rFonts w:ascii="Arial" w:hAnsi="Arial" w:cs="Arial"/>
          <w:sz w:val="18"/>
          <w:szCs w:val="18"/>
        </w:rPr>
      </w:pPr>
      <w:r w:rsidRPr="00361EC3">
        <w:rPr>
          <w:rFonts w:ascii="Arial" w:hAnsi="Arial" w:cs="Arial"/>
          <w:sz w:val="18"/>
          <w:szCs w:val="18"/>
        </w:rPr>
        <w:t>Receptivity of capital markets to junior exploration projects</w:t>
      </w:r>
    </w:p>
    <w:p w14:paraId="3DAE3A56" w14:textId="49FF0361" w:rsidR="00EC26B4" w:rsidRPr="004D1546" w:rsidRDefault="00F41D70" w:rsidP="004D1546">
      <w:pPr>
        <w:pStyle w:val="BodyText"/>
        <w:widowControl w:val="0"/>
        <w:numPr>
          <w:ilvl w:val="0"/>
          <w:numId w:val="1"/>
        </w:numPr>
        <w:autoSpaceDE w:val="0"/>
        <w:autoSpaceDN w:val="0"/>
        <w:spacing w:before="0" w:line="249" w:lineRule="auto"/>
        <w:contextualSpacing/>
        <w:rPr>
          <w:rFonts w:ascii="Arial" w:hAnsi="Arial" w:cs="Arial"/>
          <w:sz w:val="18"/>
          <w:szCs w:val="18"/>
        </w:rPr>
      </w:pPr>
      <w:r w:rsidRPr="00361EC3">
        <w:rPr>
          <w:rFonts w:ascii="Arial" w:hAnsi="Arial" w:cs="Arial"/>
          <w:sz w:val="18"/>
          <w:szCs w:val="18"/>
        </w:rPr>
        <w:t>Stock price volatility and lack of liquidity</w:t>
      </w:r>
    </w:p>
    <w:p w14:paraId="4571AA42" w14:textId="77777777" w:rsidR="00F41D70" w:rsidRPr="00361EC3" w:rsidRDefault="00F41D70" w:rsidP="00361EC3">
      <w:pPr>
        <w:pStyle w:val="BodyText"/>
        <w:widowControl w:val="0"/>
        <w:numPr>
          <w:ilvl w:val="0"/>
          <w:numId w:val="1"/>
        </w:numPr>
        <w:autoSpaceDE w:val="0"/>
        <w:autoSpaceDN w:val="0"/>
        <w:spacing w:before="0" w:line="249" w:lineRule="auto"/>
        <w:contextualSpacing/>
        <w:rPr>
          <w:rFonts w:ascii="Arial" w:hAnsi="Arial" w:cs="Arial"/>
          <w:sz w:val="18"/>
          <w:szCs w:val="18"/>
        </w:rPr>
      </w:pPr>
      <w:r w:rsidRPr="00361EC3">
        <w:rPr>
          <w:rFonts w:ascii="Arial" w:hAnsi="Arial" w:cs="Arial"/>
          <w:sz w:val="18"/>
          <w:szCs w:val="18"/>
        </w:rPr>
        <w:t>Litigation</w:t>
      </w:r>
    </w:p>
    <w:p w14:paraId="34CFFC66" w14:textId="77777777" w:rsidR="00F41D70" w:rsidRPr="00361EC3" w:rsidRDefault="00F41D70" w:rsidP="00361EC3">
      <w:pPr>
        <w:tabs>
          <w:tab w:val="left" w:pos="819"/>
          <w:tab w:val="left" w:pos="821"/>
        </w:tabs>
        <w:ind w:right="-180"/>
        <w:contextualSpacing/>
        <w:rPr>
          <w:rFonts w:ascii="Arial" w:hAnsi="Arial" w:cs="Arial"/>
          <w:sz w:val="18"/>
          <w:szCs w:val="18"/>
        </w:rPr>
      </w:pPr>
    </w:p>
    <w:p w14:paraId="2714B829" w14:textId="3420C0F8" w:rsidR="00F41D70" w:rsidRPr="00361EC3" w:rsidRDefault="00F41D70" w:rsidP="00361EC3">
      <w:pPr>
        <w:pStyle w:val="Heading1"/>
        <w:ind w:left="0"/>
        <w:contextualSpacing/>
        <w:rPr>
          <w:rFonts w:ascii="Arial" w:hAnsi="Arial" w:cs="Arial"/>
          <w:sz w:val="18"/>
          <w:szCs w:val="18"/>
        </w:rPr>
      </w:pPr>
      <w:r w:rsidRPr="00361EC3">
        <w:rPr>
          <w:rFonts w:ascii="Arial" w:hAnsi="Arial" w:cs="Arial"/>
          <w:sz w:val="18"/>
          <w:szCs w:val="18"/>
        </w:rPr>
        <w:t xml:space="preserve">Additional </w:t>
      </w:r>
      <w:r w:rsidR="007646FA" w:rsidRPr="00361EC3">
        <w:rPr>
          <w:rFonts w:ascii="Arial" w:hAnsi="Arial" w:cs="Arial"/>
          <w:sz w:val="18"/>
          <w:szCs w:val="18"/>
        </w:rPr>
        <w:t>i</w:t>
      </w:r>
      <w:r w:rsidRPr="00361EC3">
        <w:rPr>
          <w:rFonts w:ascii="Arial" w:hAnsi="Arial" w:cs="Arial"/>
          <w:sz w:val="18"/>
          <w:szCs w:val="18"/>
        </w:rPr>
        <w:t>nformation</w:t>
      </w:r>
    </w:p>
    <w:p w14:paraId="56421B43" w14:textId="77777777" w:rsidR="00EA6CB0" w:rsidRPr="00361EC3" w:rsidRDefault="00EA6CB0" w:rsidP="00361EC3">
      <w:pPr>
        <w:contextualSpacing/>
        <w:rPr>
          <w:rFonts w:ascii="Arial" w:hAnsi="Arial" w:cs="Arial"/>
          <w:sz w:val="18"/>
          <w:szCs w:val="18"/>
        </w:rPr>
      </w:pPr>
    </w:p>
    <w:p w14:paraId="05C8BD02" w14:textId="2B577C23" w:rsidR="00F41D70" w:rsidRPr="00361EC3" w:rsidRDefault="00F41D70" w:rsidP="00361EC3">
      <w:pPr>
        <w:contextualSpacing/>
        <w:rPr>
          <w:rFonts w:ascii="Arial" w:hAnsi="Arial" w:cs="Arial"/>
          <w:sz w:val="18"/>
          <w:szCs w:val="18"/>
        </w:rPr>
      </w:pPr>
      <w:r w:rsidRPr="00361EC3">
        <w:rPr>
          <w:rFonts w:ascii="Arial" w:hAnsi="Arial" w:cs="Arial"/>
          <w:sz w:val="18"/>
          <w:szCs w:val="18"/>
        </w:rPr>
        <w:t xml:space="preserve">Additional information relating to the Company is available at </w:t>
      </w:r>
      <w:hyperlink r:id="rId13" w:history="1">
        <w:r w:rsidRPr="00361EC3">
          <w:rPr>
            <w:rFonts w:ascii="Arial" w:hAnsi="Arial" w:cs="Arial"/>
            <w:sz w:val="18"/>
            <w:szCs w:val="18"/>
          </w:rPr>
          <w:t>www.sedar.com</w:t>
        </w:r>
      </w:hyperlink>
      <w:r w:rsidR="000410DA" w:rsidRPr="00361EC3">
        <w:rPr>
          <w:rFonts w:ascii="Arial" w:hAnsi="Arial" w:cs="Arial"/>
          <w:sz w:val="18"/>
          <w:szCs w:val="18"/>
        </w:rPr>
        <w:t>.</w:t>
      </w:r>
    </w:p>
    <w:p w14:paraId="5AFF9F8E" w14:textId="1B98FA28" w:rsidR="003B00B4" w:rsidRPr="00361EC3" w:rsidRDefault="003B00B4" w:rsidP="00361EC3">
      <w:pPr>
        <w:contextualSpacing/>
        <w:rPr>
          <w:rFonts w:ascii="Arial" w:hAnsi="Arial" w:cs="Arial"/>
          <w:sz w:val="18"/>
          <w:szCs w:val="18"/>
        </w:rPr>
      </w:pPr>
    </w:p>
    <w:p w14:paraId="6AD343EC" w14:textId="290FE513" w:rsidR="003B00B4" w:rsidRDefault="003B00B4" w:rsidP="00361EC3">
      <w:pPr>
        <w:pStyle w:val="Heading1"/>
        <w:ind w:left="0"/>
        <w:contextualSpacing/>
        <w:rPr>
          <w:rFonts w:ascii="Arial" w:hAnsi="Arial" w:cs="Arial"/>
          <w:sz w:val="18"/>
          <w:szCs w:val="18"/>
        </w:rPr>
      </w:pPr>
      <w:r w:rsidRPr="00361EC3">
        <w:rPr>
          <w:rFonts w:ascii="Arial" w:hAnsi="Arial" w:cs="Arial"/>
          <w:sz w:val="18"/>
          <w:szCs w:val="18"/>
        </w:rPr>
        <w:t xml:space="preserve">Subsequent </w:t>
      </w:r>
      <w:r w:rsidR="007646FA" w:rsidRPr="00361EC3">
        <w:rPr>
          <w:rFonts w:ascii="Arial" w:hAnsi="Arial" w:cs="Arial"/>
          <w:sz w:val="18"/>
          <w:szCs w:val="18"/>
        </w:rPr>
        <w:t>e</w:t>
      </w:r>
      <w:r w:rsidRPr="00361EC3">
        <w:rPr>
          <w:rFonts w:ascii="Arial" w:hAnsi="Arial" w:cs="Arial"/>
          <w:sz w:val="18"/>
          <w:szCs w:val="18"/>
        </w:rPr>
        <w:t>vent</w:t>
      </w:r>
    </w:p>
    <w:p w14:paraId="61D3D8A7" w14:textId="172B6BD7" w:rsidR="00EF1C65" w:rsidRDefault="00EF1C65" w:rsidP="00EF1C65">
      <w:pPr>
        <w:contextualSpacing/>
        <w:rPr>
          <w:rFonts w:ascii="Arial" w:hAnsi="Arial" w:cs="Arial"/>
          <w:sz w:val="18"/>
          <w:szCs w:val="18"/>
        </w:rPr>
      </w:pPr>
    </w:p>
    <w:p w14:paraId="77D4E387" w14:textId="7A848EF6" w:rsidR="00EF1C65" w:rsidRPr="00361EC3" w:rsidRDefault="00EF1C65" w:rsidP="00EF1C65">
      <w:pPr>
        <w:contextualSpacing/>
        <w:rPr>
          <w:rFonts w:ascii="Arial" w:hAnsi="Arial" w:cs="Arial"/>
          <w:sz w:val="18"/>
          <w:szCs w:val="18"/>
        </w:rPr>
      </w:pPr>
      <w:r w:rsidRPr="00EF1C65">
        <w:rPr>
          <w:rFonts w:ascii="Arial" w:hAnsi="Arial" w:cs="Arial"/>
          <w:sz w:val="18"/>
          <w:szCs w:val="18"/>
        </w:rPr>
        <w:t>On April 5, 2022, 400,000 warrants were exercised at the price of $0.10 for gross proceeds of $40,000.</w:t>
      </w:r>
    </w:p>
    <w:p w14:paraId="323DE3BB" w14:textId="125B16C9" w:rsidR="007C7F00" w:rsidRDefault="007C7F00" w:rsidP="00361EC3">
      <w:pPr>
        <w:contextualSpacing/>
        <w:rPr>
          <w:rFonts w:ascii="Arial" w:hAnsi="Arial" w:cs="Arial"/>
          <w:sz w:val="18"/>
          <w:szCs w:val="18"/>
        </w:rPr>
      </w:pPr>
    </w:p>
    <w:p w14:paraId="41FFAF59" w14:textId="37A977C4" w:rsidR="00525C1D" w:rsidRPr="00361EC3" w:rsidRDefault="00525C1D" w:rsidP="008B0F5F">
      <w:pPr>
        <w:contextualSpacing/>
        <w:rPr>
          <w:rFonts w:ascii="Arial" w:hAnsi="Arial" w:cs="Arial"/>
          <w:sz w:val="18"/>
          <w:szCs w:val="18"/>
        </w:rPr>
      </w:pPr>
    </w:p>
    <w:sectPr w:rsidR="00525C1D" w:rsidRPr="00361EC3" w:rsidSect="00EC26B4">
      <w:headerReference w:type="even" r:id="rId14"/>
      <w:headerReference w:type="default" r:id="rId15"/>
      <w:footerReference w:type="default" r:id="rId16"/>
      <w:headerReference w:type="first" r:id="rId17"/>
      <w:pgSz w:w="12240" w:h="15840"/>
      <w:pgMar w:top="1080" w:right="1080" w:bottom="1080" w:left="108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9EDB7F" w14:textId="77777777" w:rsidR="004524D7" w:rsidRDefault="004524D7" w:rsidP="00D94619">
      <w:r>
        <w:separator/>
      </w:r>
    </w:p>
  </w:endnote>
  <w:endnote w:type="continuationSeparator" w:id="0">
    <w:p w14:paraId="727659E9" w14:textId="77777777" w:rsidR="004524D7" w:rsidRDefault="004524D7" w:rsidP="00D94619">
      <w:r>
        <w:continuationSeparator/>
      </w:r>
    </w:p>
  </w:endnote>
  <w:endnote w:type="continuationNotice" w:id="1">
    <w:p w14:paraId="3EEC4E67" w14:textId="77777777" w:rsidR="004524D7" w:rsidRDefault="004524D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2020803070505020304"/>
    <w:charset w:val="00"/>
    <w:family w:val="roman"/>
    <w:pitch w:val="variable"/>
    <w:sig w:usb0="E0002AE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rPr>
      <w:id w:val="873191337"/>
      <w:docPartObj>
        <w:docPartGallery w:val="Page Numbers (Bottom of Page)"/>
        <w:docPartUnique/>
      </w:docPartObj>
    </w:sdtPr>
    <w:sdtEndPr>
      <w:rPr>
        <w:noProof/>
        <w:sz w:val="18"/>
        <w:szCs w:val="18"/>
      </w:rPr>
    </w:sdtEndPr>
    <w:sdtContent>
      <w:p w14:paraId="6B6FCEF0" w14:textId="583D6959" w:rsidR="006E02E2" w:rsidRPr="00D81513" w:rsidRDefault="006E02E2">
        <w:pPr>
          <w:pStyle w:val="Footer"/>
          <w:jc w:val="right"/>
          <w:rPr>
            <w:rFonts w:ascii="Arial" w:hAnsi="Arial" w:cs="Arial"/>
            <w:sz w:val="18"/>
            <w:szCs w:val="18"/>
          </w:rPr>
        </w:pPr>
        <w:r w:rsidRPr="00D81513">
          <w:rPr>
            <w:rFonts w:ascii="Arial" w:hAnsi="Arial" w:cs="Arial"/>
            <w:sz w:val="18"/>
            <w:szCs w:val="18"/>
          </w:rPr>
          <w:fldChar w:fldCharType="begin"/>
        </w:r>
        <w:r w:rsidRPr="00D81513">
          <w:rPr>
            <w:rFonts w:ascii="Arial" w:hAnsi="Arial" w:cs="Arial"/>
            <w:sz w:val="18"/>
            <w:szCs w:val="18"/>
          </w:rPr>
          <w:instrText xml:space="preserve"> PAGE   \* MERGEFORMAT </w:instrText>
        </w:r>
        <w:r w:rsidRPr="00D81513">
          <w:rPr>
            <w:rFonts w:ascii="Arial" w:hAnsi="Arial" w:cs="Arial"/>
            <w:sz w:val="18"/>
            <w:szCs w:val="18"/>
          </w:rPr>
          <w:fldChar w:fldCharType="separate"/>
        </w:r>
        <w:r w:rsidRPr="00D81513">
          <w:rPr>
            <w:rFonts w:ascii="Arial" w:hAnsi="Arial" w:cs="Arial"/>
            <w:noProof/>
            <w:sz w:val="18"/>
            <w:szCs w:val="18"/>
          </w:rPr>
          <w:t>2</w:t>
        </w:r>
        <w:r w:rsidRPr="00D81513">
          <w:rPr>
            <w:rFonts w:ascii="Arial" w:hAnsi="Arial" w:cs="Arial"/>
            <w:noProof/>
            <w:sz w:val="18"/>
            <w:szCs w:val="18"/>
          </w:rPr>
          <w:fldChar w:fldCharType="end"/>
        </w:r>
      </w:p>
    </w:sdtContent>
  </w:sdt>
  <w:p w14:paraId="11AA624E" w14:textId="0B04E165" w:rsidR="00D94619" w:rsidRDefault="00D946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2FACBD" w14:textId="77777777" w:rsidR="004524D7" w:rsidRDefault="004524D7" w:rsidP="00D94619">
      <w:r>
        <w:separator/>
      </w:r>
    </w:p>
  </w:footnote>
  <w:footnote w:type="continuationSeparator" w:id="0">
    <w:p w14:paraId="0E8D9FA4" w14:textId="77777777" w:rsidR="004524D7" w:rsidRDefault="004524D7" w:rsidP="00D94619">
      <w:r>
        <w:continuationSeparator/>
      </w:r>
    </w:p>
  </w:footnote>
  <w:footnote w:type="continuationNotice" w:id="1">
    <w:p w14:paraId="1F3F4FA9" w14:textId="77777777" w:rsidR="004524D7" w:rsidRDefault="004524D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C2E02F" w14:textId="25050E2E" w:rsidR="00361EC3" w:rsidRDefault="004524D7">
    <w:pPr>
      <w:pStyle w:val="Header"/>
    </w:pPr>
    <w:r>
      <w:rPr>
        <w:noProof/>
      </w:rPr>
      <w:pict w14:anchorId="4DFDC94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1416922" o:spid="_x0000_s2050" type="#_x0000_t75" style="position:absolute;left:0;text-align:left;margin-left:0;margin-top:0;width:504.95pt;height:588.65pt;z-index:-251658239;mso-position-horizontal:center;mso-position-horizontal-relative:margin;mso-position-vertical:center;mso-position-vertical-relative:margin" o:allowincell="f">
          <v:imagedata r:id="rId1" o:title="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E5882A" w14:textId="62FEC92D" w:rsidR="00361EC3" w:rsidRDefault="004524D7">
    <w:pPr>
      <w:pStyle w:val="Header"/>
    </w:pPr>
    <w:r>
      <w:rPr>
        <w:noProof/>
      </w:rPr>
      <w:pict w14:anchorId="63789BF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1416921" o:spid="_x0000_s2049" type="#_x0000_t75" style="position:absolute;left:0;text-align:left;margin-left:0;margin-top:0;width:504.95pt;height:588.65pt;z-index:-251658240;mso-position-horizontal:center;mso-position-horizontal-relative:margin;mso-position-vertical:center;mso-position-vertical-relative:margin" o:allowincell="f">
          <v:imagedata r:id="rId1" o:title="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26089E" w14:textId="3B257708" w:rsidR="00361EC3" w:rsidRDefault="004524D7">
    <w:pPr>
      <w:pStyle w:val="Header"/>
    </w:pPr>
    <w:r>
      <w:rPr>
        <w:noProof/>
      </w:rPr>
      <w:pict w14:anchorId="27543B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1416925" o:spid="_x0000_s2053" type="#_x0000_t75" style="position:absolute;left:0;text-align:left;margin-left:0;margin-top:0;width:504.95pt;height:588.65pt;z-index:-251658236;mso-position-horizontal:center;mso-position-horizontal-relative:margin;mso-position-vertical:center;mso-position-vertical-relative:margin" o:allowincell="f">
          <v:imagedata r:id="rId1" o:title="DRAFT"/>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2FB58A" w14:textId="5249E55C" w:rsidR="00DF1D59" w:rsidRPr="00DF1D59" w:rsidRDefault="00DF1D59" w:rsidP="00DF1D59">
    <w:pPr>
      <w:rPr>
        <w:rFonts w:ascii="Arial" w:hAnsi="Arial" w:cs="Arial"/>
        <w:b/>
        <w:sz w:val="18"/>
        <w:szCs w:val="18"/>
      </w:rPr>
    </w:pPr>
    <w:r>
      <w:rPr>
        <w:rFonts w:ascii="Arial" w:hAnsi="Arial" w:cs="Arial"/>
        <w:b/>
        <w:sz w:val="18"/>
        <w:szCs w:val="18"/>
      </w:rPr>
      <w:t>ARCHER EXPLORATION CORP.</w:t>
    </w:r>
  </w:p>
  <w:p w14:paraId="33543E2F" w14:textId="39B8F95D" w:rsidR="00DF1D59" w:rsidRPr="00DF1D59" w:rsidRDefault="00DF1D59" w:rsidP="00DF1D59">
    <w:pPr>
      <w:pStyle w:val="Title"/>
      <w:spacing w:before="0"/>
      <w:ind w:left="0" w:right="4"/>
      <w:jc w:val="left"/>
      <w:rPr>
        <w:rFonts w:ascii="Arial" w:hAnsi="Arial" w:cs="Arial"/>
        <w:sz w:val="18"/>
        <w:szCs w:val="18"/>
      </w:rPr>
    </w:pPr>
    <w:r w:rsidRPr="00DF1D59">
      <w:rPr>
        <w:rFonts w:ascii="Arial" w:hAnsi="Arial" w:cs="Arial"/>
        <w:sz w:val="18"/>
        <w:szCs w:val="18"/>
      </w:rPr>
      <w:t xml:space="preserve">Management’s Discussion </w:t>
    </w:r>
    <w:r w:rsidR="00EC26B4">
      <w:rPr>
        <w:rFonts w:ascii="Arial" w:hAnsi="Arial" w:cs="Arial"/>
        <w:sz w:val="18"/>
        <w:szCs w:val="18"/>
      </w:rPr>
      <w:t>&amp;</w:t>
    </w:r>
    <w:r w:rsidRPr="00DF1D59">
      <w:rPr>
        <w:rFonts w:ascii="Arial" w:hAnsi="Arial" w:cs="Arial"/>
        <w:sz w:val="18"/>
        <w:szCs w:val="18"/>
      </w:rPr>
      <w:t xml:space="preserve"> Analysis</w:t>
    </w:r>
    <w:r w:rsidR="008F78EC">
      <w:rPr>
        <w:rFonts w:ascii="Arial" w:hAnsi="Arial" w:cs="Arial"/>
        <w:sz w:val="18"/>
        <w:szCs w:val="18"/>
      </w:rPr>
      <w:t xml:space="preserve"> </w:t>
    </w:r>
    <w:r w:rsidR="008F78EC" w:rsidRPr="008F78EC">
      <w:rPr>
        <w:rFonts w:ascii="Arial" w:hAnsi="Arial" w:cs="Arial"/>
        <w:sz w:val="18"/>
        <w:szCs w:val="18"/>
      </w:rPr>
      <w:t>(formerly Lift Capital Corp.)</w:t>
    </w:r>
  </w:p>
  <w:p w14:paraId="1F17A4E2" w14:textId="497CDD57" w:rsidR="00361EC3" w:rsidRPr="00DF1D59" w:rsidRDefault="005F3C06" w:rsidP="00DF1D59">
    <w:pPr>
      <w:pStyle w:val="Title"/>
      <w:pBdr>
        <w:bottom w:val="single" w:sz="4" w:space="1" w:color="auto"/>
      </w:pBdr>
      <w:spacing w:before="0"/>
      <w:ind w:left="0" w:right="4"/>
      <w:jc w:val="left"/>
      <w:rPr>
        <w:rFonts w:ascii="Arial" w:hAnsi="Arial" w:cs="Arial"/>
        <w:b w:val="0"/>
        <w:bCs w:val="0"/>
        <w:sz w:val="18"/>
        <w:szCs w:val="18"/>
      </w:rPr>
    </w:pPr>
    <w:r>
      <w:rPr>
        <w:rFonts w:ascii="Arial" w:hAnsi="Arial" w:cs="Arial"/>
        <w:b w:val="0"/>
        <w:bCs w:val="0"/>
        <w:sz w:val="18"/>
        <w:szCs w:val="18"/>
      </w:rPr>
      <w:t>F</w:t>
    </w:r>
    <w:r w:rsidRPr="005F3C06">
      <w:rPr>
        <w:rFonts w:ascii="Arial" w:hAnsi="Arial" w:cs="Arial"/>
        <w:b w:val="0"/>
        <w:bCs w:val="0"/>
        <w:sz w:val="18"/>
        <w:szCs w:val="18"/>
      </w:rPr>
      <w:t>or the</w:t>
    </w:r>
    <w:r w:rsidR="003C38EF">
      <w:rPr>
        <w:rFonts w:ascii="Arial" w:hAnsi="Arial" w:cs="Arial"/>
        <w:b w:val="0"/>
        <w:bCs w:val="0"/>
        <w:sz w:val="18"/>
        <w:szCs w:val="18"/>
      </w:rPr>
      <w:t xml:space="preserve"> three and</w:t>
    </w:r>
    <w:r w:rsidRPr="005F3C06">
      <w:rPr>
        <w:rFonts w:ascii="Arial" w:hAnsi="Arial" w:cs="Arial"/>
        <w:b w:val="0"/>
        <w:bCs w:val="0"/>
        <w:sz w:val="18"/>
        <w:szCs w:val="18"/>
      </w:rPr>
      <w:t xml:space="preserve"> </w:t>
    </w:r>
    <w:r w:rsidR="00270835">
      <w:rPr>
        <w:rFonts w:ascii="Arial" w:hAnsi="Arial" w:cs="Arial"/>
        <w:b w:val="0"/>
        <w:bCs w:val="0"/>
        <w:sz w:val="18"/>
        <w:szCs w:val="18"/>
      </w:rPr>
      <w:t xml:space="preserve">six </w:t>
    </w:r>
    <w:r w:rsidRPr="005F3C06">
      <w:rPr>
        <w:rFonts w:ascii="Arial" w:hAnsi="Arial" w:cs="Arial"/>
        <w:b w:val="0"/>
        <w:bCs w:val="0"/>
        <w:sz w:val="18"/>
        <w:szCs w:val="18"/>
      </w:rPr>
      <w:t xml:space="preserve">months ended </w:t>
    </w:r>
    <w:r w:rsidR="00270835" w:rsidRPr="00270835">
      <w:rPr>
        <w:rFonts w:ascii="Arial" w:hAnsi="Arial" w:cs="Arial"/>
        <w:b w:val="0"/>
        <w:bCs w:val="0"/>
        <w:sz w:val="18"/>
        <w:szCs w:val="18"/>
      </w:rPr>
      <w:t>March 31, 2022 and 2021</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67C2D9" w14:textId="74AACD81" w:rsidR="00361EC3" w:rsidRDefault="004524D7">
    <w:pPr>
      <w:pStyle w:val="Header"/>
    </w:pPr>
    <w:r>
      <w:rPr>
        <w:noProof/>
      </w:rPr>
      <w:pict w14:anchorId="579AC36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1416924" o:spid="_x0000_s2052" type="#_x0000_t75" style="position:absolute;left:0;text-align:left;margin-left:0;margin-top:0;width:504.95pt;height:588.65pt;z-index:-251658237;mso-position-horizontal:center;mso-position-horizontal-relative:margin;mso-position-vertical:center;mso-position-vertical-relative:margin" o:allowincell="f">
          <v:imagedata r:id="rId1" o:title="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356CEF"/>
    <w:multiLevelType w:val="hybridMultilevel"/>
    <w:tmpl w:val="CDF856D8"/>
    <w:lvl w:ilvl="0" w:tplc="10090001">
      <w:start w:val="1"/>
      <w:numFmt w:val="bullet"/>
      <w:lvlText w:val=""/>
      <w:lvlJc w:val="left"/>
      <w:pPr>
        <w:ind w:left="710" w:hanging="360"/>
      </w:pPr>
      <w:rPr>
        <w:rFonts w:ascii="Symbol" w:hAnsi="Symbol" w:hint="default"/>
      </w:rPr>
    </w:lvl>
    <w:lvl w:ilvl="1" w:tplc="10090003" w:tentative="1">
      <w:start w:val="1"/>
      <w:numFmt w:val="bullet"/>
      <w:lvlText w:val="o"/>
      <w:lvlJc w:val="left"/>
      <w:pPr>
        <w:ind w:left="1430" w:hanging="360"/>
      </w:pPr>
      <w:rPr>
        <w:rFonts w:ascii="Courier New" w:hAnsi="Courier New" w:cs="Courier New" w:hint="default"/>
      </w:rPr>
    </w:lvl>
    <w:lvl w:ilvl="2" w:tplc="10090005" w:tentative="1">
      <w:start w:val="1"/>
      <w:numFmt w:val="bullet"/>
      <w:lvlText w:val=""/>
      <w:lvlJc w:val="left"/>
      <w:pPr>
        <w:ind w:left="2150" w:hanging="360"/>
      </w:pPr>
      <w:rPr>
        <w:rFonts w:ascii="Wingdings" w:hAnsi="Wingdings" w:hint="default"/>
      </w:rPr>
    </w:lvl>
    <w:lvl w:ilvl="3" w:tplc="10090001" w:tentative="1">
      <w:start w:val="1"/>
      <w:numFmt w:val="bullet"/>
      <w:lvlText w:val=""/>
      <w:lvlJc w:val="left"/>
      <w:pPr>
        <w:ind w:left="2870" w:hanging="360"/>
      </w:pPr>
      <w:rPr>
        <w:rFonts w:ascii="Symbol" w:hAnsi="Symbol" w:hint="default"/>
      </w:rPr>
    </w:lvl>
    <w:lvl w:ilvl="4" w:tplc="10090003" w:tentative="1">
      <w:start w:val="1"/>
      <w:numFmt w:val="bullet"/>
      <w:lvlText w:val="o"/>
      <w:lvlJc w:val="left"/>
      <w:pPr>
        <w:ind w:left="3590" w:hanging="360"/>
      </w:pPr>
      <w:rPr>
        <w:rFonts w:ascii="Courier New" w:hAnsi="Courier New" w:cs="Courier New" w:hint="default"/>
      </w:rPr>
    </w:lvl>
    <w:lvl w:ilvl="5" w:tplc="10090005" w:tentative="1">
      <w:start w:val="1"/>
      <w:numFmt w:val="bullet"/>
      <w:lvlText w:val=""/>
      <w:lvlJc w:val="left"/>
      <w:pPr>
        <w:ind w:left="4310" w:hanging="360"/>
      </w:pPr>
      <w:rPr>
        <w:rFonts w:ascii="Wingdings" w:hAnsi="Wingdings" w:hint="default"/>
      </w:rPr>
    </w:lvl>
    <w:lvl w:ilvl="6" w:tplc="10090001" w:tentative="1">
      <w:start w:val="1"/>
      <w:numFmt w:val="bullet"/>
      <w:lvlText w:val=""/>
      <w:lvlJc w:val="left"/>
      <w:pPr>
        <w:ind w:left="5030" w:hanging="360"/>
      </w:pPr>
      <w:rPr>
        <w:rFonts w:ascii="Symbol" w:hAnsi="Symbol" w:hint="default"/>
      </w:rPr>
    </w:lvl>
    <w:lvl w:ilvl="7" w:tplc="10090003" w:tentative="1">
      <w:start w:val="1"/>
      <w:numFmt w:val="bullet"/>
      <w:lvlText w:val="o"/>
      <w:lvlJc w:val="left"/>
      <w:pPr>
        <w:ind w:left="5750" w:hanging="360"/>
      </w:pPr>
      <w:rPr>
        <w:rFonts w:ascii="Courier New" w:hAnsi="Courier New" w:cs="Courier New" w:hint="default"/>
      </w:rPr>
    </w:lvl>
    <w:lvl w:ilvl="8" w:tplc="10090005" w:tentative="1">
      <w:start w:val="1"/>
      <w:numFmt w:val="bullet"/>
      <w:lvlText w:val=""/>
      <w:lvlJc w:val="left"/>
      <w:pPr>
        <w:ind w:left="6470" w:hanging="360"/>
      </w:pPr>
      <w:rPr>
        <w:rFonts w:ascii="Wingdings" w:hAnsi="Wingdings" w:hint="default"/>
      </w:rPr>
    </w:lvl>
  </w:abstractNum>
  <w:abstractNum w:abstractNumId="1" w15:restartNumberingAfterBreak="0">
    <w:nsid w:val="449726AD"/>
    <w:multiLevelType w:val="hybridMultilevel"/>
    <w:tmpl w:val="E05CE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4343F02"/>
    <w:multiLevelType w:val="hybridMultilevel"/>
    <w:tmpl w:val="7A50BDF6"/>
    <w:lvl w:ilvl="0" w:tplc="04090001">
      <w:start w:val="1"/>
      <w:numFmt w:val="bullet"/>
      <w:lvlText w:val=""/>
      <w:lvlJc w:val="left"/>
      <w:pPr>
        <w:ind w:left="720" w:hanging="360"/>
      </w:pPr>
      <w:rPr>
        <w:rFonts w:ascii="Symbol" w:hAnsi="Symbol" w:hint="default"/>
      </w:rPr>
    </w:lvl>
    <w:lvl w:ilvl="1" w:tplc="FAF6398E">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4"/>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2E6"/>
    <w:rsid w:val="00000DA7"/>
    <w:rsid w:val="00002339"/>
    <w:rsid w:val="00021C0B"/>
    <w:rsid w:val="0002411E"/>
    <w:rsid w:val="00026B4F"/>
    <w:rsid w:val="00031BA8"/>
    <w:rsid w:val="00033CFB"/>
    <w:rsid w:val="000410DA"/>
    <w:rsid w:val="00043FB3"/>
    <w:rsid w:val="0005683E"/>
    <w:rsid w:val="00066665"/>
    <w:rsid w:val="00084D32"/>
    <w:rsid w:val="0009781D"/>
    <w:rsid w:val="000B084E"/>
    <w:rsid w:val="000B0DAB"/>
    <w:rsid w:val="000B240B"/>
    <w:rsid w:val="000B2D07"/>
    <w:rsid w:val="000B444A"/>
    <w:rsid w:val="000B49A0"/>
    <w:rsid w:val="000C3C9D"/>
    <w:rsid w:val="000D3D54"/>
    <w:rsid w:val="000E61FC"/>
    <w:rsid w:val="000F1F11"/>
    <w:rsid w:val="000F2A2B"/>
    <w:rsid w:val="000F65E9"/>
    <w:rsid w:val="000F6CB4"/>
    <w:rsid w:val="00103BAA"/>
    <w:rsid w:val="00106BF1"/>
    <w:rsid w:val="0014213D"/>
    <w:rsid w:val="001430B9"/>
    <w:rsid w:val="0016086E"/>
    <w:rsid w:val="00164036"/>
    <w:rsid w:val="0016433B"/>
    <w:rsid w:val="00170F62"/>
    <w:rsid w:val="001823DD"/>
    <w:rsid w:val="001825BD"/>
    <w:rsid w:val="00195CF1"/>
    <w:rsid w:val="001A1CB2"/>
    <w:rsid w:val="001A55A6"/>
    <w:rsid w:val="001B13BF"/>
    <w:rsid w:val="001D16F5"/>
    <w:rsid w:val="001E4F12"/>
    <w:rsid w:val="001E5D45"/>
    <w:rsid w:val="001F7C9C"/>
    <w:rsid w:val="00201E2D"/>
    <w:rsid w:val="00211B9C"/>
    <w:rsid w:val="002136BD"/>
    <w:rsid w:val="00215A78"/>
    <w:rsid w:val="00220504"/>
    <w:rsid w:val="00232F3F"/>
    <w:rsid w:val="00233F69"/>
    <w:rsid w:val="002365EF"/>
    <w:rsid w:val="00243C38"/>
    <w:rsid w:val="00245122"/>
    <w:rsid w:val="00246B6E"/>
    <w:rsid w:val="002479D4"/>
    <w:rsid w:val="00251E13"/>
    <w:rsid w:val="00264829"/>
    <w:rsid w:val="00265DD4"/>
    <w:rsid w:val="002669A4"/>
    <w:rsid w:val="00270835"/>
    <w:rsid w:val="00272290"/>
    <w:rsid w:val="00272F49"/>
    <w:rsid w:val="002841C3"/>
    <w:rsid w:val="002901A1"/>
    <w:rsid w:val="00290B43"/>
    <w:rsid w:val="00293FC2"/>
    <w:rsid w:val="002948AF"/>
    <w:rsid w:val="002B18ED"/>
    <w:rsid w:val="002B3EBB"/>
    <w:rsid w:val="002B5552"/>
    <w:rsid w:val="002C050B"/>
    <w:rsid w:val="002D270A"/>
    <w:rsid w:val="002F139A"/>
    <w:rsid w:val="00301789"/>
    <w:rsid w:val="00314616"/>
    <w:rsid w:val="003167E5"/>
    <w:rsid w:val="003175D0"/>
    <w:rsid w:val="0032233A"/>
    <w:rsid w:val="0032374F"/>
    <w:rsid w:val="003237E8"/>
    <w:rsid w:val="003449C2"/>
    <w:rsid w:val="00355CF1"/>
    <w:rsid w:val="00361EC3"/>
    <w:rsid w:val="00372D76"/>
    <w:rsid w:val="00375515"/>
    <w:rsid w:val="00393E7F"/>
    <w:rsid w:val="0039590D"/>
    <w:rsid w:val="003B00B4"/>
    <w:rsid w:val="003C38EF"/>
    <w:rsid w:val="003D12C4"/>
    <w:rsid w:val="003E1B12"/>
    <w:rsid w:val="003E416F"/>
    <w:rsid w:val="003E5E1A"/>
    <w:rsid w:val="003F0162"/>
    <w:rsid w:val="00412813"/>
    <w:rsid w:val="00425000"/>
    <w:rsid w:val="00425FB0"/>
    <w:rsid w:val="004524D7"/>
    <w:rsid w:val="00461363"/>
    <w:rsid w:val="00471510"/>
    <w:rsid w:val="00484497"/>
    <w:rsid w:val="00490225"/>
    <w:rsid w:val="004959B8"/>
    <w:rsid w:val="0049668C"/>
    <w:rsid w:val="004A2D66"/>
    <w:rsid w:val="004B442E"/>
    <w:rsid w:val="004B4909"/>
    <w:rsid w:val="004B6372"/>
    <w:rsid w:val="004C0638"/>
    <w:rsid w:val="004C066C"/>
    <w:rsid w:val="004C319D"/>
    <w:rsid w:val="004C68EA"/>
    <w:rsid w:val="004D1546"/>
    <w:rsid w:val="004E6242"/>
    <w:rsid w:val="004F0F5F"/>
    <w:rsid w:val="00504167"/>
    <w:rsid w:val="00504CC5"/>
    <w:rsid w:val="005178D9"/>
    <w:rsid w:val="00525C1D"/>
    <w:rsid w:val="00534283"/>
    <w:rsid w:val="00540A51"/>
    <w:rsid w:val="005412E6"/>
    <w:rsid w:val="00544064"/>
    <w:rsid w:val="00551C9D"/>
    <w:rsid w:val="00555035"/>
    <w:rsid w:val="00560619"/>
    <w:rsid w:val="00563B7D"/>
    <w:rsid w:val="005663E7"/>
    <w:rsid w:val="00566A91"/>
    <w:rsid w:val="00570FDE"/>
    <w:rsid w:val="00572A81"/>
    <w:rsid w:val="00573C17"/>
    <w:rsid w:val="00580404"/>
    <w:rsid w:val="00580C61"/>
    <w:rsid w:val="0058145D"/>
    <w:rsid w:val="005923A1"/>
    <w:rsid w:val="0059706C"/>
    <w:rsid w:val="005A0944"/>
    <w:rsid w:val="005A1E2C"/>
    <w:rsid w:val="005A47AF"/>
    <w:rsid w:val="005C24C3"/>
    <w:rsid w:val="005C4EB6"/>
    <w:rsid w:val="005D3507"/>
    <w:rsid w:val="005E1967"/>
    <w:rsid w:val="005E668D"/>
    <w:rsid w:val="005E6747"/>
    <w:rsid w:val="005F34A4"/>
    <w:rsid w:val="005F3C06"/>
    <w:rsid w:val="00610E49"/>
    <w:rsid w:val="00631ED6"/>
    <w:rsid w:val="00635A55"/>
    <w:rsid w:val="006378EE"/>
    <w:rsid w:val="006403D2"/>
    <w:rsid w:val="00644761"/>
    <w:rsid w:val="006500BD"/>
    <w:rsid w:val="00661A00"/>
    <w:rsid w:val="006849A6"/>
    <w:rsid w:val="00685E10"/>
    <w:rsid w:val="00693CF6"/>
    <w:rsid w:val="0069449C"/>
    <w:rsid w:val="006A505A"/>
    <w:rsid w:val="006A6D30"/>
    <w:rsid w:val="006B445F"/>
    <w:rsid w:val="006C3941"/>
    <w:rsid w:val="006C6B26"/>
    <w:rsid w:val="006D4B50"/>
    <w:rsid w:val="006E02E2"/>
    <w:rsid w:val="006E07BA"/>
    <w:rsid w:val="006F09F6"/>
    <w:rsid w:val="006F4A9A"/>
    <w:rsid w:val="00701B53"/>
    <w:rsid w:val="00717764"/>
    <w:rsid w:val="0072685F"/>
    <w:rsid w:val="00730DF6"/>
    <w:rsid w:val="007314E7"/>
    <w:rsid w:val="007319FF"/>
    <w:rsid w:val="00733551"/>
    <w:rsid w:val="00744A91"/>
    <w:rsid w:val="00747389"/>
    <w:rsid w:val="00762FAA"/>
    <w:rsid w:val="007646FA"/>
    <w:rsid w:val="0077389E"/>
    <w:rsid w:val="00776667"/>
    <w:rsid w:val="00782C4D"/>
    <w:rsid w:val="00782D16"/>
    <w:rsid w:val="00785531"/>
    <w:rsid w:val="007A21F4"/>
    <w:rsid w:val="007A2BCE"/>
    <w:rsid w:val="007A2DC6"/>
    <w:rsid w:val="007B35A6"/>
    <w:rsid w:val="007C7F00"/>
    <w:rsid w:val="007D37B4"/>
    <w:rsid w:val="007D3EE9"/>
    <w:rsid w:val="007D5ADA"/>
    <w:rsid w:val="007E063A"/>
    <w:rsid w:val="007E6B8C"/>
    <w:rsid w:val="007E7AA9"/>
    <w:rsid w:val="007F48F6"/>
    <w:rsid w:val="0080282F"/>
    <w:rsid w:val="00804447"/>
    <w:rsid w:val="0080447E"/>
    <w:rsid w:val="00804E77"/>
    <w:rsid w:val="008141AD"/>
    <w:rsid w:val="00827EF0"/>
    <w:rsid w:val="00836D8C"/>
    <w:rsid w:val="00852ACD"/>
    <w:rsid w:val="008542EE"/>
    <w:rsid w:val="00871FF9"/>
    <w:rsid w:val="00876AEB"/>
    <w:rsid w:val="0088535C"/>
    <w:rsid w:val="008952FF"/>
    <w:rsid w:val="008A64B8"/>
    <w:rsid w:val="008A7282"/>
    <w:rsid w:val="008A7CF0"/>
    <w:rsid w:val="008B0F5F"/>
    <w:rsid w:val="008B4734"/>
    <w:rsid w:val="008C295A"/>
    <w:rsid w:val="008D5796"/>
    <w:rsid w:val="008D76F8"/>
    <w:rsid w:val="008E3CE4"/>
    <w:rsid w:val="008F78EC"/>
    <w:rsid w:val="009032F7"/>
    <w:rsid w:val="00904BC8"/>
    <w:rsid w:val="009115C3"/>
    <w:rsid w:val="00911774"/>
    <w:rsid w:val="009232A2"/>
    <w:rsid w:val="00924E17"/>
    <w:rsid w:val="009305D3"/>
    <w:rsid w:val="00933E91"/>
    <w:rsid w:val="0093522C"/>
    <w:rsid w:val="00937B6A"/>
    <w:rsid w:val="00944828"/>
    <w:rsid w:val="00944C24"/>
    <w:rsid w:val="009469DA"/>
    <w:rsid w:val="009562F9"/>
    <w:rsid w:val="009669C8"/>
    <w:rsid w:val="00977F23"/>
    <w:rsid w:val="009810E8"/>
    <w:rsid w:val="00987FEE"/>
    <w:rsid w:val="0099075E"/>
    <w:rsid w:val="00992F2D"/>
    <w:rsid w:val="00995EA5"/>
    <w:rsid w:val="00997C19"/>
    <w:rsid w:val="009A00F0"/>
    <w:rsid w:val="009A23CB"/>
    <w:rsid w:val="009A3C57"/>
    <w:rsid w:val="009A50BB"/>
    <w:rsid w:val="009B1A4C"/>
    <w:rsid w:val="009B2630"/>
    <w:rsid w:val="009B5127"/>
    <w:rsid w:val="009D25C7"/>
    <w:rsid w:val="009D423E"/>
    <w:rsid w:val="009D7A3F"/>
    <w:rsid w:val="009E4B85"/>
    <w:rsid w:val="009E6041"/>
    <w:rsid w:val="009F0902"/>
    <w:rsid w:val="009F4A16"/>
    <w:rsid w:val="009F5753"/>
    <w:rsid w:val="00A03F2C"/>
    <w:rsid w:val="00A04583"/>
    <w:rsid w:val="00A24661"/>
    <w:rsid w:val="00A3397B"/>
    <w:rsid w:val="00A36918"/>
    <w:rsid w:val="00A3723F"/>
    <w:rsid w:val="00A60633"/>
    <w:rsid w:val="00A64D5A"/>
    <w:rsid w:val="00A6603B"/>
    <w:rsid w:val="00A759CE"/>
    <w:rsid w:val="00A8777C"/>
    <w:rsid w:val="00A93F3F"/>
    <w:rsid w:val="00AB34C3"/>
    <w:rsid w:val="00AD4135"/>
    <w:rsid w:val="00AD71B4"/>
    <w:rsid w:val="00AE4775"/>
    <w:rsid w:val="00AE5098"/>
    <w:rsid w:val="00AF4E56"/>
    <w:rsid w:val="00AF64A5"/>
    <w:rsid w:val="00B136ED"/>
    <w:rsid w:val="00B153BE"/>
    <w:rsid w:val="00B32483"/>
    <w:rsid w:val="00B33EE1"/>
    <w:rsid w:val="00B349D2"/>
    <w:rsid w:val="00B35FDE"/>
    <w:rsid w:val="00B43A20"/>
    <w:rsid w:val="00B56E9B"/>
    <w:rsid w:val="00B603C8"/>
    <w:rsid w:val="00B63F7C"/>
    <w:rsid w:val="00B755D6"/>
    <w:rsid w:val="00B77F80"/>
    <w:rsid w:val="00B814E1"/>
    <w:rsid w:val="00B82FDB"/>
    <w:rsid w:val="00BC070F"/>
    <w:rsid w:val="00BC4BED"/>
    <w:rsid w:val="00BD2573"/>
    <w:rsid w:val="00BD3463"/>
    <w:rsid w:val="00BD4D21"/>
    <w:rsid w:val="00BD7853"/>
    <w:rsid w:val="00BE3D2E"/>
    <w:rsid w:val="00C05461"/>
    <w:rsid w:val="00C05AFA"/>
    <w:rsid w:val="00C132D1"/>
    <w:rsid w:val="00C17A18"/>
    <w:rsid w:val="00C22C87"/>
    <w:rsid w:val="00C246B2"/>
    <w:rsid w:val="00C2642C"/>
    <w:rsid w:val="00C36AE1"/>
    <w:rsid w:val="00C404F1"/>
    <w:rsid w:val="00C416CC"/>
    <w:rsid w:val="00C439BB"/>
    <w:rsid w:val="00C477BA"/>
    <w:rsid w:val="00C53C1C"/>
    <w:rsid w:val="00C60937"/>
    <w:rsid w:val="00C66843"/>
    <w:rsid w:val="00C77BA7"/>
    <w:rsid w:val="00C80D28"/>
    <w:rsid w:val="00C823D9"/>
    <w:rsid w:val="00C85A66"/>
    <w:rsid w:val="00CB4DB2"/>
    <w:rsid w:val="00CC502D"/>
    <w:rsid w:val="00CC64E9"/>
    <w:rsid w:val="00CD0D9B"/>
    <w:rsid w:val="00CD4818"/>
    <w:rsid w:val="00CE4FC2"/>
    <w:rsid w:val="00CE7D33"/>
    <w:rsid w:val="00D04585"/>
    <w:rsid w:val="00D116C6"/>
    <w:rsid w:val="00D16611"/>
    <w:rsid w:val="00D26EEF"/>
    <w:rsid w:val="00D331B8"/>
    <w:rsid w:val="00D36C76"/>
    <w:rsid w:val="00D41368"/>
    <w:rsid w:val="00D41F75"/>
    <w:rsid w:val="00D5403C"/>
    <w:rsid w:val="00D55629"/>
    <w:rsid w:val="00D55E6A"/>
    <w:rsid w:val="00D70D2A"/>
    <w:rsid w:val="00D71A98"/>
    <w:rsid w:val="00D81513"/>
    <w:rsid w:val="00D81A40"/>
    <w:rsid w:val="00D902E4"/>
    <w:rsid w:val="00D91A10"/>
    <w:rsid w:val="00D920EC"/>
    <w:rsid w:val="00D94619"/>
    <w:rsid w:val="00D9608E"/>
    <w:rsid w:val="00DA4B91"/>
    <w:rsid w:val="00DB38D0"/>
    <w:rsid w:val="00DB7A27"/>
    <w:rsid w:val="00DC6B55"/>
    <w:rsid w:val="00DD2A1F"/>
    <w:rsid w:val="00DE0A31"/>
    <w:rsid w:val="00DF08DE"/>
    <w:rsid w:val="00DF1D59"/>
    <w:rsid w:val="00DF7FE1"/>
    <w:rsid w:val="00E03197"/>
    <w:rsid w:val="00E0449F"/>
    <w:rsid w:val="00E121D1"/>
    <w:rsid w:val="00E1513E"/>
    <w:rsid w:val="00E16020"/>
    <w:rsid w:val="00E34DAD"/>
    <w:rsid w:val="00E3548C"/>
    <w:rsid w:val="00E368AD"/>
    <w:rsid w:val="00E41D69"/>
    <w:rsid w:val="00E42972"/>
    <w:rsid w:val="00E438D6"/>
    <w:rsid w:val="00E47536"/>
    <w:rsid w:val="00E52F63"/>
    <w:rsid w:val="00E53BA8"/>
    <w:rsid w:val="00E56682"/>
    <w:rsid w:val="00E61FB3"/>
    <w:rsid w:val="00E6653C"/>
    <w:rsid w:val="00E82E9A"/>
    <w:rsid w:val="00E85A1A"/>
    <w:rsid w:val="00E95DDD"/>
    <w:rsid w:val="00EA1CA0"/>
    <w:rsid w:val="00EA6572"/>
    <w:rsid w:val="00EA6CB0"/>
    <w:rsid w:val="00EB1F54"/>
    <w:rsid w:val="00EC1638"/>
    <w:rsid w:val="00EC26B4"/>
    <w:rsid w:val="00ED05CE"/>
    <w:rsid w:val="00ED47F9"/>
    <w:rsid w:val="00EE38FA"/>
    <w:rsid w:val="00EE39E0"/>
    <w:rsid w:val="00EE6806"/>
    <w:rsid w:val="00EF0F14"/>
    <w:rsid w:val="00EF1C65"/>
    <w:rsid w:val="00EF2576"/>
    <w:rsid w:val="00F00493"/>
    <w:rsid w:val="00F0681A"/>
    <w:rsid w:val="00F1779F"/>
    <w:rsid w:val="00F31E3F"/>
    <w:rsid w:val="00F41D70"/>
    <w:rsid w:val="00F528E2"/>
    <w:rsid w:val="00F64E2C"/>
    <w:rsid w:val="00F66461"/>
    <w:rsid w:val="00F828D2"/>
    <w:rsid w:val="00F93577"/>
    <w:rsid w:val="00F93D9F"/>
    <w:rsid w:val="00FA2918"/>
    <w:rsid w:val="00FC0FCB"/>
    <w:rsid w:val="00FC1709"/>
    <w:rsid w:val="00FC3437"/>
    <w:rsid w:val="00FD1793"/>
    <w:rsid w:val="00FD6196"/>
    <w:rsid w:val="00FF702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74E85BB8"/>
  <w15:chartTrackingRefBased/>
  <w15:docId w15:val="{F50F12B3-E29C-4E4F-9AE1-956245EBE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1A10"/>
    <w:pPr>
      <w:spacing w:after="0" w:line="240" w:lineRule="auto"/>
      <w:jc w:val="both"/>
    </w:pPr>
    <w:rPr>
      <w:rFonts w:ascii="Times New Roman" w:eastAsia="Times New Roman" w:hAnsi="Times New Roman" w:cs="Times New Roman"/>
      <w:sz w:val="20"/>
      <w:szCs w:val="24"/>
    </w:rPr>
  </w:style>
  <w:style w:type="paragraph" w:styleId="Heading1">
    <w:name w:val="heading 1"/>
    <w:basedOn w:val="Normal"/>
    <w:link w:val="Heading1Char"/>
    <w:uiPriority w:val="9"/>
    <w:qFormat/>
    <w:rsid w:val="0058145D"/>
    <w:pPr>
      <w:widowControl w:val="0"/>
      <w:autoSpaceDE w:val="0"/>
      <w:autoSpaceDN w:val="0"/>
      <w:ind w:left="157"/>
      <w:outlineLvl w:val="0"/>
    </w:pPr>
    <w:rPr>
      <w:b/>
      <w:bCs/>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5412E6"/>
    <w:pPr>
      <w:spacing w:before="240"/>
    </w:pPr>
  </w:style>
  <w:style w:type="character" w:customStyle="1" w:styleId="BodyTextChar">
    <w:name w:val="Body Text Char"/>
    <w:basedOn w:val="DefaultParagraphFont"/>
    <w:link w:val="BodyText"/>
    <w:rsid w:val="005412E6"/>
    <w:rPr>
      <w:rFonts w:ascii="Times New Roman" w:eastAsia="Times New Roman" w:hAnsi="Times New Roman" w:cs="Times New Roman"/>
      <w:sz w:val="20"/>
      <w:szCs w:val="24"/>
    </w:rPr>
  </w:style>
  <w:style w:type="table" w:styleId="TableGrid">
    <w:name w:val="Table Grid"/>
    <w:basedOn w:val="TableNormal"/>
    <w:uiPriority w:val="39"/>
    <w:rsid w:val="005412E6"/>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10"/>
    <w:qFormat/>
    <w:rsid w:val="00C77BA7"/>
    <w:pPr>
      <w:widowControl w:val="0"/>
      <w:autoSpaceDE w:val="0"/>
      <w:autoSpaceDN w:val="0"/>
      <w:spacing w:before="262"/>
      <w:ind w:left="1659" w:right="1961"/>
      <w:jc w:val="center"/>
    </w:pPr>
    <w:rPr>
      <w:b/>
      <w:bCs/>
      <w:sz w:val="36"/>
      <w:szCs w:val="36"/>
      <w:lang w:val="en-US"/>
    </w:rPr>
  </w:style>
  <w:style w:type="character" w:customStyle="1" w:styleId="TitleChar">
    <w:name w:val="Title Char"/>
    <w:basedOn w:val="DefaultParagraphFont"/>
    <w:link w:val="Title"/>
    <w:uiPriority w:val="10"/>
    <w:rsid w:val="00C77BA7"/>
    <w:rPr>
      <w:rFonts w:ascii="Times New Roman" w:eastAsia="Times New Roman" w:hAnsi="Times New Roman" w:cs="Times New Roman"/>
      <w:b/>
      <w:bCs/>
      <w:sz w:val="36"/>
      <w:szCs w:val="36"/>
      <w:lang w:val="en-US"/>
    </w:rPr>
  </w:style>
  <w:style w:type="character" w:customStyle="1" w:styleId="Heading1Char">
    <w:name w:val="Heading 1 Char"/>
    <w:basedOn w:val="DefaultParagraphFont"/>
    <w:link w:val="Heading1"/>
    <w:uiPriority w:val="9"/>
    <w:rsid w:val="0058145D"/>
    <w:rPr>
      <w:rFonts w:ascii="Times New Roman" w:eastAsia="Times New Roman" w:hAnsi="Times New Roman" w:cs="Times New Roman"/>
      <w:b/>
      <w:bCs/>
      <w:lang w:val="en-US"/>
    </w:rPr>
  </w:style>
  <w:style w:type="character" w:styleId="CommentReference">
    <w:name w:val="annotation reference"/>
    <w:basedOn w:val="DefaultParagraphFont"/>
    <w:uiPriority w:val="99"/>
    <w:semiHidden/>
    <w:unhideWhenUsed/>
    <w:rsid w:val="0093522C"/>
    <w:rPr>
      <w:sz w:val="16"/>
      <w:szCs w:val="16"/>
    </w:rPr>
  </w:style>
  <w:style w:type="paragraph" w:styleId="CommentText">
    <w:name w:val="annotation text"/>
    <w:basedOn w:val="Normal"/>
    <w:link w:val="CommentTextChar"/>
    <w:uiPriority w:val="99"/>
    <w:unhideWhenUsed/>
    <w:rsid w:val="0093522C"/>
    <w:rPr>
      <w:szCs w:val="20"/>
    </w:rPr>
  </w:style>
  <w:style w:type="character" w:customStyle="1" w:styleId="CommentTextChar">
    <w:name w:val="Comment Text Char"/>
    <w:basedOn w:val="DefaultParagraphFont"/>
    <w:link w:val="CommentText"/>
    <w:uiPriority w:val="99"/>
    <w:rsid w:val="0093522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3522C"/>
    <w:rPr>
      <w:b/>
      <w:bCs/>
    </w:rPr>
  </w:style>
  <w:style w:type="character" w:customStyle="1" w:styleId="CommentSubjectChar">
    <w:name w:val="Comment Subject Char"/>
    <w:basedOn w:val="CommentTextChar"/>
    <w:link w:val="CommentSubject"/>
    <w:uiPriority w:val="99"/>
    <w:semiHidden/>
    <w:rsid w:val="0093522C"/>
    <w:rPr>
      <w:rFonts w:ascii="Times New Roman" w:eastAsia="Times New Roman" w:hAnsi="Times New Roman" w:cs="Times New Roman"/>
      <w:b/>
      <w:bCs/>
      <w:sz w:val="20"/>
      <w:szCs w:val="20"/>
    </w:rPr>
  </w:style>
  <w:style w:type="paragraph" w:customStyle="1" w:styleId="TableParagraph">
    <w:name w:val="Table Paragraph"/>
    <w:basedOn w:val="Normal"/>
    <w:uiPriority w:val="1"/>
    <w:qFormat/>
    <w:rsid w:val="00D91A10"/>
    <w:pPr>
      <w:widowControl w:val="0"/>
      <w:autoSpaceDE w:val="0"/>
      <w:autoSpaceDN w:val="0"/>
      <w:jc w:val="right"/>
    </w:pPr>
    <w:rPr>
      <w:rFonts w:ascii="Arial" w:eastAsia="Arial" w:hAnsi="Arial" w:cs="Arial"/>
      <w:sz w:val="22"/>
      <w:szCs w:val="22"/>
      <w:lang w:val="en-US"/>
    </w:rPr>
  </w:style>
  <w:style w:type="paragraph" w:customStyle="1" w:styleId="TableFigures">
    <w:name w:val="Table Figures"/>
    <w:basedOn w:val="Normal"/>
    <w:rsid w:val="00D91A10"/>
    <w:pPr>
      <w:tabs>
        <w:tab w:val="decimal" w:pos="1296"/>
      </w:tabs>
      <w:jc w:val="left"/>
    </w:pPr>
    <w:rPr>
      <w:rFonts w:cstheme="minorBidi"/>
      <w:sz w:val="22"/>
      <w:szCs w:val="22"/>
    </w:rPr>
  </w:style>
  <w:style w:type="paragraph" w:styleId="Header">
    <w:name w:val="header"/>
    <w:basedOn w:val="Normal"/>
    <w:link w:val="HeaderChar"/>
    <w:uiPriority w:val="99"/>
    <w:unhideWhenUsed/>
    <w:rsid w:val="00D94619"/>
    <w:pPr>
      <w:tabs>
        <w:tab w:val="center" w:pos="4680"/>
        <w:tab w:val="right" w:pos="9360"/>
      </w:tabs>
    </w:pPr>
  </w:style>
  <w:style w:type="character" w:customStyle="1" w:styleId="HeaderChar">
    <w:name w:val="Header Char"/>
    <w:basedOn w:val="DefaultParagraphFont"/>
    <w:link w:val="Header"/>
    <w:uiPriority w:val="99"/>
    <w:rsid w:val="00D94619"/>
    <w:rPr>
      <w:rFonts w:ascii="Times New Roman" w:eastAsia="Times New Roman" w:hAnsi="Times New Roman" w:cs="Times New Roman"/>
      <w:sz w:val="20"/>
      <w:szCs w:val="24"/>
    </w:rPr>
  </w:style>
  <w:style w:type="paragraph" w:styleId="Footer">
    <w:name w:val="footer"/>
    <w:basedOn w:val="Normal"/>
    <w:link w:val="FooterChar"/>
    <w:uiPriority w:val="99"/>
    <w:unhideWhenUsed/>
    <w:rsid w:val="00D94619"/>
    <w:pPr>
      <w:tabs>
        <w:tab w:val="center" w:pos="4680"/>
        <w:tab w:val="right" w:pos="9360"/>
      </w:tabs>
    </w:pPr>
  </w:style>
  <w:style w:type="character" w:customStyle="1" w:styleId="FooterChar">
    <w:name w:val="Footer Char"/>
    <w:basedOn w:val="DefaultParagraphFont"/>
    <w:link w:val="Footer"/>
    <w:uiPriority w:val="99"/>
    <w:rsid w:val="00D94619"/>
    <w:rPr>
      <w:rFonts w:ascii="Times New Roman" w:eastAsia="Times New Roman" w:hAnsi="Times New Roman" w:cs="Times New Roman"/>
      <w:sz w:val="20"/>
      <w:szCs w:val="24"/>
    </w:rPr>
  </w:style>
  <w:style w:type="paragraph" w:styleId="ListParagraph">
    <w:name w:val="List Paragraph"/>
    <w:basedOn w:val="Normal"/>
    <w:uiPriority w:val="34"/>
    <w:qFormat/>
    <w:rsid w:val="0072685F"/>
    <w:pPr>
      <w:ind w:left="720"/>
      <w:contextualSpacing/>
    </w:pPr>
  </w:style>
  <w:style w:type="paragraph" w:styleId="Subtitle">
    <w:name w:val="Subtitle"/>
    <w:basedOn w:val="Normal"/>
    <w:next w:val="BodyText"/>
    <w:link w:val="SubtitleChar1"/>
    <w:qFormat/>
    <w:rsid w:val="00B349D2"/>
    <w:pPr>
      <w:keepNext/>
      <w:keepLines/>
      <w:spacing w:before="240"/>
      <w:jc w:val="left"/>
    </w:pPr>
    <w:rPr>
      <w:rFonts w:ascii="Times New Roman Bold" w:hAnsi="Times New Roman Bold"/>
      <w:b/>
      <w:sz w:val="22"/>
      <w:szCs w:val="20"/>
    </w:rPr>
  </w:style>
  <w:style w:type="character" w:customStyle="1" w:styleId="SubtitleChar">
    <w:name w:val="Subtitle Char"/>
    <w:basedOn w:val="DefaultParagraphFont"/>
    <w:uiPriority w:val="11"/>
    <w:rsid w:val="00B349D2"/>
    <w:rPr>
      <w:rFonts w:eastAsiaTheme="minorEastAsia"/>
      <w:color w:val="5A5A5A" w:themeColor="text1" w:themeTint="A5"/>
      <w:spacing w:val="15"/>
    </w:rPr>
  </w:style>
  <w:style w:type="character" w:customStyle="1" w:styleId="SubtitleChar1">
    <w:name w:val="Subtitle Char1"/>
    <w:link w:val="Subtitle"/>
    <w:rsid w:val="00B349D2"/>
    <w:rPr>
      <w:rFonts w:ascii="Times New Roman Bold" w:eastAsia="Times New Roman" w:hAnsi="Times New Roman Bold" w:cs="Times New Roman"/>
      <w:b/>
      <w:szCs w:val="20"/>
    </w:rPr>
  </w:style>
  <w:style w:type="paragraph" w:styleId="BalloonText">
    <w:name w:val="Balloon Text"/>
    <w:basedOn w:val="Normal"/>
    <w:link w:val="BalloonTextChar"/>
    <w:uiPriority w:val="99"/>
    <w:semiHidden/>
    <w:unhideWhenUsed/>
    <w:rsid w:val="00BC070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070F"/>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9850185">
      <w:bodyDiv w:val="1"/>
      <w:marLeft w:val="0"/>
      <w:marRight w:val="0"/>
      <w:marTop w:val="0"/>
      <w:marBottom w:val="0"/>
      <w:divBdr>
        <w:top w:val="none" w:sz="0" w:space="0" w:color="auto"/>
        <w:left w:val="none" w:sz="0" w:space="0" w:color="auto"/>
        <w:bottom w:val="none" w:sz="0" w:space="0" w:color="auto"/>
        <w:right w:val="none" w:sz="0" w:space="0" w:color="auto"/>
      </w:divBdr>
    </w:div>
    <w:div w:id="1106534037">
      <w:bodyDiv w:val="1"/>
      <w:marLeft w:val="0"/>
      <w:marRight w:val="0"/>
      <w:marTop w:val="0"/>
      <w:marBottom w:val="0"/>
      <w:divBdr>
        <w:top w:val="none" w:sz="0" w:space="0" w:color="auto"/>
        <w:left w:val="none" w:sz="0" w:space="0" w:color="auto"/>
        <w:bottom w:val="none" w:sz="0" w:space="0" w:color="auto"/>
        <w:right w:val="none" w:sz="0" w:space="0" w:color="auto"/>
      </w:divBdr>
    </w:div>
    <w:div w:id="1173952016">
      <w:bodyDiv w:val="1"/>
      <w:marLeft w:val="0"/>
      <w:marRight w:val="0"/>
      <w:marTop w:val="0"/>
      <w:marBottom w:val="0"/>
      <w:divBdr>
        <w:top w:val="none" w:sz="0" w:space="0" w:color="auto"/>
        <w:left w:val="none" w:sz="0" w:space="0" w:color="auto"/>
        <w:bottom w:val="none" w:sz="0" w:space="0" w:color="auto"/>
        <w:right w:val="none" w:sz="0" w:space="0" w:color="auto"/>
      </w:divBdr>
    </w:div>
    <w:div w:id="1518080558">
      <w:bodyDiv w:val="1"/>
      <w:marLeft w:val="0"/>
      <w:marRight w:val="0"/>
      <w:marTop w:val="0"/>
      <w:marBottom w:val="0"/>
      <w:divBdr>
        <w:top w:val="none" w:sz="0" w:space="0" w:color="auto"/>
        <w:left w:val="none" w:sz="0" w:space="0" w:color="auto"/>
        <w:bottom w:val="none" w:sz="0" w:space="0" w:color="auto"/>
        <w:right w:val="none" w:sz="0" w:space="0" w:color="auto"/>
      </w:divBdr>
    </w:div>
    <w:div w:id="1624651915">
      <w:bodyDiv w:val="1"/>
      <w:marLeft w:val="0"/>
      <w:marRight w:val="0"/>
      <w:marTop w:val="0"/>
      <w:marBottom w:val="0"/>
      <w:divBdr>
        <w:top w:val="none" w:sz="0" w:space="0" w:color="auto"/>
        <w:left w:val="none" w:sz="0" w:space="0" w:color="auto"/>
        <w:bottom w:val="none" w:sz="0" w:space="0" w:color="auto"/>
        <w:right w:val="none" w:sz="0" w:space="0" w:color="auto"/>
      </w:divBdr>
    </w:div>
    <w:div w:id="1848711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sedar.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sedar.com/" TargetMode="External"/><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D4AC8652B316C45B16AC02736527A1E" ma:contentTypeVersion="0" ma:contentTypeDescription="Create a new document." ma:contentTypeScope="" ma:versionID="fa99777bc930b3accff4ea8e187aaa17">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71D74A2D-4866-49D8-8042-D094F0E97058}">
  <ds:schemaRefs>
    <ds:schemaRef ds:uri="http://schemas.microsoft.com/sharepoint/v3/contenttype/forms"/>
  </ds:schemaRefs>
</ds:datastoreItem>
</file>

<file path=customXml/itemProps2.xml><?xml version="1.0" encoding="utf-8"?>
<ds:datastoreItem xmlns:ds="http://schemas.openxmlformats.org/officeDocument/2006/customXml" ds:itemID="{99854598-19DD-4AD2-B18A-C2803EB5202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8D3EB8F-CC2F-4167-801D-AB7736D28E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2894</Words>
  <Characters>15748</Characters>
  <Application>Microsoft Office Word</Application>
  <DocSecurity>0</DocSecurity>
  <Lines>583</Lines>
  <Paragraphs>300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Nelson Lamb</dc:creator>
  <cp:keywords/>
  <dc:description/>
  <cp:lastModifiedBy>Wes Short</cp:lastModifiedBy>
  <cp:revision>3</cp:revision>
  <cp:lastPrinted>2021-11-29T19:53:00Z</cp:lastPrinted>
  <dcterms:created xsi:type="dcterms:W3CDTF">2022-05-30T20:45:00Z</dcterms:created>
  <dcterms:modified xsi:type="dcterms:W3CDTF">2022-05-31T01:58:00Z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0x0101008D4AC8652B316C45B16AC02736527A1E</vt:lpwstr>
  </property>
</Properties>
</file>