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55" w:rsidRPr="00B4333E" w:rsidRDefault="00602F55" w:rsidP="00B4333E">
      <w:pPr>
        <w:spacing w:after="0"/>
        <w:jc w:val="both"/>
        <w:rPr>
          <w:b/>
          <w:sz w:val="20"/>
          <w:szCs w:val="20"/>
        </w:rPr>
      </w:pPr>
      <w:r w:rsidRPr="00B4333E">
        <w:rPr>
          <w:b/>
          <w:sz w:val="20"/>
          <w:szCs w:val="20"/>
        </w:rPr>
        <w:t>BYND – BEYOND SOLUTIONS LTD.</w:t>
      </w:r>
    </w:p>
    <w:p w:rsidR="00006B5F" w:rsidRDefault="00602F55" w:rsidP="00B4333E">
      <w:pPr>
        <w:spacing w:after="0"/>
        <w:jc w:val="both"/>
        <w:rPr>
          <w:b/>
          <w:sz w:val="20"/>
          <w:szCs w:val="20"/>
        </w:rPr>
      </w:pPr>
      <w:r w:rsidRPr="00B4333E">
        <w:rPr>
          <w:b/>
          <w:sz w:val="20"/>
          <w:szCs w:val="20"/>
        </w:rPr>
        <w:t xml:space="preserve">MANAGEMENT DISCUSSION AND ANALYSIS FOR THE FISCAL YEAR ENDED </w:t>
      </w:r>
    </w:p>
    <w:p w:rsidR="00602F55" w:rsidRPr="00B4333E" w:rsidRDefault="00602F55" w:rsidP="008905A5">
      <w:pPr>
        <w:spacing w:after="0"/>
        <w:jc w:val="both"/>
        <w:rPr>
          <w:b/>
          <w:sz w:val="20"/>
          <w:szCs w:val="20"/>
        </w:rPr>
      </w:pPr>
      <w:r w:rsidRPr="00B4333E">
        <w:rPr>
          <w:b/>
          <w:sz w:val="20"/>
          <w:szCs w:val="20"/>
        </w:rPr>
        <w:t>DECEMBER 31, 20</w:t>
      </w:r>
      <w:r w:rsidR="008905A5">
        <w:rPr>
          <w:b/>
          <w:sz w:val="20"/>
          <w:szCs w:val="20"/>
        </w:rPr>
        <w:t>20 and 2019</w:t>
      </w:r>
      <w:r w:rsidRPr="00B4333E">
        <w:rPr>
          <w:b/>
          <w:sz w:val="20"/>
          <w:szCs w:val="20"/>
        </w:rPr>
        <w:t xml:space="preserve"> </w:t>
      </w:r>
    </w:p>
    <w:p w:rsidR="00602F55" w:rsidRPr="00B4333E" w:rsidRDefault="00602F55" w:rsidP="00B4333E">
      <w:pPr>
        <w:spacing w:after="0"/>
        <w:jc w:val="both"/>
        <w:rPr>
          <w:sz w:val="20"/>
          <w:szCs w:val="20"/>
        </w:rPr>
      </w:pPr>
      <w:r w:rsidRPr="00B4333E">
        <w:rPr>
          <w:sz w:val="20"/>
          <w:szCs w:val="20"/>
        </w:rPr>
        <w:t>All dollar amounts are expressed in Canadian dollars unless otherwise indicated</w:t>
      </w:r>
    </w:p>
    <w:p w:rsidR="00602F55" w:rsidRPr="00B4333E" w:rsidRDefault="00602F55" w:rsidP="00B4333E">
      <w:pPr>
        <w:spacing w:after="0"/>
        <w:jc w:val="both"/>
        <w:rPr>
          <w:sz w:val="20"/>
          <w:szCs w:val="20"/>
        </w:rPr>
      </w:pPr>
      <w:r w:rsidRPr="00B4333E">
        <w:rPr>
          <w:sz w:val="20"/>
          <w:szCs w:val="20"/>
        </w:rPr>
        <w:t>________________________________________________________________________________</w:t>
      </w:r>
    </w:p>
    <w:p w:rsidR="00602F55" w:rsidRPr="00B4333E" w:rsidRDefault="00602F55" w:rsidP="00B4333E">
      <w:pPr>
        <w:spacing w:after="0"/>
        <w:jc w:val="both"/>
        <w:rPr>
          <w:sz w:val="20"/>
          <w:szCs w:val="20"/>
          <w:u w:val="single"/>
        </w:rPr>
      </w:pPr>
    </w:p>
    <w:p w:rsidR="00602F55" w:rsidRPr="00B4333E" w:rsidRDefault="00602F55" w:rsidP="00B4333E">
      <w:pPr>
        <w:spacing w:after="0"/>
        <w:jc w:val="both"/>
        <w:rPr>
          <w:b/>
          <w:sz w:val="20"/>
          <w:szCs w:val="20"/>
          <w:u w:val="single"/>
        </w:rPr>
      </w:pPr>
      <w:r w:rsidRPr="00B4333E">
        <w:rPr>
          <w:b/>
          <w:sz w:val="20"/>
          <w:szCs w:val="20"/>
          <w:u w:val="single"/>
        </w:rPr>
        <w:t>BACKGROUND</w:t>
      </w:r>
    </w:p>
    <w:p w:rsidR="00602F55" w:rsidRPr="00B4333E" w:rsidRDefault="00602F55" w:rsidP="00B4333E">
      <w:pPr>
        <w:spacing w:after="0"/>
        <w:jc w:val="both"/>
        <w:rPr>
          <w:b/>
          <w:sz w:val="20"/>
          <w:szCs w:val="20"/>
          <w:u w:val="single"/>
        </w:rPr>
      </w:pPr>
    </w:p>
    <w:p w:rsidR="00B4333E" w:rsidRPr="0085422F" w:rsidRDefault="00B4333E" w:rsidP="00410766">
      <w:pPr>
        <w:spacing w:after="0"/>
        <w:jc w:val="both"/>
        <w:rPr>
          <w:sz w:val="20"/>
          <w:szCs w:val="20"/>
        </w:rPr>
      </w:pPr>
      <w:r w:rsidRPr="0085422F">
        <w:rPr>
          <w:sz w:val="20"/>
          <w:szCs w:val="20"/>
        </w:rPr>
        <w:t>This Management’s Discussion and Analysis (“</w:t>
      </w:r>
      <w:r w:rsidRPr="0085422F">
        <w:rPr>
          <w:b/>
          <w:sz w:val="20"/>
          <w:szCs w:val="20"/>
        </w:rPr>
        <w:t>MD&amp;A</w:t>
      </w:r>
      <w:r w:rsidRPr="0085422F">
        <w:rPr>
          <w:sz w:val="20"/>
          <w:szCs w:val="20"/>
        </w:rPr>
        <w:t xml:space="preserve">”) should be read in conjunction with the audited financial statements and notes thereto of </w:t>
      </w:r>
      <w:r>
        <w:rPr>
          <w:sz w:val="20"/>
          <w:szCs w:val="20"/>
        </w:rPr>
        <w:t xml:space="preserve">BYND – Beyond Solutions Ltd. </w:t>
      </w:r>
      <w:r w:rsidRPr="0085422F">
        <w:rPr>
          <w:sz w:val="20"/>
          <w:szCs w:val="20"/>
        </w:rPr>
        <w:t>(</w:t>
      </w:r>
      <w:r>
        <w:rPr>
          <w:sz w:val="20"/>
          <w:szCs w:val="20"/>
        </w:rPr>
        <w:t>“</w:t>
      </w:r>
      <w:r w:rsidRPr="00B4333E">
        <w:rPr>
          <w:b/>
          <w:sz w:val="20"/>
          <w:szCs w:val="20"/>
        </w:rPr>
        <w:t>BYND</w:t>
      </w:r>
      <w:r>
        <w:rPr>
          <w:sz w:val="20"/>
          <w:szCs w:val="20"/>
        </w:rPr>
        <w:t xml:space="preserve">” or </w:t>
      </w:r>
      <w:r w:rsidRPr="0085422F">
        <w:rPr>
          <w:sz w:val="20"/>
          <w:szCs w:val="20"/>
        </w:rPr>
        <w:t>the “</w:t>
      </w:r>
      <w:r w:rsidRPr="0085422F">
        <w:rPr>
          <w:b/>
          <w:sz w:val="20"/>
          <w:szCs w:val="20"/>
        </w:rPr>
        <w:t>Company</w:t>
      </w:r>
      <w:r w:rsidRPr="0085422F">
        <w:rPr>
          <w:sz w:val="20"/>
          <w:szCs w:val="20"/>
        </w:rPr>
        <w:t>”) for the fiscal year</w:t>
      </w:r>
      <w:r>
        <w:rPr>
          <w:sz w:val="20"/>
          <w:szCs w:val="20"/>
        </w:rPr>
        <w:t>s</w:t>
      </w:r>
      <w:r w:rsidRPr="0085422F">
        <w:rPr>
          <w:sz w:val="20"/>
          <w:szCs w:val="20"/>
        </w:rPr>
        <w:t xml:space="preserve"> ended </w:t>
      </w:r>
      <w:r>
        <w:rPr>
          <w:sz w:val="20"/>
          <w:szCs w:val="20"/>
        </w:rPr>
        <w:t>December 31, 20</w:t>
      </w:r>
      <w:r w:rsidR="008905A5">
        <w:rPr>
          <w:sz w:val="20"/>
          <w:szCs w:val="20"/>
        </w:rPr>
        <w:t>20 and 2019</w:t>
      </w:r>
      <w:r w:rsidRPr="006A0F37">
        <w:rPr>
          <w:sz w:val="20"/>
          <w:szCs w:val="20"/>
        </w:rPr>
        <w:t>.  The information contained in this MD&amp;A is current to</w:t>
      </w:r>
      <w:r w:rsidR="008905A5">
        <w:rPr>
          <w:sz w:val="20"/>
          <w:szCs w:val="20"/>
        </w:rPr>
        <w:t xml:space="preserve"> April 2</w:t>
      </w:r>
      <w:r w:rsidR="00410766">
        <w:rPr>
          <w:sz w:val="20"/>
          <w:szCs w:val="20"/>
        </w:rPr>
        <w:t>7</w:t>
      </w:r>
      <w:r w:rsidR="006C7CC6">
        <w:rPr>
          <w:sz w:val="20"/>
          <w:szCs w:val="20"/>
        </w:rPr>
        <w:t>, 2021</w:t>
      </w:r>
      <w:r w:rsidRPr="006A0F37">
        <w:rPr>
          <w:sz w:val="20"/>
          <w:szCs w:val="20"/>
        </w:rPr>
        <w:t>.</w:t>
      </w:r>
    </w:p>
    <w:p w:rsidR="00B4333E" w:rsidRPr="0085422F" w:rsidRDefault="00B4333E" w:rsidP="00B4333E">
      <w:pPr>
        <w:spacing w:after="0"/>
        <w:jc w:val="both"/>
        <w:rPr>
          <w:sz w:val="20"/>
          <w:szCs w:val="20"/>
        </w:rPr>
      </w:pPr>
    </w:p>
    <w:p w:rsidR="00B4333E" w:rsidRPr="0085422F" w:rsidRDefault="00B4333E" w:rsidP="00B4333E">
      <w:pPr>
        <w:spacing w:after="0"/>
        <w:jc w:val="both"/>
        <w:rPr>
          <w:sz w:val="20"/>
          <w:szCs w:val="20"/>
        </w:rPr>
      </w:pPr>
      <w:r w:rsidRPr="0085422F">
        <w:rPr>
          <w:sz w:val="20"/>
          <w:szCs w:val="20"/>
        </w:rPr>
        <w:t xml:space="preserve">The preparation of the </w:t>
      </w:r>
      <w:r>
        <w:rPr>
          <w:sz w:val="20"/>
          <w:szCs w:val="20"/>
        </w:rPr>
        <w:t xml:space="preserve">Company’s </w:t>
      </w:r>
      <w:r w:rsidRPr="0085422F">
        <w:rPr>
          <w:sz w:val="20"/>
          <w:szCs w:val="20"/>
        </w:rPr>
        <w:t xml:space="preserve">financial statements </w:t>
      </w:r>
      <w:proofErr w:type="gramStart"/>
      <w:r w:rsidRPr="0085422F">
        <w:rPr>
          <w:sz w:val="20"/>
          <w:szCs w:val="20"/>
        </w:rPr>
        <w:t>are</w:t>
      </w:r>
      <w:proofErr w:type="gramEnd"/>
      <w:r w:rsidRPr="0085422F">
        <w:rPr>
          <w:sz w:val="20"/>
          <w:szCs w:val="20"/>
        </w:rPr>
        <w:t xml:space="preserve"> in conformity with International Financial Reporting Standards (“</w:t>
      </w:r>
      <w:r w:rsidRPr="0085422F">
        <w:rPr>
          <w:b/>
          <w:sz w:val="20"/>
          <w:szCs w:val="20"/>
        </w:rPr>
        <w:t>IFRS</w:t>
      </w:r>
      <w:r w:rsidRPr="0085422F">
        <w:rPr>
          <w:sz w:val="20"/>
          <w:szCs w:val="20"/>
        </w:rPr>
        <w:t xml:space="preserve">”) and requires management to make assumptions that affect the reported amounts of assets, liabilities and expenses in addition to the disclosure of contingent liabilities at the date of the financial statements and reporting amounts. </w:t>
      </w:r>
      <w:r>
        <w:rPr>
          <w:sz w:val="20"/>
          <w:szCs w:val="20"/>
        </w:rPr>
        <w:t xml:space="preserve">The Company </w:t>
      </w:r>
      <w:r w:rsidRPr="0085422F">
        <w:rPr>
          <w:sz w:val="20"/>
          <w:szCs w:val="20"/>
        </w:rPr>
        <w:t xml:space="preserve">bases its estimates on historical experience, current trends and various other assumptions that are believed to be reasonable under the circumstances. Actual results could differ from those estimates. </w:t>
      </w:r>
    </w:p>
    <w:p w:rsidR="00B4333E" w:rsidRDefault="00B4333E" w:rsidP="00B4333E">
      <w:pPr>
        <w:spacing w:after="0"/>
        <w:jc w:val="both"/>
        <w:rPr>
          <w:sz w:val="20"/>
          <w:szCs w:val="20"/>
        </w:rPr>
      </w:pPr>
    </w:p>
    <w:p w:rsidR="00EB0166" w:rsidRPr="0085422F" w:rsidRDefault="00EB0166" w:rsidP="00EB0166">
      <w:pPr>
        <w:spacing w:after="0"/>
        <w:jc w:val="both"/>
        <w:rPr>
          <w:b/>
          <w:sz w:val="20"/>
          <w:szCs w:val="20"/>
          <w:u w:val="single"/>
        </w:rPr>
      </w:pPr>
      <w:r w:rsidRPr="0085422F">
        <w:rPr>
          <w:b/>
          <w:sz w:val="20"/>
          <w:szCs w:val="20"/>
          <w:u w:val="single"/>
        </w:rPr>
        <w:t>CAUTIONARY NOTE REGARDING FORWARD-LOOKING STATEMENTS AND RISK FACTORS</w:t>
      </w:r>
    </w:p>
    <w:p w:rsidR="00EB0166" w:rsidRPr="0085422F" w:rsidRDefault="00EB0166" w:rsidP="00EB0166">
      <w:pPr>
        <w:spacing w:after="0"/>
        <w:jc w:val="both"/>
        <w:rPr>
          <w:b/>
          <w:sz w:val="20"/>
          <w:szCs w:val="20"/>
          <w:u w:val="single"/>
        </w:rPr>
      </w:pPr>
    </w:p>
    <w:p w:rsidR="00EB0166" w:rsidRPr="0085422F" w:rsidRDefault="00EB0166" w:rsidP="00EB0166">
      <w:pPr>
        <w:spacing w:after="0"/>
        <w:jc w:val="both"/>
        <w:rPr>
          <w:sz w:val="20"/>
          <w:szCs w:val="20"/>
        </w:rPr>
      </w:pPr>
      <w:r w:rsidRPr="0085422F">
        <w:rPr>
          <w:sz w:val="20"/>
          <w:szCs w:val="20"/>
        </w:rPr>
        <w:t>This MD&amp;A contains forward-looking statements that include risks and uncertainties that are disclosed under the section “</w:t>
      </w:r>
      <w:r w:rsidRPr="0085422F">
        <w:rPr>
          <w:i/>
          <w:sz w:val="20"/>
          <w:szCs w:val="20"/>
        </w:rPr>
        <w:t>Risk Management</w:t>
      </w:r>
      <w:r w:rsidRPr="0085422F">
        <w:rPr>
          <w:sz w:val="20"/>
          <w:szCs w:val="20"/>
        </w:rPr>
        <w:t xml:space="preserve">”. Other factors that could affect actual results are uncertainties pertaining to government regulations, both domestic as well as foreign, and the changes within the capital markets. </w:t>
      </w:r>
    </w:p>
    <w:p w:rsidR="00EB0166" w:rsidRPr="0085422F" w:rsidRDefault="00EB0166" w:rsidP="00EB0166">
      <w:pPr>
        <w:spacing w:after="0"/>
        <w:jc w:val="both"/>
        <w:rPr>
          <w:sz w:val="20"/>
          <w:szCs w:val="20"/>
        </w:rPr>
      </w:pPr>
    </w:p>
    <w:p w:rsidR="00EB0166" w:rsidRPr="0085422F" w:rsidRDefault="00EB0166" w:rsidP="00EB0166">
      <w:pPr>
        <w:spacing w:after="0"/>
        <w:jc w:val="both"/>
        <w:rPr>
          <w:sz w:val="20"/>
          <w:szCs w:val="20"/>
        </w:rPr>
      </w:pPr>
      <w:r w:rsidRPr="0085422F">
        <w:rPr>
          <w:sz w:val="20"/>
          <w:szCs w:val="20"/>
        </w:rPr>
        <w:t xml:space="preserve">This MD&amp;A contains certain statements that may constitute “forward‐looking statements”. Forward‐looking statements include but are not limited to, statements regarding future anticipated business developments and the timing thereof, regulatory compliance, sufficiency of working capital, and business and financing plans. Although the Company believes that such statements are reasonable, it can give no assurance that such expectations will prove to be correct. Forward‐looking statements are typically identified by words such as: believe, expect, anticipate, intend, estimate, postulate and similar expressions, or which by their nature refer to future events. The Company cautions investors that any forward‐looking statements by the Company are not guarantees of future performance, and that actual results may differ materially from those in forward looking statements as a result of various factors, including, but not limited to, the Company’s ability to continue its projected growth, to raise the necessary capital or to be fully able to implement its business strategies. </w:t>
      </w:r>
    </w:p>
    <w:p w:rsidR="00EB0166" w:rsidRDefault="00EB0166" w:rsidP="00B4333E">
      <w:pPr>
        <w:spacing w:after="0"/>
        <w:jc w:val="both"/>
        <w:rPr>
          <w:b/>
          <w:sz w:val="20"/>
          <w:szCs w:val="20"/>
          <w:u w:val="single"/>
        </w:rPr>
      </w:pPr>
    </w:p>
    <w:p w:rsidR="00602F55" w:rsidRPr="00B4333E" w:rsidRDefault="00602F55" w:rsidP="00B4333E">
      <w:pPr>
        <w:spacing w:after="0"/>
        <w:jc w:val="both"/>
        <w:rPr>
          <w:b/>
          <w:sz w:val="20"/>
          <w:szCs w:val="20"/>
          <w:u w:val="single"/>
        </w:rPr>
      </w:pPr>
      <w:r w:rsidRPr="00B4333E">
        <w:rPr>
          <w:b/>
          <w:sz w:val="20"/>
          <w:szCs w:val="20"/>
          <w:u w:val="single"/>
        </w:rPr>
        <w:t>GOING CONCERN</w:t>
      </w:r>
    </w:p>
    <w:p w:rsidR="00602F55" w:rsidRPr="00B4333E" w:rsidRDefault="00602F55"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The Company's financial statements have been prepared on a going concern basis, which implies the Company will continue to realize its assets and discharge its liabilities in the normal course of business. The Company’s ability to continue as a going concern is dependent upon the continued financial support from its shareholders, the ability of the Company to generate revenue to establish profitable operations and to obtain the necessary equity or debt financing to fund operations as required.</w:t>
      </w:r>
    </w:p>
    <w:p w:rsidR="00602F55" w:rsidRDefault="00602F55" w:rsidP="00B4333E">
      <w:pPr>
        <w:spacing w:after="0"/>
        <w:jc w:val="both"/>
        <w:rPr>
          <w:b/>
          <w:sz w:val="20"/>
          <w:szCs w:val="20"/>
          <w:u w:val="single"/>
        </w:rPr>
      </w:pPr>
    </w:p>
    <w:p w:rsidR="00602F55" w:rsidRPr="00B4333E" w:rsidRDefault="00602F55" w:rsidP="00EB0166">
      <w:pPr>
        <w:keepNext/>
        <w:spacing w:after="0"/>
        <w:jc w:val="both"/>
        <w:rPr>
          <w:b/>
          <w:sz w:val="20"/>
          <w:szCs w:val="20"/>
          <w:u w:val="single"/>
        </w:rPr>
      </w:pPr>
      <w:r w:rsidRPr="00B4333E">
        <w:rPr>
          <w:b/>
          <w:sz w:val="20"/>
          <w:szCs w:val="20"/>
          <w:u w:val="single"/>
        </w:rPr>
        <w:t>OUTLOOK</w:t>
      </w:r>
    </w:p>
    <w:p w:rsidR="00602F55" w:rsidRPr="00B4333E" w:rsidRDefault="00602F55" w:rsidP="00EB0166">
      <w:pPr>
        <w:keepNext/>
        <w:spacing w:after="0"/>
        <w:jc w:val="both"/>
        <w:rPr>
          <w:sz w:val="20"/>
          <w:szCs w:val="20"/>
        </w:rPr>
      </w:pPr>
    </w:p>
    <w:p w:rsidR="00602F55" w:rsidRPr="00B4333E" w:rsidRDefault="00602F55" w:rsidP="00EB0166">
      <w:pPr>
        <w:keepNext/>
        <w:spacing w:after="0"/>
        <w:jc w:val="both"/>
        <w:rPr>
          <w:sz w:val="20"/>
          <w:szCs w:val="20"/>
        </w:rPr>
      </w:pPr>
      <w:r w:rsidRPr="00B4333E">
        <w:rPr>
          <w:sz w:val="20"/>
          <w:szCs w:val="20"/>
        </w:rPr>
        <w:t>The Company’s primary focus for the foreseeable future will be: (</w:t>
      </w:r>
      <w:proofErr w:type="spellStart"/>
      <w:r w:rsidRPr="00B4333E">
        <w:rPr>
          <w:sz w:val="20"/>
          <w:szCs w:val="20"/>
        </w:rPr>
        <w:t>i</w:t>
      </w:r>
      <w:proofErr w:type="spellEnd"/>
      <w:r w:rsidRPr="00B4333E">
        <w:rPr>
          <w:sz w:val="20"/>
          <w:szCs w:val="20"/>
        </w:rPr>
        <w:t xml:space="preserve">) the continuation of its current CRM software business, (ii) development of </w:t>
      </w:r>
      <w:r w:rsidR="009859D1">
        <w:rPr>
          <w:sz w:val="20"/>
          <w:szCs w:val="20"/>
        </w:rPr>
        <w:t xml:space="preserve">its New Cannabis CRM Platform (defined below) </w:t>
      </w:r>
      <w:r w:rsidRPr="00B4333E">
        <w:rPr>
          <w:sz w:val="20"/>
          <w:szCs w:val="20"/>
        </w:rPr>
        <w:t xml:space="preserve">for the medical cannabis industry; </w:t>
      </w:r>
      <w:r w:rsidR="00072048">
        <w:rPr>
          <w:sz w:val="20"/>
          <w:szCs w:val="20"/>
        </w:rPr>
        <w:t xml:space="preserve">and </w:t>
      </w:r>
      <w:r w:rsidRPr="00B4333E">
        <w:rPr>
          <w:sz w:val="20"/>
          <w:szCs w:val="20"/>
        </w:rPr>
        <w:t xml:space="preserve">(iii) the construction and operation of </w:t>
      </w:r>
      <w:r w:rsidR="00D60ED6">
        <w:rPr>
          <w:sz w:val="20"/>
          <w:szCs w:val="20"/>
        </w:rPr>
        <w:t>its Cannabis Farm (defined below).</w:t>
      </w:r>
    </w:p>
    <w:p w:rsidR="00602F55" w:rsidRPr="00B4333E" w:rsidRDefault="00602F55" w:rsidP="00B4333E">
      <w:pPr>
        <w:spacing w:after="0"/>
        <w:jc w:val="both"/>
        <w:rPr>
          <w:b/>
          <w:sz w:val="20"/>
          <w:szCs w:val="20"/>
          <w:u w:val="single"/>
        </w:rPr>
      </w:pPr>
    </w:p>
    <w:p w:rsidR="00602F55" w:rsidRPr="00B4333E" w:rsidRDefault="00602F55" w:rsidP="00B4333E">
      <w:pPr>
        <w:spacing w:after="0"/>
        <w:jc w:val="both"/>
        <w:rPr>
          <w:b/>
          <w:sz w:val="20"/>
          <w:szCs w:val="20"/>
          <w:u w:val="single"/>
        </w:rPr>
      </w:pPr>
      <w:r w:rsidRPr="00B4333E">
        <w:rPr>
          <w:b/>
          <w:sz w:val="20"/>
          <w:szCs w:val="20"/>
          <w:u w:val="single"/>
        </w:rPr>
        <w:t xml:space="preserve">DESCRIPTION OF BUSINESS </w:t>
      </w:r>
    </w:p>
    <w:p w:rsidR="00602F55" w:rsidRPr="00B4333E" w:rsidRDefault="00602F55"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BYND was incorporated pursuant to the laws of Israel on January 25, 2000 under the name “</w:t>
      </w:r>
      <w:r w:rsidRPr="00B4333E">
        <w:rPr>
          <w:i/>
          <w:sz w:val="20"/>
          <w:szCs w:val="20"/>
        </w:rPr>
        <w:t>BYND – Beyond Solutions Ltd</w:t>
      </w:r>
      <w:r w:rsidRPr="00B4333E">
        <w:rPr>
          <w:sz w:val="20"/>
          <w:szCs w:val="20"/>
        </w:rPr>
        <w:t xml:space="preserve">.”. BYND’s head office and it’s registered and records office are located at 7000 </w:t>
      </w:r>
      <w:proofErr w:type="spellStart"/>
      <w:r w:rsidRPr="00B4333E">
        <w:rPr>
          <w:sz w:val="20"/>
          <w:szCs w:val="20"/>
        </w:rPr>
        <w:t>Derech</w:t>
      </w:r>
      <w:proofErr w:type="spellEnd"/>
      <w:r w:rsidRPr="00B4333E">
        <w:rPr>
          <w:sz w:val="20"/>
          <w:szCs w:val="20"/>
        </w:rPr>
        <w:t xml:space="preserve"> Akko, </w:t>
      </w:r>
      <w:proofErr w:type="spellStart"/>
      <w:r w:rsidRPr="00B4333E">
        <w:rPr>
          <w:sz w:val="20"/>
          <w:szCs w:val="20"/>
        </w:rPr>
        <w:t>Kiryat</w:t>
      </w:r>
      <w:proofErr w:type="spellEnd"/>
      <w:r w:rsidRPr="00B4333E">
        <w:rPr>
          <w:sz w:val="20"/>
          <w:szCs w:val="20"/>
        </w:rPr>
        <w:t xml:space="preserve"> </w:t>
      </w:r>
      <w:proofErr w:type="spellStart"/>
      <w:r w:rsidRPr="00B4333E">
        <w:rPr>
          <w:sz w:val="20"/>
          <w:szCs w:val="20"/>
        </w:rPr>
        <w:t>Motzkin</w:t>
      </w:r>
      <w:proofErr w:type="spellEnd"/>
      <w:r w:rsidRPr="00B4333E">
        <w:rPr>
          <w:sz w:val="20"/>
          <w:szCs w:val="20"/>
        </w:rPr>
        <w:t xml:space="preserve">, Israel. </w:t>
      </w:r>
    </w:p>
    <w:p w:rsidR="00602F55" w:rsidRPr="00B4333E" w:rsidRDefault="00602F55" w:rsidP="00B4333E">
      <w:pPr>
        <w:spacing w:after="0"/>
        <w:jc w:val="both"/>
        <w:rPr>
          <w:sz w:val="20"/>
          <w:szCs w:val="20"/>
        </w:rPr>
      </w:pPr>
    </w:p>
    <w:p w:rsidR="00602F55" w:rsidRPr="00B4333E" w:rsidRDefault="00602F55" w:rsidP="00B4333E">
      <w:pPr>
        <w:spacing w:after="0"/>
        <w:jc w:val="both"/>
        <w:rPr>
          <w:i/>
          <w:sz w:val="20"/>
          <w:szCs w:val="20"/>
        </w:rPr>
      </w:pPr>
      <w:r w:rsidRPr="00B4333E">
        <w:rPr>
          <w:i/>
          <w:sz w:val="20"/>
          <w:szCs w:val="20"/>
        </w:rPr>
        <w:t xml:space="preserve">CRM Business </w:t>
      </w:r>
    </w:p>
    <w:p w:rsidR="00602F55" w:rsidRPr="00B4333E" w:rsidRDefault="00602F55" w:rsidP="00B4333E">
      <w:pPr>
        <w:spacing w:after="0"/>
        <w:jc w:val="both"/>
        <w:rPr>
          <w:i/>
          <w:sz w:val="20"/>
          <w:szCs w:val="20"/>
        </w:rPr>
      </w:pPr>
    </w:p>
    <w:p w:rsidR="00EB0166" w:rsidRDefault="00602F55" w:rsidP="00B4333E">
      <w:pPr>
        <w:spacing w:after="0"/>
        <w:jc w:val="both"/>
        <w:rPr>
          <w:rFonts w:eastAsia="Arial"/>
          <w:sz w:val="20"/>
          <w:szCs w:val="20"/>
        </w:rPr>
      </w:pPr>
      <w:r w:rsidRPr="00B4333E">
        <w:rPr>
          <w:sz w:val="20"/>
          <w:szCs w:val="20"/>
        </w:rPr>
        <w:t xml:space="preserve">The Company develops and markets customer relationship management </w:t>
      </w:r>
      <w:r w:rsidRPr="0040223F">
        <w:rPr>
          <w:sz w:val="20"/>
          <w:szCs w:val="20"/>
        </w:rPr>
        <w:t>(CRM)</w:t>
      </w:r>
      <w:r w:rsidRPr="00B4333E">
        <w:rPr>
          <w:sz w:val="20"/>
          <w:szCs w:val="20"/>
        </w:rPr>
        <w:t xml:space="preserve"> software </w:t>
      </w:r>
      <w:r w:rsidR="005F6BAB">
        <w:rPr>
          <w:sz w:val="20"/>
          <w:szCs w:val="20"/>
        </w:rPr>
        <w:t xml:space="preserve">products </w:t>
      </w:r>
      <w:r w:rsidRPr="00B4333E">
        <w:rPr>
          <w:sz w:val="20"/>
          <w:szCs w:val="20"/>
        </w:rPr>
        <w:t xml:space="preserve">that enable small and medium sized enterprises (SMEs) to optimize day to day functions such as sales management, workforce management, contact center operations and asset management.  The Company currently </w:t>
      </w:r>
      <w:r w:rsidR="005F6BAB">
        <w:rPr>
          <w:sz w:val="20"/>
          <w:szCs w:val="20"/>
        </w:rPr>
        <w:t>offers</w:t>
      </w:r>
      <w:r w:rsidRPr="00B4333E">
        <w:rPr>
          <w:sz w:val="20"/>
          <w:szCs w:val="20"/>
        </w:rPr>
        <w:t xml:space="preserve"> a proprietary CRM software product known as “</w:t>
      </w:r>
      <w:r w:rsidRPr="00B4333E">
        <w:rPr>
          <w:i/>
          <w:sz w:val="20"/>
          <w:szCs w:val="20"/>
        </w:rPr>
        <w:t>Benefit CRM</w:t>
      </w:r>
      <w:r w:rsidRPr="00B4333E">
        <w:rPr>
          <w:sz w:val="20"/>
          <w:szCs w:val="20"/>
        </w:rPr>
        <w:t>” (our “</w:t>
      </w:r>
      <w:r w:rsidRPr="00B4333E">
        <w:rPr>
          <w:b/>
          <w:bCs/>
          <w:sz w:val="20"/>
          <w:szCs w:val="20"/>
        </w:rPr>
        <w:t>Benefit CRM Software</w:t>
      </w:r>
      <w:r w:rsidRPr="00B4333E">
        <w:rPr>
          <w:sz w:val="20"/>
          <w:szCs w:val="20"/>
        </w:rPr>
        <w:t>”)</w:t>
      </w:r>
      <w:r w:rsidR="005F6BAB">
        <w:rPr>
          <w:sz w:val="20"/>
          <w:szCs w:val="20"/>
        </w:rPr>
        <w:t xml:space="preserve"> to its customers</w:t>
      </w:r>
      <w:r w:rsidRPr="00B4333E">
        <w:rPr>
          <w:sz w:val="20"/>
          <w:szCs w:val="20"/>
        </w:rPr>
        <w:t xml:space="preserve">. </w:t>
      </w:r>
      <w:r w:rsidR="005F6BAB">
        <w:rPr>
          <w:sz w:val="20"/>
          <w:szCs w:val="20"/>
        </w:rPr>
        <w:t xml:space="preserve">Over </w:t>
      </w:r>
      <w:r w:rsidRPr="00B4333E">
        <w:rPr>
          <w:sz w:val="20"/>
          <w:szCs w:val="20"/>
        </w:rPr>
        <w:t xml:space="preserve">the last 3 years, the Company has been developing the next generation of its Benefit CRM </w:t>
      </w:r>
      <w:r w:rsidR="005F6BAB">
        <w:rPr>
          <w:sz w:val="20"/>
          <w:szCs w:val="20"/>
        </w:rPr>
        <w:t>S</w:t>
      </w:r>
      <w:r w:rsidRPr="00B4333E">
        <w:rPr>
          <w:sz w:val="20"/>
          <w:szCs w:val="20"/>
        </w:rPr>
        <w:t>oftware (our “</w:t>
      </w:r>
      <w:r w:rsidRPr="00B4333E">
        <w:rPr>
          <w:b/>
          <w:bCs/>
          <w:sz w:val="20"/>
          <w:szCs w:val="20"/>
        </w:rPr>
        <w:t>New CRM Platform</w:t>
      </w:r>
      <w:r w:rsidRPr="00B4333E">
        <w:rPr>
          <w:sz w:val="20"/>
          <w:szCs w:val="20"/>
        </w:rPr>
        <w:t>”)</w:t>
      </w:r>
      <w:r w:rsidR="00D60ED6">
        <w:rPr>
          <w:sz w:val="20"/>
          <w:szCs w:val="20"/>
        </w:rPr>
        <w:t>,</w:t>
      </w:r>
      <w:r w:rsidRPr="00B4333E">
        <w:rPr>
          <w:sz w:val="20"/>
          <w:szCs w:val="20"/>
        </w:rPr>
        <w:t xml:space="preserve"> </w:t>
      </w:r>
      <w:r w:rsidR="00D60ED6">
        <w:rPr>
          <w:sz w:val="20"/>
          <w:szCs w:val="20"/>
        </w:rPr>
        <w:t xml:space="preserve">which </w:t>
      </w:r>
      <w:r w:rsidRPr="00B4333E">
        <w:rPr>
          <w:sz w:val="20"/>
          <w:szCs w:val="20"/>
        </w:rPr>
        <w:t xml:space="preserve">will be cloud based and will include many new features and enhancements. </w:t>
      </w:r>
    </w:p>
    <w:p w:rsidR="00EB0166" w:rsidRDefault="00EB0166" w:rsidP="00B4333E">
      <w:pPr>
        <w:spacing w:after="0"/>
        <w:jc w:val="both"/>
        <w:rPr>
          <w:rFonts w:eastAsia="Arial"/>
          <w:sz w:val="20"/>
          <w:szCs w:val="20"/>
        </w:rPr>
      </w:pPr>
    </w:p>
    <w:p w:rsidR="00602F55" w:rsidRPr="00B4333E" w:rsidRDefault="00602F55" w:rsidP="00B4333E">
      <w:pPr>
        <w:spacing w:after="0"/>
        <w:jc w:val="both"/>
        <w:rPr>
          <w:sz w:val="20"/>
          <w:szCs w:val="20"/>
        </w:rPr>
      </w:pPr>
      <w:r w:rsidRPr="00B4333E">
        <w:rPr>
          <w:rFonts w:eastAsia="Arial"/>
          <w:sz w:val="20"/>
          <w:szCs w:val="20"/>
        </w:rPr>
        <w:t>The Company has also begun development of a new, revolutionary CRM software platform</w:t>
      </w:r>
      <w:r w:rsidR="00072048">
        <w:rPr>
          <w:rFonts w:eastAsia="Arial"/>
          <w:sz w:val="20"/>
          <w:szCs w:val="20"/>
        </w:rPr>
        <w:t>,</w:t>
      </w:r>
      <w:r w:rsidRPr="00B4333E">
        <w:rPr>
          <w:rFonts w:eastAsia="Arial"/>
          <w:sz w:val="20"/>
          <w:szCs w:val="20"/>
        </w:rPr>
        <w:t xml:space="preserve"> designed specifically to serve the unique needs of the medical cannabis sector (our “</w:t>
      </w:r>
      <w:r w:rsidRPr="00B4333E">
        <w:rPr>
          <w:rFonts w:eastAsia="Arial"/>
          <w:b/>
          <w:sz w:val="20"/>
          <w:szCs w:val="20"/>
        </w:rPr>
        <w:t>New Cannabis CRM Platform</w:t>
      </w:r>
      <w:r w:rsidRPr="00B4333E">
        <w:rPr>
          <w:rFonts w:eastAsia="Arial"/>
          <w:sz w:val="20"/>
          <w:szCs w:val="20"/>
        </w:rPr>
        <w:t>”). The Company</w:t>
      </w:r>
      <w:r w:rsidR="00C851D1">
        <w:rPr>
          <w:rFonts w:eastAsia="Arial"/>
          <w:sz w:val="20"/>
          <w:szCs w:val="20"/>
        </w:rPr>
        <w:t xml:space="preserve">’s goal is that its </w:t>
      </w:r>
      <w:r w:rsidRPr="00B4333E">
        <w:rPr>
          <w:rFonts w:eastAsia="Arial"/>
          <w:sz w:val="20"/>
          <w:szCs w:val="20"/>
        </w:rPr>
        <w:t>New Cannabis CRM Platform will ultimately become the “virtual marketplace” for all stakeholders in medical cannabis</w:t>
      </w:r>
      <w:r w:rsidRPr="00B4333E">
        <w:rPr>
          <w:sz w:val="20"/>
          <w:szCs w:val="20"/>
        </w:rPr>
        <w:t>.</w:t>
      </w:r>
    </w:p>
    <w:p w:rsidR="00EB0166" w:rsidRDefault="00EB0166" w:rsidP="00EB0166">
      <w:pPr>
        <w:spacing w:after="0"/>
        <w:jc w:val="both"/>
        <w:rPr>
          <w:i/>
          <w:sz w:val="20"/>
          <w:szCs w:val="20"/>
        </w:rPr>
      </w:pPr>
    </w:p>
    <w:p w:rsidR="00EB0166" w:rsidRPr="00B4333E" w:rsidRDefault="00EB0166" w:rsidP="00EB0166">
      <w:pPr>
        <w:spacing w:after="0"/>
        <w:jc w:val="both"/>
        <w:rPr>
          <w:i/>
          <w:sz w:val="20"/>
          <w:szCs w:val="20"/>
        </w:rPr>
      </w:pPr>
      <w:r w:rsidRPr="00B4333E">
        <w:rPr>
          <w:i/>
          <w:sz w:val="20"/>
          <w:szCs w:val="20"/>
        </w:rPr>
        <w:t>Medical Cannabis</w:t>
      </w:r>
    </w:p>
    <w:p w:rsidR="00602F55" w:rsidRDefault="00602F55" w:rsidP="00B4333E">
      <w:pPr>
        <w:spacing w:after="0"/>
        <w:jc w:val="both"/>
        <w:rPr>
          <w:sz w:val="20"/>
          <w:szCs w:val="20"/>
        </w:rPr>
      </w:pPr>
    </w:p>
    <w:p w:rsidR="003B734A" w:rsidRPr="003B734A" w:rsidRDefault="003B734A" w:rsidP="003B734A">
      <w:pPr>
        <w:spacing w:after="0"/>
        <w:jc w:val="both"/>
        <w:rPr>
          <w:sz w:val="20"/>
          <w:szCs w:val="20"/>
        </w:rPr>
      </w:pPr>
      <w:r w:rsidRPr="003B734A">
        <w:rPr>
          <w:sz w:val="20"/>
          <w:szCs w:val="20"/>
        </w:rPr>
        <w:t>On October 1, 2020, the Company executed a share purchase agreement with the shareholders of B.Y.B.Y. Investments and Promotions Ltd. (“</w:t>
      </w:r>
      <w:proofErr w:type="spellStart"/>
      <w:r w:rsidRPr="003B734A">
        <w:rPr>
          <w:sz w:val="20"/>
          <w:szCs w:val="20"/>
        </w:rPr>
        <w:t>Cannasoft</w:t>
      </w:r>
      <w:proofErr w:type="spellEnd"/>
      <w:r w:rsidRPr="003B734A">
        <w:rPr>
          <w:sz w:val="20"/>
          <w:szCs w:val="20"/>
        </w:rPr>
        <w:t xml:space="preserve">”), a corporation incorporated under the laws of the State of Israel. Pursuant to the agreement, the Company would acquire 74% ownership interest in </w:t>
      </w:r>
      <w:proofErr w:type="spellStart"/>
      <w:r w:rsidRPr="003B734A">
        <w:rPr>
          <w:sz w:val="20"/>
          <w:szCs w:val="20"/>
        </w:rPr>
        <w:t>Cannasoft</w:t>
      </w:r>
      <w:proofErr w:type="spellEnd"/>
      <w:r w:rsidRPr="003B734A">
        <w:rPr>
          <w:sz w:val="20"/>
          <w:szCs w:val="20"/>
        </w:rPr>
        <w:t xml:space="preserve"> from its shareholders, in exchange for 54.58% ownership interest in the Company (“</w:t>
      </w:r>
      <w:proofErr w:type="spellStart"/>
      <w:r w:rsidRPr="003B734A">
        <w:rPr>
          <w:sz w:val="20"/>
          <w:szCs w:val="20"/>
        </w:rPr>
        <w:t>Cannasoft</w:t>
      </w:r>
      <w:proofErr w:type="spellEnd"/>
      <w:r w:rsidRPr="003B734A">
        <w:rPr>
          <w:sz w:val="20"/>
          <w:szCs w:val="20"/>
        </w:rPr>
        <w:t xml:space="preserve"> Acquisition”). </w:t>
      </w:r>
      <w:proofErr w:type="spellStart"/>
      <w:r w:rsidRPr="003B734A">
        <w:rPr>
          <w:sz w:val="20"/>
          <w:szCs w:val="20"/>
        </w:rPr>
        <w:t>Cannasoft</w:t>
      </w:r>
      <w:proofErr w:type="spellEnd"/>
      <w:r w:rsidRPr="003B734A">
        <w:rPr>
          <w:sz w:val="20"/>
          <w:szCs w:val="20"/>
        </w:rPr>
        <w:t xml:space="preserve">, through its owner owns the primary license for growing medical granted by the Israeli Ministry of Health and has begun the process of obtaining the necessary permits and approvals to construct a </w:t>
      </w:r>
      <w:proofErr w:type="gramStart"/>
      <w:r w:rsidRPr="003B734A">
        <w:rPr>
          <w:sz w:val="20"/>
          <w:szCs w:val="20"/>
        </w:rPr>
        <w:t>3.7 acre</w:t>
      </w:r>
      <w:proofErr w:type="gramEnd"/>
      <w:r w:rsidRPr="003B734A">
        <w:rPr>
          <w:sz w:val="20"/>
          <w:szCs w:val="20"/>
        </w:rPr>
        <w:t xml:space="preserve"> cannabis farm in southern Israel, to grow and harvest medical cannabis</w:t>
      </w:r>
      <w:r>
        <w:rPr>
          <w:sz w:val="20"/>
          <w:szCs w:val="20"/>
        </w:rPr>
        <w:t xml:space="preserve"> </w:t>
      </w:r>
      <w:r w:rsidRPr="00B4333E">
        <w:rPr>
          <w:sz w:val="20"/>
          <w:szCs w:val="20"/>
        </w:rPr>
        <w:t>(the “</w:t>
      </w:r>
      <w:r w:rsidRPr="00B4333E">
        <w:rPr>
          <w:b/>
          <w:sz w:val="20"/>
          <w:szCs w:val="20"/>
        </w:rPr>
        <w:t>Cannabis Farm</w:t>
      </w:r>
      <w:r w:rsidRPr="00B4333E">
        <w:rPr>
          <w:sz w:val="20"/>
          <w:szCs w:val="20"/>
        </w:rPr>
        <w:t>”)</w:t>
      </w:r>
      <w:r>
        <w:rPr>
          <w:sz w:val="20"/>
          <w:szCs w:val="20"/>
        </w:rPr>
        <w:t>.</w:t>
      </w:r>
      <w:r w:rsidRPr="003B734A">
        <w:rPr>
          <w:sz w:val="20"/>
          <w:szCs w:val="20"/>
        </w:rPr>
        <w:t xml:space="preserve"> The </w:t>
      </w:r>
      <w:proofErr w:type="spellStart"/>
      <w:r w:rsidRPr="003B734A">
        <w:rPr>
          <w:sz w:val="20"/>
          <w:szCs w:val="20"/>
        </w:rPr>
        <w:t>Cannasoft</w:t>
      </w:r>
      <w:proofErr w:type="spellEnd"/>
      <w:r w:rsidRPr="003B734A">
        <w:rPr>
          <w:sz w:val="20"/>
          <w:szCs w:val="20"/>
        </w:rPr>
        <w:t xml:space="preserve"> Acquisition transaction was held in escrow and was completed on March 29, 2021.</w:t>
      </w:r>
    </w:p>
    <w:p w:rsidR="003B734A" w:rsidRDefault="003B734A"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 xml:space="preserve">BYND’s </w:t>
      </w:r>
      <w:r w:rsidR="00D73053">
        <w:rPr>
          <w:sz w:val="20"/>
          <w:szCs w:val="20"/>
        </w:rPr>
        <w:t>long term</w:t>
      </w:r>
      <w:r w:rsidRPr="00B4333E">
        <w:rPr>
          <w:sz w:val="20"/>
          <w:szCs w:val="20"/>
        </w:rPr>
        <w:t xml:space="preserve"> goal is to leverage </w:t>
      </w:r>
      <w:r w:rsidR="00B96653">
        <w:rPr>
          <w:sz w:val="20"/>
          <w:szCs w:val="20"/>
        </w:rPr>
        <w:t xml:space="preserve">its </w:t>
      </w:r>
      <w:r w:rsidRPr="00B4333E">
        <w:rPr>
          <w:sz w:val="20"/>
          <w:szCs w:val="20"/>
        </w:rPr>
        <w:t xml:space="preserve">Cannabis Farm </w:t>
      </w:r>
      <w:r w:rsidR="00D73053">
        <w:rPr>
          <w:sz w:val="20"/>
          <w:szCs w:val="20"/>
        </w:rPr>
        <w:t xml:space="preserve">business </w:t>
      </w:r>
      <w:r w:rsidRPr="00B4333E">
        <w:rPr>
          <w:sz w:val="20"/>
          <w:szCs w:val="20"/>
        </w:rPr>
        <w:t xml:space="preserve">to assist in the development of </w:t>
      </w:r>
      <w:r w:rsidR="00D73053">
        <w:rPr>
          <w:sz w:val="20"/>
          <w:szCs w:val="20"/>
        </w:rPr>
        <w:t xml:space="preserve">the Company’s </w:t>
      </w:r>
      <w:r w:rsidRPr="00B4333E">
        <w:rPr>
          <w:sz w:val="20"/>
          <w:szCs w:val="20"/>
        </w:rPr>
        <w:t xml:space="preserve">New Cannabis CRM Platform. By using data generated by the operation of the Cannabis Farm, including data relating to the growing, harvesting and selling of medical cannabis, BYND </w:t>
      </w:r>
      <w:r w:rsidR="00D73053">
        <w:rPr>
          <w:sz w:val="20"/>
          <w:szCs w:val="20"/>
        </w:rPr>
        <w:t xml:space="preserve">will </w:t>
      </w:r>
      <w:r w:rsidRPr="00B4333E">
        <w:rPr>
          <w:sz w:val="20"/>
          <w:szCs w:val="20"/>
        </w:rPr>
        <w:t xml:space="preserve">be able to </w:t>
      </w:r>
      <w:r w:rsidR="00D60ED6">
        <w:rPr>
          <w:sz w:val="20"/>
          <w:szCs w:val="20"/>
        </w:rPr>
        <w:t xml:space="preserve">better </w:t>
      </w:r>
      <w:r w:rsidRPr="00B4333E">
        <w:rPr>
          <w:sz w:val="20"/>
          <w:szCs w:val="20"/>
        </w:rPr>
        <w:t xml:space="preserve">optimize its New Cannabis CRM </w:t>
      </w:r>
      <w:r w:rsidR="00D60ED6">
        <w:rPr>
          <w:sz w:val="20"/>
          <w:szCs w:val="20"/>
        </w:rPr>
        <w:t>P</w:t>
      </w:r>
      <w:r w:rsidRPr="00B4333E">
        <w:rPr>
          <w:sz w:val="20"/>
          <w:szCs w:val="20"/>
        </w:rPr>
        <w:t xml:space="preserve">latform to offer stakeholders </w:t>
      </w:r>
      <w:r w:rsidR="00D60ED6">
        <w:rPr>
          <w:sz w:val="20"/>
          <w:szCs w:val="20"/>
        </w:rPr>
        <w:t xml:space="preserve">in the Cannabis industry, </w:t>
      </w:r>
      <w:r w:rsidRPr="00B4333E">
        <w:rPr>
          <w:sz w:val="20"/>
          <w:szCs w:val="20"/>
        </w:rPr>
        <w:t xml:space="preserve">a </w:t>
      </w:r>
      <w:r w:rsidR="00B96653">
        <w:rPr>
          <w:sz w:val="20"/>
          <w:szCs w:val="20"/>
        </w:rPr>
        <w:t xml:space="preserve">state of the art </w:t>
      </w:r>
      <w:r w:rsidRPr="00B4333E">
        <w:rPr>
          <w:sz w:val="20"/>
          <w:szCs w:val="20"/>
        </w:rPr>
        <w:t xml:space="preserve">resource which will enhance their businesses. </w:t>
      </w:r>
    </w:p>
    <w:p w:rsidR="00602F55" w:rsidRPr="00B4333E" w:rsidRDefault="00602F55" w:rsidP="00B4333E">
      <w:pPr>
        <w:spacing w:after="0"/>
        <w:jc w:val="both"/>
        <w:rPr>
          <w:sz w:val="20"/>
          <w:szCs w:val="20"/>
        </w:rPr>
      </w:pPr>
    </w:p>
    <w:p w:rsidR="00B93E10" w:rsidRPr="0040223F" w:rsidRDefault="00B93E10" w:rsidP="00B800AE">
      <w:pPr>
        <w:spacing w:after="0"/>
        <w:jc w:val="both"/>
        <w:rPr>
          <w:i/>
          <w:sz w:val="20"/>
          <w:szCs w:val="20"/>
        </w:rPr>
      </w:pPr>
      <w:r w:rsidRPr="0040223F">
        <w:rPr>
          <w:i/>
          <w:sz w:val="20"/>
          <w:szCs w:val="20"/>
        </w:rPr>
        <w:t xml:space="preserve">The </w:t>
      </w:r>
      <w:proofErr w:type="spellStart"/>
      <w:r w:rsidRPr="0040223F">
        <w:rPr>
          <w:i/>
          <w:sz w:val="20"/>
          <w:szCs w:val="20"/>
        </w:rPr>
        <w:t>Cannasoft</w:t>
      </w:r>
      <w:proofErr w:type="spellEnd"/>
      <w:r w:rsidRPr="0040223F">
        <w:rPr>
          <w:i/>
          <w:sz w:val="20"/>
          <w:szCs w:val="20"/>
        </w:rPr>
        <w:t xml:space="preserve"> Acquisition</w:t>
      </w:r>
      <w:r w:rsidR="000F7C3E">
        <w:rPr>
          <w:i/>
          <w:sz w:val="20"/>
          <w:szCs w:val="20"/>
        </w:rPr>
        <w:t xml:space="preserve"> and the Lincoln Business Combination Transaction </w:t>
      </w:r>
    </w:p>
    <w:p w:rsidR="00B93E10" w:rsidRDefault="00B93E10" w:rsidP="00B800AE">
      <w:pPr>
        <w:spacing w:after="0"/>
        <w:jc w:val="both"/>
        <w:rPr>
          <w:sz w:val="20"/>
          <w:szCs w:val="20"/>
        </w:rPr>
      </w:pPr>
    </w:p>
    <w:p w:rsidR="00B93E10" w:rsidRDefault="00B93E10" w:rsidP="00B800AE">
      <w:pPr>
        <w:spacing w:after="0"/>
        <w:jc w:val="both"/>
        <w:rPr>
          <w:sz w:val="20"/>
          <w:szCs w:val="20"/>
        </w:rPr>
      </w:pPr>
      <w:r w:rsidRPr="00B93E10">
        <w:rPr>
          <w:sz w:val="20"/>
          <w:szCs w:val="20"/>
        </w:rPr>
        <w:t xml:space="preserve">In early 2019, the Company entered into discussions with the owners </w:t>
      </w:r>
      <w:r w:rsidR="00F6323A">
        <w:rPr>
          <w:sz w:val="20"/>
          <w:szCs w:val="20"/>
        </w:rPr>
        <w:t xml:space="preserve">of </w:t>
      </w:r>
      <w:proofErr w:type="spellStart"/>
      <w:r w:rsidR="002625E5">
        <w:rPr>
          <w:sz w:val="20"/>
          <w:szCs w:val="20"/>
        </w:rPr>
        <w:t>Cannasoft</w:t>
      </w:r>
      <w:proofErr w:type="spellEnd"/>
      <w:r>
        <w:rPr>
          <w:sz w:val="20"/>
          <w:szCs w:val="20"/>
        </w:rPr>
        <w:t xml:space="preserve">, </w:t>
      </w:r>
      <w:r w:rsidRPr="00B93E10">
        <w:rPr>
          <w:sz w:val="20"/>
          <w:szCs w:val="20"/>
        </w:rPr>
        <w:t>with a view to</w:t>
      </w:r>
      <w:r w:rsidR="002625E5">
        <w:rPr>
          <w:sz w:val="20"/>
          <w:szCs w:val="20"/>
        </w:rPr>
        <w:t>: (</w:t>
      </w:r>
      <w:proofErr w:type="spellStart"/>
      <w:r w:rsidR="002625E5">
        <w:rPr>
          <w:sz w:val="20"/>
          <w:szCs w:val="20"/>
        </w:rPr>
        <w:t>i</w:t>
      </w:r>
      <w:proofErr w:type="spellEnd"/>
      <w:r w:rsidR="002625E5">
        <w:rPr>
          <w:sz w:val="20"/>
          <w:szCs w:val="20"/>
        </w:rPr>
        <w:t>)</w:t>
      </w:r>
      <w:r w:rsidRPr="00B93E10">
        <w:rPr>
          <w:sz w:val="20"/>
          <w:szCs w:val="20"/>
        </w:rPr>
        <w:t xml:space="preserve"> combining their respective businesses</w:t>
      </w:r>
      <w:r w:rsidR="008968C0">
        <w:rPr>
          <w:sz w:val="20"/>
          <w:szCs w:val="20"/>
        </w:rPr>
        <w:t xml:space="preserve"> (the “</w:t>
      </w:r>
      <w:proofErr w:type="spellStart"/>
      <w:r w:rsidR="008968C0" w:rsidRPr="0040223F">
        <w:rPr>
          <w:b/>
          <w:sz w:val="20"/>
          <w:szCs w:val="20"/>
        </w:rPr>
        <w:t>Cannasoft</w:t>
      </w:r>
      <w:proofErr w:type="spellEnd"/>
      <w:r w:rsidR="008968C0" w:rsidRPr="0040223F">
        <w:rPr>
          <w:b/>
          <w:sz w:val="20"/>
          <w:szCs w:val="20"/>
        </w:rPr>
        <w:t xml:space="preserve"> </w:t>
      </w:r>
      <w:r w:rsidR="000F7C3E">
        <w:rPr>
          <w:b/>
          <w:sz w:val="20"/>
          <w:szCs w:val="20"/>
        </w:rPr>
        <w:t>Acquisition</w:t>
      </w:r>
      <w:r w:rsidR="008968C0">
        <w:rPr>
          <w:sz w:val="20"/>
          <w:szCs w:val="20"/>
        </w:rPr>
        <w:t>”)</w:t>
      </w:r>
      <w:r w:rsidR="002625E5">
        <w:rPr>
          <w:sz w:val="20"/>
          <w:szCs w:val="20"/>
        </w:rPr>
        <w:t xml:space="preserve">, (ii) raising the </w:t>
      </w:r>
      <w:r w:rsidRPr="00B93E10">
        <w:rPr>
          <w:sz w:val="20"/>
          <w:szCs w:val="20"/>
        </w:rPr>
        <w:t xml:space="preserve">capital </w:t>
      </w:r>
      <w:r w:rsidR="002625E5">
        <w:rPr>
          <w:sz w:val="20"/>
          <w:szCs w:val="20"/>
        </w:rPr>
        <w:t xml:space="preserve">necessary to construct the </w:t>
      </w:r>
      <w:r w:rsidRPr="00B93E10">
        <w:rPr>
          <w:sz w:val="20"/>
          <w:szCs w:val="20"/>
        </w:rPr>
        <w:t>Cannabis Farm</w:t>
      </w:r>
      <w:r w:rsidR="002625E5">
        <w:rPr>
          <w:sz w:val="20"/>
          <w:szCs w:val="20"/>
        </w:rPr>
        <w:t>, and (iii)</w:t>
      </w:r>
      <w:r w:rsidRPr="00B93E10">
        <w:rPr>
          <w:sz w:val="20"/>
          <w:szCs w:val="20"/>
        </w:rPr>
        <w:t xml:space="preserve"> </w:t>
      </w:r>
      <w:r w:rsidR="000D141D">
        <w:rPr>
          <w:sz w:val="20"/>
          <w:szCs w:val="20"/>
        </w:rPr>
        <w:t xml:space="preserve">listing the Company’s </w:t>
      </w:r>
      <w:r w:rsidRPr="00B93E10">
        <w:rPr>
          <w:sz w:val="20"/>
          <w:szCs w:val="20"/>
        </w:rPr>
        <w:t>shares for trading on a Canadian stock exchange (the “</w:t>
      </w:r>
      <w:r w:rsidRPr="0040223F">
        <w:rPr>
          <w:b/>
          <w:sz w:val="20"/>
          <w:szCs w:val="20"/>
        </w:rPr>
        <w:t>Listing</w:t>
      </w:r>
      <w:r w:rsidRPr="00B93E10">
        <w:rPr>
          <w:sz w:val="20"/>
          <w:szCs w:val="20"/>
        </w:rPr>
        <w:t xml:space="preserve">”).  </w:t>
      </w:r>
      <w:r w:rsidR="000F7C3E">
        <w:rPr>
          <w:sz w:val="20"/>
          <w:szCs w:val="20"/>
        </w:rPr>
        <w:t>In pursuit of these goals:</w:t>
      </w:r>
    </w:p>
    <w:p w:rsidR="00C851D1" w:rsidRPr="00B4333E" w:rsidRDefault="00C851D1" w:rsidP="00B4333E">
      <w:pPr>
        <w:spacing w:after="0"/>
        <w:jc w:val="both"/>
        <w:rPr>
          <w:sz w:val="20"/>
          <w:szCs w:val="20"/>
        </w:rPr>
      </w:pPr>
    </w:p>
    <w:p w:rsidR="00602F55" w:rsidRDefault="001B3B95" w:rsidP="00B4333E">
      <w:pPr>
        <w:pStyle w:val="ListParagraph"/>
        <w:widowControl/>
        <w:numPr>
          <w:ilvl w:val="0"/>
          <w:numId w:val="7"/>
        </w:numPr>
        <w:autoSpaceDE/>
        <w:autoSpaceDN/>
        <w:adjustRightInd/>
        <w:jc w:val="both"/>
        <w:rPr>
          <w:szCs w:val="20"/>
        </w:rPr>
      </w:pPr>
      <w:r>
        <w:rPr>
          <w:szCs w:val="20"/>
        </w:rPr>
        <w:t>On April 22, 2019</w:t>
      </w:r>
      <w:r w:rsidR="00602F55" w:rsidRPr="00B4333E">
        <w:rPr>
          <w:szCs w:val="20"/>
        </w:rPr>
        <w:t>, the Company signed a convertible loan agreement with an investor, who agreed to loan the Company USD$100,000</w:t>
      </w:r>
      <w:r w:rsidR="00997382">
        <w:rPr>
          <w:szCs w:val="20"/>
        </w:rPr>
        <w:t>,</w:t>
      </w:r>
      <w:r w:rsidR="00602F55" w:rsidRPr="00B4333E">
        <w:rPr>
          <w:szCs w:val="20"/>
        </w:rPr>
        <w:t xml:space="preserve"> to </w:t>
      </w:r>
      <w:r w:rsidR="00C53B90">
        <w:rPr>
          <w:szCs w:val="20"/>
        </w:rPr>
        <w:t xml:space="preserve">be used to pursue the </w:t>
      </w:r>
      <w:proofErr w:type="spellStart"/>
      <w:r w:rsidR="000F7C3E">
        <w:rPr>
          <w:szCs w:val="20"/>
        </w:rPr>
        <w:t>Cannasoft</w:t>
      </w:r>
      <w:proofErr w:type="spellEnd"/>
      <w:r w:rsidR="000F7C3E">
        <w:rPr>
          <w:szCs w:val="20"/>
        </w:rPr>
        <w:t xml:space="preserve"> Acquisition and the </w:t>
      </w:r>
      <w:r w:rsidR="00C53B90">
        <w:rPr>
          <w:szCs w:val="20"/>
        </w:rPr>
        <w:t>Listing</w:t>
      </w:r>
      <w:r w:rsidR="000D141D">
        <w:rPr>
          <w:szCs w:val="20"/>
        </w:rPr>
        <w:t>;</w:t>
      </w:r>
    </w:p>
    <w:p w:rsidR="00EA77FD" w:rsidRPr="00B4333E" w:rsidRDefault="00EA77FD" w:rsidP="00EA77FD">
      <w:pPr>
        <w:pStyle w:val="ListParagraph"/>
        <w:widowControl/>
        <w:autoSpaceDE/>
        <w:autoSpaceDN/>
        <w:adjustRightInd/>
        <w:jc w:val="both"/>
        <w:rPr>
          <w:szCs w:val="20"/>
        </w:rPr>
      </w:pPr>
    </w:p>
    <w:p w:rsidR="001B3B95" w:rsidRDefault="001B3B95" w:rsidP="00F12BAD">
      <w:pPr>
        <w:pStyle w:val="ListParagraph"/>
        <w:widowControl/>
        <w:numPr>
          <w:ilvl w:val="0"/>
          <w:numId w:val="7"/>
        </w:numPr>
        <w:autoSpaceDE/>
        <w:autoSpaceDN/>
        <w:adjustRightInd/>
        <w:jc w:val="both"/>
        <w:rPr>
          <w:szCs w:val="20"/>
        </w:rPr>
      </w:pPr>
      <w:r>
        <w:rPr>
          <w:szCs w:val="20"/>
        </w:rPr>
        <w:t>On August 18, 2019, the Co</w:t>
      </w:r>
      <w:r w:rsidR="00BC42F1">
        <w:rPr>
          <w:szCs w:val="20"/>
        </w:rPr>
        <w:t xml:space="preserve">mpany entered into a “document of understanding” </w:t>
      </w:r>
      <w:r w:rsidR="000F7C3E">
        <w:rPr>
          <w:szCs w:val="20"/>
        </w:rPr>
        <w:t xml:space="preserve">with the owners of </w:t>
      </w:r>
      <w:proofErr w:type="spellStart"/>
      <w:r w:rsidR="000F7C3E">
        <w:rPr>
          <w:szCs w:val="20"/>
        </w:rPr>
        <w:t>Cannasoft</w:t>
      </w:r>
      <w:proofErr w:type="spellEnd"/>
      <w:r w:rsidR="000F7C3E">
        <w:rPr>
          <w:szCs w:val="20"/>
        </w:rPr>
        <w:t xml:space="preserve">, </w:t>
      </w:r>
      <w:r w:rsidR="00BC42F1">
        <w:rPr>
          <w:szCs w:val="20"/>
        </w:rPr>
        <w:t xml:space="preserve">which outlined the basic terms of the </w:t>
      </w:r>
      <w:proofErr w:type="spellStart"/>
      <w:r w:rsidR="00BC42F1">
        <w:rPr>
          <w:szCs w:val="20"/>
        </w:rPr>
        <w:t>Cannasoft</w:t>
      </w:r>
      <w:proofErr w:type="spellEnd"/>
      <w:r w:rsidR="00BC42F1">
        <w:rPr>
          <w:szCs w:val="20"/>
        </w:rPr>
        <w:t xml:space="preserve"> Acquisition;</w:t>
      </w:r>
    </w:p>
    <w:p w:rsidR="000F7C3E" w:rsidRDefault="000F7C3E" w:rsidP="0040223F">
      <w:pPr>
        <w:pStyle w:val="ListParagraph"/>
        <w:widowControl/>
        <w:autoSpaceDE/>
        <w:autoSpaceDN/>
        <w:adjustRightInd/>
        <w:jc w:val="both"/>
        <w:rPr>
          <w:szCs w:val="20"/>
        </w:rPr>
      </w:pPr>
    </w:p>
    <w:p w:rsidR="00981E6E" w:rsidRDefault="00F12BAD" w:rsidP="00F12BAD">
      <w:pPr>
        <w:pStyle w:val="ListParagraph"/>
        <w:widowControl/>
        <w:numPr>
          <w:ilvl w:val="0"/>
          <w:numId w:val="7"/>
        </w:numPr>
        <w:autoSpaceDE/>
        <w:autoSpaceDN/>
        <w:adjustRightInd/>
        <w:jc w:val="both"/>
        <w:rPr>
          <w:szCs w:val="20"/>
        </w:rPr>
      </w:pPr>
      <w:r w:rsidRPr="004E1191">
        <w:rPr>
          <w:szCs w:val="20"/>
        </w:rPr>
        <w:t>On November 28, 2019, the Company</w:t>
      </w:r>
      <w:r>
        <w:rPr>
          <w:szCs w:val="20"/>
        </w:rPr>
        <w:t xml:space="preserve"> entered into a non-binding letter of </w:t>
      </w:r>
      <w:r w:rsidR="000F7C3E">
        <w:rPr>
          <w:szCs w:val="20"/>
        </w:rPr>
        <w:t>i</w:t>
      </w:r>
      <w:r>
        <w:rPr>
          <w:szCs w:val="20"/>
        </w:rPr>
        <w:t>ntent with L</w:t>
      </w:r>
      <w:r w:rsidRPr="004E1191">
        <w:rPr>
          <w:szCs w:val="20"/>
        </w:rPr>
        <w:t xml:space="preserve">incoln </w:t>
      </w:r>
      <w:r>
        <w:rPr>
          <w:szCs w:val="20"/>
        </w:rPr>
        <w:t>Acquisitions Corp. (“</w:t>
      </w:r>
      <w:r w:rsidRPr="0040223F">
        <w:rPr>
          <w:b/>
          <w:szCs w:val="20"/>
        </w:rPr>
        <w:t>Lincoln</w:t>
      </w:r>
      <w:r>
        <w:rPr>
          <w:szCs w:val="20"/>
        </w:rPr>
        <w:t>”)</w:t>
      </w:r>
      <w:r w:rsidRPr="004E1191">
        <w:rPr>
          <w:szCs w:val="20"/>
        </w:rPr>
        <w:t xml:space="preserve">, setting out the general terms and conditions relating to </w:t>
      </w:r>
      <w:r w:rsidR="009222F1">
        <w:rPr>
          <w:szCs w:val="20"/>
        </w:rPr>
        <w:t>a proposed transaction wherein</w:t>
      </w:r>
      <w:r w:rsidR="00981E6E">
        <w:rPr>
          <w:szCs w:val="20"/>
        </w:rPr>
        <w:t xml:space="preserve"> </w:t>
      </w:r>
      <w:r w:rsidR="009222F1">
        <w:rPr>
          <w:szCs w:val="20"/>
        </w:rPr>
        <w:t>Lincoln would</w:t>
      </w:r>
      <w:r w:rsidR="00981E6E">
        <w:rPr>
          <w:szCs w:val="20"/>
        </w:rPr>
        <w:t>:</w:t>
      </w:r>
    </w:p>
    <w:p w:rsidR="00981E6E" w:rsidRDefault="00981E6E" w:rsidP="0040223F">
      <w:pPr>
        <w:pStyle w:val="ListParagraph"/>
        <w:widowControl/>
        <w:autoSpaceDE/>
        <w:autoSpaceDN/>
        <w:adjustRightInd/>
        <w:jc w:val="both"/>
        <w:rPr>
          <w:szCs w:val="20"/>
        </w:rPr>
      </w:pPr>
    </w:p>
    <w:p w:rsidR="00981E6E" w:rsidRDefault="009222F1" w:rsidP="0040223F">
      <w:pPr>
        <w:pStyle w:val="ListParagraph"/>
        <w:widowControl/>
        <w:numPr>
          <w:ilvl w:val="1"/>
          <w:numId w:val="7"/>
        </w:numPr>
        <w:autoSpaceDE/>
        <w:autoSpaceDN/>
        <w:adjustRightInd/>
        <w:jc w:val="both"/>
        <w:rPr>
          <w:szCs w:val="20"/>
        </w:rPr>
      </w:pPr>
      <w:r>
        <w:rPr>
          <w:szCs w:val="20"/>
        </w:rPr>
        <w:t>acquire BYND</w:t>
      </w:r>
      <w:r w:rsidR="00997382">
        <w:rPr>
          <w:szCs w:val="20"/>
        </w:rPr>
        <w:t xml:space="preserve"> and </w:t>
      </w:r>
      <w:proofErr w:type="spellStart"/>
      <w:r w:rsidR="00997382">
        <w:rPr>
          <w:szCs w:val="20"/>
        </w:rPr>
        <w:t>Cannasoft</w:t>
      </w:r>
      <w:proofErr w:type="spellEnd"/>
      <w:r w:rsidR="00997382">
        <w:rPr>
          <w:szCs w:val="20"/>
        </w:rPr>
        <w:t xml:space="preserve"> from their respective shareholders</w:t>
      </w:r>
      <w:r w:rsidR="00981E6E">
        <w:rPr>
          <w:szCs w:val="20"/>
        </w:rPr>
        <w:t xml:space="preserve"> (the “</w:t>
      </w:r>
      <w:r w:rsidR="00981E6E" w:rsidRPr="007446A9">
        <w:rPr>
          <w:b/>
          <w:szCs w:val="20"/>
        </w:rPr>
        <w:t>Business Combination Transactions</w:t>
      </w:r>
      <w:r w:rsidR="00981E6E" w:rsidRPr="0040223F">
        <w:rPr>
          <w:szCs w:val="20"/>
        </w:rPr>
        <w:t>”)</w:t>
      </w:r>
      <w:r w:rsidR="00981E6E">
        <w:rPr>
          <w:szCs w:val="20"/>
        </w:rPr>
        <w:t>; and</w:t>
      </w:r>
    </w:p>
    <w:p w:rsidR="00981E6E" w:rsidRDefault="00981E6E" w:rsidP="0040223F">
      <w:pPr>
        <w:pStyle w:val="ListParagraph"/>
        <w:widowControl/>
        <w:autoSpaceDE/>
        <w:autoSpaceDN/>
        <w:adjustRightInd/>
        <w:ind w:left="1440"/>
        <w:jc w:val="both"/>
        <w:rPr>
          <w:szCs w:val="20"/>
        </w:rPr>
      </w:pPr>
      <w:r>
        <w:rPr>
          <w:szCs w:val="20"/>
        </w:rPr>
        <w:t xml:space="preserve"> </w:t>
      </w:r>
    </w:p>
    <w:p w:rsidR="00F12BAD" w:rsidRPr="004E1191" w:rsidRDefault="00C740C1" w:rsidP="00034EC1">
      <w:pPr>
        <w:pStyle w:val="ListParagraph"/>
        <w:widowControl/>
        <w:numPr>
          <w:ilvl w:val="1"/>
          <w:numId w:val="7"/>
        </w:numPr>
        <w:autoSpaceDE/>
        <w:autoSpaceDN/>
        <w:adjustRightInd/>
        <w:jc w:val="both"/>
        <w:rPr>
          <w:szCs w:val="20"/>
        </w:rPr>
      </w:pPr>
      <w:r>
        <w:rPr>
          <w:szCs w:val="20"/>
        </w:rPr>
        <w:t>complete the Listing</w:t>
      </w:r>
      <w:r w:rsidR="00981E6E">
        <w:rPr>
          <w:szCs w:val="20"/>
        </w:rPr>
        <w:t xml:space="preserve">, </w:t>
      </w:r>
      <w:r>
        <w:rPr>
          <w:szCs w:val="20"/>
        </w:rPr>
        <w:t>by applying to list its shares for trading on the Canadian Securities Exchange</w:t>
      </w:r>
      <w:r w:rsidR="00034EC1">
        <w:rPr>
          <w:szCs w:val="20"/>
        </w:rPr>
        <w:t xml:space="preserve"> (“CSE”)</w:t>
      </w:r>
      <w:r>
        <w:rPr>
          <w:szCs w:val="20"/>
        </w:rPr>
        <w:t xml:space="preserve">; </w:t>
      </w:r>
    </w:p>
    <w:p w:rsidR="00F12BAD" w:rsidRDefault="00F12BAD" w:rsidP="00F12BAD">
      <w:pPr>
        <w:pStyle w:val="ListParagraph"/>
        <w:widowControl/>
        <w:autoSpaceDE/>
        <w:autoSpaceDN/>
        <w:adjustRightInd/>
        <w:jc w:val="both"/>
        <w:rPr>
          <w:szCs w:val="20"/>
        </w:rPr>
      </w:pPr>
    </w:p>
    <w:p w:rsidR="00D20101" w:rsidRDefault="00D20101" w:rsidP="0040223F">
      <w:pPr>
        <w:pStyle w:val="ListParagraph"/>
        <w:keepNext/>
        <w:widowControl/>
        <w:numPr>
          <w:ilvl w:val="0"/>
          <w:numId w:val="7"/>
        </w:numPr>
        <w:autoSpaceDE/>
        <w:autoSpaceDN/>
        <w:adjustRightInd/>
        <w:jc w:val="both"/>
        <w:rPr>
          <w:szCs w:val="20"/>
        </w:rPr>
      </w:pPr>
      <w:r>
        <w:rPr>
          <w:szCs w:val="20"/>
        </w:rPr>
        <w:lastRenderedPageBreak/>
        <w:t>On December 9, 2019, the Company assisted in the formation of a new British Columbia corporation (“</w:t>
      </w:r>
      <w:proofErr w:type="spellStart"/>
      <w:r w:rsidRPr="0040223F">
        <w:rPr>
          <w:b/>
          <w:szCs w:val="20"/>
        </w:rPr>
        <w:t>Fundingco</w:t>
      </w:r>
      <w:proofErr w:type="spellEnd"/>
      <w:r>
        <w:rPr>
          <w:szCs w:val="20"/>
        </w:rPr>
        <w:t xml:space="preserve">”), to be used as a vehicle for raising </w:t>
      </w:r>
      <w:r w:rsidR="009222F1">
        <w:rPr>
          <w:szCs w:val="20"/>
        </w:rPr>
        <w:t xml:space="preserve">capital in connection with the </w:t>
      </w:r>
      <w:proofErr w:type="spellStart"/>
      <w:r w:rsidR="000D141D">
        <w:rPr>
          <w:szCs w:val="20"/>
        </w:rPr>
        <w:t>Cannasoft</w:t>
      </w:r>
      <w:proofErr w:type="spellEnd"/>
      <w:r w:rsidR="000D141D">
        <w:rPr>
          <w:szCs w:val="20"/>
        </w:rPr>
        <w:t xml:space="preserve"> Acquisition and the Listing;</w:t>
      </w:r>
      <w:r>
        <w:rPr>
          <w:szCs w:val="20"/>
        </w:rPr>
        <w:t xml:space="preserve"> </w:t>
      </w:r>
    </w:p>
    <w:p w:rsidR="00D20101" w:rsidRDefault="00D20101" w:rsidP="0040223F">
      <w:pPr>
        <w:pStyle w:val="ListParagraph"/>
        <w:keepNext/>
        <w:widowControl/>
        <w:autoSpaceDE/>
        <w:autoSpaceDN/>
        <w:adjustRightInd/>
        <w:jc w:val="both"/>
        <w:rPr>
          <w:szCs w:val="20"/>
        </w:rPr>
      </w:pPr>
      <w:r>
        <w:rPr>
          <w:szCs w:val="20"/>
        </w:rPr>
        <w:t xml:space="preserve"> </w:t>
      </w:r>
    </w:p>
    <w:p w:rsidR="00981E6E" w:rsidRDefault="004E1191" w:rsidP="0040223F">
      <w:pPr>
        <w:pStyle w:val="ListParagraph"/>
        <w:keepNext/>
        <w:widowControl/>
        <w:numPr>
          <w:ilvl w:val="0"/>
          <w:numId w:val="7"/>
        </w:numPr>
        <w:autoSpaceDE/>
        <w:autoSpaceDN/>
        <w:adjustRightInd/>
        <w:jc w:val="both"/>
        <w:rPr>
          <w:szCs w:val="20"/>
        </w:rPr>
      </w:pPr>
      <w:r w:rsidRPr="00F12BAD">
        <w:rPr>
          <w:szCs w:val="20"/>
        </w:rPr>
        <w:t xml:space="preserve">On December 16, 2019, the Company entered into a </w:t>
      </w:r>
      <w:r w:rsidR="00C740C1">
        <w:rPr>
          <w:szCs w:val="20"/>
        </w:rPr>
        <w:t xml:space="preserve">definitive </w:t>
      </w:r>
      <w:r w:rsidRPr="00F12BAD">
        <w:rPr>
          <w:szCs w:val="20"/>
        </w:rPr>
        <w:t xml:space="preserve">Business Combination Agreement with Lincoln, </w:t>
      </w:r>
      <w:proofErr w:type="spellStart"/>
      <w:r w:rsidR="00F12BAD">
        <w:rPr>
          <w:szCs w:val="20"/>
        </w:rPr>
        <w:t>Fundingco</w:t>
      </w:r>
      <w:proofErr w:type="spellEnd"/>
      <w:r w:rsidR="00F12BAD">
        <w:rPr>
          <w:szCs w:val="20"/>
        </w:rPr>
        <w:t xml:space="preserve"> </w:t>
      </w:r>
      <w:r w:rsidRPr="00F12BAD">
        <w:rPr>
          <w:szCs w:val="20"/>
        </w:rPr>
        <w:t>and the shareholders of BYND</w:t>
      </w:r>
      <w:r w:rsidR="00C84F56">
        <w:rPr>
          <w:szCs w:val="20"/>
        </w:rPr>
        <w:t xml:space="preserve"> </w:t>
      </w:r>
      <w:r w:rsidR="00413BA1">
        <w:rPr>
          <w:szCs w:val="20"/>
        </w:rPr>
        <w:t>in connection with the Business Combination Transaction</w:t>
      </w:r>
      <w:r w:rsidR="00437E3F">
        <w:rPr>
          <w:szCs w:val="20"/>
        </w:rPr>
        <w:t>s</w:t>
      </w:r>
      <w:r w:rsidR="00413BA1">
        <w:rPr>
          <w:szCs w:val="20"/>
        </w:rPr>
        <w:t xml:space="preserve"> </w:t>
      </w:r>
      <w:r w:rsidR="00437E3F">
        <w:rPr>
          <w:szCs w:val="20"/>
        </w:rPr>
        <w:t>wherein</w:t>
      </w:r>
      <w:r w:rsidR="00413BA1">
        <w:rPr>
          <w:szCs w:val="20"/>
        </w:rPr>
        <w:t xml:space="preserve"> the parties agreed </w:t>
      </w:r>
      <w:r w:rsidR="006F01F2" w:rsidRPr="0040223F">
        <w:rPr>
          <w:i/>
          <w:szCs w:val="20"/>
        </w:rPr>
        <w:t>inter alia</w:t>
      </w:r>
      <w:r w:rsidR="006F01F2">
        <w:rPr>
          <w:szCs w:val="20"/>
        </w:rPr>
        <w:t xml:space="preserve"> </w:t>
      </w:r>
      <w:r w:rsidR="00413BA1">
        <w:rPr>
          <w:szCs w:val="20"/>
        </w:rPr>
        <w:t>that</w:t>
      </w:r>
      <w:r w:rsidR="006F01F2">
        <w:rPr>
          <w:szCs w:val="20"/>
        </w:rPr>
        <w:t>:</w:t>
      </w:r>
    </w:p>
    <w:p w:rsidR="00981E6E" w:rsidRDefault="00981E6E" w:rsidP="0040223F">
      <w:pPr>
        <w:pStyle w:val="ListParagraph"/>
        <w:keepNext/>
        <w:widowControl/>
        <w:autoSpaceDE/>
        <w:autoSpaceDN/>
        <w:adjustRightInd/>
        <w:jc w:val="both"/>
        <w:rPr>
          <w:szCs w:val="20"/>
        </w:rPr>
      </w:pPr>
    </w:p>
    <w:p w:rsidR="00185B89" w:rsidRDefault="004E1191" w:rsidP="00185B89">
      <w:pPr>
        <w:pStyle w:val="ListParagraph"/>
        <w:keepNext/>
        <w:widowControl/>
        <w:numPr>
          <w:ilvl w:val="1"/>
          <w:numId w:val="7"/>
        </w:numPr>
        <w:autoSpaceDE/>
        <w:autoSpaceDN/>
        <w:adjustRightInd/>
        <w:jc w:val="both"/>
        <w:rPr>
          <w:szCs w:val="20"/>
        </w:rPr>
      </w:pPr>
      <w:r w:rsidRPr="00F12BAD">
        <w:rPr>
          <w:szCs w:val="20"/>
        </w:rPr>
        <w:t xml:space="preserve">Lincoln and </w:t>
      </w:r>
      <w:proofErr w:type="spellStart"/>
      <w:r w:rsidR="00F12BAD">
        <w:rPr>
          <w:szCs w:val="20"/>
        </w:rPr>
        <w:t>Fundingco</w:t>
      </w:r>
      <w:proofErr w:type="spellEnd"/>
      <w:r w:rsidRPr="00F12BAD">
        <w:rPr>
          <w:szCs w:val="20"/>
        </w:rPr>
        <w:t xml:space="preserve"> w</w:t>
      </w:r>
      <w:r w:rsidR="006F01F2">
        <w:rPr>
          <w:szCs w:val="20"/>
        </w:rPr>
        <w:t xml:space="preserve">ould </w:t>
      </w:r>
      <w:r w:rsidRPr="00F12BAD">
        <w:rPr>
          <w:szCs w:val="20"/>
        </w:rPr>
        <w:t>amalgamate to form a new company</w:t>
      </w:r>
      <w:r w:rsidR="00437E3F">
        <w:rPr>
          <w:szCs w:val="20"/>
        </w:rPr>
        <w:t xml:space="preserve"> to be called </w:t>
      </w:r>
      <w:r w:rsidRPr="00F12BAD">
        <w:rPr>
          <w:szCs w:val="20"/>
        </w:rPr>
        <w:t>“</w:t>
      </w:r>
      <w:r w:rsidRPr="00F12BAD">
        <w:rPr>
          <w:i/>
          <w:szCs w:val="20"/>
        </w:rPr>
        <w:t xml:space="preserve">BYND </w:t>
      </w:r>
      <w:proofErr w:type="spellStart"/>
      <w:r w:rsidRPr="00F12BAD">
        <w:rPr>
          <w:i/>
          <w:szCs w:val="20"/>
        </w:rPr>
        <w:t>Cannasoft</w:t>
      </w:r>
      <w:proofErr w:type="spellEnd"/>
      <w:r w:rsidRPr="00F12BAD">
        <w:rPr>
          <w:i/>
          <w:szCs w:val="20"/>
        </w:rPr>
        <w:t xml:space="preserve"> </w:t>
      </w:r>
      <w:r w:rsidR="008905A5">
        <w:rPr>
          <w:i/>
          <w:szCs w:val="20"/>
        </w:rPr>
        <w:t>Enterprises Inc</w:t>
      </w:r>
      <w:r w:rsidRPr="00F12BAD">
        <w:rPr>
          <w:i/>
          <w:szCs w:val="20"/>
        </w:rPr>
        <w:t>.</w:t>
      </w:r>
      <w:r w:rsidRPr="00F12BAD">
        <w:rPr>
          <w:szCs w:val="20"/>
        </w:rPr>
        <w:t>”</w:t>
      </w:r>
      <w:r w:rsidR="006F01F2">
        <w:rPr>
          <w:szCs w:val="20"/>
        </w:rPr>
        <w:t xml:space="preserve"> (“</w:t>
      </w:r>
      <w:r w:rsidR="006F01F2" w:rsidRPr="0040223F">
        <w:rPr>
          <w:b/>
          <w:szCs w:val="20"/>
        </w:rPr>
        <w:t xml:space="preserve">BYND </w:t>
      </w:r>
      <w:proofErr w:type="spellStart"/>
      <w:r w:rsidR="006F01F2" w:rsidRPr="0040223F">
        <w:rPr>
          <w:b/>
          <w:szCs w:val="20"/>
        </w:rPr>
        <w:t>Cannasoft</w:t>
      </w:r>
      <w:proofErr w:type="spellEnd"/>
      <w:r w:rsidR="006F01F2">
        <w:rPr>
          <w:szCs w:val="20"/>
        </w:rPr>
        <w:t>”)</w:t>
      </w:r>
      <w:r w:rsidRPr="00F12BAD">
        <w:rPr>
          <w:szCs w:val="20"/>
        </w:rPr>
        <w:t xml:space="preserve">, and </w:t>
      </w:r>
    </w:p>
    <w:p w:rsidR="00185B89" w:rsidRDefault="00185B89" w:rsidP="00185B89">
      <w:pPr>
        <w:pStyle w:val="ListParagraph"/>
        <w:keepNext/>
        <w:widowControl/>
        <w:autoSpaceDE/>
        <w:autoSpaceDN/>
        <w:adjustRightInd/>
        <w:ind w:left="1440"/>
        <w:jc w:val="both"/>
        <w:rPr>
          <w:szCs w:val="20"/>
        </w:rPr>
      </w:pPr>
      <w:r>
        <w:rPr>
          <w:szCs w:val="20"/>
        </w:rPr>
        <w:t xml:space="preserve"> </w:t>
      </w:r>
    </w:p>
    <w:p w:rsidR="008905A5" w:rsidRPr="00185B89" w:rsidRDefault="006F01F2" w:rsidP="00185B89">
      <w:pPr>
        <w:pStyle w:val="ListParagraph"/>
        <w:keepNext/>
        <w:widowControl/>
        <w:numPr>
          <w:ilvl w:val="1"/>
          <w:numId w:val="7"/>
        </w:numPr>
        <w:autoSpaceDE/>
        <w:autoSpaceDN/>
        <w:adjustRightInd/>
        <w:jc w:val="both"/>
        <w:rPr>
          <w:szCs w:val="20"/>
        </w:rPr>
      </w:pPr>
      <w:r w:rsidRPr="00185B89">
        <w:rPr>
          <w:szCs w:val="20"/>
        </w:rPr>
        <w:t xml:space="preserve">BYND </w:t>
      </w:r>
      <w:proofErr w:type="spellStart"/>
      <w:r w:rsidRPr="00185B89">
        <w:rPr>
          <w:szCs w:val="20"/>
        </w:rPr>
        <w:t>Cannasoft</w:t>
      </w:r>
      <w:proofErr w:type="spellEnd"/>
      <w:r w:rsidRPr="00185B89">
        <w:rPr>
          <w:szCs w:val="20"/>
        </w:rPr>
        <w:t xml:space="preserve"> would </w:t>
      </w:r>
      <w:r w:rsidR="004E1191" w:rsidRPr="00185B89">
        <w:rPr>
          <w:szCs w:val="20"/>
        </w:rPr>
        <w:t>acquire all of the issued and outstanding shares of BYND</w:t>
      </w:r>
      <w:r w:rsidR="00437E3F" w:rsidRPr="00185B89">
        <w:rPr>
          <w:szCs w:val="20"/>
        </w:rPr>
        <w:t xml:space="preserve"> (and its 74% owned subsidiary, </w:t>
      </w:r>
      <w:proofErr w:type="spellStart"/>
      <w:r w:rsidR="00437E3F" w:rsidRPr="00185B89">
        <w:rPr>
          <w:szCs w:val="20"/>
        </w:rPr>
        <w:t>Cannasoft</w:t>
      </w:r>
      <w:proofErr w:type="spellEnd"/>
      <w:r w:rsidR="00437E3F" w:rsidRPr="00185B89">
        <w:rPr>
          <w:szCs w:val="20"/>
        </w:rPr>
        <w:t>)</w:t>
      </w:r>
      <w:r w:rsidRPr="00185B89">
        <w:rPr>
          <w:szCs w:val="20"/>
        </w:rPr>
        <w:t>;</w:t>
      </w:r>
    </w:p>
    <w:p w:rsidR="00185B89" w:rsidRDefault="00185B89" w:rsidP="008905A5">
      <w:pPr>
        <w:spacing w:after="0"/>
        <w:jc w:val="both"/>
        <w:rPr>
          <w:sz w:val="20"/>
          <w:szCs w:val="20"/>
        </w:rPr>
      </w:pPr>
    </w:p>
    <w:p w:rsidR="008905A5" w:rsidRPr="00437E3F" w:rsidRDefault="008905A5" w:rsidP="008905A5">
      <w:pPr>
        <w:spacing w:after="0"/>
        <w:jc w:val="both"/>
        <w:rPr>
          <w:sz w:val="20"/>
          <w:szCs w:val="20"/>
        </w:rPr>
      </w:pPr>
      <w:r>
        <w:rPr>
          <w:sz w:val="20"/>
          <w:szCs w:val="20"/>
        </w:rPr>
        <w:t xml:space="preserve">The Business </w:t>
      </w:r>
      <w:r w:rsidRPr="00FB14CA">
        <w:rPr>
          <w:sz w:val="20"/>
          <w:szCs w:val="20"/>
        </w:rPr>
        <w:t xml:space="preserve">Combination Transactions </w:t>
      </w:r>
      <w:r>
        <w:rPr>
          <w:sz w:val="20"/>
          <w:szCs w:val="20"/>
        </w:rPr>
        <w:t>were completed on March 29, 2021</w:t>
      </w:r>
      <w:r w:rsidRPr="00FB14CA">
        <w:rPr>
          <w:sz w:val="20"/>
          <w:szCs w:val="20"/>
        </w:rPr>
        <w:t>.</w:t>
      </w:r>
      <w:r w:rsidR="00437E3F">
        <w:rPr>
          <w:sz w:val="20"/>
          <w:szCs w:val="20"/>
        </w:rPr>
        <w:t xml:space="preserve"> </w:t>
      </w:r>
      <w:r w:rsidRPr="00FB14CA">
        <w:rPr>
          <w:sz w:val="20"/>
          <w:szCs w:val="20"/>
        </w:rPr>
        <w:t xml:space="preserve">Following completion of the Business </w:t>
      </w:r>
      <w:r>
        <w:rPr>
          <w:sz w:val="20"/>
          <w:szCs w:val="20"/>
        </w:rPr>
        <w:t xml:space="preserve">Combination Transactions, BYND </w:t>
      </w:r>
      <w:proofErr w:type="spellStart"/>
      <w:r>
        <w:rPr>
          <w:sz w:val="20"/>
          <w:szCs w:val="20"/>
        </w:rPr>
        <w:t>Cannasoft</w:t>
      </w:r>
      <w:r w:rsidR="006F01F2">
        <w:rPr>
          <w:sz w:val="20"/>
          <w:szCs w:val="20"/>
        </w:rPr>
        <w:t>’s</w:t>
      </w:r>
      <w:proofErr w:type="spellEnd"/>
      <w:r w:rsidRPr="00FB14CA">
        <w:rPr>
          <w:sz w:val="20"/>
          <w:szCs w:val="20"/>
        </w:rPr>
        <w:t xml:space="preserve"> primary business </w:t>
      </w:r>
      <w:r w:rsidR="00981E6E">
        <w:rPr>
          <w:sz w:val="20"/>
          <w:szCs w:val="20"/>
        </w:rPr>
        <w:t xml:space="preserve">is </w:t>
      </w:r>
      <w:r w:rsidR="00437E3F">
        <w:rPr>
          <w:sz w:val="20"/>
          <w:szCs w:val="20"/>
        </w:rPr>
        <w:t xml:space="preserve">now </w:t>
      </w:r>
      <w:r w:rsidRPr="00FB14CA">
        <w:rPr>
          <w:sz w:val="20"/>
          <w:szCs w:val="20"/>
        </w:rPr>
        <w:t>the business of BYND</w:t>
      </w:r>
      <w:r>
        <w:rPr>
          <w:sz w:val="20"/>
          <w:szCs w:val="20"/>
        </w:rPr>
        <w:t xml:space="preserve"> and </w:t>
      </w:r>
      <w:r w:rsidR="00770562">
        <w:rPr>
          <w:sz w:val="20"/>
          <w:szCs w:val="20"/>
        </w:rPr>
        <w:t xml:space="preserve">of </w:t>
      </w:r>
      <w:proofErr w:type="spellStart"/>
      <w:r>
        <w:rPr>
          <w:sz w:val="20"/>
          <w:szCs w:val="20"/>
        </w:rPr>
        <w:t>Cannasoft</w:t>
      </w:r>
      <w:proofErr w:type="spellEnd"/>
      <w:r w:rsidRPr="00FB14CA">
        <w:rPr>
          <w:sz w:val="20"/>
          <w:szCs w:val="20"/>
        </w:rPr>
        <w:t xml:space="preserve">. </w:t>
      </w:r>
    </w:p>
    <w:p w:rsidR="004E1191" w:rsidRPr="0085422F" w:rsidRDefault="004E1191" w:rsidP="004E1191">
      <w:pPr>
        <w:spacing w:after="0"/>
        <w:jc w:val="both"/>
        <w:rPr>
          <w:sz w:val="20"/>
          <w:szCs w:val="20"/>
        </w:rPr>
      </w:pPr>
    </w:p>
    <w:p w:rsidR="00602F55" w:rsidRPr="00B4333E" w:rsidRDefault="00602F55" w:rsidP="00B4333E">
      <w:pPr>
        <w:spacing w:after="0"/>
        <w:jc w:val="both"/>
        <w:rPr>
          <w:b/>
          <w:bCs/>
          <w:sz w:val="20"/>
          <w:szCs w:val="20"/>
          <w:u w:val="single"/>
        </w:rPr>
      </w:pPr>
      <w:r w:rsidRPr="00B4333E">
        <w:rPr>
          <w:b/>
          <w:bCs/>
          <w:sz w:val="20"/>
          <w:szCs w:val="20"/>
          <w:u w:val="single"/>
        </w:rPr>
        <w:t>SELECTED FINANCIAL INFORMATION</w:t>
      </w:r>
    </w:p>
    <w:p w:rsidR="00602F55" w:rsidRPr="00B4333E" w:rsidRDefault="00602F55" w:rsidP="00B4333E">
      <w:pPr>
        <w:spacing w:after="0"/>
        <w:jc w:val="both"/>
        <w:rPr>
          <w:rFonts w:eastAsia="Arial"/>
          <w:sz w:val="20"/>
          <w:szCs w:val="20"/>
          <w:highlight w:val="yellow"/>
        </w:rPr>
      </w:pPr>
    </w:p>
    <w:p w:rsidR="00602F55" w:rsidRPr="00B4333E" w:rsidRDefault="00602F55" w:rsidP="008905A5">
      <w:pPr>
        <w:spacing w:after="0"/>
        <w:jc w:val="both"/>
        <w:rPr>
          <w:rFonts w:eastAsia="Arial"/>
          <w:sz w:val="20"/>
          <w:szCs w:val="20"/>
        </w:rPr>
      </w:pPr>
      <w:r w:rsidRPr="00B4333E">
        <w:rPr>
          <w:rFonts w:eastAsia="Arial"/>
          <w:sz w:val="20"/>
          <w:szCs w:val="20"/>
        </w:rPr>
        <w:t xml:space="preserve">The following table sets forth selected financial information for </w:t>
      </w:r>
      <w:r w:rsidRPr="00B4333E">
        <w:rPr>
          <w:sz w:val="20"/>
          <w:szCs w:val="20"/>
        </w:rPr>
        <w:t>the fiscal period ended December 31, 20</w:t>
      </w:r>
      <w:r w:rsidR="008905A5">
        <w:rPr>
          <w:sz w:val="20"/>
          <w:szCs w:val="20"/>
        </w:rPr>
        <w:t>20</w:t>
      </w:r>
      <w:r w:rsidRPr="00B4333E">
        <w:rPr>
          <w:sz w:val="20"/>
          <w:szCs w:val="20"/>
        </w:rPr>
        <w:t xml:space="preserve"> and the comparable period to December</w:t>
      </w:r>
      <w:r w:rsidR="00307227">
        <w:rPr>
          <w:sz w:val="20"/>
          <w:szCs w:val="20"/>
        </w:rPr>
        <w:t xml:space="preserve"> 31, 20</w:t>
      </w:r>
      <w:r w:rsidR="008905A5">
        <w:rPr>
          <w:sz w:val="20"/>
          <w:szCs w:val="20"/>
        </w:rPr>
        <w:t>19</w:t>
      </w:r>
      <w:r w:rsidRPr="00B4333E">
        <w:rPr>
          <w:rFonts w:eastAsia="Arial"/>
          <w:sz w:val="20"/>
          <w:szCs w:val="20"/>
        </w:rPr>
        <w:t>. The selected financial information set out below has been derived from the Company’s audited financial statements and accompanying notes, for the corresponding periods. The selected financial information set out below may not be indicative of the Company’s future performance.</w:t>
      </w:r>
    </w:p>
    <w:p w:rsidR="00602F55" w:rsidRPr="00B4333E" w:rsidRDefault="00602F55" w:rsidP="00B4333E">
      <w:pPr>
        <w:spacing w:after="0"/>
        <w:jc w:val="both"/>
        <w:rPr>
          <w:rFonts w:eastAsia="Arial"/>
          <w:sz w:val="20"/>
          <w:szCs w:val="20"/>
        </w:rPr>
      </w:pPr>
    </w:p>
    <w:tbl>
      <w:tblPr>
        <w:tblW w:w="6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1456"/>
        <w:gridCol w:w="1852"/>
      </w:tblGrid>
      <w:tr w:rsidR="00233AAA" w:rsidRPr="00B4333E" w:rsidTr="00EE66EA">
        <w:trPr>
          <w:cantSplit/>
          <w:trHeight w:val="767"/>
          <w:tblHeader/>
          <w:jc w:val="center"/>
        </w:trPr>
        <w:tc>
          <w:tcPr>
            <w:tcW w:w="3282" w:type="dxa"/>
            <w:shd w:val="clear" w:color="auto" w:fill="D6E3BC" w:themeFill="accent3" w:themeFillTint="66"/>
            <w:vAlign w:val="center"/>
          </w:tcPr>
          <w:p w:rsidR="008905A5" w:rsidRPr="00B4333E" w:rsidRDefault="008905A5" w:rsidP="00BC4B81">
            <w:pPr>
              <w:pStyle w:val="BodyText"/>
              <w:jc w:val="center"/>
              <w:rPr>
                <w:b/>
                <w:sz w:val="20"/>
                <w:szCs w:val="20"/>
                <w:lang w:val="en-CA"/>
              </w:rPr>
            </w:pPr>
            <w:r w:rsidRPr="00B4333E">
              <w:rPr>
                <w:b/>
                <w:sz w:val="20"/>
                <w:szCs w:val="20"/>
                <w:lang w:val="en-CA"/>
              </w:rPr>
              <w:t>Item</w:t>
            </w:r>
          </w:p>
        </w:tc>
        <w:tc>
          <w:tcPr>
            <w:tcW w:w="1456" w:type="dxa"/>
            <w:shd w:val="clear" w:color="auto" w:fill="D6E3BC" w:themeFill="accent3" w:themeFillTint="66"/>
          </w:tcPr>
          <w:p w:rsidR="008905A5" w:rsidRPr="00B4333E" w:rsidRDefault="008905A5" w:rsidP="00BC4B81">
            <w:pPr>
              <w:pStyle w:val="BodyText"/>
              <w:jc w:val="center"/>
              <w:rPr>
                <w:b/>
                <w:sz w:val="20"/>
                <w:szCs w:val="20"/>
                <w:lang w:val="en-CA"/>
              </w:rPr>
            </w:pPr>
            <w:r>
              <w:rPr>
                <w:b/>
                <w:sz w:val="20"/>
                <w:szCs w:val="20"/>
                <w:lang w:val="en-CA"/>
              </w:rPr>
              <w:t xml:space="preserve">Year Ended </w:t>
            </w:r>
            <w:r>
              <w:rPr>
                <w:b/>
                <w:sz w:val="20"/>
                <w:szCs w:val="20"/>
                <w:lang w:val="en-CA"/>
              </w:rPr>
              <w:br/>
              <w:t>December 31, 2020</w:t>
            </w:r>
            <w:r w:rsidRPr="00B4333E">
              <w:rPr>
                <w:b/>
                <w:sz w:val="20"/>
                <w:szCs w:val="20"/>
                <w:lang w:val="en-CA"/>
              </w:rPr>
              <w:t xml:space="preserve"> (CAD$)</w:t>
            </w:r>
          </w:p>
        </w:tc>
        <w:tc>
          <w:tcPr>
            <w:tcW w:w="1852" w:type="dxa"/>
            <w:shd w:val="clear" w:color="auto" w:fill="D6E3BC" w:themeFill="accent3" w:themeFillTint="66"/>
            <w:vAlign w:val="center"/>
          </w:tcPr>
          <w:p w:rsidR="008905A5" w:rsidRPr="00B4333E" w:rsidRDefault="008905A5" w:rsidP="00BC4B81">
            <w:pPr>
              <w:pStyle w:val="BodyText"/>
              <w:jc w:val="center"/>
              <w:rPr>
                <w:b/>
                <w:sz w:val="20"/>
                <w:szCs w:val="20"/>
                <w:lang w:val="en-CA"/>
              </w:rPr>
            </w:pPr>
            <w:r w:rsidRPr="00B4333E">
              <w:rPr>
                <w:b/>
                <w:sz w:val="20"/>
                <w:szCs w:val="20"/>
                <w:lang w:val="en-CA"/>
              </w:rPr>
              <w:t xml:space="preserve">Year Ended </w:t>
            </w:r>
            <w:r w:rsidRPr="00B4333E">
              <w:rPr>
                <w:b/>
                <w:sz w:val="20"/>
                <w:szCs w:val="20"/>
                <w:lang w:val="en-CA"/>
              </w:rPr>
              <w:br/>
              <w:t>December 31, 2019 (CAD$)</w:t>
            </w:r>
          </w:p>
        </w:tc>
      </w:tr>
      <w:tr w:rsidR="000A1E1E" w:rsidRPr="00B4333E" w:rsidTr="00EE66EA">
        <w:trPr>
          <w:cantSplit/>
          <w:trHeight w:val="309"/>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Revenues</w:t>
            </w:r>
          </w:p>
        </w:tc>
        <w:tc>
          <w:tcPr>
            <w:tcW w:w="1456" w:type="dxa"/>
            <w:vAlign w:val="center"/>
          </w:tcPr>
          <w:p w:rsidR="008905A5" w:rsidRPr="00722EAB" w:rsidRDefault="008905A5" w:rsidP="00233AAA">
            <w:pPr>
              <w:pStyle w:val="BodyText"/>
              <w:ind w:right="209"/>
              <w:jc w:val="right"/>
              <w:rPr>
                <w:sz w:val="20"/>
                <w:szCs w:val="20"/>
                <w:lang w:bidi="he-IL"/>
              </w:rPr>
            </w:pPr>
            <w:r>
              <w:rPr>
                <w:sz w:val="20"/>
                <w:szCs w:val="20"/>
                <w:lang w:bidi="he-IL"/>
              </w:rPr>
              <w:t>1,</w:t>
            </w:r>
            <w:r w:rsidR="00233AAA">
              <w:rPr>
                <w:sz w:val="20"/>
                <w:szCs w:val="20"/>
                <w:lang w:bidi="he-IL"/>
              </w:rPr>
              <w:t>555,389</w:t>
            </w:r>
          </w:p>
        </w:tc>
        <w:tc>
          <w:tcPr>
            <w:tcW w:w="1852" w:type="dxa"/>
            <w:vAlign w:val="center"/>
          </w:tcPr>
          <w:p w:rsidR="008905A5" w:rsidRPr="00B4333E" w:rsidRDefault="008905A5" w:rsidP="007A267F">
            <w:pPr>
              <w:pStyle w:val="BodyText"/>
              <w:ind w:right="81"/>
              <w:jc w:val="right"/>
              <w:rPr>
                <w:sz w:val="20"/>
                <w:szCs w:val="20"/>
                <w:lang w:bidi="he-IL"/>
              </w:rPr>
            </w:pPr>
            <w:r w:rsidRPr="00B4333E">
              <w:rPr>
                <w:sz w:val="20"/>
                <w:szCs w:val="20"/>
                <w:lang w:bidi="he-IL"/>
              </w:rPr>
              <w:t>1,610,212</w:t>
            </w:r>
          </w:p>
        </w:tc>
      </w:tr>
      <w:tr w:rsidR="000A1E1E" w:rsidRPr="00B4333E" w:rsidTr="00EE66EA">
        <w:trPr>
          <w:cantSplit/>
          <w:trHeight w:val="309"/>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 xml:space="preserve">Income (Loss) </w:t>
            </w:r>
          </w:p>
        </w:tc>
        <w:tc>
          <w:tcPr>
            <w:tcW w:w="1456" w:type="dxa"/>
            <w:vAlign w:val="center"/>
          </w:tcPr>
          <w:p w:rsidR="008905A5" w:rsidRPr="00722EAB" w:rsidRDefault="00233AAA" w:rsidP="008E5219">
            <w:pPr>
              <w:pStyle w:val="BodyText"/>
              <w:ind w:right="209"/>
              <w:jc w:val="right"/>
              <w:rPr>
                <w:sz w:val="20"/>
                <w:szCs w:val="20"/>
                <w:lang w:bidi="he-IL"/>
              </w:rPr>
            </w:pPr>
            <w:r>
              <w:rPr>
                <w:sz w:val="20"/>
                <w:szCs w:val="20"/>
                <w:lang w:bidi="he-IL"/>
              </w:rPr>
              <w:t>161,129</w:t>
            </w:r>
          </w:p>
        </w:tc>
        <w:tc>
          <w:tcPr>
            <w:tcW w:w="1852" w:type="dxa"/>
            <w:vAlign w:val="center"/>
          </w:tcPr>
          <w:p w:rsidR="008905A5" w:rsidRPr="00B4333E" w:rsidRDefault="008905A5" w:rsidP="007A267F">
            <w:pPr>
              <w:pStyle w:val="BodyText"/>
              <w:ind w:right="81"/>
              <w:jc w:val="right"/>
              <w:rPr>
                <w:sz w:val="20"/>
                <w:szCs w:val="20"/>
                <w:lang w:bidi="he-IL"/>
              </w:rPr>
            </w:pPr>
            <w:r w:rsidRPr="00B4333E">
              <w:rPr>
                <w:sz w:val="20"/>
                <w:szCs w:val="20"/>
                <w:lang w:bidi="he-IL"/>
              </w:rPr>
              <w:t>(291,458)</w:t>
            </w:r>
          </w:p>
        </w:tc>
      </w:tr>
      <w:tr w:rsidR="000A1E1E" w:rsidRPr="00B4333E" w:rsidTr="00EE66EA">
        <w:trPr>
          <w:cantSplit/>
          <w:trHeight w:val="297"/>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Total Assets</w:t>
            </w:r>
          </w:p>
        </w:tc>
        <w:tc>
          <w:tcPr>
            <w:tcW w:w="1456" w:type="dxa"/>
            <w:vAlign w:val="center"/>
          </w:tcPr>
          <w:p w:rsidR="008905A5" w:rsidRPr="00722EAB" w:rsidDel="00995787" w:rsidRDefault="00233AAA" w:rsidP="00233AAA">
            <w:pPr>
              <w:pStyle w:val="BodyText"/>
              <w:ind w:right="209"/>
              <w:jc w:val="right"/>
              <w:rPr>
                <w:sz w:val="20"/>
                <w:szCs w:val="20"/>
                <w:lang w:bidi="he-IL"/>
              </w:rPr>
            </w:pPr>
            <w:r>
              <w:rPr>
                <w:sz w:val="20"/>
                <w:szCs w:val="20"/>
                <w:lang w:bidi="he-IL"/>
              </w:rPr>
              <w:t>910,885</w:t>
            </w:r>
          </w:p>
        </w:tc>
        <w:tc>
          <w:tcPr>
            <w:tcW w:w="1852" w:type="dxa"/>
            <w:vAlign w:val="center"/>
          </w:tcPr>
          <w:p w:rsidR="008905A5" w:rsidRPr="00B4333E" w:rsidRDefault="008905A5" w:rsidP="007A267F">
            <w:pPr>
              <w:pStyle w:val="BodyText"/>
              <w:tabs>
                <w:tab w:val="left" w:pos="1015"/>
              </w:tabs>
              <w:ind w:right="81"/>
              <w:jc w:val="right"/>
              <w:rPr>
                <w:sz w:val="20"/>
                <w:szCs w:val="20"/>
                <w:lang w:bidi="he-IL"/>
              </w:rPr>
            </w:pPr>
            <w:r w:rsidRPr="00B4333E">
              <w:rPr>
                <w:sz w:val="20"/>
                <w:szCs w:val="20"/>
                <w:lang w:bidi="he-IL"/>
              </w:rPr>
              <w:t>505,694</w:t>
            </w:r>
          </w:p>
        </w:tc>
      </w:tr>
      <w:tr w:rsidR="000A1E1E" w:rsidRPr="00B4333E" w:rsidTr="00EE66EA">
        <w:trPr>
          <w:cantSplit/>
          <w:trHeight w:val="309"/>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Total Liabilities</w:t>
            </w:r>
          </w:p>
        </w:tc>
        <w:tc>
          <w:tcPr>
            <w:tcW w:w="1456" w:type="dxa"/>
            <w:vAlign w:val="center"/>
          </w:tcPr>
          <w:p w:rsidR="008905A5" w:rsidRPr="00722EAB" w:rsidRDefault="008905A5" w:rsidP="00233AAA">
            <w:pPr>
              <w:pStyle w:val="BodyText"/>
              <w:ind w:right="209"/>
              <w:jc w:val="right"/>
              <w:rPr>
                <w:sz w:val="20"/>
                <w:szCs w:val="20"/>
                <w:lang w:bidi="he-IL"/>
              </w:rPr>
            </w:pPr>
            <w:r>
              <w:rPr>
                <w:sz w:val="20"/>
                <w:szCs w:val="20"/>
                <w:lang w:bidi="he-IL"/>
              </w:rPr>
              <w:t>1,</w:t>
            </w:r>
            <w:r w:rsidR="00AD6573">
              <w:rPr>
                <w:sz w:val="20"/>
                <w:szCs w:val="20"/>
                <w:lang w:bidi="he-IL"/>
              </w:rPr>
              <w:t>1</w:t>
            </w:r>
            <w:r w:rsidR="00233AAA">
              <w:rPr>
                <w:sz w:val="20"/>
                <w:szCs w:val="20"/>
                <w:lang w:bidi="he-IL"/>
              </w:rPr>
              <w:t>68,019</w:t>
            </w:r>
          </w:p>
        </w:tc>
        <w:tc>
          <w:tcPr>
            <w:tcW w:w="1852" w:type="dxa"/>
            <w:vAlign w:val="center"/>
          </w:tcPr>
          <w:p w:rsidR="008905A5" w:rsidRPr="00B4333E" w:rsidRDefault="008905A5" w:rsidP="007A267F">
            <w:pPr>
              <w:pStyle w:val="BodyText"/>
              <w:ind w:right="81"/>
              <w:jc w:val="right"/>
              <w:rPr>
                <w:sz w:val="20"/>
                <w:szCs w:val="20"/>
                <w:lang w:bidi="he-IL"/>
              </w:rPr>
            </w:pPr>
            <w:r w:rsidRPr="00B4333E">
              <w:rPr>
                <w:sz w:val="20"/>
                <w:szCs w:val="20"/>
                <w:lang w:bidi="he-IL"/>
              </w:rPr>
              <w:t>689,872</w:t>
            </w:r>
          </w:p>
        </w:tc>
      </w:tr>
      <w:tr w:rsidR="000A1E1E" w:rsidRPr="00B4333E" w:rsidTr="00EE66EA">
        <w:trPr>
          <w:cantSplit/>
          <w:trHeight w:val="309"/>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Working Capital</w:t>
            </w:r>
            <w:r>
              <w:rPr>
                <w:sz w:val="20"/>
                <w:szCs w:val="20"/>
                <w:lang w:val="en-CA"/>
              </w:rPr>
              <w:t xml:space="preserve"> (Deficiency)</w:t>
            </w:r>
          </w:p>
        </w:tc>
        <w:tc>
          <w:tcPr>
            <w:tcW w:w="1456" w:type="dxa"/>
            <w:vAlign w:val="center"/>
          </w:tcPr>
          <w:p w:rsidR="008905A5" w:rsidRPr="00722EAB" w:rsidRDefault="008905A5" w:rsidP="00233AAA">
            <w:pPr>
              <w:pStyle w:val="BodyText"/>
              <w:ind w:right="209"/>
              <w:jc w:val="right"/>
              <w:rPr>
                <w:sz w:val="20"/>
                <w:szCs w:val="20"/>
                <w:lang w:bidi="he-IL"/>
              </w:rPr>
            </w:pPr>
            <w:r w:rsidRPr="00722EAB">
              <w:rPr>
                <w:sz w:val="20"/>
                <w:szCs w:val="20"/>
                <w:lang w:bidi="he-IL"/>
              </w:rPr>
              <w:t>(</w:t>
            </w:r>
            <w:r w:rsidR="00233AAA">
              <w:rPr>
                <w:sz w:val="20"/>
                <w:szCs w:val="20"/>
                <w:lang w:bidi="he-IL"/>
              </w:rPr>
              <w:t>94,547</w:t>
            </w:r>
            <w:r w:rsidRPr="00722EAB">
              <w:rPr>
                <w:sz w:val="20"/>
                <w:szCs w:val="20"/>
                <w:lang w:bidi="he-IL"/>
              </w:rPr>
              <w:t>)</w:t>
            </w:r>
          </w:p>
        </w:tc>
        <w:tc>
          <w:tcPr>
            <w:tcW w:w="1852" w:type="dxa"/>
            <w:vAlign w:val="center"/>
          </w:tcPr>
          <w:p w:rsidR="008905A5" w:rsidRPr="00B4333E" w:rsidRDefault="008905A5" w:rsidP="007A267F">
            <w:pPr>
              <w:pStyle w:val="BodyText"/>
              <w:ind w:right="81"/>
              <w:jc w:val="right"/>
              <w:rPr>
                <w:sz w:val="20"/>
                <w:szCs w:val="20"/>
                <w:lang w:bidi="he-IL"/>
              </w:rPr>
            </w:pPr>
            <w:r w:rsidRPr="00B4333E">
              <w:rPr>
                <w:sz w:val="20"/>
                <w:szCs w:val="20"/>
                <w:lang w:bidi="he-IL"/>
              </w:rPr>
              <w:t>(197,693)</w:t>
            </w:r>
          </w:p>
        </w:tc>
      </w:tr>
      <w:tr w:rsidR="000A1E1E" w:rsidRPr="00B4333E" w:rsidTr="00EE66EA">
        <w:trPr>
          <w:cantSplit/>
          <w:trHeight w:val="309"/>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Shareholders’ Equity</w:t>
            </w:r>
          </w:p>
        </w:tc>
        <w:tc>
          <w:tcPr>
            <w:tcW w:w="1456" w:type="dxa"/>
            <w:vAlign w:val="center"/>
          </w:tcPr>
          <w:p w:rsidR="008905A5" w:rsidRPr="00722EAB" w:rsidDel="00995787" w:rsidRDefault="008905A5" w:rsidP="00233AAA">
            <w:pPr>
              <w:pStyle w:val="BodyText"/>
              <w:ind w:right="209"/>
              <w:jc w:val="right"/>
              <w:rPr>
                <w:sz w:val="20"/>
                <w:szCs w:val="20"/>
                <w:lang w:bidi="he-IL"/>
              </w:rPr>
            </w:pPr>
            <w:r w:rsidRPr="00722EAB">
              <w:rPr>
                <w:sz w:val="20"/>
                <w:szCs w:val="20"/>
                <w:lang w:bidi="he-IL"/>
              </w:rPr>
              <w:t>(</w:t>
            </w:r>
            <w:r w:rsidR="00233AAA">
              <w:rPr>
                <w:sz w:val="20"/>
                <w:szCs w:val="20"/>
                <w:lang w:bidi="he-IL"/>
              </w:rPr>
              <w:t>257,134)</w:t>
            </w:r>
          </w:p>
        </w:tc>
        <w:tc>
          <w:tcPr>
            <w:tcW w:w="1852" w:type="dxa"/>
            <w:vAlign w:val="center"/>
          </w:tcPr>
          <w:p w:rsidR="008905A5" w:rsidRPr="00B4333E" w:rsidRDefault="008905A5" w:rsidP="007A267F">
            <w:pPr>
              <w:pStyle w:val="BodyText"/>
              <w:ind w:right="81"/>
              <w:jc w:val="right"/>
              <w:rPr>
                <w:sz w:val="20"/>
                <w:szCs w:val="20"/>
                <w:rtl/>
                <w:lang w:bidi="he-IL"/>
              </w:rPr>
            </w:pPr>
            <w:r w:rsidRPr="00B4333E">
              <w:rPr>
                <w:sz w:val="20"/>
                <w:szCs w:val="20"/>
                <w:lang w:bidi="he-IL"/>
              </w:rPr>
              <w:t>(184,178)</w:t>
            </w:r>
          </w:p>
        </w:tc>
      </w:tr>
      <w:tr w:rsidR="000A1E1E" w:rsidRPr="00B4333E" w:rsidTr="00EE66EA">
        <w:trPr>
          <w:cantSplit/>
          <w:trHeight w:val="281"/>
          <w:jc w:val="center"/>
        </w:trPr>
        <w:tc>
          <w:tcPr>
            <w:tcW w:w="3282" w:type="dxa"/>
            <w:vAlign w:val="center"/>
          </w:tcPr>
          <w:p w:rsidR="008905A5" w:rsidRPr="00B4333E" w:rsidRDefault="008905A5" w:rsidP="007A267F">
            <w:pPr>
              <w:pStyle w:val="BodyText"/>
              <w:jc w:val="left"/>
              <w:rPr>
                <w:sz w:val="20"/>
                <w:szCs w:val="20"/>
                <w:lang w:val="en-CA"/>
              </w:rPr>
            </w:pPr>
            <w:r w:rsidRPr="00B4333E">
              <w:rPr>
                <w:sz w:val="20"/>
                <w:szCs w:val="20"/>
                <w:lang w:val="en-CA"/>
              </w:rPr>
              <w:t>Number o</w:t>
            </w:r>
            <w:r>
              <w:rPr>
                <w:sz w:val="20"/>
                <w:szCs w:val="20"/>
                <w:lang w:val="en-CA"/>
              </w:rPr>
              <w:t>f Common Shares Outstanding at y</w:t>
            </w:r>
            <w:r w:rsidRPr="00B4333E">
              <w:rPr>
                <w:sz w:val="20"/>
                <w:szCs w:val="20"/>
                <w:lang w:val="en-CA"/>
              </w:rPr>
              <w:t xml:space="preserve">ear </w:t>
            </w:r>
            <w:r>
              <w:rPr>
                <w:sz w:val="20"/>
                <w:szCs w:val="20"/>
                <w:lang w:val="en-CA"/>
              </w:rPr>
              <w:t>e</w:t>
            </w:r>
            <w:r w:rsidRPr="00B4333E">
              <w:rPr>
                <w:sz w:val="20"/>
                <w:szCs w:val="20"/>
                <w:lang w:val="en-CA"/>
              </w:rPr>
              <w:t>nd</w:t>
            </w:r>
          </w:p>
        </w:tc>
        <w:tc>
          <w:tcPr>
            <w:tcW w:w="1456" w:type="dxa"/>
            <w:vAlign w:val="center"/>
          </w:tcPr>
          <w:p w:rsidR="008905A5" w:rsidRPr="00B4333E" w:rsidDel="00995787" w:rsidRDefault="008905A5" w:rsidP="007A267F">
            <w:pPr>
              <w:pStyle w:val="BodyText"/>
              <w:ind w:right="209"/>
              <w:jc w:val="right"/>
              <w:rPr>
                <w:sz w:val="20"/>
                <w:szCs w:val="20"/>
                <w:lang w:bidi="he-IL"/>
              </w:rPr>
            </w:pPr>
            <w:r w:rsidRPr="00B4333E">
              <w:rPr>
                <w:sz w:val="20"/>
                <w:szCs w:val="20"/>
                <w:lang w:bidi="he-IL"/>
              </w:rPr>
              <w:t>800</w:t>
            </w:r>
          </w:p>
        </w:tc>
        <w:tc>
          <w:tcPr>
            <w:tcW w:w="1852" w:type="dxa"/>
            <w:vAlign w:val="center"/>
          </w:tcPr>
          <w:p w:rsidR="008905A5" w:rsidRPr="00B4333E" w:rsidRDefault="008905A5" w:rsidP="007A267F">
            <w:pPr>
              <w:pStyle w:val="BodyText"/>
              <w:ind w:right="81"/>
              <w:jc w:val="right"/>
              <w:rPr>
                <w:sz w:val="20"/>
                <w:szCs w:val="20"/>
                <w:lang w:bidi="he-IL"/>
              </w:rPr>
            </w:pPr>
            <w:r w:rsidRPr="00B4333E">
              <w:rPr>
                <w:sz w:val="20"/>
                <w:szCs w:val="20"/>
                <w:lang w:bidi="he-IL"/>
              </w:rPr>
              <w:t>800</w:t>
            </w:r>
          </w:p>
        </w:tc>
      </w:tr>
    </w:tbl>
    <w:p w:rsidR="00602F55" w:rsidRPr="00B4333E" w:rsidRDefault="00602F55" w:rsidP="00B4333E">
      <w:pPr>
        <w:spacing w:after="0"/>
        <w:jc w:val="both"/>
        <w:rPr>
          <w:sz w:val="20"/>
          <w:szCs w:val="20"/>
        </w:rPr>
      </w:pPr>
    </w:p>
    <w:p w:rsidR="00602F55" w:rsidRPr="00B4333E" w:rsidRDefault="00602F55" w:rsidP="00B4333E">
      <w:pPr>
        <w:spacing w:after="0"/>
        <w:jc w:val="both"/>
        <w:rPr>
          <w:b/>
          <w:bCs/>
          <w:sz w:val="20"/>
          <w:szCs w:val="20"/>
          <w:u w:val="single"/>
        </w:rPr>
      </w:pPr>
      <w:r w:rsidRPr="00B4333E">
        <w:rPr>
          <w:b/>
          <w:bCs/>
          <w:sz w:val="20"/>
          <w:szCs w:val="20"/>
          <w:u w:val="single"/>
        </w:rPr>
        <w:t>RESULTS OF OPERATIONS AND OVERALL PERFORMANCE</w:t>
      </w:r>
    </w:p>
    <w:p w:rsidR="00602F55" w:rsidRPr="00B4333E" w:rsidRDefault="00602F55" w:rsidP="00B4333E">
      <w:pPr>
        <w:spacing w:after="0"/>
        <w:jc w:val="both"/>
        <w:rPr>
          <w:b/>
          <w:bCs/>
          <w:sz w:val="20"/>
          <w:szCs w:val="20"/>
          <w:u w:val="single"/>
        </w:rPr>
      </w:pPr>
    </w:p>
    <w:p w:rsidR="007A267F" w:rsidRDefault="00602F55" w:rsidP="00233AAA">
      <w:pPr>
        <w:spacing w:after="0"/>
        <w:jc w:val="both"/>
        <w:rPr>
          <w:rFonts w:eastAsia="Arial"/>
          <w:sz w:val="20"/>
          <w:szCs w:val="20"/>
        </w:rPr>
      </w:pPr>
      <w:r w:rsidRPr="00B4333E">
        <w:rPr>
          <w:rFonts w:eastAsia="Arial"/>
          <w:sz w:val="20"/>
          <w:szCs w:val="20"/>
        </w:rPr>
        <w:t xml:space="preserve">For </w:t>
      </w:r>
      <w:r w:rsidR="000A1E1E">
        <w:rPr>
          <w:rFonts w:eastAsia="Arial"/>
          <w:sz w:val="20"/>
          <w:szCs w:val="20"/>
        </w:rPr>
        <w:t>the year ended December 31, 2020</w:t>
      </w:r>
      <w:r w:rsidR="00AD53FA">
        <w:rPr>
          <w:rFonts w:eastAsia="Arial"/>
          <w:sz w:val="20"/>
          <w:szCs w:val="20"/>
        </w:rPr>
        <w:t>,</w:t>
      </w:r>
      <w:r w:rsidR="000A1E1E">
        <w:rPr>
          <w:rFonts w:eastAsia="Arial"/>
          <w:sz w:val="20"/>
          <w:szCs w:val="20"/>
        </w:rPr>
        <w:t xml:space="preserve"> the Company recorded </w:t>
      </w:r>
      <w:r w:rsidRPr="00B4333E">
        <w:rPr>
          <w:rFonts w:eastAsia="Arial"/>
          <w:sz w:val="20"/>
          <w:szCs w:val="20"/>
        </w:rPr>
        <w:t xml:space="preserve">net </w:t>
      </w:r>
      <w:r w:rsidR="000A1E1E">
        <w:rPr>
          <w:rFonts w:eastAsia="Arial"/>
          <w:sz w:val="20"/>
          <w:szCs w:val="20"/>
        </w:rPr>
        <w:t>income</w:t>
      </w:r>
      <w:r w:rsidRPr="00B4333E">
        <w:rPr>
          <w:rFonts w:eastAsia="Arial"/>
          <w:sz w:val="20"/>
          <w:szCs w:val="20"/>
        </w:rPr>
        <w:t xml:space="preserve"> of $</w:t>
      </w:r>
      <w:r w:rsidR="00233AAA">
        <w:rPr>
          <w:rFonts w:eastAsia="Arial"/>
          <w:sz w:val="20"/>
          <w:szCs w:val="20"/>
        </w:rPr>
        <w:t>161,129</w:t>
      </w:r>
      <w:r w:rsidRPr="00B4333E">
        <w:rPr>
          <w:rFonts w:eastAsia="Arial"/>
          <w:sz w:val="20"/>
          <w:szCs w:val="20"/>
        </w:rPr>
        <w:t xml:space="preserve"> compared to a net</w:t>
      </w:r>
      <w:r w:rsidR="000A1E1E">
        <w:rPr>
          <w:rFonts w:eastAsia="Arial"/>
          <w:sz w:val="20"/>
          <w:szCs w:val="20"/>
        </w:rPr>
        <w:t xml:space="preserve"> loss</w:t>
      </w:r>
      <w:r w:rsidRPr="00B4333E">
        <w:rPr>
          <w:rFonts w:eastAsia="Arial"/>
          <w:sz w:val="20"/>
          <w:szCs w:val="20"/>
        </w:rPr>
        <w:t xml:space="preserve"> of $</w:t>
      </w:r>
      <w:r w:rsidR="000A1E1E" w:rsidRPr="00B4333E">
        <w:rPr>
          <w:rFonts w:eastAsia="Arial"/>
          <w:sz w:val="20"/>
          <w:szCs w:val="20"/>
        </w:rPr>
        <w:t xml:space="preserve">291,458 </w:t>
      </w:r>
      <w:r w:rsidRPr="00B4333E">
        <w:rPr>
          <w:rFonts w:eastAsia="Arial"/>
          <w:sz w:val="20"/>
          <w:szCs w:val="20"/>
        </w:rPr>
        <w:t>in 201</w:t>
      </w:r>
      <w:r w:rsidR="000A1E1E">
        <w:rPr>
          <w:rFonts w:eastAsia="Arial"/>
          <w:sz w:val="20"/>
          <w:szCs w:val="20"/>
        </w:rPr>
        <w:t>9</w:t>
      </w:r>
      <w:r w:rsidRPr="00B4333E">
        <w:rPr>
          <w:rFonts w:eastAsia="Arial"/>
          <w:sz w:val="20"/>
          <w:szCs w:val="20"/>
        </w:rPr>
        <w:t xml:space="preserve"> and had a cash balance as at December 31, 20</w:t>
      </w:r>
      <w:r w:rsidR="000A1E1E">
        <w:rPr>
          <w:rFonts w:eastAsia="Arial"/>
          <w:sz w:val="20"/>
          <w:szCs w:val="20"/>
        </w:rPr>
        <w:t>20</w:t>
      </w:r>
      <w:r w:rsidRPr="00B4333E">
        <w:rPr>
          <w:rFonts w:eastAsia="Arial"/>
          <w:sz w:val="20"/>
          <w:szCs w:val="20"/>
        </w:rPr>
        <w:t xml:space="preserve"> of $</w:t>
      </w:r>
      <w:r w:rsidR="000A1E1E">
        <w:rPr>
          <w:rFonts w:eastAsia="Arial"/>
          <w:sz w:val="20"/>
          <w:szCs w:val="20"/>
        </w:rPr>
        <w:t>563,015 (December 31, 2019</w:t>
      </w:r>
      <w:r w:rsidRPr="00B4333E">
        <w:rPr>
          <w:rFonts w:eastAsia="Arial"/>
          <w:sz w:val="20"/>
          <w:szCs w:val="20"/>
        </w:rPr>
        <w:t xml:space="preserve"> - $</w:t>
      </w:r>
      <w:r w:rsidR="00410766">
        <w:rPr>
          <w:rFonts w:eastAsia="Arial"/>
          <w:sz w:val="20"/>
          <w:szCs w:val="20"/>
        </w:rPr>
        <w:t>300,897</w:t>
      </w:r>
      <w:r w:rsidRPr="00B4333E">
        <w:rPr>
          <w:rFonts w:eastAsia="Arial"/>
          <w:sz w:val="20"/>
          <w:szCs w:val="20"/>
        </w:rPr>
        <w:t>).</w:t>
      </w:r>
    </w:p>
    <w:p w:rsidR="007A267F" w:rsidRDefault="007A267F" w:rsidP="00B4333E">
      <w:pPr>
        <w:spacing w:after="0"/>
        <w:jc w:val="both"/>
        <w:rPr>
          <w:rFonts w:eastAsia="Arial"/>
          <w:sz w:val="20"/>
          <w:szCs w:val="20"/>
        </w:rPr>
      </w:pPr>
    </w:p>
    <w:p w:rsidR="00602F55" w:rsidRPr="00B4333E" w:rsidRDefault="00602F55" w:rsidP="000A1E1E">
      <w:pPr>
        <w:spacing w:after="0"/>
        <w:jc w:val="both"/>
        <w:rPr>
          <w:sz w:val="20"/>
          <w:szCs w:val="20"/>
        </w:rPr>
      </w:pPr>
      <w:r w:rsidRPr="00B4333E">
        <w:rPr>
          <w:sz w:val="20"/>
          <w:szCs w:val="20"/>
        </w:rPr>
        <w:t xml:space="preserve">The following provides an overview of the </w:t>
      </w:r>
      <w:r w:rsidR="005719DB">
        <w:rPr>
          <w:sz w:val="20"/>
          <w:szCs w:val="20"/>
        </w:rPr>
        <w:t xml:space="preserve">Company’s </w:t>
      </w:r>
      <w:r w:rsidRPr="00B4333E">
        <w:rPr>
          <w:sz w:val="20"/>
          <w:szCs w:val="20"/>
        </w:rPr>
        <w:t>financial results for the fiscal period ending December 31, 20</w:t>
      </w:r>
      <w:r w:rsidR="000A1E1E">
        <w:rPr>
          <w:sz w:val="20"/>
          <w:szCs w:val="20"/>
        </w:rPr>
        <w:t>20</w:t>
      </w:r>
      <w:r w:rsidRPr="00B4333E">
        <w:rPr>
          <w:sz w:val="20"/>
          <w:szCs w:val="20"/>
        </w:rPr>
        <w:t>:</w:t>
      </w:r>
    </w:p>
    <w:p w:rsidR="00602F55" w:rsidRPr="00B4333E" w:rsidRDefault="00602F55" w:rsidP="00B4333E">
      <w:pPr>
        <w:spacing w:after="0"/>
        <w:jc w:val="both"/>
        <w:rPr>
          <w:sz w:val="20"/>
          <w:szCs w:val="20"/>
        </w:rPr>
      </w:pPr>
    </w:p>
    <w:p w:rsidR="00602F55" w:rsidRPr="00CE335F" w:rsidRDefault="00602F55" w:rsidP="00B4333E">
      <w:pPr>
        <w:spacing w:after="0"/>
        <w:jc w:val="both"/>
        <w:rPr>
          <w:b/>
          <w:bCs/>
          <w:i/>
          <w:sz w:val="20"/>
          <w:szCs w:val="20"/>
        </w:rPr>
      </w:pPr>
      <w:r w:rsidRPr="00CE335F">
        <w:rPr>
          <w:b/>
          <w:bCs/>
          <w:i/>
          <w:sz w:val="20"/>
          <w:szCs w:val="20"/>
        </w:rPr>
        <w:t xml:space="preserve">Revenues from </w:t>
      </w:r>
      <w:r w:rsidR="00CE335F">
        <w:rPr>
          <w:b/>
          <w:bCs/>
          <w:i/>
          <w:sz w:val="20"/>
          <w:szCs w:val="20"/>
        </w:rPr>
        <w:t>S</w:t>
      </w:r>
      <w:r w:rsidRPr="00CE335F">
        <w:rPr>
          <w:b/>
          <w:bCs/>
          <w:i/>
          <w:sz w:val="20"/>
          <w:szCs w:val="20"/>
        </w:rPr>
        <w:t xml:space="preserve">ales and </w:t>
      </w:r>
      <w:r w:rsidR="00CE335F">
        <w:rPr>
          <w:b/>
          <w:bCs/>
          <w:i/>
          <w:sz w:val="20"/>
          <w:szCs w:val="20"/>
        </w:rPr>
        <w:t>S</w:t>
      </w:r>
      <w:r w:rsidRPr="00CE335F">
        <w:rPr>
          <w:b/>
          <w:bCs/>
          <w:i/>
          <w:sz w:val="20"/>
          <w:szCs w:val="20"/>
        </w:rPr>
        <w:t>ervices</w:t>
      </w:r>
    </w:p>
    <w:p w:rsidR="00602F55" w:rsidRPr="00B4333E" w:rsidRDefault="00602F55" w:rsidP="00B4333E">
      <w:pPr>
        <w:spacing w:after="0"/>
        <w:jc w:val="both"/>
        <w:rPr>
          <w:b/>
          <w:bCs/>
          <w:sz w:val="20"/>
          <w:szCs w:val="20"/>
        </w:rPr>
      </w:pPr>
    </w:p>
    <w:p w:rsidR="00940491" w:rsidRDefault="005719DB" w:rsidP="00233AAA">
      <w:pPr>
        <w:pStyle w:val="ListParagraph"/>
        <w:widowControl/>
        <w:numPr>
          <w:ilvl w:val="0"/>
          <w:numId w:val="4"/>
        </w:numPr>
        <w:autoSpaceDE/>
        <w:autoSpaceDN/>
        <w:adjustRightInd/>
        <w:jc w:val="both"/>
        <w:rPr>
          <w:szCs w:val="20"/>
        </w:rPr>
      </w:pPr>
      <w:r>
        <w:rPr>
          <w:szCs w:val="20"/>
        </w:rPr>
        <w:t xml:space="preserve">Revenues for the </w:t>
      </w:r>
      <w:r w:rsidR="00034EC1">
        <w:rPr>
          <w:szCs w:val="20"/>
        </w:rPr>
        <w:t xml:space="preserve">fiscal </w:t>
      </w:r>
      <w:r>
        <w:rPr>
          <w:szCs w:val="20"/>
        </w:rPr>
        <w:t>period</w:t>
      </w:r>
      <w:r w:rsidR="00034EC1">
        <w:rPr>
          <w:szCs w:val="20"/>
        </w:rPr>
        <w:t xml:space="preserve"> 2020</w:t>
      </w:r>
      <w:r>
        <w:rPr>
          <w:szCs w:val="20"/>
        </w:rPr>
        <w:t xml:space="preserve"> </w:t>
      </w:r>
      <w:r w:rsidR="00602F55" w:rsidRPr="00B4333E">
        <w:rPr>
          <w:szCs w:val="20"/>
        </w:rPr>
        <w:t>amounted to $1,</w:t>
      </w:r>
      <w:r w:rsidR="00233AAA">
        <w:rPr>
          <w:szCs w:val="20"/>
        </w:rPr>
        <w:t>555,389</w:t>
      </w:r>
      <w:r w:rsidR="00602F55" w:rsidRPr="00B4333E">
        <w:rPr>
          <w:szCs w:val="20"/>
        </w:rPr>
        <w:t xml:space="preserve"> as compared to $1,</w:t>
      </w:r>
      <w:r w:rsidR="000A1E1E">
        <w:rPr>
          <w:szCs w:val="20"/>
        </w:rPr>
        <w:t>610,212</w:t>
      </w:r>
      <w:r w:rsidR="00602F55" w:rsidRPr="00B4333E">
        <w:rPr>
          <w:szCs w:val="20"/>
        </w:rPr>
        <w:t xml:space="preserve"> in 201</w:t>
      </w:r>
      <w:r w:rsidR="000A1E1E">
        <w:rPr>
          <w:szCs w:val="20"/>
        </w:rPr>
        <w:t>9</w:t>
      </w:r>
      <w:r w:rsidR="00602F55" w:rsidRPr="00B4333E">
        <w:rPr>
          <w:szCs w:val="20"/>
        </w:rPr>
        <w:t xml:space="preserve">. </w:t>
      </w:r>
      <w:r w:rsidR="00034EC1">
        <w:rPr>
          <w:szCs w:val="20"/>
        </w:rPr>
        <w:t>T</w:t>
      </w:r>
      <w:r w:rsidR="00034EC1" w:rsidRPr="003C56DA">
        <w:rPr>
          <w:szCs w:val="20"/>
        </w:rPr>
        <w:t>his</w:t>
      </w:r>
      <w:r w:rsidR="00940491">
        <w:rPr>
          <w:szCs w:val="20"/>
        </w:rPr>
        <w:t xml:space="preserve"> decrease is mainly </w:t>
      </w:r>
      <w:r w:rsidR="00034EC1">
        <w:rPr>
          <w:szCs w:val="20"/>
        </w:rPr>
        <w:t xml:space="preserve">a result of decreased </w:t>
      </w:r>
      <w:r w:rsidR="00940491">
        <w:rPr>
          <w:szCs w:val="20"/>
        </w:rPr>
        <w:t>revenues from development hours</w:t>
      </w:r>
      <w:r w:rsidR="00034EC1" w:rsidRPr="003C56DA">
        <w:rPr>
          <w:szCs w:val="20"/>
        </w:rPr>
        <w:t xml:space="preserve"> </w:t>
      </w:r>
      <w:r w:rsidR="00940491">
        <w:rPr>
          <w:szCs w:val="20"/>
        </w:rPr>
        <w:t>in the amount of $</w:t>
      </w:r>
      <w:r w:rsidR="00233AAA">
        <w:rPr>
          <w:szCs w:val="20"/>
        </w:rPr>
        <w:t>190,156</w:t>
      </w:r>
      <w:r w:rsidR="00940491">
        <w:rPr>
          <w:szCs w:val="20"/>
        </w:rPr>
        <w:t xml:space="preserve"> due to </w:t>
      </w:r>
      <w:r w:rsidR="00940491" w:rsidRPr="00940491">
        <w:rPr>
          <w:szCs w:val="20"/>
        </w:rPr>
        <w:t>a mandatory leave of absence that all the employees took for 1.5 months due to Covid-19</w:t>
      </w:r>
      <w:r w:rsidR="008E5219">
        <w:rPr>
          <w:szCs w:val="20"/>
        </w:rPr>
        <w:t xml:space="preserve">, </w:t>
      </w:r>
      <w:r w:rsidR="00940491">
        <w:rPr>
          <w:szCs w:val="20"/>
        </w:rPr>
        <w:t>offset by increased revenues from sales of Benefit CRM Software Licenses in the amount of $14</w:t>
      </w:r>
      <w:r w:rsidR="008E5219">
        <w:rPr>
          <w:szCs w:val="20"/>
        </w:rPr>
        <w:t>9,058</w:t>
      </w:r>
    </w:p>
    <w:p w:rsidR="00CE335F" w:rsidRPr="00B4333E" w:rsidRDefault="00CE335F" w:rsidP="00CE335F">
      <w:pPr>
        <w:pStyle w:val="ListParagraph"/>
        <w:widowControl/>
        <w:autoSpaceDE/>
        <w:autoSpaceDN/>
        <w:adjustRightInd/>
        <w:jc w:val="both"/>
        <w:rPr>
          <w:szCs w:val="20"/>
        </w:rPr>
      </w:pPr>
    </w:p>
    <w:p w:rsidR="00602F55" w:rsidRDefault="00602F55" w:rsidP="00233AAA">
      <w:pPr>
        <w:pStyle w:val="ListParagraph"/>
        <w:widowControl/>
        <w:numPr>
          <w:ilvl w:val="0"/>
          <w:numId w:val="4"/>
        </w:numPr>
        <w:autoSpaceDE/>
        <w:autoSpaceDN/>
        <w:adjustRightInd/>
        <w:jc w:val="both"/>
        <w:rPr>
          <w:szCs w:val="20"/>
        </w:rPr>
      </w:pPr>
      <w:r w:rsidRPr="00B4333E">
        <w:rPr>
          <w:szCs w:val="20"/>
        </w:rPr>
        <w:t xml:space="preserve">Approximately </w:t>
      </w:r>
      <w:r w:rsidR="000A1E1E">
        <w:rPr>
          <w:szCs w:val="20"/>
        </w:rPr>
        <w:t>7</w:t>
      </w:r>
      <w:r w:rsidR="00233AAA">
        <w:rPr>
          <w:szCs w:val="20"/>
        </w:rPr>
        <w:t>9</w:t>
      </w:r>
      <w:r w:rsidRPr="00B4333E">
        <w:rPr>
          <w:szCs w:val="20"/>
        </w:rPr>
        <w:t>% of our sales in 20</w:t>
      </w:r>
      <w:r w:rsidR="000A1E1E">
        <w:rPr>
          <w:szCs w:val="20"/>
        </w:rPr>
        <w:t>20 and</w:t>
      </w:r>
      <w:r w:rsidRPr="00B4333E">
        <w:rPr>
          <w:szCs w:val="20"/>
        </w:rPr>
        <w:t xml:space="preserve"> </w:t>
      </w:r>
      <w:r w:rsidR="000A1E1E">
        <w:rPr>
          <w:szCs w:val="20"/>
        </w:rPr>
        <w:t>76</w:t>
      </w:r>
      <w:r w:rsidRPr="00B4333E">
        <w:rPr>
          <w:szCs w:val="20"/>
        </w:rPr>
        <w:t>% of our sales in 201</w:t>
      </w:r>
      <w:r w:rsidR="000A1E1E">
        <w:rPr>
          <w:szCs w:val="20"/>
        </w:rPr>
        <w:t>9</w:t>
      </w:r>
      <w:r w:rsidRPr="00B4333E">
        <w:rPr>
          <w:szCs w:val="20"/>
        </w:rPr>
        <w:t xml:space="preserve"> were to our largest costumer and as a result, we are highly dependent on this costumer to continue our operating activities.</w:t>
      </w:r>
    </w:p>
    <w:p w:rsidR="00CE335F" w:rsidRPr="00B4333E" w:rsidRDefault="00CE335F" w:rsidP="00CE335F">
      <w:pPr>
        <w:pStyle w:val="ListParagraph"/>
        <w:widowControl/>
        <w:autoSpaceDE/>
        <w:autoSpaceDN/>
        <w:adjustRightInd/>
        <w:jc w:val="both"/>
        <w:rPr>
          <w:szCs w:val="20"/>
        </w:rPr>
      </w:pPr>
    </w:p>
    <w:p w:rsidR="00602F55" w:rsidRDefault="00602F55" w:rsidP="00AD6573">
      <w:pPr>
        <w:pStyle w:val="ListParagraph"/>
        <w:widowControl/>
        <w:numPr>
          <w:ilvl w:val="0"/>
          <w:numId w:val="4"/>
        </w:numPr>
        <w:autoSpaceDE/>
        <w:autoSpaceDN/>
        <w:adjustRightInd/>
        <w:jc w:val="both"/>
        <w:rPr>
          <w:szCs w:val="20"/>
        </w:rPr>
      </w:pPr>
      <w:r w:rsidRPr="00B4333E">
        <w:rPr>
          <w:szCs w:val="20"/>
        </w:rPr>
        <w:lastRenderedPageBreak/>
        <w:t xml:space="preserve">Development of the Company’s New CRM Platform is approximately 90% complete. We estimate that within the next </w:t>
      </w:r>
      <w:r w:rsidR="00AD6573">
        <w:rPr>
          <w:szCs w:val="20"/>
        </w:rPr>
        <w:t>4</w:t>
      </w:r>
      <w:r w:rsidRPr="00B4333E">
        <w:rPr>
          <w:szCs w:val="20"/>
        </w:rPr>
        <w:t xml:space="preserve"> months</w:t>
      </w:r>
      <w:r w:rsidR="005719DB">
        <w:rPr>
          <w:szCs w:val="20"/>
        </w:rPr>
        <w:t xml:space="preserve"> </w:t>
      </w:r>
      <w:r w:rsidRPr="00B4333E">
        <w:rPr>
          <w:szCs w:val="20"/>
        </w:rPr>
        <w:t>a BETA version of the New CRM Platform will be available, and that we will begin to generate revenues shortly thereafter.</w:t>
      </w:r>
    </w:p>
    <w:p w:rsidR="00CE335F" w:rsidRPr="00B4333E" w:rsidRDefault="00CE335F" w:rsidP="00CE335F">
      <w:pPr>
        <w:pStyle w:val="ListParagraph"/>
        <w:widowControl/>
        <w:autoSpaceDE/>
        <w:autoSpaceDN/>
        <w:adjustRightInd/>
        <w:jc w:val="both"/>
        <w:rPr>
          <w:szCs w:val="20"/>
        </w:rPr>
      </w:pPr>
    </w:p>
    <w:p w:rsidR="00602F55" w:rsidRPr="000A0014" w:rsidRDefault="00602F55" w:rsidP="00B4333E">
      <w:pPr>
        <w:pStyle w:val="ListParagraph"/>
        <w:widowControl/>
        <w:numPr>
          <w:ilvl w:val="0"/>
          <w:numId w:val="4"/>
        </w:numPr>
        <w:autoSpaceDE/>
        <w:autoSpaceDN/>
        <w:adjustRightInd/>
        <w:jc w:val="both"/>
        <w:rPr>
          <w:szCs w:val="20"/>
        </w:rPr>
      </w:pPr>
      <w:r w:rsidRPr="00B4333E">
        <w:rPr>
          <w:szCs w:val="20"/>
        </w:rPr>
        <w:t xml:space="preserve">Development of the Company’ New Cannabis CRM Platform is at a very early stage and we do not expect to generate revenues </w:t>
      </w:r>
      <w:r w:rsidRPr="000A0014">
        <w:rPr>
          <w:szCs w:val="20"/>
        </w:rPr>
        <w:t xml:space="preserve">from the platform for the foreseeable future. </w:t>
      </w:r>
    </w:p>
    <w:p w:rsidR="00CE335F" w:rsidRPr="000A0014" w:rsidRDefault="00CE335F" w:rsidP="00CE335F">
      <w:pPr>
        <w:pStyle w:val="ListParagraph"/>
        <w:widowControl/>
        <w:autoSpaceDE/>
        <w:autoSpaceDN/>
        <w:adjustRightInd/>
        <w:jc w:val="both"/>
        <w:rPr>
          <w:szCs w:val="20"/>
        </w:rPr>
      </w:pPr>
    </w:p>
    <w:p w:rsidR="00602F55" w:rsidRPr="000A0014" w:rsidRDefault="00602F55" w:rsidP="00A87EA1">
      <w:pPr>
        <w:pStyle w:val="ListParagraph"/>
        <w:widowControl/>
        <w:numPr>
          <w:ilvl w:val="0"/>
          <w:numId w:val="4"/>
        </w:numPr>
        <w:autoSpaceDE/>
        <w:autoSpaceDN/>
        <w:adjustRightInd/>
        <w:jc w:val="both"/>
        <w:rPr>
          <w:szCs w:val="20"/>
        </w:rPr>
      </w:pPr>
      <w:r w:rsidRPr="000A0014">
        <w:rPr>
          <w:szCs w:val="20"/>
        </w:rPr>
        <w:t>The Cannabis Farm is at a very early stage of development and we do not expect to generate revenues from the sale of cannabis or cannabis infused products until Q</w:t>
      </w:r>
      <w:r w:rsidR="00A87EA1" w:rsidRPr="000A0014">
        <w:rPr>
          <w:szCs w:val="20"/>
        </w:rPr>
        <w:t>3</w:t>
      </w:r>
      <w:r w:rsidRPr="000A0014">
        <w:rPr>
          <w:szCs w:val="20"/>
        </w:rPr>
        <w:t xml:space="preserve"> 202</w:t>
      </w:r>
      <w:r w:rsidR="00A87EA1" w:rsidRPr="000A0014">
        <w:rPr>
          <w:szCs w:val="20"/>
        </w:rPr>
        <w:t>2</w:t>
      </w:r>
      <w:r w:rsidRPr="000A0014">
        <w:rPr>
          <w:szCs w:val="20"/>
        </w:rPr>
        <w:t xml:space="preserve">. </w:t>
      </w:r>
    </w:p>
    <w:p w:rsidR="00CE335F" w:rsidRDefault="00CE335F" w:rsidP="00B4333E">
      <w:pPr>
        <w:spacing w:after="0"/>
        <w:jc w:val="both"/>
        <w:rPr>
          <w:b/>
          <w:bCs/>
          <w:sz w:val="20"/>
          <w:szCs w:val="20"/>
        </w:rPr>
      </w:pPr>
    </w:p>
    <w:p w:rsidR="00602F55" w:rsidRPr="00CE335F" w:rsidRDefault="00602F55" w:rsidP="00B4333E">
      <w:pPr>
        <w:spacing w:after="0"/>
        <w:jc w:val="both"/>
        <w:rPr>
          <w:b/>
          <w:bCs/>
          <w:i/>
          <w:sz w:val="20"/>
          <w:szCs w:val="20"/>
        </w:rPr>
      </w:pPr>
      <w:r w:rsidRPr="00CE335F">
        <w:rPr>
          <w:b/>
          <w:bCs/>
          <w:i/>
          <w:sz w:val="20"/>
          <w:szCs w:val="20"/>
        </w:rPr>
        <w:t xml:space="preserve">Cost of </w:t>
      </w:r>
      <w:r w:rsidR="00CE335F" w:rsidRPr="00CE335F">
        <w:rPr>
          <w:b/>
          <w:bCs/>
          <w:i/>
          <w:sz w:val="20"/>
          <w:szCs w:val="20"/>
        </w:rPr>
        <w:t>S</w:t>
      </w:r>
      <w:r w:rsidRPr="00CE335F">
        <w:rPr>
          <w:b/>
          <w:bCs/>
          <w:i/>
          <w:sz w:val="20"/>
          <w:szCs w:val="20"/>
        </w:rPr>
        <w:t xml:space="preserve">ales and </w:t>
      </w:r>
      <w:r w:rsidR="00CE335F" w:rsidRPr="00CE335F">
        <w:rPr>
          <w:b/>
          <w:bCs/>
          <w:i/>
          <w:sz w:val="20"/>
          <w:szCs w:val="20"/>
        </w:rPr>
        <w:t>S</w:t>
      </w:r>
      <w:r w:rsidRPr="00CE335F">
        <w:rPr>
          <w:b/>
          <w:bCs/>
          <w:i/>
          <w:sz w:val="20"/>
          <w:szCs w:val="20"/>
        </w:rPr>
        <w:t>ervices</w:t>
      </w:r>
    </w:p>
    <w:p w:rsidR="00602F55" w:rsidRPr="00B4333E" w:rsidRDefault="00602F55" w:rsidP="00B4333E">
      <w:pPr>
        <w:spacing w:after="0"/>
        <w:jc w:val="both"/>
        <w:rPr>
          <w:b/>
          <w:bCs/>
          <w:sz w:val="20"/>
          <w:szCs w:val="20"/>
        </w:rPr>
      </w:pPr>
    </w:p>
    <w:p w:rsidR="00CE335F" w:rsidRPr="00EE66EA" w:rsidRDefault="00602F55" w:rsidP="00233AAA">
      <w:pPr>
        <w:pStyle w:val="ListParagraph"/>
        <w:widowControl/>
        <w:numPr>
          <w:ilvl w:val="0"/>
          <w:numId w:val="4"/>
        </w:numPr>
        <w:autoSpaceDE/>
        <w:autoSpaceDN/>
        <w:adjustRightInd/>
        <w:jc w:val="both"/>
        <w:rPr>
          <w:szCs w:val="20"/>
        </w:rPr>
      </w:pPr>
      <w:r w:rsidRPr="00B4333E">
        <w:rPr>
          <w:szCs w:val="20"/>
        </w:rPr>
        <w:t>For the fiscal period ended December 31, 20</w:t>
      </w:r>
      <w:r w:rsidR="00E5523D">
        <w:rPr>
          <w:szCs w:val="20"/>
        </w:rPr>
        <w:t>20</w:t>
      </w:r>
      <w:r w:rsidRPr="00B4333E">
        <w:rPr>
          <w:szCs w:val="20"/>
        </w:rPr>
        <w:t xml:space="preserve"> </w:t>
      </w:r>
      <w:r w:rsidR="00E5523D">
        <w:rPr>
          <w:szCs w:val="20"/>
        </w:rPr>
        <w:t xml:space="preserve">the Company's gross margin was </w:t>
      </w:r>
      <w:r w:rsidR="00233AAA">
        <w:rPr>
          <w:szCs w:val="20"/>
        </w:rPr>
        <w:t>52</w:t>
      </w:r>
      <w:r w:rsidRPr="00B4333E">
        <w:rPr>
          <w:szCs w:val="20"/>
        </w:rPr>
        <w:t xml:space="preserve">% as compared to </w:t>
      </w:r>
      <w:r w:rsidR="00C13CC6">
        <w:rPr>
          <w:szCs w:val="20"/>
        </w:rPr>
        <w:t>28</w:t>
      </w:r>
      <w:r w:rsidRPr="00B4333E">
        <w:rPr>
          <w:szCs w:val="20"/>
        </w:rPr>
        <w:t>% during 201</w:t>
      </w:r>
      <w:r w:rsidR="00E5523D">
        <w:rPr>
          <w:szCs w:val="20"/>
        </w:rPr>
        <w:t>9</w:t>
      </w:r>
      <w:r w:rsidRPr="003D687B">
        <w:rPr>
          <w:szCs w:val="20"/>
        </w:rPr>
        <w:t xml:space="preserve">, </w:t>
      </w:r>
      <w:r w:rsidR="00E5523D" w:rsidRPr="003C56DA">
        <w:rPr>
          <w:szCs w:val="20"/>
        </w:rPr>
        <w:t xml:space="preserve">this is a result of </w:t>
      </w:r>
      <w:r w:rsidR="00587DCF">
        <w:rPr>
          <w:szCs w:val="20"/>
        </w:rPr>
        <w:t xml:space="preserve">a $241,678 decrease in </w:t>
      </w:r>
      <w:proofErr w:type="gramStart"/>
      <w:r w:rsidR="00587DCF">
        <w:rPr>
          <w:szCs w:val="20"/>
        </w:rPr>
        <w:t>subcontractors</w:t>
      </w:r>
      <w:proofErr w:type="gramEnd"/>
      <w:r w:rsidR="00587DCF">
        <w:rPr>
          <w:szCs w:val="20"/>
        </w:rPr>
        <w:t xml:space="preserve"> expenses as well as a $1</w:t>
      </w:r>
      <w:r w:rsidR="008E5219">
        <w:rPr>
          <w:szCs w:val="20"/>
        </w:rPr>
        <w:t>70,238</w:t>
      </w:r>
      <w:r w:rsidR="00C13CC6">
        <w:rPr>
          <w:szCs w:val="20"/>
        </w:rPr>
        <w:t xml:space="preserve"> </w:t>
      </w:r>
      <w:r w:rsidR="00587DCF">
        <w:rPr>
          <w:szCs w:val="20"/>
        </w:rPr>
        <w:t xml:space="preserve">decrease in payroll expenses which was due to </w:t>
      </w:r>
      <w:r w:rsidR="00E5523D" w:rsidRPr="003C56DA">
        <w:rPr>
          <w:szCs w:val="20"/>
        </w:rPr>
        <w:t>a mandatory leave of absence that all the employees took for 1.5 months due to Covid-19</w:t>
      </w:r>
      <w:r w:rsidR="00587DCF">
        <w:rPr>
          <w:szCs w:val="20"/>
        </w:rPr>
        <w:t xml:space="preserve">. </w:t>
      </w:r>
    </w:p>
    <w:p w:rsidR="00602F55" w:rsidRPr="00B4333E" w:rsidRDefault="00602F55" w:rsidP="00B4333E">
      <w:pPr>
        <w:spacing w:after="0"/>
        <w:jc w:val="both"/>
        <w:rPr>
          <w:b/>
          <w:bCs/>
          <w:sz w:val="20"/>
          <w:szCs w:val="20"/>
        </w:rPr>
      </w:pPr>
    </w:p>
    <w:p w:rsidR="00602F55" w:rsidRPr="00473623" w:rsidRDefault="00602F55" w:rsidP="00B4333E">
      <w:pPr>
        <w:spacing w:after="0"/>
        <w:jc w:val="both"/>
        <w:rPr>
          <w:i/>
          <w:sz w:val="20"/>
          <w:szCs w:val="20"/>
        </w:rPr>
      </w:pPr>
      <w:r w:rsidRPr="00473623">
        <w:rPr>
          <w:b/>
          <w:bCs/>
          <w:i/>
          <w:sz w:val="20"/>
          <w:szCs w:val="20"/>
        </w:rPr>
        <w:t xml:space="preserve">General and </w:t>
      </w:r>
      <w:r w:rsidR="00473623">
        <w:rPr>
          <w:b/>
          <w:bCs/>
          <w:i/>
          <w:sz w:val="20"/>
          <w:szCs w:val="20"/>
        </w:rPr>
        <w:t>A</w:t>
      </w:r>
      <w:r w:rsidRPr="00473623">
        <w:rPr>
          <w:b/>
          <w:bCs/>
          <w:i/>
          <w:sz w:val="20"/>
          <w:szCs w:val="20"/>
        </w:rPr>
        <w:t xml:space="preserve">dministrative </w:t>
      </w:r>
      <w:r w:rsidR="00473623">
        <w:rPr>
          <w:b/>
          <w:bCs/>
          <w:i/>
          <w:sz w:val="20"/>
          <w:szCs w:val="20"/>
        </w:rPr>
        <w:t xml:space="preserve">Expenses </w:t>
      </w:r>
      <w:r w:rsidRPr="00473623">
        <w:rPr>
          <w:b/>
          <w:bCs/>
          <w:i/>
          <w:sz w:val="20"/>
          <w:szCs w:val="20"/>
        </w:rPr>
        <w:t xml:space="preserve">and </w:t>
      </w:r>
      <w:r w:rsidR="00473623">
        <w:rPr>
          <w:b/>
          <w:bCs/>
          <w:i/>
          <w:sz w:val="20"/>
          <w:szCs w:val="20"/>
        </w:rPr>
        <w:t>P</w:t>
      </w:r>
      <w:r w:rsidRPr="00473623">
        <w:rPr>
          <w:b/>
          <w:bCs/>
          <w:i/>
          <w:sz w:val="20"/>
          <w:szCs w:val="20"/>
        </w:rPr>
        <w:t xml:space="preserve">rofessional </w:t>
      </w:r>
      <w:r w:rsidR="00473623">
        <w:rPr>
          <w:b/>
          <w:bCs/>
          <w:i/>
          <w:sz w:val="20"/>
          <w:szCs w:val="20"/>
        </w:rPr>
        <w:t>F</w:t>
      </w:r>
      <w:r w:rsidRPr="00473623">
        <w:rPr>
          <w:b/>
          <w:bCs/>
          <w:i/>
          <w:sz w:val="20"/>
          <w:szCs w:val="20"/>
        </w:rPr>
        <w:t xml:space="preserve">ees </w:t>
      </w:r>
    </w:p>
    <w:p w:rsidR="00602F55" w:rsidRPr="00B4333E" w:rsidRDefault="00602F55" w:rsidP="00B4333E">
      <w:pPr>
        <w:spacing w:after="0"/>
        <w:jc w:val="both"/>
        <w:rPr>
          <w:sz w:val="20"/>
          <w:szCs w:val="20"/>
        </w:rPr>
      </w:pPr>
    </w:p>
    <w:p w:rsidR="00602F55" w:rsidRPr="00F845C1" w:rsidRDefault="00602F55" w:rsidP="00ED0720">
      <w:pPr>
        <w:pStyle w:val="ListParagraph"/>
        <w:widowControl/>
        <w:numPr>
          <w:ilvl w:val="0"/>
          <w:numId w:val="4"/>
        </w:numPr>
        <w:autoSpaceDE/>
        <w:autoSpaceDN/>
        <w:adjustRightInd/>
        <w:jc w:val="both"/>
        <w:rPr>
          <w:b/>
          <w:bCs/>
          <w:szCs w:val="20"/>
        </w:rPr>
      </w:pPr>
      <w:r w:rsidRPr="00B4333E">
        <w:rPr>
          <w:szCs w:val="20"/>
        </w:rPr>
        <w:t>For the fisc</w:t>
      </w:r>
      <w:r w:rsidR="00E5523D">
        <w:rPr>
          <w:szCs w:val="20"/>
        </w:rPr>
        <w:t>al period ended December 31, 2020</w:t>
      </w:r>
      <w:r w:rsidRPr="00B4333E">
        <w:rPr>
          <w:szCs w:val="20"/>
        </w:rPr>
        <w:t xml:space="preserve">, </w:t>
      </w:r>
      <w:r w:rsidR="00491BB7">
        <w:rPr>
          <w:szCs w:val="20"/>
        </w:rPr>
        <w:t>g</w:t>
      </w:r>
      <w:r w:rsidRPr="00B4333E">
        <w:rPr>
          <w:szCs w:val="20"/>
        </w:rPr>
        <w:t xml:space="preserve">eneral and </w:t>
      </w:r>
      <w:r w:rsidR="00491BB7">
        <w:rPr>
          <w:szCs w:val="20"/>
        </w:rPr>
        <w:t>a</w:t>
      </w:r>
      <w:r w:rsidRPr="00B4333E">
        <w:rPr>
          <w:szCs w:val="20"/>
        </w:rPr>
        <w:t xml:space="preserve">dministrative expenses </w:t>
      </w:r>
      <w:r w:rsidR="00F845C1">
        <w:rPr>
          <w:szCs w:val="20"/>
        </w:rPr>
        <w:t>de</w:t>
      </w:r>
      <w:r w:rsidRPr="00B4333E">
        <w:rPr>
          <w:szCs w:val="20"/>
        </w:rPr>
        <w:t>creased to</w:t>
      </w:r>
      <w:r w:rsidR="00E5523D">
        <w:rPr>
          <w:szCs w:val="20"/>
        </w:rPr>
        <w:t xml:space="preserve"> $</w:t>
      </w:r>
      <w:r w:rsidR="00C13CC6">
        <w:rPr>
          <w:szCs w:val="20"/>
        </w:rPr>
        <w:t>24</w:t>
      </w:r>
      <w:r w:rsidR="00ED0720">
        <w:rPr>
          <w:szCs w:val="20"/>
        </w:rPr>
        <w:t>3,355</w:t>
      </w:r>
      <w:r w:rsidRPr="00B4333E">
        <w:rPr>
          <w:szCs w:val="20"/>
        </w:rPr>
        <w:t xml:space="preserve"> from $</w:t>
      </w:r>
      <w:r w:rsidR="00C13CC6">
        <w:rPr>
          <w:szCs w:val="20"/>
        </w:rPr>
        <w:t>294,799</w:t>
      </w:r>
      <w:r w:rsidRPr="00B4333E">
        <w:rPr>
          <w:szCs w:val="20"/>
        </w:rPr>
        <w:t xml:space="preserve"> in 201</w:t>
      </w:r>
      <w:r w:rsidR="00E5523D">
        <w:rPr>
          <w:szCs w:val="20"/>
        </w:rPr>
        <w:t xml:space="preserve">9. </w:t>
      </w:r>
      <w:r w:rsidR="00F845C1" w:rsidRPr="003C56DA">
        <w:rPr>
          <w:szCs w:val="20"/>
        </w:rPr>
        <w:t>The decrease was due several decreases in</w:t>
      </w:r>
      <w:proofErr w:type="gramStart"/>
      <w:r w:rsidR="00F845C1" w:rsidRPr="003C56DA">
        <w:rPr>
          <w:szCs w:val="20"/>
        </w:rPr>
        <w:t xml:space="preserve">: </w:t>
      </w:r>
      <w:r w:rsidR="00C13CC6">
        <w:rPr>
          <w:szCs w:val="20"/>
        </w:rPr>
        <w:t>;payroll</w:t>
      </w:r>
      <w:proofErr w:type="gramEnd"/>
      <w:r w:rsidR="00C13CC6">
        <w:rPr>
          <w:szCs w:val="20"/>
        </w:rPr>
        <w:t xml:space="preserve"> expenses, </w:t>
      </w:r>
      <w:r w:rsidR="00F845C1" w:rsidRPr="003C56DA">
        <w:rPr>
          <w:szCs w:val="20"/>
        </w:rPr>
        <w:t>office expenses, ent</w:t>
      </w:r>
      <w:r w:rsidR="00F845C1">
        <w:rPr>
          <w:szCs w:val="20"/>
        </w:rPr>
        <w:t>ertainment expenses and vehicle</w:t>
      </w:r>
      <w:r w:rsidR="00C13CC6">
        <w:rPr>
          <w:szCs w:val="20"/>
        </w:rPr>
        <w:t xml:space="preserve"> expenses</w:t>
      </w:r>
      <w:r w:rsidR="00F845C1">
        <w:rPr>
          <w:szCs w:val="20"/>
        </w:rPr>
        <w:t xml:space="preserve">. </w:t>
      </w:r>
      <w:r w:rsidRPr="00F845C1">
        <w:rPr>
          <w:szCs w:val="20"/>
        </w:rPr>
        <w:t>Professional fees increased to</w:t>
      </w:r>
      <w:r w:rsidR="00E5523D" w:rsidRPr="00F845C1">
        <w:rPr>
          <w:szCs w:val="20"/>
        </w:rPr>
        <w:t xml:space="preserve"> $4</w:t>
      </w:r>
      <w:r w:rsidR="00ED0720">
        <w:rPr>
          <w:szCs w:val="20"/>
        </w:rPr>
        <w:t>17,330</w:t>
      </w:r>
      <w:r w:rsidR="00E5523D" w:rsidRPr="00F845C1">
        <w:rPr>
          <w:szCs w:val="20"/>
        </w:rPr>
        <w:t xml:space="preserve"> from</w:t>
      </w:r>
      <w:r w:rsidRPr="00F845C1">
        <w:rPr>
          <w:szCs w:val="20"/>
        </w:rPr>
        <w:t xml:space="preserve"> $168,292</w:t>
      </w:r>
      <w:r w:rsidR="00E5523D" w:rsidRPr="00F845C1">
        <w:rPr>
          <w:szCs w:val="20"/>
        </w:rPr>
        <w:t xml:space="preserve"> </w:t>
      </w:r>
      <w:r w:rsidRPr="00F845C1">
        <w:rPr>
          <w:szCs w:val="20"/>
        </w:rPr>
        <w:t xml:space="preserve">mainly due to </w:t>
      </w:r>
      <w:r w:rsidR="00491BB7" w:rsidRPr="00F845C1">
        <w:rPr>
          <w:szCs w:val="20"/>
        </w:rPr>
        <w:t>l</w:t>
      </w:r>
      <w:r w:rsidRPr="00F845C1">
        <w:rPr>
          <w:szCs w:val="20"/>
        </w:rPr>
        <w:t>egal</w:t>
      </w:r>
      <w:r w:rsidR="00491BB7" w:rsidRPr="00F845C1">
        <w:rPr>
          <w:szCs w:val="20"/>
        </w:rPr>
        <w:t xml:space="preserve">, accounting and </w:t>
      </w:r>
      <w:r w:rsidRPr="00F845C1">
        <w:rPr>
          <w:szCs w:val="20"/>
        </w:rPr>
        <w:t xml:space="preserve">consulting fees related to the </w:t>
      </w:r>
      <w:proofErr w:type="spellStart"/>
      <w:r w:rsidR="00EE66EA">
        <w:rPr>
          <w:szCs w:val="20"/>
        </w:rPr>
        <w:t>Cannasoft</w:t>
      </w:r>
      <w:proofErr w:type="spellEnd"/>
      <w:r w:rsidR="00EE66EA">
        <w:rPr>
          <w:szCs w:val="20"/>
        </w:rPr>
        <w:t xml:space="preserve"> Acquisition, the </w:t>
      </w:r>
      <w:r w:rsidR="00491BB7" w:rsidRPr="00F845C1">
        <w:rPr>
          <w:szCs w:val="20"/>
        </w:rPr>
        <w:t>Business Combination Transactions</w:t>
      </w:r>
      <w:r w:rsidR="00EE66EA">
        <w:rPr>
          <w:szCs w:val="20"/>
        </w:rPr>
        <w:t xml:space="preserve"> and the Listing</w:t>
      </w:r>
      <w:r w:rsidRPr="00F845C1">
        <w:rPr>
          <w:szCs w:val="20"/>
        </w:rPr>
        <w:t xml:space="preserve">. </w:t>
      </w:r>
    </w:p>
    <w:p w:rsidR="00EE66EA" w:rsidRDefault="00EE66EA" w:rsidP="00B4333E">
      <w:pPr>
        <w:spacing w:after="0"/>
        <w:jc w:val="both"/>
        <w:rPr>
          <w:b/>
          <w:bCs/>
          <w:sz w:val="20"/>
          <w:szCs w:val="20"/>
          <w:u w:val="single"/>
        </w:rPr>
      </w:pPr>
    </w:p>
    <w:p w:rsidR="00602F55" w:rsidRPr="00B4333E" w:rsidRDefault="00602F55" w:rsidP="00EE66EA">
      <w:pPr>
        <w:keepNext/>
        <w:spacing w:after="0"/>
        <w:jc w:val="both"/>
        <w:rPr>
          <w:b/>
          <w:bCs/>
          <w:sz w:val="20"/>
          <w:szCs w:val="20"/>
          <w:u w:val="single"/>
        </w:rPr>
      </w:pPr>
      <w:r w:rsidRPr="00B4333E">
        <w:rPr>
          <w:b/>
          <w:bCs/>
          <w:sz w:val="20"/>
          <w:szCs w:val="20"/>
          <w:u w:val="single"/>
        </w:rPr>
        <w:t>LIQUIDITY</w:t>
      </w:r>
      <w:r w:rsidR="00473623">
        <w:rPr>
          <w:b/>
          <w:bCs/>
          <w:sz w:val="20"/>
          <w:szCs w:val="20"/>
          <w:u w:val="single"/>
        </w:rPr>
        <w:t xml:space="preserve"> AND CAPITAL RESOURCES</w:t>
      </w:r>
    </w:p>
    <w:p w:rsidR="00602F55" w:rsidRPr="00B4333E" w:rsidRDefault="00602F55" w:rsidP="00EE66EA">
      <w:pPr>
        <w:keepNext/>
        <w:spacing w:after="0"/>
        <w:jc w:val="both"/>
        <w:rPr>
          <w:b/>
          <w:bCs/>
          <w:sz w:val="20"/>
          <w:szCs w:val="20"/>
          <w:u w:val="single"/>
        </w:rPr>
      </w:pPr>
    </w:p>
    <w:p w:rsidR="00602F55" w:rsidRPr="00B4333E" w:rsidRDefault="00E5523D" w:rsidP="00410766">
      <w:pPr>
        <w:keepNext/>
        <w:spacing w:after="0"/>
        <w:jc w:val="both"/>
        <w:rPr>
          <w:sz w:val="20"/>
          <w:szCs w:val="20"/>
        </w:rPr>
      </w:pPr>
      <w:r>
        <w:rPr>
          <w:sz w:val="20"/>
          <w:szCs w:val="20"/>
        </w:rPr>
        <w:t>As at December 31, 2020</w:t>
      </w:r>
      <w:r w:rsidR="00602F55" w:rsidRPr="00B4333E">
        <w:rPr>
          <w:sz w:val="20"/>
          <w:szCs w:val="20"/>
        </w:rPr>
        <w:t>, the Company had a cash balance of $</w:t>
      </w:r>
      <w:r>
        <w:rPr>
          <w:sz w:val="20"/>
          <w:szCs w:val="20"/>
        </w:rPr>
        <w:t>563,015</w:t>
      </w:r>
      <w:r w:rsidR="00602F55" w:rsidRPr="00B4333E">
        <w:rPr>
          <w:sz w:val="20"/>
          <w:szCs w:val="20"/>
        </w:rPr>
        <w:t xml:space="preserve"> (December 31, 201</w:t>
      </w:r>
      <w:r>
        <w:rPr>
          <w:sz w:val="20"/>
          <w:szCs w:val="20"/>
        </w:rPr>
        <w:t>9</w:t>
      </w:r>
      <w:r w:rsidR="00602F55" w:rsidRPr="00B4333E">
        <w:rPr>
          <w:sz w:val="20"/>
          <w:szCs w:val="20"/>
        </w:rPr>
        <w:t>: $</w:t>
      </w:r>
      <w:r w:rsidR="00410766">
        <w:rPr>
          <w:sz w:val="20"/>
          <w:szCs w:val="20"/>
        </w:rPr>
        <w:t>300,897</w:t>
      </w:r>
      <w:r w:rsidR="00602F55" w:rsidRPr="00B4333E">
        <w:rPr>
          <w:sz w:val="20"/>
          <w:szCs w:val="20"/>
        </w:rPr>
        <w:t>).</w:t>
      </w:r>
    </w:p>
    <w:p w:rsidR="00602F55" w:rsidRPr="00B4333E" w:rsidRDefault="00602F55" w:rsidP="00EE66EA">
      <w:pPr>
        <w:keepNext/>
        <w:spacing w:after="0"/>
        <w:jc w:val="both"/>
        <w:rPr>
          <w:sz w:val="20"/>
          <w:szCs w:val="20"/>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863"/>
        <w:gridCol w:w="1842"/>
      </w:tblGrid>
      <w:tr w:rsidR="00E5523D" w:rsidRPr="00B4333E" w:rsidTr="00E5523D">
        <w:trPr>
          <w:trHeight w:val="767"/>
          <w:tblHeader/>
          <w:jc w:val="center"/>
        </w:trPr>
        <w:tc>
          <w:tcPr>
            <w:tcW w:w="3094" w:type="dxa"/>
            <w:shd w:val="clear" w:color="auto" w:fill="D6E3BC" w:themeFill="accent3" w:themeFillTint="66"/>
            <w:vAlign w:val="center"/>
          </w:tcPr>
          <w:p w:rsidR="00E5523D" w:rsidRPr="00B4333E" w:rsidRDefault="00E5523D" w:rsidP="00EE66EA">
            <w:pPr>
              <w:pStyle w:val="BodyText"/>
              <w:keepNext/>
              <w:jc w:val="center"/>
              <w:rPr>
                <w:b/>
                <w:sz w:val="20"/>
                <w:szCs w:val="20"/>
                <w:lang w:val="en-CA"/>
              </w:rPr>
            </w:pPr>
            <w:r w:rsidRPr="00B4333E">
              <w:rPr>
                <w:b/>
                <w:sz w:val="20"/>
                <w:szCs w:val="20"/>
                <w:lang w:val="en-CA"/>
              </w:rPr>
              <w:t>Item</w:t>
            </w:r>
          </w:p>
        </w:tc>
        <w:tc>
          <w:tcPr>
            <w:tcW w:w="1863" w:type="dxa"/>
            <w:shd w:val="clear" w:color="auto" w:fill="D6E3BC" w:themeFill="accent3" w:themeFillTint="66"/>
          </w:tcPr>
          <w:p w:rsidR="00E5523D" w:rsidRPr="00B4333E" w:rsidRDefault="00E5523D" w:rsidP="00EE66EA">
            <w:pPr>
              <w:pStyle w:val="BodyText"/>
              <w:keepNext/>
              <w:jc w:val="center"/>
              <w:rPr>
                <w:b/>
                <w:sz w:val="20"/>
                <w:szCs w:val="20"/>
                <w:lang w:val="en-CA"/>
              </w:rPr>
            </w:pPr>
            <w:r>
              <w:rPr>
                <w:b/>
                <w:sz w:val="20"/>
                <w:szCs w:val="20"/>
                <w:lang w:val="en-CA"/>
              </w:rPr>
              <w:t xml:space="preserve">    Year Ended </w:t>
            </w:r>
            <w:r>
              <w:rPr>
                <w:b/>
                <w:sz w:val="20"/>
                <w:szCs w:val="20"/>
                <w:lang w:val="en-CA"/>
              </w:rPr>
              <w:br/>
              <w:t>December 31, 2020</w:t>
            </w:r>
            <w:r w:rsidRPr="00B4333E">
              <w:rPr>
                <w:b/>
                <w:sz w:val="20"/>
                <w:szCs w:val="20"/>
                <w:lang w:val="en-CA"/>
              </w:rPr>
              <w:t xml:space="preserve"> (CAD$)</w:t>
            </w:r>
          </w:p>
        </w:tc>
        <w:tc>
          <w:tcPr>
            <w:tcW w:w="1842" w:type="dxa"/>
            <w:shd w:val="clear" w:color="auto" w:fill="D6E3BC" w:themeFill="accent3" w:themeFillTint="66"/>
            <w:vAlign w:val="center"/>
          </w:tcPr>
          <w:p w:rsidR="00E5523D" w:rsidRPr="00B4333E" w:rsidRDefault="00E5523D" w:rsidP="00EE66EA">
            <w:pPr>
              <w:pStyle w:val="BodyText"/>
              <w:keepNext/>
              <w:jc w:val="center"/>
              <w:rPr>
                <w:b/>
                <w:sz w:val="20"/>
                <w:szCs w:val="20"/>
                <w:lang w:val="en-CA"/>
              </w:rPr>
            </w:pPr>
            <w:r w:rsidRPr="00B4333E">
              <w:rPr>
                <w:b/>
                <w:sz w:val="20"/>
                <w:szCs w:val="20"/>
                <w:lang w:val="en-CA"/>
              </w:rPr>
              <w:t xml:space="preserve">Year Ended </w:t>
            </w:r>
            <w:r w:rsidRPr="00B4333E">
              <w:rPr>
                <w:b/>
                <w:sz w:val="20"/>
                <w:szCs w:val="20"/>
                <w:lang w:val="en-CA"/>
              </w:rPr>
              <w:br/>
              <w:t>December 31, 2019 (CAD$)</w:t>
            </w:r>
          </w:p>
        </w:tc>
      </w:tr>
      <w:tr w:rsidR="00E5523D" w:rsidRPr="00B4333E" w:rsidTr="00E5523D">
        <w:trPr>
          <w:trHeight w:val="309"/>
          <w:jc w:val="center"/>
        </w:trPr>
        <w:tc>
          <w:tcPr>
            <w:tcW w:w="3094" w:type="dxa"/>
            <w:vAlign w:val="center"/>
          </w:tcPr>
          <w:p w:rsidR="00E5523D" w:rsidRPr="00B4333E" w:rsidRDefault="00E5523D" w:rsidP="00EE66EA">
            <w:pPr>
              <w:pStyle w:val="BodyText"/>
              <w:keepNext/>
              <w:jc w:val="left"/>
              <w:rPr>
                <w:sz w:val="20"/>
                <w:szCs w:val="20"/>
                <w:lang w:val="en-CA"/>
              </w:rPr>
            </w:pPr>
            <w:r w:rsidRPr="00B4333E">
              <w:rPr>
                <w:sz w:val="20"/>
                <w:szCs w:val="20"/>
                <w:lang w:val="en-CA"/>
              </w:rPr>
              <w:t xml:space="preserve">Cash </w:t>
            </w:r>
            <w:r>
              <w:rPr>
                <w:sz w:val="20"/>
                <w:szCs w:val="20"/>
                <w:lang w:val="en-CA"/>
              </w:rPr>
              <w:t>provided by (</w:t>
            </w:r>
            <w:r w:rsidRPr="00B4333E">
              <w:rPr>
                <w:sz w:val="20"/>
                <w:szCs w:val="20"/>
                <w:lang w:val="en-CA"/>
              </w:rPr>
              <w:t>used in</w:t>
            </w:r>
            <w:r>
              <w:rPr>
                <w:sz w:val="20"/>
                <w:szCs w:val="20"/>
                <w:lang w:val="en-CA"/>
              </w:rPr>
              <w:t>)</w:t>
            </w:r>
            <w:r w:rsidRPr="00B4333E">
              <w:rPr>
                <w:sz w:val="20"/>
                <w:szCs w:val="20"/>
                <w:lang w:val="en-CA"/>
              </w:rPr>
              <w:t xml:space="preserve"> operating activities</w:t>
            </w:r>
          </w:p>
        </w:tc>
        <w:tc>
          <w:tcPr>
            <w:tcW w:w="1863" w:type="dxa"/>
            <w:vAlign w:val="center"/>
          </w:tcPr>
          <w:p w:rsidR="00E5523D" w:rsidRPr="00307227" w:rsidDel="00B90885" w:rsidRDefault="00AD6573" w:rsidP="00837C80">
            <w:pPr>
              <w:pStyle w:val="BodyText"/>
              <w:keepNext/>
              <w:jc w:val="right"/>
              <w:rPr>
                <w:sz w:val="20"/>
                <w:szCs w:val="20"/>
                <w:highlight w:val="yellow"/>
              </w:rPr>
            </w:pPr>
            <w:r>
              <w:rPr>
                <w:sz w:val="20"/>
                <w:szCs w:val="20"/>
              </w:rPr>
              <w:t>3</w:t>
            </w:r>
            <w:r w:rsidR="00837C80">
              <w:rPr>
                <w:sz w:val="20"/>
                <w:szCs w:val="20"/>
              </w:rPr>
              <w:t>88,318</w:t>
            </w:r>
          </w:p>
        </w:tc>
        <w:tc>
          <w:tcPr>
            <w:tcW w:w="1842" w:type="dxa"/>
            <w:vAlign w:val="center"/>
          </w:tcPr>
          <w:p w:rsidR="00E5523D" w:rsidRPr="00B4333E" w:rsidRDefault="00E5523D" w:rsidP="00410766">
            <w:pPr>
              <w:pStyle w:val="BodyText"/>
              <w:keepNext/>
              <w:jc w:val="right"/>
              <w:rPr>
                <w:sz w:val="20"/>
                <w:szCs w:val="20"/>
              </w:rPr>
            </w:pPr>
            <w:r>
              <w:rPr>
                <w:sz w:val="20"/>
                <w:szCs w:val="20"/>
              </w:rPr>
              <w:t>(</w:t>
            </w:r>
            <w:r w:rsidR="00410766">
              <w:rPr>
                <w:sz w:val="20"/>
                <w:szCs w:val="20"/>
              </w:rPr>
              <w:t>72,279)</w:t>
            </w:r>
          </w:p>
        </w:tc>
      </w:tr>
      <w:tr w:rsidR="00E5523D" w:rsidRPr="00B4333E" w:rsidTr="00E5523D">
        <w:trPr>
          <w:trHeight w:val="309"/>
          <w:jc w:val="center"/>
        </w:trPr>
        <w:tc>
          <w:tcPr>
            <w:tcW w:w="3094" w:type="dxa"/>
            <w:vAlign w:val="center"/>
          </w:tcPr>
          <w:p w:rsidR="00E5523D" w:rsidRPr="00B4333E" w:rsidRDefault="00E5523D" w:rsidP="00473623">
            <w:pPr>
              <w:pStyle w:val="BodyText"/>
              <w:jc w:val="left"/>
              <w:rPr>
                <w:sz w:val="20"/>
                <w:szCs w:val="20"/>
                <w:lang w:val="en-CA"/>
              </w:rPr>
            </w:pPr>
            <w:r w:rsidRPr="00B4333E">
              <w:rPr>
                <w:sz w:val="20"/>
                <w:szCs w:val="20"/>
                <w:lang w:val="en-CA"/>
              </w:rPr>
              <w:t>Cash provided by</w:t>
            </w:r>
            <w:r>
              <w:rPr>
                <w:sz w:val="20"/>
                <w:szCs w:val="20"/>
                <w:lang w:val="en-CA"/>
              </w:rPr>
              <w:t xml:space="preserve"> (used in)</w:t>
            </w:r>
            <w:r w:rsidRPr="00B4333E">
              <w:rPr>
                <w:sz w:val="20"/>
                <w:szCs w:val="20"/>
                <w:lang w:val="en-CA"/>
              </w:rPr>
              <w:t xml:space="preserve"> investing activities</w:t>
            </w:r>
          </w:p>
        </w:tc>
        <w:tc>
          <w:tcPr>
            <w:tcW w:w="1863" w:type="dxa"/>
            <w:vAlign w:val="center"/>
          </w:tcPr>
          <w:p w:rsidR="00E5523D" w:rsidRPr="00307227" w:rsidDel="00B90885" w:rsidRDefault="00E5523D" w:rsidP="00410766">
            <w:pPr>
              <w:pStyle w:val="BodyText"/>
              <w:jc w:val="right"/>
              <w:rPr>
                <w:sz w:val="20"/>
                <w:szCs w:val="20"/>
                <w:highlight w:val="yellow"/>
                <w:lang w:bidi="he-IL"/>
              </w:rPr>
            </w:pPr>
            <w:r>
              <w:rPr>
                <w:sz w:val="20"/>
                <w:szCs w:val="20"/>
              </w:rPr>
              <w:t>(31,</w:t>
            </w:r>
            <w:r w:rsidR="00AD6573">
              <w:rPr>
                <w:sz w:val="20"/>
                <w:szCs w:val="20"/>
              </w:rPr>
              <w:t>8</w:t>
            </w:r>
            <w:r w:rsidR="00410766">
              <w:rPr>
                <w:sz w:val="20"/>
                <w:szCs w:val="20"/>
              </w:rPr>
              <w:t>6</w:t>
            </w:r>
            <w:r w:rsidR="00AD6573">
              <w:rPr>
                <w:sz w:val="20"/>
                <w:szCs w:val="20"/>
              </w:rPr>
              <w:t>6</w:t>
            </w:r>
            <w:r>
              <w:rPr>
                <w:sz w:val="20"/>
                <w:szCs w:val="20"/>
              </w:rPr>
              <w:t>)</w:t>
            </w:r>
          </w:p>
        </w:tc>
        <w:tc>
          <w:tcPr>
            <w:tcW w:w="1842" w:type="dxa"/>
            <w:vAlign w:val="center"/>
          </w:tcPr>
          <w:p w:rsidR="00E5523D" w:rsidRPr="00B4333E" w:rsidRDefault="00E5523D" w:rsidP="00473623">
            <w:pPr>
              <w:pStyle w:val="BodyText"/>
              <w:jc w:val="right"/>
              <w:rPr>
                <w:sz w:val="20"/>
                <w:szCs w:val="20"/>
                <w:rtl/>
                <w:lang w:bidi="he-IL"/>
              </w:rPr>
            </w:pPr>
            <w:r w:rsidRPr="00B4333E">
              <w:rPr>
                <w:sz w:val="20"/>
                <w:szCs w:val="20"/>
                <w:lang w:bidi="he-IL"/>
              </w:rPr>
              <w:t>12,405</w:t>
            </w:r>
          </w:p>
        </w:tc>
      </w:tr>
      <w:tr w:rsidR="00E5523D" w:rsidRPr="00B4333E" w:rsidTr="00E5523D">
        <w:trPr>
          <w:trHeight w:val="297"/>
          <w:jc w:val="center"/>
        </w:trPr>
        <w:tc>
          <w:tcPr>
            <w:tcW w:w="3094" w:type="dxa"/>
            <w:vAlign w:val="center"/>
          </w:tcPr>
          <w:p w:rsidR="00E5523D" w:rsidRPr="00B4333E" w:rsidRDefault="00E5523D" w:rsidP="00473623">
            <w:pPr>
              <w:pStyle w:val="BodyText"/>
              <w:jc w:val="left"/>
              <w:rPr>
                <w:sz w:val="20"/>
                <w:szCs w:val="20"/>
                <w:lang w:val="en-CA"/>
              </w:rPr>
            </w:pPr>
            <w:r w:rsidRPr="00B4333E">
              <w:rPr>
                <w:sz w:val="20"/>
                <w:szCs w:val="20"/>
                <w:lang w:val="en-CA"/>
              </w:rPr>
              <w:t>Cash provided by</w:t>
            </w:r>
            <w:r>
              <w:rPr>
                <w:sz w:val="20"/>
                <w:szCs w:val="20"/>
                <w:lang w:val="en-CA"/>
              </w:rPr>
              <w:t xml:space="preserve"> (used in)</w:t>
            </w:r>
            <w:r w:rsidRPr="00B4333E">
              <w:rPr>
                <w:sz w:val="20"/>
                <w:szCs w:val="20"/>
                <w:lang w:val="en-CA"/>
              </w:rPr>
              <w:t xml:space="preserve"> financing activities</w:t>
            </w:r>
          </w:p>
        </w:tc>
        <w:tc>
          <w:tcPr>
            <w:tcW w:w="1863" w:type="dxa"/>
            <w:vAlign w:val="center"/>
          </w:tcPr>
          <w:p w:rsidR="00E5523D" w:rsidRPr="00307227" w:rsidDel="00B90885" w:rsidRDefault="00E5523D" w:rsidP="00E5523D">
            <w:pPr>
              <w:pStyle w:val="BodyText"/>
              <w:jc w:val="right"/>
              <w:rPr>
                <w:sz w:val="20"/>
                <w:szCs w:val="20"/>
                <w:highlight w:val="yellow"/>
              </w:rPr>
            </w:pPr>
            <w:r w:rsidRPr="007F2179">
              <w:rPr>
                <w:sz w:val="20"/>
                <w:szCs w:val="20"/>
              </w:rPr>
              <w:t>(</w:t>
            </w:r>
            <w:r>
              <w:rPr>
                <w:sz w:val="20"/>
                <w:szCs w:val="20"/>
              </w:rPr>
              <w:t>108,118</w:t>
            </w:r>
            <w:r w:rsidRPr="007F2179">
              <w:rPr>
                <w:sz w:val="20"/>
                <w:szCs w:val="20"/>
              </w:rPr>
              <w:t>)</w:t>
            </w:r>
          </w:p>
        </w:tc>
        <w:tc>
          <w:tcPr>
            <w:tcW w:w="1842" w:type="dxa"/>
            <w:vAlign w:val="center"/>
          </w:tcPr>
          <w:p w:rsidR="00E5523D" w:rsidRPr="00B4333E" w:rsidRDefault="00E5523D" w:rsidP="00473623">
            <w:pPr>
              <w:pStyle w:val="BodyText"/>
              <w:jc w:val="right"/>
              <w:rPr>
                <w:sz w:val="20"/>
                <w:szCs w:val="20"/>
              </w:rPr>
            </w:pPr>
            <w:r>
              <w:rPr>
                <w:sz w:val="20"/>
                <w:szCs w:val="20"/>
              </w:rPr>
              <w:t>93,064</w:t>
            </w:r>
          </w:p>
        </w:tc>
      </w:tr>
      <w:tr w:rsidR="00E5523D" w:rsidRPr="00B4333E" w:rsidTr="00E5523D">
        <w:trPr>
          <w:trHeight w:val="309"/>
          <w:jc w:val="center"/>
        </w:trPr>
        <w:tc>
          <w:tcPr>
            <w:tcW w:w="3094" w:type="dxa"/>
            <w:vAlign w:val="center"/>
          </w:tcPr>
          <w:p w:rsidR="00E5523D" w:rsidRPr="00B4333E" w:rsidRDefault="00E5523D" w:rsidP="00473623">
            <w:pPr>
              <w:pStyle w:val="BodyText"/>
              <w:jc w:val="left"/>
              <w:rPr>
                <w:b/>
                <w:bCs w:val="0"/>
                <w:sz w:val="20"/>
                <w:szCs w:val="20"/>
                <w:lang w:bidi="he-IL"/>
              </w:rPr>
            </w:pPr>
            <w:r w:rsidRPr="00B4333E">
              <w:rPr>
                <w:b/>
                <w:bCs w:val="0"/>
                <w:sz w:val="20"/>
                <w:szCs w:val="20"/>
              </w:rPr>
              <w:t>Net increase in cash</w:t>
            </w:r>
          </w:p>
        </w:tc>
        <w:tc>
          <w:tcPr>
            <w:tcW w:w="1863" w:type="dxa"/>
            <w:shd w:val="clear" w:color="auto" w:fill="auto"/>
            <w:vAlign w:val="center"/>
          </w:tcPr>
          <w:p w:rsidR="00E5523D" w:rsidRPr="003C56DA" w:rsidDel="00B90885" w:rsidRDefault="00E5523D" w:rsidP="00837C80">
            <w:pPr>
              <w:pStyle w:val="BodyText"/>
              <w:jc w:val="right"/>
              <w:rPr>
                <w:b/>
                <w:bCs w:val="0"/>
                <w:sz w:val="20"/>
                <w:szCs w:val="20"/>
              </w:rPr>
            </w:pPr>
            <w:r>
              <w:rPr>
                <w:b/>
                <w:bCs w:val="0"/>
                <w:sz w:val="20"/>
                <w:szCs w:val="20"/>
              </w:rPr>
              <w:t>2</w:t>
            </w:r>
            <w:r w:rsidR="00837C80">
              <w:rPr>
                <w:b/>
                <w:bCs w:val="0"/>
                <w:sz w:val="20"/>
                <w:szCs w:val="20"/>
              </w:rPr>
              <w:t>48,334</w:t>
            </w:r>
          </w:p>
        </w:tc>
        <w:tc>
          <w:tcPr>
            <w:tcW w:w="1842" w:type="dxa"/>
            <w:vAlign w:val="center"/>
          </w:tcPr>
          <w:p w:rsidR="00E5523D" w:rsidRPr="003C56DA" w:rsidRDefault="00410766" w:rsidP="00410766">
            <w:pPr>
              <w:pStyle w:val="BodyText"/>
              <w:jc w:val="right"/>
              <w:rPr>
                <w:b/>
                <w:bCs w:val="0"/>
                <w:sz w:val="20"/>
                <w:szCs w:val="20"/>
              </w:rPr>
            </w:pPr>
            <w:r>
              <w:rPr>
                <w:b/>
                <w:bCs w:val="0"/>
                <w:sz w:val="20"/>
                <w:szCs w:val="20"/>
              </w:rPr>
              <w:t>33,190</w:t>
            </w:r>
          </w:p>
        </w:tc>
      </w:tr>
    </w:tbl>
    <w:p w:rsidR="00602F55" w:rsidRPr="00B4333E" w:rsidRDefault="00602F55" w:rsidP="00B4333E">
      <w:pPr>
        <w:pStyle w:val="ListParagraph"/>
        <w:jc w:val="both"/>
        <w:rPr>
          <w:szCs w:val="20"/>
        </w:rPr>
      </w:pPr>
    </w:p>
    <w:p w:rsidR="00602F55" w:rsidRDefault="00602F55" w:rsidP="00837C80">
      <w:pPr>
        <w:pStyle w:val="ListParagraph"/>
        <w:widowControl/>
        <w:numPr>
          <w:ilvl w:val="0"/>
          <w:numId w:val="4"/>
        </w:numPr>
        <w:autoSpaceDE/>
        <w:autoSpaceDN/>
        <w:adjustRightInd/>
        <w:jc w:val="both"/>
        <w:rPr>
          <w:szCs w:val="20"/>
        </w:rPr>
      </w:pPr>
      <w:r w:rsidRPr="00B4333E">
        <w:rPr>
          <w:szCs w:val="20"/>
        </w:rPr>
        <w:t xml:space="preserve">The Company experienced </w:t>
      </w:r>
      <w:r w:rsidR="00E5523D">
        <w:rPr>
          <w:szCs w:val="20"/>
        </w:rPr>
        <w:t>positive</w:t>
      </w:r>
      <w:r w:rsidRPr="00B4333E">
        <w:rPr>
          <w:szCs w:val="20"/>
        </w:rPr>
        <w:t xml:space="preserve"> cash flows from operating activities in its las</w:t>
      </w:r>
      <w:r w:rsidR="008E6222">
        <w:rPr>
          <w:szCs w:val="20"/>
        </w:rPr>
        <w:t>t completed fiscal year: $</w:t>
      </w:r>
      <w:r w:rsidR="00837C80">
        <w:rPr>
          <w:szCs w:val="20"/>
        </w:rPr>
        <w:t>388,318</w:t>
      </w:r>
      <w:r w:rsidRPr="00B4333E">
        <w:rPr>
          <w:szCs w:val="20"/>
        </w:rPr>
        <w:t xml:space="preserve"> in 20</w:t>
      </w:r>
      <w:r w:rsidR="00E5523D">
        <w:rPr>
          <w:szCs w:val="20"/>
        </w:rPr>
        <w:t>20</w:t>
      </w:r>
      <w:r w:rsidRPr="00B4333E">
        <w:rPr>
          <w:szCs w:val="20"/>
        </w:rPr>
        <w:t>. Cash outlays included general business and administrative expenses, consulting fees, business and product development, and professional fees.</w:t>
      </w:r>
    </w:p>
    <w:p w:rsidR="00473623" w:rsidRPr="00B4333E" w:rsidRDefault="00473623" w:rsidP="00473623">
      <w:pPr>
        <w:pStyle w:val="ListParagraph"/>
        <w:widowControl/>
        <w:autoSpaceDE/>
        <w:autoSpaceDN/>
        <w:adjustRightInd/>
        <w:jc w:val="both"/>
        <w:rPr>
          <w:szCs w:val="20"/>
        </w:rPr>
      </w:pPr>
    </w:p>
    <w:p w:rsidR="00602F55" w:rsidRDefault="00602F55" w:rsidP="00B4333E">
      <w:pPr>
        <w:pStyle w:val="ListParagraph"/>
        <w:widowControl/>
        <w:numPr>
          <w:ilvl w:val="0"/>
          <w:numId w:val="4"/>
        </w:numPr>
        <w:autoSpaceDE/>
        <w:autoSpaceDN/>
        <w:adjustRightInd/>
        <w:jc w:val="both"/>
        <w:rPr>
          <w:szCs w:val="20"/>
        </w:rPr>
      </w:pPr>
      <w:r w:rsidRPr="00B4333E">
        <w:rPr>
          <w:szCs w:val="20"/>
        </w:rPr>
        <w:t>According to Company’s management, the Company is able to generate sufficient cash flows to maintain its current capacity. Nevertheless, it will require additional funds in order to complete the Company's expansion goals</w:t>
      </w:r>
      <w:r w:rsidR="00966781">
        <w:rPr>
          <w:szCs w:val="20"/>
        </w:rPr>
        <w:t xml:space="preserve"> which include, construction of the Cannabis Farm</w:t>
      </w:r>
      <w:r w:rsidRPr="00B4333E">
        <w:rPr>
          <w:szCs w:val="20"/>
        </w:rPr>
        <w:t xml:space="preserve">. </w:t>
      </w:r>
    </w:p>
    <w:p w:rsidR="00473623" w:rsidRPr="00B4333E" w:rsidRDefault="00473623" w:rsidP="00473623">
      <w:pPr>
        <w:pStyle w:val="ListParagraph"/>
        <w:widowControl/>
        <w:autoSpaceDE/>
        <w:autoSpaceDN/>
        <w:adjustRightInd/>
        <w:jc w:val="both"/>
        <w:rPr>
          <w:szCs w:val="20"/>
        </w:rPr>
      </w:pPr>
    </w:p>
    <w:p w:rsidR="00602F55" w:rsidRDefault="00602F55" w:rsidP="00B4333E">
      <w:pPr>
        <w:pStyle w:val="ListParagraph"/>
        <w:widowControl/>
        <w:numPr>
          <w:ilvl w:val="0"/>
          <w:numId w:val="4"/>
        </w:numPr>
        <w:autoSpaceDE/>
        <w:autoSpaceDN/>
        <w:adjustRightInd/>
        <w:jc w:val="both"/>
        <w:rPr>
          <w:szCs w:val="20"/>
        </w:rPr>
      </w:pPr>
      <w:r w:rsidRPr="00B4333E">
        <w:rPr>
          <w:szCs w:val="20"/>
        </w:rPr>
        <w:t xml:space="preserve">The Company typically maintains approximately $200,000 in cash to meet its working capital requirements. </w:t>
      </w:r>
    </w:p>
    <w:p w:rsidR="00473623" w:rsidRPr="00B4333E" w:rsidRDefault="00473623" w:rsidP="00473623">
      <w:pPr>
        <w:pStyle w:val="ListParagraph"/>
        <w:widowControl/>
        <w:autoSpaceDE/>
        <w:autoSpaceDN/>
        <w:adjustRightInd/>
        <w:jc w:val="both"/>
        <w:rPr>
          <w:szCs w:val="20"/>
        </w:rPr>
      </w:pPr>
    </w:p>
    <w:p w:rsidR="00E82887" w:rsidRDefault="00E82887" w:rsidP="00E82887">
      <w:pPr>
        <w:pStyle w:val="ListParagraph"/>
        <w:widowControl/>
        <w:numPr>
          <w:ilvl w:val="0"/>
          <w:numId w:val="4"/>
        </w:numPr>
        <w:autoSpaceDE/>
        <w:autoSpaceDN/>
        <w:adjustRightInd/>
        <w:jc w:val="both"/>
        <w:rPr>
          <w:szCs w:val="20"/>
        </w:rPr>
      </w:pPr>
      <w:r>
        <w:rPr>
          <w:szCs w:val="20"/>
        </w:rPr>
        <w:t xml:space="preserve">On April 22, </w:t>
      </w:r>
      <w:r w:rsidRPr="00940491">
        <w:rPr>
          <w:szCs w:val="20"/>
        </w:rPr>
        <w:t xml:space="preserve">2019, the Company entered into a convertible loan </w:t>
      </w:r>
      <w:r>
        <w:rPr>
          <w:szCs w:val="20"/>
        </w:rPr>
        <w:t xml:space="preserve">agreement </w:t>
      </w:r>
      <w:r w:rsidRPr="00940491">
        <w:rPr>
          <w:szCs w:val="20"/>
        </w:rPr>
        <w:t xml:space="preserve">with an investor to borrow USD$100,000 to facilitate the completion of </w:t>
      </w:r>
      <w:r>
        <w:rPr>
          <w:szCs w:val="20"/>
        </w:rPr>
        <w:t xml:space="preserve">the </w:t>
      </w:r>
      <w:r w:rsidRPr="00940491">
        <w:rPr>
          <w:szCs w:val="20"/>
        </w:rPr>
        <w:t xml:space="preserve">Business Combination Transaction and the listing of the shares of the Company's </w:t>
      </w:r>
      <w:r w:rsidR="003750EC">
        <w:rPr>
          <w:szCs w:val="20"/>
        </w:rPr>
        <w:t>parent</w:t>
      </w:r>
      <w:r w:rsidR="003750EC" w:rsidRPr="00940491">
        <w:rPr>
          <w:szCs w:val="20"/>
        </w:rPr>
        <w:t xml:space="preserve"> </w:t>
      </w:r>
      <w:r w:rsidRPr="00940491">
        <w:rPr>
          <w:szCs w:val="20"/>
        </w:rPr>
        <w:t>company on</w:t>
      </w:r>
      <w:r>
        <w:rPr>
          <w:szCs w:val="20"/>
        </w:rPr>
        <w:t xml:space="preserve"> the</w:t>
      </w:r>
      <w:r w:rsidRPr="00940491">
        <w:rPr>
          <w:szCs w:val="20"/>
        </w:rPr>
        <w:t xml:space="preserve"> CSE.</w:t>
      </w:r>
    </w:p>
    <w:p w:rsidR="00E82887" w:rsidRDefault="00E82887" w:rsidP="00E82887">
      <w:pPr>
        <w:pStyle w:val="ListParagraph"/>
        <w:widowControl/>
        <w:autoSpaceDE/>
        <w:autoSpaceDN/>
        <w:adjustRightInd/>
        <w:jc w:val="both"/>
        <w:rPr>
          <w:szCs w:val="20"/>
        </w:rPr>
      </w:pPr>
    </w:p>
    <w:p w:rsidR="00E82887" w:rsidRDefault="00602F55" w:rsidP="00674D8B">
      <w:pPr>
        <w:pStyle w:val="ListParagraph"/>
        <w:widowControl/>
        <w:numPr>
          <w:ilvl w:val="0"/>
          <w:numId w:val="4"/>
        </w:numPr>
        <w:autoSpaceDE/>
        <w:autoSpaceDN/>
        <w:adjustRightInd/>
        <w:jc w:val="both"/>
        <w:rPr>
          <w:szCs w:val="20"/>
        </w:rPr>
      </w:pPr>
      <w:r w:rsidRPr="00E82887">
        <w:rPr>
          <w:szCs w:val="20"/>
        </w:rPr>
        <w:lastRenderedPageBreak/>
        <w:t>On October 1, 2020</w:t>
      </w:r>
      <w:r w:rsidR="00966781" w:rsidRPr="00E82887">
        <w:rPr>
          <w:szCs w:val="20"/>
        </w:rPr>
        <w:t>, the Company assigned its</w:t>
      </w:r>
      <w:r w:rsidRPr="00E82887">
        <w:rPr>
          <w:szCs w:val="20"/>
        </w:rPr>
        <w:t xml:space="preserve"> obligations under the convertible loan agreement</w:t>
      </w:r>
      <w:r w:rsidR="00966781" w:rsidRPr="00E82887">
        <w:rPr>
          <w:szCs w:val="20"/>
        </w:rPr>
        <w:t xml:space="preserve"> to </w:t>
      </w:r>
      <w:proofErr w:type="spellStart"/>
      <w:r w:rsidR="00966781" w:rsidRPr="00E82887">
        <w:rPr>
          <w:szCs w:val="20"/>
        </w:rPr>
        <w:t>Fundingco</w:t>
      </w:r>
      <w:proofErr w:type="spellEnd"/>
      <w:r w:rsidR="00966781" w:rsidRPr="00E82887">
        <w:rPr>
          <w:szCs w:val="20"/>
        </w:rPr>
        <w:t xml:space="preserve"> in exchange for a promissory note</w:t>
      </w:r>
      <w:r w:rsidR="00E82887" w:rsidRPr="00E82887">
        <w:rPr>
          <w:szCs w:val="20"/>
        </w:rPr>
        <w:t>. As a result, the Company recorded a gain of $116,473 related to the debt assignment.</w:t>
      </w:r>
    </w:p>
    <w:p w:rsidR="003750EC" w:rsidRPr="00E82887" w:rsidRDefault="003750EC" w:rsidP="00E82887">
      <w:pPr>
        <w:pStyle w:val="ListParagraph"/>
        <w:widowControl/>
        <w:autoSpaceDE/>
        <w:autoSpaceDN/>
        <w:adjustRightInd/>
        <w:jc w:val="both"/>
        <w:rPr>
          <w:szCs w:val="20"/>
        </w:rPr>
      </w:pPr>
    </w:p>
    <w:p w:rsidR="00E82887" w:rsidRDefault="00E82887" w:rsidP="00674D8B">
      <w:pPr>
        <w:ind w:left="720"/>
        <w:jc w:val="both"/>
        <w:rPr>
          <w:sz w:val="20"/>
          <w:szCs w:val="20"/>
          <w:lang w:val="en-US"/>
        </w:rPr>
      </w:pPr>
      <w:r w:rsidRPr="00E82887">
        <w:rPr>
          <w:sz w:val="20"/>
          <w:szCs w:val="20"/>
          <w:lang w:val="en-US"/>
        </w:rPr>
        <w:t xml:space="preserve">As the consideration for the debt assignment, the Company issued a demand promissory note to </w:t>
      </w:r>
      <w:proofErr w:type="spellStart"/>
      <w:r>
        <w:rPr>
          <w:sz w:val="20"/>
          <w:szCs w:val="20"/>
          <w:lang w:val="en-US"/>
        </w:rPr>
        <w:t>Fundingco</w:t>
      </w:r>
      <w:proofErr w:type="spellEnd"/>
      <w:r w:rsidRPr="00E82887">
        <w:rPr>
          <w:sz w:val="20"/>
          <w:szCs w:val="20"/>
          <w:lang w:val="en-US"/>
        </w:rPr>
        <w:t xml:space="preserve"> with the principal amount of $155,548 equal to the principal amount of the </w:t>
      </w:r>
      <w:proofErr w:type="gramStart"/>
      <w:r w:rsidRPr="00E82887">
        <w:rPr>
          <w:sz w:val="20"/>
          <w:szCs w:val="20"/>
          <w:lang w:val="en-US"/>
        </w:rPr>
        <w:t>convertible  debenture</w:t>
      </w:r>
      <w:proofErr w:type="gramEnd"/>
      <w:r w:rsidRPr="00E82887">
        <w:rPr>
          <w:sz w:val="20"/>
          <w:szCs w:val="20"/>
          <w:lang w:val="en-US"/>
        </w:rPr>
        <w:t xml:space="preserve"> together with all unpaid interest owing to the creditor. The demand promissory note is unsecured and bears no interest.</w:t>
      </w:r>
    </w:p>
    <w:p w:rsidR="004F40EA" w:rsidRPr="004F40EA" w:rsidRDefault="004F40EA" w:rsidP="004F40EA">
      <w:pPr>
        <w:pStyle w:val="ListParagraph"/>
        <w:widowControl/>
        <w:numPr>
          <w:ilvl w:val="0"/>
          <w:numId w:val="4"/>
        </w:numPr>
        <w:autoSpaceDE/>
        <w:autoSpaceDN/>
        <w:adjustRightInd/>
        <w:jc w:val="both"/>
        <w:rPr>
          <w:szCs w:val="20"/>
        </w:rPr>
      </w:pPr>
      <w:r>
        <w:rPr>
          <w:szCs w:val="20"/>
        </w:rPr>
        <w:t xml:space="preserve">On October 22, </w:t>
      </w:r>
      <w:r w:rsidRPr="004F40EA">
        <w:rPr>
          <w:szCs w:val="20"/>
        </w:rPr>
        <w:t xml:space="preserve">2020, the Company secured a term loan with a principal amount of $195,305 (NIS 500,000) from an Israeli bank. The loan bears interest at the rate of 3.14% per annum and matures on September 18, 2025. The loan is subject to 48 monthly payments of $4,321 (NIS 11,063) commencing October 18, 2021.  $9,765 (NIS 25,000) was deposited in the bank as security for the loan. </w:t>
      </w:r>
    </w:p>
    <w:p w:rsidR="00602F55" w:rsidRPr="00B4333E" w:rsidRDefault="00602F55" w:rsidP="00B4333E">
      <w:pPr>
        <w:pStyle w:val="ListParagraph"/>
        <w:jc w:val="both"/>
        <w:rPr>
          <w:szCs w:val="20"/>
        </w:rPr>
      </w:pPr>
    </w:p>
    <w:p w:rsidR="00602F55" w:rsidRPr="00B4333E" w:rsidRDefault="00602F55" w:rsidP="0040223F">
      <w:pPr>
        <w:keepNext/>
        <w:spacing w:after="0"/>
        <w:jc w:val="both"/>
        <w:rPr>
          <w:b/>
          <w:bCs/>
          <w:sz w:val="20"/>
          <w:szCs w:val="20"/>
          <w:u w:val="single"/>
          <w:rtl/>
        </w:rPr>
      </w:pPr>
      <w:r w:rsidRPr="00B4333E">
        <w:rPr>
          <w:b/>
          <w:bCs/>
          <w:sz w:val="20"/>
          <w:szCs w:val="20"/>
          <w:u w:val="single"/>
        </w:rPr>
        <w:t xml:space="preserve">OFF-BALANCE SHEET ARRANGEMENTS </w:t>
      </w:r>
    </w:p>
    <w:p w:rsidR="00602F55" w:rsidRPr="00B4333E" w:rsidRDefault="00602F55" w:rsidP="0040223F">
      <w:pPr>
        <w:keepNext/>
        <w:spacing w:after="0"/>
        <w:jc w:val="both"/>
        <w:rPr>
          <w:b/>
          <w:bCs/>
          <w:sz w:val="20"/>
          <w:szCs w:val="20"/>
          <w:u w:val="single"/>
          <w:rtl/>
        </w:rPr>
      </w:pPr>
    </w:p>
    <w:p w:rsidR="00602F55" w:rsidRPr="00B4333E" w:rsidRDefault="00602F55" w:rsidP="0040223F">
      <w:pPr>
        <w:keepNext/>
        <w:spacing w:after="0"/>
        <w:jc w:val="both"/>
        <w:rPr>
          <w:sz w:val="20"/>
          <w:szCs w:val="20"/>
        </w:rPr>
      </w:pPr>
      <w:r w:rsidRPr="00B4333E">
        <w:rPr>
          <w:sz w:val="20"/>
          <w:szCs w:val="20"/>
        </w:rPr>
        <w:t>The Company has no undisclosed off-balance sheet arrangements that have or are reasonably likely to have, a current or future effect on its results of operations, financial condition, revenues or expenses, liquidity, capital expenditures or capital resources that is material to investors.</w:t>
      </w:r>
    </w:p>
    <w:p w:rsidR="00602F55" w:rsidRPr="00B4333E" w:rsidRDefault="00602F55" w:rsidP="00B4333E">
      <w:pPr>
        <w:spacing w:after="0"/>
        <w:jc w:val="both"/>
        <w:rPr>
          <w:b/>
          <w:sz w:val="20"/>
          <w:szCs w:val="20"/>
          <w:u w:val="single"/>
        </w:rPr>
      </w:pPr>
    </w:p>
    <w:p w:rsidR="00602F55" w:rsidRPr="00B4333E" w:rsidRDefault="00602F55" w:rsidP="00B4333E">
      <w:pPr>
        <w:spacing w:after="0"/>
        <w:jc w:val="both"/>
        <w:rPr>
          <w:b/>
          <w:sz w:val="20"/>
          <w:szCs w:val="20"/>
          <w:u w:val="single"/>
        </w:rPr>
      </w:pPr>
      <w:r w:rsidRPr="00B4333E">
        <w:rPr>
          <w:b/>
          <w:sz w:val="20"/>
          <w:szCs w:val="20"/>
          <w:u w:val="single"/>
        </w:rPr>
        <w:t xml:space="preserve">TRANSACTIONS WITH RELATED PARTIES </w:t>
      </w:r>
    </w:p>
    <w:p w:rsidR="00602F55" w:rsidRPr="00B4333E" w:rsidRDefault="00602F55" w:rsidP="00B4333E">
      <w:pPr>
        <w:spacing w:after="0"/>
        <w:jc w:val="both"/>
        <w:rPr>
          <w:b/>
          <w:bCs/>
          <w:sz w:val="20"/>
          <w:szCs w:val="20"/>
          <w:u w:val="single"/>
        </w:rPr>
      </w:pPr>
    </w:p>
    <w:p w:rsidR="00602F55" w:rsidRPr="00B4333E" w:rsidRDefault="00602F55" w:rsidP="00E82887">
      <w:pPr>
        <w:spacing w:after="0"/>
        <w:jc w:val="both"/>
        <w:rPr>
          <w:sz w:val="20"/>
          <w:szCs w:val="20"/>
        </w:rPr>
      </w:pPr>
      <w:r w:rsidRPr="00B4333E">
        <w:rPr>
          <w:sz w:val="20"/>
          <w:szCs w:val="20"/>
        </w:rPr>
        <w:t>During</w:t>
      </w:r>
      <w:r w:rsidR="00631D21">
        <w:rPr>
          <w:sz w:val="20"/>
          <w:szCs w:val="20"/>
        </w:rPr>
        <w:t xml:space="preserve"> the year ended December 31, 2020</w:t>
      </w:r>
      <w:r w:rsidR="00D7554F">
        <w:rPr>
          <w:sz w:val="20"/>
          <w:szCs w:val="20"/>
        </w:rPr>
        <w:t>,</w:t>
      </w:r>
      <w:r w:rsidR="00E82887">
        <w:rPr>
          <w:sz w:val="20"/>
          <w:szCs w:val="20"/>
        </w:rPr>
        <w:t xml:space="preserve"> the C</w:t>
      </w:r>
      <w:r w:rsidRPr="00B4333E">
        <w:rPr>
          <w:sz w:val="20"/>
          <w:szCs w:val="20"/>
        </w:rPr>
        <w:t xml:space="preserve">ompany paid management fees </w:t>
      </w:r>
      <w:r w:rsidR="00050EAA">
        <w:rPr>
          <w:sz w:val="20"/>
          <w:szCs w:val="20"/>
        </w:rPr>
        <w:t>i</w:t>
      </w:r>
      <w:r w:rsidRPr="00B4333E">
        <w:rPr>
          <w:sz w:val="20"/>
          <w:szCs w:val="20"/>
        </w:rPr>
        <w:t>n the amount of $</w:t>
      </w:r>
      <w:r w:rsidR="00631D21">
        <w:rPr>
          <w:sz w:val="20"/>
          <w:szCs w:val="20"/>
        </w:rPr>
        <w:t>2</w:t>
      </w:r>
      <w:r w:rsidR="00E82887">
        <w:rPr>
          <w:sz w:val="20"/>
          <w:szCs w:val="20"/>
        </w:rPr>
        <w:t>52,686</w:t>
      </w:r>
      <w:r w:rsidRPr="00B4333E">
        <w:rPr>
          <w:sz w:val="20"/>
          <w:szCs w:val="20"/>
        </w:rPr>
        <w:t xml:space="preserve"> to its CEO &amp; CTO, for the same period in 201</w:t>
      </w:r>
      <w:r w:rsidR="00631D21">
        <w:rPr>
          <w:sz w:val="20"/>
          <w:szCs w:val="20"/>
        </w:rPr>
        <w:t>9</w:t>
      </w:r>
      <w:r w:rsidRPr="00B4333E">
        <w:rPr>
          <w:sz w:val="20"/>
          <w:szCs w:val="20"/>
        </w:rPr>
        <w:t xml:space="preserve"> the company paid $2</w:t>
      </w:r>
      <w:r w:rsidR="00631D21">
        <w:rPr>
          <w:sz w:val="20"/>
          <w:szCs w:val="20"/>
        </w:rPr>
        <w:t>92,706</w:t>
      </w:r>
      <w:r w:rsidRPr="00B4333E">
        <w:rPr>
          <w:sz w:val="20"/>
          <w:szCs w:val="20"/>
        </w:rPr>
        <w:t>.</w:t>
      </w:r>
    </w:p>
    <w:p w:rsidR="00602F55" w:rsidRPr="00B4333E" w:rsidRDefault="00602F55" w:rsidP="00B4333E">
      <w:pPr>
        <w:spacing w:after="0"/>
        <w:jc w:val="both"/>
        <w:rPr>
          <w:sz w:val="20"/>
          <w:szCs w:val="20"/>
        </w:rPr>
      </w:pPr>
    </w:p>
    <w:p w:rsidR="00631D21" w:rsidRPr="00631D21" w:rsidRDefault="00307227" w:rsidP="00631D21">
      <w:pPr>
        <w:spacing w:after="0"/>
        <w:jc w:val="both"/>
        <w:rPr>
          <w:sz w:val="20"/>
          <w:szCs w:val="20"/>
        </w:rPr>
      </w:pPr>
      <w:r>
        <w:rPr>
          <w:sz w:val="20"/>
          <w:szCs w:val="20"/>
        </w:rPr>
        <w:t xml:space="preserve">As at </w:t>
      </w:r>
      <w:r w:rsidR="00631D21">
        <w:rPr>
          <w:sz w:val="20"/>
          <w:szCs w:val="20"/>
        </w:rPr>
        <w:t>December 31</w:t>
      </w:r>
      <w:r w:rsidR="00602F55" w:rsidRPr="00B4333E">
        <w:rPr>
          <w:sz w:val="20"/>
          <w:szCs w:val="20"/>
        </w:rPr>
        <w:t>, 2020, there were $</w:t>
      </w:r>
      <w:r w:rsidR="00631D21">
        <w:rPr>
          <w:sz w:val="20"/>
          <w:szCs w:val="20"/>
        </w:rPr>
        <w:t>624</w:t>
      </w:r>
      <w:r w:rsidR="003C56DA">
        <w:rPr>
          <w:sz w:val="20"/>
          <w:szCs w:val="20"/>
        </w:rPr>
        <w:t xml:space="preserve"> </w:t>
      </w:r>
      <w:r w:rsidR="00602F55" w:rsidRPr="00B4333E">
        <w:rPr>
          <w:sz w:val="20"/>
          <w:szCs w:val="20"/>
        </w:rPr>
        <w:t xml:space="preserve">included in </w:t>
      </w:r>
      <w:r w:rsidR="00631D21">
        <w:rPr>
          <w:sz w:val="20"/>
          <w:szCs w:val="20"/>
        </w:rPr>
        <w:t xml:space="preserve">accounts payable </w:t>
      </w:r>
      <w:r w:rsidR="00602F55" w:rsidRPr="00B4333E">
        <w:rPr>
          <w:sz w:val="20"/>
          <w:szCs w:val="20"/>
        </w:rPr>
        <w:t>ow</w:t>
      </w:r>
      <w:r w:rsidR="003C56DA">
        <w:rPr>
          <w:sz w:val="20"/>
          <w:szCs w:val="20"/>
        </w:rPr>
        <w:t>ed</w:t>
      </w:r>
      <w:r w:rsidR="00602F55" w:rsidRPr="00B4333E">
        <w:rPr>
          <w:sz w:val="20"/>
          <w:szCs w:val="20"/>
        </w:rPr>
        <w:t xml:space="preserve"> </w:t>
      </w:r>
      <w:r w:rsidR="00631D21">
        <w:rPr>
          <w:sz w:val="20"/>
          <w:szCs w:val="20"/>
        </w:rPr>
        <w:t xml:space="preserve">to </w:t>
      </w:r>
      <w:r w:rsidR="003C56DA">
        <w:rPr>
          <w:sz w:val="20"/>
          <w:szCs w:val="20"/>
        </w:rPr>
        <w:t>th</w:t>
      </w:r>
      <w:r w:rsidR="00602F55" w:rsidRPr="00B4333E">
        <w:rPr>
          <w:sz w:val="20"/>
          <w:szCs w:val="20"/>
        </w:rPr>
        <w:t>e company’s CEO</w:t>
      </w:r>
      <w:r w:rsidR="00AD5F94">
        <w:rPr>
          <w:sz w:val="20"/>
          <w:szCs w:val="20"/>
        </w:rPr>
        <w:t xml:space="preserve"> </w:t>
      </w:r>
      <w:r w:rsidR="00602F55" w:rsidRPr="00B4333E">
        <w:rPr>
          <w:sz w:val="20"/>
          <w:szCs w:val="20"/>
        </w:rPr>
        <w:t>&amp;</w:t>
      </w:r>
      <w:r w:rsidR="00AD5F94">
        <w:rPr>
          <w:sz w:val="20"/>
          <w:szCs w:val="20"/>
        </w:rPr>
        <w:t xml:space="preserve"> </w:t>
      </w:r>
      <w:r w:rsidR="00602F55" w:rsidRPr="00B4333E">
        <w:rPr>
          <w:sz w:val="20"/>
          <w:szCs w:val="20"/>
        </w:rPr>
        <w:t>CTO.</w:t>
      </w:r>
    </w:p>
    <w:p w:rsidR="00631D21" w:rsidRDefault="00631D21" w:rsidP="00B4333E">
      <w:pPr>
        <w:spacing w:after="0"/>
        <w:jc w:val="both"/>
        <w:rPr>
          <w:sz w:val="20"/>
          <w:szCs w:val="20"/>
        </w:rPr>
      </w:pPr>
    </w:p>
    <w:p w:rsidR="00631D21" w:rsidRDefault="00631D21" w:rsidP="003D687B">
      <w:pPr>
        <w:rPr>
          <w:sz w:val="20"/>
          <w:szCs w:val="20"/>
        </w:rPr>
      </w:pPr>
      <w:r>
        <w:rPr>
          <w:sz w:val="20"/>
          <w:szCs w:val="20"/>
        </w:rPr>
        <w:t>During the year ended December 31, 2020, the company paid $238,086</w:t>
      </w:r>
      <w:r w:rsidRPr="00631D21">
        <w:rPr>
          <w:sz w:val="20"/>
          <w:szCs w:val="20"/>
        </w:rPr>
        <w:t xml:space="preserve"> </w:t>
      </w:r>
      <w:r w:rsidRPr="0003792D">
        <w:rPr>
          <w:sz w:val="20"/>
          <w:szCs w:val="20"/>
        </w:rPr>
        <w:t xml:space="preserve">in </w:t>
      </w:r>
      <w:r w:rsidR="00050EAA">
        <w:rPr>
          <w:sz w:val="20"/>
          <w:szCs w:val="20"/>
        </w:rPr>
        <w:t xml:space="preserve">total </w:t>
      </w:r>
      <w:r w:rsidRPr="0003792D">
        <w:rPr>
          <w:sz w:val="20"/>
          <w:szCs w:val="20"/>
        </w:rPr>
        <w:t>dividend</w:t>
      </w:r>
      <w:r w:rsidR="00050EAA">
        <w:rPr>
          <w:sz w:val="20"/>
          <w:szCs w:val="20"/>
        </w:rPr>
        <w:t>s to its shareholders</w:t>
      </w:r>
      <w:r w:rsidRPr="0003792D">
        <w:rPr>
          <w:sz w:val="20"/>
          <w:szCs w:val="20"/>
        </w:rPr>
        <w:t xml:space="preserve"> of which</w:t>
      </w:r>
      <w:r w:rsidR="00050EAA">
        <w:rPr>
          <w:sz w:val="20"/>
          <w:szCs w:val="20"/>
        </w:rPr>
        <w:t>,</w:t>
      </w:r>
      <w:r w:rsidRPr="0003792D">
        <w:rPr>
          <w:sz w:val="20"/>
          <w:szCs w:val="20"/>
        </w:rPr>
        <w:t xml:space="preserve"> $</w:t>
      </w:r>
      <w:r w:rsidR="003D687B">
        <w:rPr>
          <w:sz w:val="20"/>
          <w:szCs w:val="20"/>
        </w:rPr>
        <w:t>13,604</w:t>
      </w:r>
      <w:r w:rsidRPr="0003792D">
        <w:rPr>
          <w:sz w:val="20"/>
          <w:szCs w:val="20"/>
        </w:rPr>
        <w:t xml:space="preserve"> is accounted for in accounts payable and accrued liabilities as dividend withholding tax payable. </w:t>
      </w:r>
    </w:p>
    <w:p w:rsidR="00AD53FA" w:rsidRDefault="00AD53FA" w:rsidP="00E82887">
      <w:pPr>
        <w:spacing w:after="0"/>
        <w:jc w:val="both"/>
        <w:rPr>
          <w:sz w:val="20"/>
          <w:szCs w:val="20"/>
        </w:rPr>
      </w:pPr>
      <w:r w:rsidRPr="00AD53FA">
        <w:rPr>
          <w:sz w:val="20"/>
          <w:szCs w:val="20"/>
        </w:rPr>
        <w:t>During the year ended December 31, 2019, the C</w:t>
      </w:r>
      <w:r w:rsidR="00E82887">
        <w:rPr>
          <w:sz w:val="20"/>
          <w:szCs w:val="20"/>
        </w:rPr>
        <w:t>ompany paid $26,380 in dividend</w:t>
      </w:r>
      <w:r w:rsidRPr="00AD53FA">
        <w:rPr>
          <w:sz w:val="20"/>
          <w:szCs w:val="20"/>
        </w:rPr>
        <w:t>, of which $7,914 is accounted for in accounts payable as dividend withholding tax payable and the remaining $18,466 was applied against the balance due from shareholder.</w:t>
      </w:r>
    </w:p>
    <w:p w:rsidR="00602F55" w:rsidRPr="00B4333E" w:rsidRDefault="00602F55" w:rsidP="00B4333E">
      <w:pPr>
        <w:spacing w:after="0"/>
        <w:jc w:val="both"/>
        <w:rPr>
          <w:sz w:val="20"/>
          <w:szCs w:val="20"/>
        </w:rPr>
      </w:pPr>
    </w:p>
    <w:p w:rsidR="00602F55" w:rsidRPr="00B4333E" w:rsidRDefault="00602F55" w:rsidP="00B4333E">
      <w:pPr>
        <w:spacing w:after="0"/>
        <w:jc w:val="both"/>
        <w:rPr>
          <w:bCs/>
          <w:sz w:val="20"/>
          <w:szCs w:val="20"/>
          <w:u w:val="single"/>
        </w:rPr>
      </w:pPr>
      <w:r w:rsidRPr="00B4333E">
        <w:rPr>
          <w:b/>
          <w:sz w:val="20"/>
          <w:szCs w:val="20"/>
          <w:u w:val="single"/>
        </w:rPr>
        <w:t xml:space="preserve">PROPOSED TRANSACTIONS </w:t>
      </w:r>
    </w:p>
    <w:p w:rsidR="00602F55" w:rsidRPr="00B4333E" w:rsidRDefault="00602F55" w:rsidP="00B4333E">
      <w:pPr>
        <w:spacing w:after="0"/>
        <w:jc w:val="both"/>
        <w:rPr>
          <w:bCs/>
          <w:sz w:val="20"/>
          <w:szCs w:val="20"/>
        </w:rPr>
      </w:pPr>
    </w:p>
    <w:p w:rsidR="00602F55" w:rsidRPr="00B4333E" w:rsidRDefault="00602F55" w:rsidP="00B4333E">
      <w:pPr>
        <w:spacing w:after="0"/>
        <w:jc w:val="both"/>
        <w:rPr>
          <w:bCs/>
          <w:sz w:val="20"/>
          <w:szCs w:val="20"/>
        </w:rPr>
      </w:pPr>
      <w:r w:rsidRPr="00B4333E">
        <w:rPr>
          <w:sz w:val="20"/>
          <w:szCs w:val="20"/>
        </w:rPr>
        <w:t xml:space="preserve">As of the date of this MD&amp;A, there </w:t>
      </w:r>
      <w:r w:rsidR="00146C0A">
        <w:rPr>
          <w:sz w:val="20"/>
          <w:szCs w:val="20"/>
        </w:rPr>
        <w:t>are</w:t>
      </w:r>
      <w:r w:rsidRPr="00B4333E">
        <w:rPr>
          <w:sz w:val="20"/>
          <w:szCs w:val="20"/>
        </w:rPr>
        <w:t xml:space="preserve"> no proposed </w:t>
      </w:r>
      <w:r w:rsidR="00146C0A">
        <w:rPr>
          <w:sz w:val="20"/>
          <w:szCs w:val="20"/>
        </w:rPr>
        <w:t xml:space="preserve">significant </w:t>
      </w:r>
      <w:r w:rsidRPr="00B4333E">
        <w:rPr>
          <w:sz w:val="20"/>
          <w:szCs w:val="20"/>
        </w:rPr>
        <w:t>transactions</w:t>
      </w:r>
      <w:r w:rsidR="00146C0A">
        <w:rPr>
          <w:sz w:val="20"/>
          <w:szCs w:val="20"/>
        </w:rPr>
        <w:t xml:space="preserve"> involving the Company</w:t>
      </w:r>
      <w:r w:rsidRPr="00B4333E">
        <w:rPr>
          <w:sz w:val="20"/>
          <w:szCs w:val="20"/>
        </w:rPr>
        <w:t xml:space="preserve">.  </w:t>
      </w:r>
    </w:p>
    <w:p w:rsidR="00602F55" w:rsidRPr="00B4333E" w:rsidRDefault="00602F55" w:rsidP="00B4333E">
      <w:pPr>
        <w:spacing w:after="0"/>
        <w:jc w:val="both"/>
        <w:rPr>
          <w:bCs/>
          <w:sz w:val="20"/>
          <w:szCs w:val="20"/>
        </w:rPr>
      </w:pPr>
    </w:p>
    <w:p w:rsidR="00602F55" w:rsidRPr="00B4333E" w:rsidRDefault="00602F55" w:rsidP="0040223F">
      <w:pPr>
        <w:keepNext/>
        <w:spacing w:after="0"/>
        <w:jc w:val="both"/>
        <w:rPr>
          <w:b/>
          <w:bCs/>
          <w:sz w:val="20"/>
          <w:szCs w:val="20"/>
          <w:u w:val="single"/>
        </w:rPr>
      </w:pPr>
      <w:r w:rsidRPr="00B4333E">
        <w:rPr>
          <w:b/>
          <w:bCs/>
          <w:sz w:val="20"/>
          <w:szCs w:val="20"/>
          <w:u w:val="single"/>
        </w:rPr>
        <w:t xml:space="preserve">CHANGES IN OR ADOPTION OF ACCOUNTING POLICIES </w:t>
      </w:r>
    </w:p>
    <w:p w:rsidR="00602F55" w:rsidRPr="00B4333E" w:rsidRDefault="00602F55" w:rsidP="0040223F">
      <w:pPr>
        <w:keepNext/>
        <w:spacing w:after="0"/>
        <w:jc w:val="both"/>
        <w:rPr>
          <w:b/>
          <w:bCs/>
          <w:sz w:val="20"/>
          <w:szCs w:val="20"/>
        </w:rPr>
      </w:pPr>
    </w:p>
    <w:p w:rsidR="00602F55" w:rsidRPr="00B4333E" w:rsidRDefault="00602F55" w:rsidP="0040223F">
      <w:pPr>
        <w:keepNext/>
        <w:spacing w:after="0"/>
        <w:jc w:val="both"/>
        <w:rPr>
          <w:bCs/>
          <w:sz w:val="20"/>
          <w:szCs w:val="20"/>
        </w:rPr>
      </w:pPr>
      <w:r w:rsidRPr="00B4333E">
        <w:rPr>
          <w:bCs/>
          <w:sz w:val="20"/>
          <w:szCs w:val="20"/>
        </w:rPr>
        <w:t>Accounting standards or amendments to existing accounting standards that have been issued but have future effective dates are either not applicable or are not expected to have a significant impact on the Company’s financial statements.</w:t>
      </w:r>
      <w:r w:rsidRPr="00B4333E" w:rsidDel="00B5606D">
        <w:rPr>
          <w:bCs/>
          <w:sz w:val="20"/>
          <w:szCs w:val="20"/>
        </w:rPr>
        <w:t xml:space="preserve"> </w:t>
      </w:r>
    </w:p>
    <w:p w:rsidR="00602F55" w:rsidRPr="00B4333E" w:rsidRDefault="00602F55" w:rsidP="00B4333E">
      <w:pPr>
        <w:spacing w:after="0"/>
        <w:jc w:val="both"/>
        <w:rPr>
          <w:bCs/>
          <w:sz w:val="20"/>
          <w:szCs w:val="20"/>
        </w:rPr>
      </w:pPr>
    </w:p>
    <w:p w:rsidR="00602F55" w:rsidRPr="00B4333E" w:rsidRDefault="00602F55" w:rsidP="00B4333E">
      <w:pPr>
        <w:spacing w:after="0"/>
        <w:jc w:val="both"/>
        <w:rPr>
          <w:b/>
          <w:bCs/>
          <w:sz w:val="20"/>
          <w:szCs w:val="20"/>
          <w:u w:val="single"/>
        </w:rPr>
      </w:pPr>
      <w:r w:rsidRPr="00B4333E">
        <w:rPr>
          <w:b/>
          <w:bCs/>
          <w:sz w:val="20"/>
          <w:szCs w:val="20"/>
          <w:u w:val="single"/>
        </w:rPr>
        <w:t xml:space="preserve">FINANCIAL INSTRUMENTS </w:t>
      </w:r>
    </w:p>
    <w:p w:rsidR="00602F55" w:rsidRPr="00B4333E" w:rsidRDefault="00602F55" w:rsidP="00B4333E">
      <w:pPr>
        <w:spacing w:after="0"/>
        <w:jc w:val="both"/>
        <w:rPr>
          <w:b/>
          <w:bCs/>
          <w:sz w:val="20"/>
          <w:szCs w:val="20"/>
          <w:u w:val="single"/>
        </w:rPr>
      </w:pPr>
    </w:p>
    <w:p w:rsidR="00602F55" w:rsidRPr="00B4333E" w:rsidRDefault="00602F55" w:rsidP="00B4333E">
      <w:pPr>
        <w:spacing w:after="0"/>
        <w:jc w:val="both"/>
        <w:rPr>
          <w:bCs/>
          <w:sz w:val="20"/>
          <w:szCs w:val="20"/>
        </w:rPr>
      </w:pPr>
      <w:r w:rsidRPr="00B4333E">
        <w:rPr>
          <w:bCs/>
          <w:sz w:val="20"/>
          <w:szCs w:val="20"/>
        </w:rPr>
        <w:t>Financial instruments include cash</w:t>
      </w:r>
      <w:r w:rsidR="00E82887">
        <w:rPr>
          <w:bCs/>
          <w:sz w:val="20"/>
          <w:szCs w:val="20"/>
        </w:rPr>
        <w:t>, amounts receivable</w:t>
      </w:r>
      <w:r w:rsidRPr="00B4333E">
        <w:rPr>
          <w:bCs/>
          <w:sz w:val="20"/>
          <w:szCs w:val="20"/>
        </w:rPr>
        <w:t xml:space="preserve"> and accounts payable and accrued liabilities. The estimated fair value of these financial instruments approximates their carrying values because of the short term to maturity of these instruments. </w:t>
      </w:r>
    </w:p>
    <w:p w:rsidR="00602F55" w:rsidRPr="00B4333E" w:rsidRDefault="00602F55" w:rsidP="00B4333E">
      <w:pPr>
        <w:spacing w:after="0"/>
        <w:jc w:val="both"/>
        <w:rPr>
          <w:bCs/>
          <w:sz w:val="20"/>
          <w:szCs w:val="20"/>
        </w:rPr>
      </w:pPr>
    </w:p>
    <w:p w:rsidR="00602F55" w:rsidRPr="00B4333E" w:rsidRDefault="003D687B" w:rsidP="00837C80">
      <w:pPr>
        <w:spacing w:after="0"/>
        <w:jc w:val="both"/>
        <w:rPr>
          <w:b/>
          <w:bCs/>
          <w:sz w:val="20"/>
          <w:szCs w:val="20"/>
          <w:u w:val="single"/>
        </w:rPr>
      </w:pPr>
      <w:r>
        <w:rPr>
          <w:bCs/>
          <w:sz w:val="20"/>
          <w:szCs w:val="20"/>
        </w:rPr>
        <w:t>A</w:t>
      </w:r>
      <w:r w:rsidR="00307227" w:rsidRPr="0003792D">
        <w:rPr>
          <w:bCs/>
          <w:sz w:val="20"/>
          <w:szCs w:val="20"/>
        </w:rPr>
        <w:t xml:space="preserve">s at </w:t>
      </w:r>
      <w:r>
        <w:rPr>
          <w:bCs/>
          <w:sz w:val="20"/>
          <w:szCs w:val="20"/>
        </w:rPr>
        <w:t>December 31,</w:t>
      </w:r>
      <w:r w:rsidR="00602F55" w:rsidRPr="0003792D">
        <w:rPr>
          <w:bCs/>
          <w:sz w:val="20"/>
          <w:szCs w:val="20"/>
        </w:rPr>
        <w:t xml:space="preserve"> 2020 the Company </w:t>
      </w:r>
      <w:r w:rsidR="00146C0A">
        <w:rPr>
          <w:bCs/>
          <w:sz w:val="20"/>
          <w:szCs w:val="20"/>
        </w:rPr>
        <w:t xml:space="preserve">had </w:t>
      </w:r>
      <w:r w:rsidR="00602F55" w:rsidRPr="0003792D">
        <w:rPr>
          <w:bCs/>
          <w:sz w:val="20"/>
          <w:szCs w:val="20"/>
        </w:rPr>
        <w:t>$</w:t>
      </w:r>
      <w:r w:rsidR="00837C80">
        <w:rPr>
          <w:bCs/>
          <w:sz w:val="20"/>
          <w:szCs w:val="20"/>
        </w:rPr>
        <w:t>803,921</w:t>
      </w:r>
      <w:r w:rsidR="00602F55" w:rsidRPr="0003792D">
        <w:rPr>
          <w:bCs/>
          <w:sz w:val="20"/>
          <w:szCs w:val="20"/>
        </w:rPr>
        <w:t xml:space="preserve"> in current assets and $</w:t>
      </w:r>
      <w:r w:rsidR="00ED0720">
        <w:rPr>
          <w:bCs/>
          <w:sz w:val="20"/>
          <w:szCs w:val="20"/>
        </w:rPr>
        <w:t>8</w:t>
      </w:r>
      <w:r w:rsidR="00837C80">
        <w:rPr>
          <w:bCs/>
          <w:sz w:val="20"/>
          <w:szCs w:val="20"/>
        </w:rPr>
        <w:t xml:space="preserve">98,468 </w:t>
      </w:r>
      <w:r w:rsidR="00602F55" w:rsidRPr="0003792D">
        <w:rPr>
          <w:bCs/>
          <w:sz w:val="20"/>
          <w:szCs w:val="20"/>
        </w:rPr>
        <w:t>in current liabilities</w:t>
      </w:r>
      <w:r w:rsidR="00146C0A">
        <w:rPr>
          <w:bCs/>
          <w:sz w:val="20"/>
          <w:szCs w:val="20"/>
        </w:rPr>
        <w:t xml:space="preserve"> resulting in </w:t>
      </w:r>
      <w:r w:rsidR="0003792D" w:rsidRPr="0003792D">
        <w:rPr>
          <w:bCs/>
          <w:sz w:val="20"/>
          <w:szCs w:val="20"/>
        </w:rPr>
        <w:t>a working capital deficit of $</w:t>
      </w:r>
      <w:r w:rsidR="00837C80">
        <w:rPr>
          <w:bCs/>
          <w:sz w:val="20"/>
          <w:szCs w:val="20"/>
        </w:rPr>
        <w:t>94,547</w:t>
      </w:r>
      <w:bookmarkStart w:id="0" w:name="_GoBack"/>
      <w:bookmarkEnd w:id="0"/>
      <w:r w:rsidR="0003792D">
        <w:rPr>
          <w:sz w:val="20"/>
          <w:szCs w:val="20"/>
          <w:lang w:bidi="he-IL"/>
        </w:rPr>
        <w:t>.</w:t>
      </w:r>
    </w:p>
    <w:p w:rsidR="00602F55" w:rsidRPr="00B4333E" w:rsidRDefault="00602F55" w:rsidP="00B4333E">
      <w:pPr>
        <w:spacing w:after="0"/>
        <w:jc w:val="both"/>
        <w:rPr>
          <w:b/>
          <w:bCs/>
          <w:sz w:val="20"/>
          <w:szCs w:val="20"/>
          <w:u w:val="single"/>
        </w:rPr>
      </w:pPr>
    </w:p>
    <w:p w:rsidR="00602F55" w:rsidRPr="00B4333E" w:rsidRDefault="00602F55" w:rsidP="00B4333E">
      <w:pPr>
        <w:spacing w:after="0"/>
        <w:jc w:val="both"/>
        <w:rPr>
          <w:b/>
          <w:bCs/>
          <w:sz w:val="20"/>
          <w:szCs w:val="20"/>
          <w:u w:val="single"/>
        </w:rPr>
      </w:pPr>
      <w:r w:rsidRPr="00B4333E">
        <w:rPr>
          <w:b/>
          <w:bCs/>
          <w:sz w:val="20"/>
          <w:szCs w:val="20"/>
          <w:u w:val="single"/>
        </w:rPr>
        <w:t>RISK MANAGEMENT</w:t>
      </w:r>
    </w:p>
    <w:p w:rsidR="00AD5F94" w:rsidRDefault="00AD5F94" w:rsidP="00AD5F94">
      <w:pPr>
        <w:spacing w:after="0"/>
        <w:jc w:val="both"/>
        <w:rPr>
          <w:bCs/>
          <w:sz w:val="20"/>
          <w:szCs w:val="20"/>
        </w:rPr>
      </w:pPr>
    </w:p>
    <w:p w:rsidR="00AD5F94" w:rsidRPr="0085422F" w:rsidRDefault="00AD5F94" w:rsidP="00AD5F94">
      <w:pPr>
        <w:spacing w:after="0"/>
        <w:jc w:val="both"/>
        <w:rPr>
          <w:bCs/>
          <w:sz w:val="20"/>
          <w:szCs w:val="20"/>
        </w:rPr>
      </w:pPr>
      <w:r w:rsidRPr="0085422F">
        <w:rPr>
          <w:bCs/>
          <w:sz w:val="20"/>
          <w:szCs w:val="20"/>
        </w:rPr>
        <w:t xml:space="preserve">The Company is exposed in varying degrees to a variety of risks. The </w:t>
      </w:r>
      <w:r>
        <w:rPr>
          <w:bCs/>
          <w:sz w:val="20"/>
          <w:szCs w:val="20"/>
        </w:rPr>
        <w:t xml:space="preserve">Company’s </w:t>
      </w:r>
      <w:r w:rsidRPr="0085422F">
        <w:rPr>
          <w:bCs/>
          <w:sz w:val="20"/>
          <w:szCs w:val="20"/>
        </w:rPr>
        <w:t>Director</w:t>
      </w:r>
      <w:r>
        <w:rPr>
          <w:bCs/>
          <w:sz w:val="20"/>
          <w:szCs w:val="20"/>
        </w:rPr>
        <w:t>s</w:t>
      </w:r>
      <w:r w:rsidRPr="0085422F">
        <w:rPr>
          <w:bCs/>
          <w:sz w:val="20"/>
          <w:szCs w:val="20"/>
        </w:rPr>
        <w:t xml:space="preserve"> approve</w:t>
      </w:r>
      <w:r>
        <w:rPr>
          <w:bCs/>
          <w:sz w:val="20"/>
          <w:szCs w:val="20"/>
        </w:rPr>
        <w:t xml:space="preserve"> and monitor </w:t>
      </w:r>
      <w:r w:rsidRPr="0085422F">
        <w:rPr>
          <w:bCs/>
          <w:sz w:val="20"/>
          <w:szCs w:val="20"/>
        </w:rPr>
        <w:t>the risk management processes, inclusive of documented investment policies, counterparty limits, and controlling and reporting structures. The type of risk exposure and the way in which such exposure is managed is provided as follows:</w:t>
      </w:r>
    </w:p>
    <w:p w:rsidR="00602F55" w:rsidRPr="00B4333E" w:rsidRDefault="00602F55" w:rsidP="00B4333E">
      <w:pPr>
        <w:spacing w:after="0"/>
        <w:jc w:val="both"/>
        <w:rPr>
          <w:b/>
          <w:bCs/>
          <w:sz w:val="20"/>
          <w:szCs w:val="20"/>
        </w:rPr>
      </w:pPr>
    </w:p>
    <w:p w:rsidR="00602F55" w:rsidRPr="00AD5F94" w:rsidRDefault="00602F55" w:rsidP="00B4333E">
      <w:pPr>
        <w:spacing w:after="0"/>
        <w:jc w:val="both"/>
        <w:rPr>
          <w:b/>
          <w:bCs/>
          <w:i/>
          <w:sz w:val="20"/>
          <w:szCs w:val="20"/>
          <w:rtl/>
        </w:rPr>
      </w:pPr>
      <w:r w:rsidRPr="00AD5F94">
        <w:rPr>
          <w:b/>
          <w:bCs/>
          <w:i/>
          <w:sz w:val="20"/>
          <w:szCs w:val="20"/>
        </w:rPr>
        <w:lastRenderedPageBreak/>
        <w:t xml:space="preserve">Credit </w:t>
      </w:r>
      <w:r w:rsidR="00AD5F94" w:rsidRPr="00AD5F94">
        <w:rPr>
          <w:b/>
          <w:bCs/>
          <w:i/>
          <w:sz w:val="20"/>
          <w:szCs w:val="20"/>
        </w:rPr>
        <w:t>R</w:t>
      </w:r>
      <w:r w:rsidRPr="00AD5F94">
        <w:rPr>
          <w:b/>
          <w:bCs/>
          <w:i/>
          <w:sz w:val="20"/>
          <w:szCs w:val="20"/>
        </w:rPr>
        <w:t xml:space="preserve">isk </w:t>
      </w:r>
    </w:p>
    <w:p w:rsidR="00AD5F94" w:rsidRPr="00AD5F94" w:rsidRDefault="00AD5F94" w:rsidP="00AD5F94">
      <w:pPr>
        <w:contextualSpacing/>
        <w:jc w:val="both"/>
        <w:rPr>
          <w:sz w:val="20"/>
          <w:szCs w:val="20"/>
        </w:rPr>
      </w:pPr>
    </w:p>
    <w:p w:rsidR="00AD5F94" w:rsidRPr="00AD5F94" w:rsidRDefault="00602F55" w:rsidP="00AD5F94">
      <w:pPr>
        <w:contextualSpacing/>
        <w:jc w:val="both"/>
        <w:rPr>
          <w:sz w:val="20"/>
          <w:szCs w:val="20"/>
        </w:rPr>
      </w:pPr>
      <w:r w:rsidRPr="00AD5F94">
        <w:rPr>
          <w:sz w:val="20"/>
          <w:szCs w:val="20"/>
        </w:rPr>
        <w:t xml:space="preserve">Credit risk is the risk that one party to a financial instrument will cause a financial loss for the other party by failing to discharge an obligation. The Company’s exposure to credit risk is the carrying value of cash and amounts receivable. </w:t>
      </w:r>
    </w:p>
    <w:p w:rsidR="00AD5F94" w:rsidRPr="00AD5F94" w:rsidRDefault="00AD5F94" w:rsidP="00AD5F94">
      <w:pPr>
        <w:contextualSpacing/>
        <w:jc w:val="both"/>
        <w:rPr>
          <w:sz w:val="20"/>
          <w:szCs w:val="20"/>
        </w:rPr>
      </w:pPr>
    </w:p>
    <w:p w:rsidR="00602F55" w:rsidRPr="00AD5F94" w:rsidRDefault="00602F55" w:rsidP="00AD5F94">
      <w:pPr>
        <w:contextualSpacing/>
        <w:jc w:val="both"/>
        <w:rPr>
          <w:sz w:val="20"/>
          <w:szCs w:val="20"/>
        </w:rPr>
      </w:pPr>
      <w:r w:rsidRPr="00AD5F94">
        <w:rPr>
          <w:sz w:val="20"/>
          <w:szCs w:val="20"/>
        </w:rPr>
        <w:t xml:space="preserve">For amounts due from customers, the Company performs ongoing credit evaluations of its customers, and monitors the receivable balance and the payments made in order to determine if an allowance for estimated credit losses is required. When determining the allowance for estimated credit losses the Company will consider historical experience with the customer, current market and industry conditions and any specific collection issues. </w:t>
      </w:r>
    </w:p>
    <w:p w:rsidR="00602F55" w:rsidRPr="00B4333E" w:rsidRDefault="00602F55" w:rsidP="00B4333E">
      <w:pPr>
        <w:spacing w:after="0"/>
        <w:jc w:val="both"/>
        <w:rPr>
          <w:b/>
          <w:bCs/>
          <w:sz w:val="20"/>
          <w:szCs w:val="20"/>
        </w:rPr>
      </w:pPr>
    </w:p>
    <w:p w:rsidR="00602F55" w:rsidRPr="00AD5F94" w:rsidRDefault="00602F55" w:rsidP="00B4333E">
      <w:pPr>
        <w:spacing w:after="0"/>
        <w:jc w:val="both"/>
        <w:rPr>
          <w:b/>
          <w:bCs/>
          <w:i/>
          <w:sz w:val="20"/>
          <w:szCs w:val="20"/>
        </w:rPr>
      </w:pPr>
      <w:r w:rsidRPr="00AD5F94">
        <w:rPr>
          <w:b/>
          <w:bCs/>
          <w:i/>
          <w:sz w:val="20"/>
          <w:szCs w:val="20"/>
        </w:rPr>
        <w:t xml:space="preserve">Interest </w:t>
      </w:r>
      <w:r w:rsidR="00AD5F94">
        <w:rPr>
          <w:b/>
          <w:bCs/>
          <w:i/>
          <w:sz w:val="20"/>
          <w:szCs w:val="20"/>
        </w:rPr>
        <w:t>R</w:t>
      </w:r>
      <w:r w:rsidRPr="00AD5F94">
        <w:rPr>
          <w:b/>
          <w:bCs/>
          <w:i/>
          <w:sz w:val="20"/>
          <w:szCs w:val="20"/>
        </w:rPr>
        <w:t xml:space="preserve">ate </w:t>
      </w:r>
      <w:r w:rsidR="00AD5F94">
        <w:rPr>
          <w:b/>
          <w:bCs/>
          <w:i/>
          <w:sz w:val="20"/>
          <w:szCs w:val="20"/>
        </w:rPr>
        <w:t>R</w:t>
      </w:r>
      <w:r w:rsidRPr="00AD5F94">
        <w:rPr>
          <w:b/>
          <w:bCs/>
          <w:i/>
          <w:sz w:val="20"/>
          <w:szCs w:val="20"/>
        </w:rPr>
        <w:t xml:space="preserve">isk </w:t>
      </w:r>
    </w:p>
    <w:p w:rsidR="00602F55" w:rsidRPr="00B4333E" w:rsidRDefault="00602F55" w:rsidP="00B4333E">
      <w:pPr>
        <w:spacing w:after="0"/>
        <w:jc w:val="both"/>
        <w:rPr>
          <w:sz w:val="20"/>
          <w:szCs w:val="20"/>
        </w:rPr>
      </w:pPr>
    </w:p>
    <w:p w:rsidR="00602F55" w:rsidRPr="001B61BA" w:rsidRDefault="004F40EA" w:rsidP="001B61BA">
      <w:pPr>
        <w:spacing w:after="0"/>
        <w:jc w:val="both"/>
        <w:rPr>
          <w:sz w:val="20"/>
          <w:szCs w:val="20"/>
        </w:rPr>
      </w:pPr>
      <w:r w:rsidRPr="001B61BA">
        <w:rPr>
          <w:sz w:val="20"/>
          <w:szCs w:val="20"/>
        </w:rPr>
        <w:t>Interest Rate risk is the risk that the fair value of a financial instrument will fluctuate because of changes in market interest rates. Loans payable include variable interest rates; however, the Company does not believe it is exposed to material interest rate risk.</w:t>
      </w:r>
    </w:p>
    <w:p w:rsidR="004F40EA" w:rsidRDefault="004F40EA" w:rsidP="00B4333E">
      <w:pPr>
        <w:spacing w:after="0"/>
        <w:jc w:val="both"/>
        <w:rPr>
          <w:b/>
          <w:bCs/>
          <w:sz w:val="20"/>
          <w:szCs w:val="20"/>
        </w:rPr>
      </w:pPr>
    </w:p>
    <w:p w:rsidR="001B61BA" w:rsidRDefault="001B61BA" w:rsidP="00B4333E">
      <w:pPr>
        <w:spacing w:after="0"/>
        <w:jc w:val="both"/>
        <w:rPr>
          <w:b/>
          <w:bCs/>
          <w:i/>
          <w:sz w:val="20"/>
          <w:szCs w:val="20"/>
        </w:rPr>
      </w:pPr>
      <w:r w:rsidRPr="00AD5F94">
        <w:rPr>
          <w:b/>
          <w:bCs/>
          <w:i/>
          <w:sz w:val="20"/>
          <w:szCs w:val="20"/>
        </w:rPr>
        <w:t>Foreign Exchange Rate</w:t>
      </w:r>
      <w:r>
        <w:rPr>
          <w:b/>
          <w:bCs/>
          <w:i/>
          <w:sz w:val="20"/>
          <w:szCs w:val="20"/>
        </w:rPr>
        <w:t xml:space="preserve"> Risk</w:t>
      </w:r>
    </w:p>
    <w:p w:rsidR="001B61BA" w:rsidRDefault="001B61BA" w:rsidP="00B4333E">
      <w:pPr>
        <w:spacing w:after="0"/>
        <w:jc w:val="both"/>
        <w:rPr>
          <w:b/>
          <w:bCs/>
          <w:sz w:val="20"/>
          <w:szCs w:val="20"/>
        </w:rPr>
      </w:pPr>
    </w:p>
    <w:p w:rsidR="004F40EA" w:rsidRPr="001B61BA" w:rsidRDefault="004F40EA" w:rsidP="001B61BA">
      <w:pPr>
        <w:pStyle w:val="ListParagraph"/>
        <w:autoSpaceDE/>
        <w:autoSpaceDN/>
        <w:adjustRightInd/>
        <w:ind w:left="0"/>
        <w:rPr>
          <w:szCs w:val="20"/>
        </w:rPr>
      </w:pPr>
      <w:r w:rsidRPr="001B61BA">
        <w:rPr>
          <w:szCs w:val="20"/>
        </w:rPr>
        <w:t xml:space="preserve">The Company is exposed to foreign exchange risk as </w:t>
      </w:r>
      <w:r w:rsidR="001B61BA">
        <w:t xml:space="preserve">the Company has a surplus of financial assets over financial liabilities denominated in USD as of December 31, 2020, consisting of promissory note and accounts payable and accrued liabilities less cash, in the sum of $208,942. </w:t>
      </w:r>
      <w:r w:rsidRPr="001B61BA">
        <w:rPr>
          <w:szCs w:val="20"/>
        </w:rPr>
        <w:t xml:space="preserve">As of </w:t>
      </w:r>
      <w:r w:rsidR="001B61BA">
        <w:rPr>
          <w:szCs w:val="20"/>
        </w:rPr>
        <w:t>December 31, 2020</w:t>
      </w:r>
      <w:r w:rsidRPr="001B61BA">
        <w:rPr>
          <w:szCs w:val="20"/>
        </w:rPr>
        <w:t xml:space="preserve"> a 5% depreciation or appreciation of the U.S. dollar against </w:t>
      </w:r>
      <w:r w:rsidR="001B61BA" w:rsidRPr="001B61BA">
        <w:rPr>
          <w:szCs w:val="20"/>
        </w:rPr>
        <w:t xml:space="preserve">the New Israeli Shekel </w:t>
      </w:r>
      <w:r w:rsidRPr="001B61BA">
        <w:rPr>
          <w:szCs w:val="20"/>
        </w:rPr>
        <w:t>would have resulted in a</w:t>
      </w:r>
      <w:r w:rsidR="001B61BA">
        <w:rPr>
          <w:szCs w:val="20"/>
        </w:rPr>
        <w:t xml:space="preserve">n approximate $17,990 </w:t>
      </w:r>
      <w:r w:rsidRPr="001B61BA">
        <w:rPr>
          <w:szCs w:val="20"/>
        </w:rPr>
        <w:t xml:space="preserve">decrease or increase, respectively, in total </w:t>
      </w:r>
      <w:r w:rsidR="001B61BA">
        <w:rPr>
          <w:szCs w:val="20"/>
        </w:rPr>
        <w:t>pre-tax profit.</w:t>
      </w:r>
    </w:p>
    <w:p w:rsidR="001B61BA" w:rsidRPr="001B61BA" w:rsidRDefault="001B61BA" w:rsidP="00B4333E">
      <w:pPr>
        <w:spacing w:after="0"/>
        <w:jc w:val="both"/>
        <w:rPr>
          <w:sz w:val="20"/>
          <w:szCs w:val="20"/>
        </w:rPr>
      </w:pPr>
    </w:p>
    <w:p w:rsidR="00602F55" w:rsidRPr="00AD5F94" w:rsidRDefault="00602F55" w:rsidP="00B4333E">
      <w:pPr>
        <w:spacing w:after="0"/>
        <w:jc w:val="both"/>
        <w:rPr>
          <w:b/>
          <w:bCs/>
          <w:i/>
          <w:sz w:val="20"/>
          <w:szCs w:val="20"/>
        </w:rPr>
      </w:pPr>
      <w:r w:rsidRPr="00AD5F94">
        <w:rPr>
          <w:b/>
          <w:bCs/>
          <w:i/>
          <w:sz w:val="20"/>
          <w:szCs w:val="20"/>
        </w:rPr>
        <w:t xml:space="preserve">Liquidity </w:t>
      </w:r>
      <w:r w:rsidR="00AD5F94">
        <w:rPr>
          <w:b/>
          <w:bCs/>
          <w:i/>
          <w:sz w:val="20"/>
          <w:szCs w:val="20"/>
        </w:rPr>
        <w:t>R</w:t>
      </w:r>
      <w:r w:rsidRPr="00AD5F94">
        <w:rPr>
          <w:b/>
          <w:bCs/>
          <w:i/>
          <w:sz w:val="20"/>
          <w:szCs w:val="20"/>
        </w:rPr>
        <w:t xml:space="preserve">isk </w:t>
      </w:r>
    </w:p>
    <w:p w:rsidR="00602F55" w:rsidRPr="00B4333E" w:rsidRDefault="00602F55" w:rsidP="00B4333E">
      <w:pPr>
        <w:spacing w:after="0"/>
        <w:jc w:val="both"/>
        <w:rPr>
          <w:sz w:val="20"/>
          <w:szCs w:val="20"/>
        </w:rPr>
      </w:pPr>
    </w:p>
    <w:p w:rsidR="00602F55" w:rsidRPr="00B4333E" w:rsidRDefault="00602F55" w:rsidP="004F40EA">
      <w:pPr>
        <w:spacing w:after="0"/>
        <w:jc w:val="both"/>
        <w:rPr>
          <w:sz w:val="20"/>
          <w:szCs w:val="20"/>
        </w:rPr>
      </w:pPr>
      <w:r w:rsidRPr="00B4333E">
        <w:rPr>
          <w:sz w:val="20"/>
          <w:szCs w:val="20"/>
        </w:rPr>
        <w:t xml:space="preserve">Liquidity risk is the risk that an entity will encounter difficulty in raising funds to meet commitments associated with financial instruments. </w:t>
      </w:r>
      <w:r w:rsidR="00E82887">
        <w:rPr>
          <w:sz w:val="20"/>
          <w:szCs w:val="20"/>
        </w:rPr>
        <w:t xml:space="preserve"> T</w:t>
      </w:r>
      <w:r w:rsidR="004F40EA">
        <w:rPr>
          <w:sz w:val="20"/>
          <w:szCs w:val="20"/>
        </w:rPr>
        <w:t>otal amount of t</w:t>
      </w:r>
      <w:r w:rsidR="00E82887" w:rsidRPr="00E82887">
        <w:rPr>
          <w:sz w:val="20"/>
          <w:szCs w:val="20"/>
        </w:rPr>
        <w:t>he Company’s financial liabilities according to the contractual conditions in non-capitalized amounts (including interest payments) as at December 31, 2020</w:t>
      </w:r>
      <w:r w:rsidR="00E82887">
        <w:rPr>
          <w:sz w:val="20"/>
          <w:szCs w:val="20"/>
        </w:rPr>
        <w:t xml:space="preserve"> for the next 5 years</w:t>
      </w:r>
      <w:r w:rsidR="00ED0720">
        <w:rPr>
          <w:sz w:val="20"/>
          <w:szCs w:val="20"/>
        </w:rPr>
        <w:t xml:space="preserve"> and over is $700,410</w:t>
      </w:r>
      <w:r w:rsidR="004F40EA">
        <w:rPr>
          <w:sz w:val="20"/>
          <w:szCs w:val="20"/>
        </w:rPr>
        <w:t xml:space="preserve">. </w:t>
      </w:r>
      <w:r w:rsidRPr="00B4333E">
        <w:rPr>
          <w:sz w:val="20"/>
          <w:szCs w:val="20"/>
        </w:rPr>
        <w:t xml:space="preserve">To secure the additional capital necessary to pursue </w:t>
      </w:r>
      <w:r w:rsidR="002D3BA0">
        <w:rPr>
          <w:sz w:val="20"/>
          <w:szCs w:val="20"/>
        </w:rPr>
        <w:t>its</w:t>
      </w:r>
      <w:r w:rsidRPr="00B4333E">
        <w:rPr>
          <w:sz w:val="20"/>
          <w:szCs w:val="20"/>
        </w:rPr>
        <w:t xml:space="preserve"> plans, the Company may have to raise additional funds through equity or debt financing</w:t>
      </w:r>
      <w:r w:rsidRPr="00B4333E">
        <w:rPr>
          <w:sz w:val="20"/>
          <w:szCs w:val="20"/>
          <w:rtl/>
        </w:rPr>
        <w:t>.</w:t>
      </w:r>
      <w:r w:rsidRPr="00B4333E">
        <w:rPr>
          <w:sz w:val="20"/>
          <w:szCs w:val="20"/>
        </w:rPr>
        <w:t xml:space="preserve"> </w:t>
      </w:r>
    </w:p>
    <w:p w:rsidR="00602F55" w:rsidRPr="00B4333E" w:rsidRDefault="00602F55" w:rsidP="00B4333E">
      <w:pPr>
        <w:pStyle w:val="ListParagraph"/>
        <w:jc w:val="both"/>
        <w:rPr>
          <w:szCs w:val="20"/>
        </w:rPr>
      </w:pPr>
    </w:p>
    <w:p w:rsidR="002D3BA0" w:rsidRPr="007719C2" w:rsidRDefault="00602F55" w:rsidP="007719C2">
      <w:pPr>
        <w:spacing w:after="0"/>
        <w:jc w:val="both"/>
        <w:rPr>
          <w:b/>
          <w:bCs/>
          <w:i/>
          <w:sz w:val="20"/>
          <w:szCs w:val="20"/>
        </w:rPr>
      </w:pPr>
      <w:r w:rsidRPr="007719C2">
        <w:rPr>
          <w:b/>
          <w:bCs/>
          <w:i/>
          <w:sz w:val="20"/>
          <w:szCs w:val="20"/>
        </w:rPr>
        <w:t xml:space="preserve">Price Risk </w:t>
      </w:r>
    </w:p>
    <w:p w:rsidR="002D3BA0" w:rsidRPr="007719C2" w:rsidRDefault="002D3BA0" w:rsidP="007719C2">
      <w:pPr>
        <w:spacing w:after="0"/>
        <w:jc w:val="both"/>
        <w:rPr>
          <w:b/>
          <w:bCs/>
          <w:sz w:val="20"/>
          <w:szCs w:val="20"/>
        </w:rPr>
      </w:pPr>
    </w:p>
    <w:p w:rsidR="00602F55" w:rsidRPr="007719C2" w:rsidRDefault="002D3BA0" w:rsidP="007719C2">
      <w:pPr>
        <w:spacing w:after="0"/>
        <w:jc w:val="both"/>
        <w:rPr>
          <w:b/>
          <w:bCs/>
          <w:sz w:val="20"/>
          <w:szCs w:val="20"/>
        </w:rPr>
      </w:pPr>
      <w:r w:rsidRPr="007719C2">
        <w:rPr>
          <w:sz w:val="20"/>
          <w:szCs w:val="20"/>
        </w:rPr>
        <w:t>The</w:t>
      </w:r>
      <w:r w:rsidR="00602F55" w:rsidRPr="007719C2">
        <w:rPr>
          <w:sz w:val="20"/>
          <w:szCs w:val="20"/>
        </w:rPr>
        <w:t xml:space="preserve"> Company is not exposed to any significant price risk.  </w:t>
      </w:r>
    </w:p>
    <w:p w:rsidR="00602F55" w:rsidRPr="007719C2" w:rsidRDefault="00602F55" w:rsidP="007719C2">
      <w:pPr>
        <w:spacing w:after="0"/>
        <w:jc w:val="both"/>
        <w:rPr>
          <w:b/>
          <w:bCs/>
          <w:sz w:val="20"/>
          <w:szCs w:val="20"/>
        </w:rPr>
      </w:pPr>
    </w:p>
    <w:p w:rsidR="005D6337" w:rsidRDefault="005D6337" w:rsidP="007719C2">
      <w:pPr>
        <w:spacing w:after="0"/>
        <w:jc w:val="both"/>
        <w:rPr>
          <w:b/>
          <w:bCs/>
          <w:i/>
          <w:sz w:val="20"/>
          <w:szCs w:val="20"/>
        </w:rPr>
      </w:pPr>
      <w:r w:rsidRPr="007719C2">
        <w:rPr>
          <w:b/>
          <w:bCs/>
          <w:i/>
          <w:sz w:val="20"/>
          <w:szCs w:val="20"/>
        </w:rPr>
        <w:t>Business Risks</w:t>
      </w:r>
      <w:r w:rsidR="007719C2">
        <w:rPr>
          <w:b/>
          <w:bCs/>
          <w:i/>
          <w:sz w:val="20"/>
          <w:szCs w:val="20"/>
        </w:rPr>
        <w:t xml:space="preserve"> relating to our </w:t>
      </w:r>
      <w:r w:rsidRPr="007719C2">
        <w:rPr>
          <w:b/>
          <w:bCs/>
          <w:i/>
          <w:sz w:val="20"/>
          <w:szCs w:val="20"/>
        </w:rPr>
        <w:t>CRM Business</w:t>
      </w:r>
    </w:p>
    <w:p w:rsidR="007719C2" w:rsidRPr="007719C2" w:rsidRDefault="007719C2" w:rsidP="007719C2">
      <w:pPr>
        <w:spacing w:after="0"/>
        <w:jc w:val="both"/>
        <w:rPr>
          <w:b/>
          <w:bCs/>
          <w:i/>
          <w:sz w:val="20"/>
          <w:szCs w:val="20"/>
        </w:rPr>
      </w:pPr>
    </w:p>
    <w:p w:rsidR="005D6337" w:rsidRPr="007719C2" w:rsidRDefault="005D6337" w:rsidP="007719C2">
      <w:pPr>
        <w:pStyle w:val="ListParagraph"/>
        <w:widowControl/>
        <w:numPr>
          <w:ilvl w:val="0"/>
          <w:numId w:val="8"/>
        </w:numPr>
        <w:autoSpaceDE/>
        <w:autoSpaceDN/>
        <w:adjustRightInd/>
        <w:jc w:val="both"/>
        <w:rPr>
          <w:szCs w:val="20"/>
        </w:rPr>
      </w:pPr>
      <w:r w:rsidRPr="007719C2">
        <w:rPr>
          <w:szCs w:val="20"/>
        </w:rPr>
        <w:t>Defects or disruptions in our planned cloud-based New CRM Platform and New Cannabis CRM Platform services could diminish demand for our services and subject us to substantial liability.</w:t>
      </w:r>
    </w:p>
    <w:p w:rsidR="005D6337" w:rsidRPr="007719C2" w:rsidRDefault="005D6337" w:rsidP="007719C2">
      <w:pPr>
        <w:pStyle w:val="ListParagraph"/>
        <w:widowControl/>
        <w:autoSpaceDE/>
        <w:autoSpaceDN/>
        <w:adjustRightInd/>
        <w:ind w:left="770"/>
        <w:jc w:val="both"/>
        <w:rPr>
          <w:szCs w:val="20"/>
        </w:rPr>
      </w:pPr>
    </w:p>
    <w:p w:rsidR="005D6337" w:rsidRPr="007719C2" w:rsidRDefault="005D6337" w:rsidP="007719C2">
      <w:pPr>
        <w:pStyle w:val="ListParagraph"/>
        <w:widowControl/>
        <w:numPr>
          <w:ilvl w:val="0"/>
          <w:numId w:val="8"/>
        </w:numPr>
        <w:autoSpaceDE/>
        <w:autoSpaceDN/>
        <w:adjustRightInd/>
        <w:jc w:val="both"/>
        <w:rPr>
          <w:szCs w:val="20"/>
        </w:rPr>
      </w:pPr>
      <w:r w:rsidRPr="007719C2">
        <w:rPr>
          <w:szCs w:val="20"/>
        </w:rPr>
        <w:t>Interruptions or delays in service from our third-party data center hosting facilities could impair the delivery of our service and harm our business.</w:t>
      </w:r>
    </w:p>
    <w:p w:rsidR="005D6337" w:rsidRPr="007719C2" w:rsidRDefault="005D6337" w:rsidP="007719C2">
      <w:pPr>
        <w:pStyle w:val="ListParagraph"/>
        <w:widowControl/>
        <w:autoSpaceDE/>
        <w:autoSpaceDN/>
        <w:adjustRightInd/>
        <w:ind w:left="770"/>
        <w:jc w:val="both"/>
        <w:rPr>
          <w:szCs w:val="20"/>
        </w:rPr>
      </w:pPr>
    </w:p>
    <w:p w:rsidR="005D6337" w:rsidRPr="007719C2" w:rsidRDefault="005D6337" w:rsidP="007719C2">
      <w:pPr>
        <w:pStyle w:val="ListParagraph"/>
        <w:widowControl/>
        <w:numPr>
          <w:ilvl w:val="0"/>
          <w:numId w:val="8"/>
        </w:numPr>
        <w:autoSpaceDE/>
        <w:autoSpaceDN/>
        <w:adjustRightInd/>
        <w:jc w:val="both"/>
        <w:rPr>
          <w:szCs w:val="20"/>
        </w:rPr>
      </w:pPr>
      <w:r w:rsidRPr="007719C2">
        <w:rPr>
          <w:szCs w:val="20"/>
        </w:rPr>
        <w:t>If we experience significant fluctuations in our rate of anticipated growth and fail to balance our expenses with our revenue forecasts, our results could be harmed.</w:t>
      </w:r>
    </w:p>
    <w:p w:rsidR="005D6337" w:rsidRPr="007719C2" w:rsidRDefault="005D6337" w:rsidP="007719C2">
      <w:pPr>
        <w:pStyle w:val="ListParagraph"/>
        <w:widowControl/>
        <w:autoSpaceDE/>
        <w:autoSpaceDN/>
        <w:adjustRightInd/>
        <w:ind w:left="770"/>
        <w:jc w:val="both"/>
        <w:rPr>
          <w:szCs w:val="20"/>
        </w:rPr>
      </w:pPr>
    </w:p>
    <w:p w:rsidR="005D6337" w:rsidRPr="007719C2" w:rsidRDefault="005D6337" w:rsidP="007719C2">
      <w:pPr>
        <w:pStyle w:val="ListParagraph"/>
        <w:widowControl/>
        <w:numPr>
          <w:ilvl w:val="0"/>
          <w:numId w:val="8"/>
        </w:numPr>
        <w:autoSpaceDE/>
        <w:autoSpaceDN/>
        <w:adjustRightInd/>
        <w:jc w:val="both"/>
        <w:rPr>
          <w:szCs w:val="20"/>
        </w:rPr>
      </w:pPr>
      <w:r w:rsidRPr="007719C2">
        <w:rPr>
          <w:szCs w:val="20"/>
        </w:rPr>
        <w:t>We may in the future be sued by third parties for alleged infringement of their proprietary rights.</w:t>
      </w:r>
    </w:p>
    <w:p w:rsidR="005D6337" w:rsidRPr="007719C2" w:rsidRDefault="005D6337" w:rsidP="007719C2">
      <w:pPr>
        <w:pStyle w:val="ListParagraph"/>
        <w:widowControl/>
        <w:autoSpaceDE/>
        <w:autoSpaceDN/>
        <w:adjustRightInd/>
        <w:ind w:left="770"/>
        <w:jc w:val="both"/>
        <w:rPr>
          <w:szCs w:val="20"/>
        </w:rPr>
      </w:pPr>
    </w:p>
    <w:p w:rsidR="005D6337" w:rsidRPr="007719C2" w:rsidRDefault="005D6337" w:rsidP="007719C2">
      <w:pPr>
        <w:pStyle w:val="ListParagraph"/>
        <w:widowControl/>
        <w:numPr>
          <w:ilvl w:val="0"/>
          <w:numId w:val="8"/>
        </w:numPr>
        <w:autoSpaceDE/>
        <w:autoSpaceDN/>
        <w:adjustRightInd/>
        <w:jc w:val="both"/>
        <w:rPr>
          <w:szCs w:val="20"/>
        </w:rPr>
      </w:pPr>
      <w:r w:rsidRPr="007719C2">
        <w:rPr>
          <w:szCs w:val="20"/>
        </w:rPr>
        <w:t>We will rely on third-party computer hardware and software that may be difficult to replace or which could cause errors or failures of our service.</w:t>
      </w:r>
    </w:p>
    <w:p w:rsidR="005D6337" w:rsidRPr="007719C2" w:rsidRDefault="005D6337" w:rsidP="007719C2">
      <w:pPr>
        <w:pStyle w:val="ListParagraph"/>
        <w:widowControl/>
        <w:autoSpaceDE/>
        <w:autoSpaceDN/>
        <w:adjustRightInd/>
        <w:ind w:left="770"/>
        <w:jc w:val="both"/>
        <w:rPr>
          <w:szCs w:val="20"/>
        </w:rPr>
      </w:pPr>
    </w:p>
    <w:p w:rsidR="00E82887" w:rsidRDefault="005D6337" w:rsidP="008B24B8">
      <w:pPr>
        <w:pStyle w:val="ListParagraph"/>
        <w:widowControl/>
        <w:numPr>
          <w:ilvl w:val="0"/>
          <w:numId w:val="8"/>
        </w:numPr>
        <w:autoSpaceDE/>
        <w:autoSpaceDN/>
        <w:adjustRightInd/>
        <w:jc w:val="both"/>
        <w:rPr>
          <w:szCs w:val="20"/>
        </w:rPr>
      </w:pPr>
      <w:r w:rsidRPr="00E82887">
        <w:rPr>
          <w:szCs w:val="20"/>
        </w:rPr>
        <w:t>The market for our technology delivery model and enterprise cloud computing application services is immature and volatile, and if it develops more slowly than we expect, our business could be harmed.</w:t>
      </w:r>
      <w:r w:rsidR="005719DB" w:rsidRPr="00E82887">
        <w:rPr>
          <w:szCs w:val="20"/>
        </w:rPr>
        <w:t xml:space="preserve"> </w:t>
      </w:r>
    </w:p>
    <w:p w:rsidR="00E82887" w:rsidRPr="00E82887" w:rsidRDefault="00E82887" w:rsidP="00E82887">
      <w:pPr>
        <w:pStyle w:val="ListParagraph"/>
        <w:rPr>
          <w:szCs w:val="20"/>
        </w:rPr>
      </w:pPr>
    </w:p>
    <w:p w:rsidR="005D6337" w:rsidRPr="00E82887" w:rsidRDefault="005D6337" w:rsidP="008B24B8">
      <w:pPr>
        <w:pStyle w:val="ListParagraph"/>
        <w:widowControl/>
        <w:numPr>
          <w:ilvl w:val="0"/>
          <w:numId w:val="8"/>
        </w:numPr>
        <w:autoSpaceDE/>
        <w:autoSpaceDN/>
        <w:adjustRightInd/>
        <w:jc w:val="both"/>
        <w:rPr>
          <w:szCs w:val="20"/>
        </w:rPr>
      </w:pPr>
      <w:r w:rsidRPr="00E82887">
        <w:rPr>
          <w:szCs w:val="20"/>
        </w:rPr>
        <w:t xml:space="preserve">We are dependent on one of </w:t>
      </w:r>
      <w:proofErr w:type="gramStart"/>
      <w:r w:rsidRPr="00E82887">
        <w:rPr>
          <w:szCs w:val="20"/>
        </w:rPr>
        <w:t>our</w:t>
      </w:r>
      <w:proofErr w:type="gramEnd"/>
      <w:r w:rsidRPr="00E82887">
        <w:rPr>
          <w:szCs w:val="20"/>
        </w:rPr>
        <w:t xml:space="preserve"> of clients for the majority of our current revenues and any changes to that relationship could have a significant impact on our current revenues.</w:t>
      </w:r>
    </w:p>
    <w:p w:rsidR="005D6337" w:rsidRPr="007719C2" w:rsidRDefault="005D6337" w:rsidP="007719C2">
      <w:pPr>
        <w:spacing w:after="0"/>
        <w:jc w:val="both"/>
        <w:rPr>
          <w:b/>
          <w:bCs/>
          <w:i/>
          <w:sz w:val="20"/>
          <w:szCs w:val="20"/>
        </w:rPr>
      </w:pPr>
    </w:p>
    <w:p w:rsidR="00602F55" w:rsidRDefault="005D6337" w:rsidP="007719C2">
      <w:pPr>
        <w:spacing w:after="0"/>
        <w:jc w:val="both"/>
        <w:rPr>
          <w:b/>
          <w:bCs/>
          <w:i/>
          <w:sz w:val="20"/>
          <w:szCs w:val="20"/>
        </w:rPr>
      </w:pPr>
      <w:r w:rsidRPr="007719C2">
        <w:rPr>
          <w:b/>
          <w:bCs/>
          <w:i/>
          <w:sz w:val="20"/>
          <w:szCs w:val="20"/>
        </w:rPr>
        <w:t xml:space="preserve">Business Risks </w:t>
      </w:r>
      <w:r w:rsidR="007719C2">
        <w:rPr>
          <w:b/>
          <w:bCs/>
          <w:i/>
          <w:sz w:val="20"/>
          <w:szCs w:val="20"/>
        </w:rPr>
        <w:t xml:space="preserve">relating to our proposed </w:t>
      </w:r>
      <w:r w:rsidRPr="007719C2">
        <w:rPr>
          <w:b/>
          <w:bCs/>
          <w:i/>
          <w:sz w:val="20"/>
          <w:szCs w:val="20"/>
        </w:rPr>
        <w:t>Cannabis Business</w:t>
      </w:r>
    </w:p>
    <w:p w:rsidR="007719C2" w:rsidRPr="007719C2" w:rsidRDefault="007719C2" w:rsidP="007719C2">
      <w:pPr>
        <w:spacing w:after="0"/>
        <w:jc w:val="both"/>
        <w:rPr>
          <w:b/>
          <w:bCs/>
          <w:i/>
          <w:sz w:val="20"/>
          <w:szCs w:val="20"/>
        </w:rPr>
      </w:pPr>
    </w:p>
    <w:p w:rsidR="00561936" w:rsidRPr="007719C2" w:rsidRDefault="00561936" w:rsidP="007719C2">
      <w:pPr>
        <w:pStyle w:val="ListParagraph"/>
        <w:widowControl/>
        <w:numPr>
          <w:ilvl w:val="0"/>
          <w:numId w:val="8"/>
        </w:numPr>
        <w:autoSpaceDE/>
        <w:autoSpaceDN/>
        <w:adjustRightInd/>
        <w:jc w:val="both"/>
        <w:rPr>
          <w:szCs w:val="20"/>
        </w:rPr>
      </w:pPr>
      <w:r w:rsidRPr="007719C2">
        <w:rPr>
          <w:szCs w:val="20"/>
        </w:rPr>
        <w:t>The Company does not yet have sufficient financial resources to construct the Cannabis Farm and there is no guarantee that we will be able to raise the necessary capital, either through debt or equity financing, or in either case, on favorable terms.</w:t>
      </w:r>
    </w:p>
    <w:p w:rsidR="00561936" w:rsidRPr="007719C2" w:rsidRDefault="00561936" w:rsidP="007719C2">
      <w:pPr>
        <w:pStyle w:val="ListParagraph"/>
        <w:widowControl/>
        <w:autoSpaceDE/>
        <w:autoSpaceDN/>
        <w:adjustRightInd/>
        <w:ind w:left="770" w:firstLine="45"/>
        <w:jc w:val="both"/>
        <w:rPr>
          <w:szCs w:val="20"/>
        </w:rPr>
      </w:pPr>
    </w:p>
    <w:p w:rsidR="00602F55" w:rsidRPr="007719C2" w:rsidRDefault="005D6337" w:rsidP="007719C2">
      <w:pPr>
        <w:pStyle w:val="ListParagraph"/>
        <w:widowControl/>
        <w:numPr>
          <w:ilvl w:val="0"/>
          <w:numId w:val="8"/>
        </w:numPr>
        <w:autoSpaceDE/>
        <w:autoSpaceDN/>
        <w:adjustRightInd/>
        <w:jc w:val="both"/>
        <w:rPr>
          <w:szCs w:val="20"/>
        </w:rPr>
      </w:pPr>
      <w:r w:rsidRPr="007719C2">
        <w:rPr>
          <w:szCs w:val="20"/>
        </w:rPr>
        <w:t xml:space="preserve">Our </w:t>
      </w:r>
      <w:r w:rsidR="002D3BA0" w:rsidRPr="007719C2">
        <w:rPr>
          <w:szCs w:val="20"/>
        </w:rPr>
        <w:t>C</w:t>
      </w:r>
      <w:r w:rsidR="00602F55" w:rsidRPr="007719C2">
        <w:rPr>
          <w:szCs w:val="20"/>
        </w:rPr>
        <w:t xml:space="preserve">annabis </w:t>
      </w:r>
      <w:r w:rsidR="002D3BA0" w:rsidRPr="007719C2">
        <w:rPr>
          <w:szCs w:val="20"/>
        </w:rPr>
        <w:t xml:space="preserve">Farm </w:t>
      </w:r>
      <w:r w:rsidR="00602F55" w:rsidRPr="007719C2">
        <w:rPr>
          <w:szCs w:val="20"/>
        </w:rPr>
        <w:t xml:space="preserve">business will be dependent on our obtaining certain </w:t>
      </w:r>
      <w:r w:rsidR="00602F55" w:rsidRPr="00674D8B">
        <w:rPr>
          <w:szCs w:val="20"/>
          <w:lang w:val="en-CA"/>
        </w:rPr>
        <w:t>licences</w:t>
      </w:r>
      <w:r w:rsidR="00602F55" w:rsidRPr="007719C2">
        <w:rPr>
          <w:szCs w:val="20"/>
        </w:rPr>
        <w:t xml:space="preserve"> and certain GSP and GAP good practice certifications, which if not maintained in good standing, may prevent us from being able to carry on or expand our operations.</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 xml:space="preserve">We </w:t>
      </w:r>
      <w:r w:rsidR="003A17C1" w:rsidRPr="007719C2">
        <w:rPr>
          <w:szCs w:val="20"/>
        </w:rPr>
        <w:t xml:space="preserve">will </w:t>
      </w:r>
      <w:r w:rsidRPr="007719C2">
        <w:rPr>
          <w:szCs w:val="20"/>
        </w:rPr>
        <w:t>face risks inherent in an agricultural business, and an inability to grow crops successfully will interrupt our business activities</w:t>
      </w:r>
      <w:r w:rsidR="005D6337" w:rsidRPr="007719C2">
        <w:rPr>
          <w:szCs w:val="20"/>
        </w:rPr>
        <w:t>.</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 xml:space="preserve">We will be relying on one key </w:t>
      </w:r>
      <w:r w:rsidR="005D6337" w:rsidRPr="007719C2">
        <w:rPr>
          <w:szCs w:val="20"/>
        </w:rPr>
        <w:t xml:space="preserve">production </w:t>
      </w:r>
      <w:r w:rsidRPr="007719C2">
        <w:rPr>
          <w:szCs w:val="20"/>
        </w:rPr>
        <w:t>facility, and disruption of operations at this facility could significantly interfere with our ability to continue our product testing, development and production activities.</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 xml:space="preserve">We </w:t>
      </w:r>
      <w:r w:rsidR="005D6337" w:rsidRPr="007719C2">
        <w:rPr>
          <w:szCs w:val="20"/>
        </w:rPr>
        <w:t xml:space="preserve">will </w:t>
      </w:r>
      <w:r w:rsidRPr="007719C2">
        <w:rPr>
          <w:szCs w:val="20"/>
        </w:rPr>
        <w:t xml:space="preserve">rely on key components of our production and distribution process, such as energy and third-party producers and distributors, and a disruption in the availability of those key components, or in increase in their cost, could adversely impact our business. </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Manufacturing difficulties, disruptions or delays could limit supply of our products and limit our product sales. Producing cannabis products is difficult, complex and highly regulated.</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We are subject to environmental, health and safety regulations and risks, which may subject us to liability under environmental laws.</w:t>
      </w:r>
    </w:p>
    <w:p w:rsidR="002D3BA0" w:rsidRPr="007719C2" w:rsidRDefault="002D3BA0" w:rsidP="007719C2">
      <w:pPr>
        <w:pStyle w:val="ListParagraph"/>
        <w:widowControl/>
        <w:autoSpaceDE/>
        <w:autoSpaceDN/>
        <w:adjustRightInd/>
        <w:ind w:left="770"/>
        <w:jc w:val="both"/>
        <w:rPr>
          <w:szCs w:val="20"/>
        </w:rPr>
      </w:pPr>
    </w:p>
    <w:p w:rsidR="00602F55" w:rsidRPr="000A0014" w:rsidRDefault="00602F55" w:rsidP="007719C2">
      <w:pPr>
        <w:pStyle w:val="ListParagraph"/>
        <w:widowControl/>
        <w:numPr>
          <w:ilvl w:val="0"/>
          <w:numId w:val="8"/>
        </w:numPr>
        <w:autoSpaceDE/>
        <w:autoSpaceDN/>
        <w:adjustRightInd/>
        <w:jc w:val="both"/>
        <w:rPr>
          <w:szCs w:val="20"/>
        </w:rPr>
      </w:pPr>
      <w:r w:rsidRPr="007719C2">
        <w:rPr>
          <w:szCs w:val="20"/>
        </w:rPr>
        <w:t xml:space="preserve">We are dependent on the success of our quality control systems, which may fail, and cause a disruption of </w:t>
      </w:r>
      <w:r w:rsidRPr="000A0014">
        <w:rPr>
          <w:szCs w:val="20"/>
        </w:rPr>
        <w:t>our business and operations.</w:t>
      </w:r>
    </w:p>
    <w:p w:rsidR="002D3BA0" w:rsidRPr="000A0014" w:rsidRDefault="002D3BA0" w:rsidP="007719C2">
      <w:pPr>
        <w:pStyle w:val="ListParagraph"/>
        <w:widowControl/>
        <w:autoSpaceDE/>
        <w:autoSpaceDN/>
        <w:adjustRightInd/>
        <w:ind w:left="770"/>
        <w:jc w:val="both"/>
        <w:rPr>
          <w:szCs w:val="20"/>
        </w:rPr>
      </w:pPr>
    </w:p>
    <w:p w:rsidR="00A87EA1" w:rsidRPr="000A0014" w:rsidRDefault="00602F55" w:rsidP="00A87EA1">
      <w:pPr>
        <w:pStyle w:val="ListParagraph"/>
        <w:widowControl/>
        <w:numPr>
          <w:ilvl w:val="0"/>
          <w:numId w:val="8"/>
        </w:numPr>
        <w:autoSpaceDE/>
        <w:autoSpaceDN/>
        <w:adjustRightInd/>
        <w:jc w:val="both"/>
        <w:rPr>
          <w:szCs w:val="20"/>
        </w:rPr>
      </w:pPr>
      <w:r w:rsidRPr="000A0014">
        <w:rPr>
          <w:szCs w:val="20"/>
        </w:rPr>
        <w:t>The success of our branded cannabis products business will depend on the success of the cannabis product candidates we develop. To date, we have not developed any cannabis products, and we do not expect to generate revenue from any cannabis products that we develop</w:t>
      </w:r>
      <w:r w:rsidR="00A87EA1" w:rsidRPr="000A0014">
        <w:rPr>
          <w:szCs w:val="20"/>
        </w:rPr>
        <w:t xml:space="preserve"> until at least Q3 2022.</w:t>
      </w:r>
    </w:p>
    <w:p w:rsidR="00A87EA1" w:rsidRPr="00A87EA1" w:rsidRDefault="00A87EA1" w:rsidP="00A87EA1">
      <w:pPr>
        <w:pStyle w:val="ListParagraph"/>
        <w:rPr>
          <w:szCs w:val="20"/>
        </w:rPr>
      </w:pPr>
    </w:p>
    <w:p w:rsidR="00602F55" w:rsidRPr="007719C2" w:rsidRDefault="00602F55" w:rsidP="00A87EA1">
      <w:pPr>
        <w:pStyle w:val="ListParagraph"/>
        <w:widowControl/>
        <w:numPr>
          <w:ilvl w:val="0"/>
          <w:numId w:val="8"/>
        </w:numPr>
        <w:autoSpaceDE/>
        <w:autoSpaceDN/>
        <w:adjustRightInd/>
        <w:jc w:val="both"/>
        <w:rPr>
          <w:szCs w:val="20"/>
        </w:rPr>
      </w:pPr>
      <w:r w:rsidRPr="007719C2">
        <w:rPr>
          <w:szCs w:val="20"/>
        </w:rPr>
        <w:t>Unfavorable publicity or unfavorable consumer perception of us or cannabis generally may constrain our sales and revenue.</w:t>
      </w:r>
    </w:p>
    <w:p w:rsidR="007719C2" w:rsidRPr="007719C2" w:rsidRDefault="007719C2" w:rsidP="007719C2">
      <w:pPr>
        <w:pStyle w:val="ListParagraph"/>
        <w:widowControl/>
        <w:autoSpaceDE/>
        <w:autoSpaceDN/>
        <w:adjustRightInd/>
        <w:jc w:val="both"/>
        <w:rPr>
          <w:szCs w:val="20"/>
        </w:rPr>
      </w:pPr>
    </w:p>
    <w:p w:rsidR="002D3BA0" w:rsidRPr="007719C2" w:rsidRDefault="007719C2" w:rsidP="007719C2">
      <w:pPr>
        <w:spacing w:after="0"/>
        <w:jc w:val="both"/>
        <w:rPr>
          <w:b/>
          <w:i/>
          <w:sz w:val="20"/>
          <w:szCs w:val="20"/>
        </w:rPr>
      </w:pPr>
      <w:r w:rsidRPr="007719C2">
        <w:rPr>
          <w:b/>
          <w:i/>
          <w:sz w:val="20"/>
          <w:szCs w:val="20"/>
        </w:rPr>
        <w:t>General Business Risks</w:t>
      </w:r>
    </w:p>
    <w:p w:rsidR="007719C2" w:rsidRPr="007719C2" w:rsidRDefault="007719C2" w:rsidP="007719C2">
      <w:pPr>
        <w:spacing w:after="0"/>
        <w:jc w:val="both"/>
        <w:rPr>
          <w:sz w:val="20"/>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We face the risk of exposure to product liability claims, regulatory action and litigation if our products cause loss or injury.</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We may not be able to obtain insurance coverage for all of the risks we face, exposing us to potential uninsured liabilities.</w:t>
      </w:r>
    </w:p>
    <w:p w:rsidR="002D3BA0" w:rsidRPr="007719C2" w:rsidRDefault="002D3BA0" w:rsidP="007719C2">
      <w:pPr>
        <w:pStyle w:val="ListParagraph"/>
        <w:widowControl/>
        <w:autoSpaceDE/>
        <w:autoSpaceDN/>
        <w:adjustRightInd/>
        <w:ind w:left="770"/>
        <w:jc w:val="both"/>
        <w:rPr>
          <w:szCs w:val="20"/>
        </w:rPr>
      </w:pPr>
    </w:p>
    <w:p w:rsidR="00602F55" w:rsidRPr="007719C2" w:rsidRDefault="00602F55" w:rsidP="007719C2">
      <w:pPr>
        <w:pStyle w:val="ListParagraph"/>
        <w:widowControl/>
        <w:numPr>
          <w:ilvl w:val="0"/>
          <w:numId w:val="8"/>
        </w:numPr>
        <w:autoSpaceDE/>
        <w:autoSpaceDN/>
        <w:adjustRightInd/>
        <w:jc w:val="both"/>
        <w:rPr>
          <w:szCs w:val="20"/>
        </w:rPr>
      </w:pPr>
      <w:r w:rsidRPr="007719C2">
        <w:rPr>
          <w:szCs w:val="20"/>
        </w:rPr>
        <w:t>If any of the products that we produce or intend to produce are recalled due to an alleged product defect or for any other reason, we could be required to incur the unexpected expense of the recall and any legal proceedings that might arise in connection with the recall.</w:t>
      </w:r>
    </w:p>
    <w:p w:rsidR="002D3BA0" w:rsidRPr="002D3BA0" w:rsidRDefault="002D3BA0" w:rsidP="002D3BA0">
      <w:pPr>
        <w:pStyle w:val="ListParagraph"/>
        <w:widowControl/>
        <w:autoSpaceDE/>
        <w:autoSpaceDN/>
        <w:adjustRightInd/>
        <w:ind w:left="770"/>
        <w:jc w:val="both"/>
        <w:rPr>
          <w:szCs w:val="20"/>
        </w:rPr>
      </w:pPr>
    </w:p>
    <w:p w:rsidR="00602F55" w:rsidRPr="00B4333E" w:rsidRDefault="00602F55" w:rsidP="00B4333E">
      <w:pPr>
        <w:spacing w:after="0"/>
        <w:jc w:val="both"/>
        <w:rPr>
          <w:b/>
          <w:sz w:val="20"/>
          <w:szCs w:val="20"/>
          <w:u w:val="single"/>
        </w:rPr>
      </w:pPr>
      <w:r w:rsidRPr="00B4333E">
        <w:rPr>
          <w:b/>
          <w:sz w:val="20"/>
          <w:szCs w:val="20"/>
          <w:u w:val="single"/>
        </w:rPr>
        <w:t>OTHER MATTERS</w:t>
      </w:r>
    </w:p>
    <w:p w:rsidR="007719C2" w:rsidRDefault="007719C2" w:rsidP="00B4333E">
      <w:pPr>
        <w:spacing w:after="0"/>
        <w:jc w:val="both"/>
        <w:rPr>
          <w:b/>
          <w:sz w:val="20"/>
          <w:szCs w:val="20"/>
        </w:rPr>
      </w:pPr>
    </w:p>
    <w:p w:rsidR="00602F55" w:rsidRPr="00006B5F" w:rsidRDefault="00602F55" w:rsidP="00B4333E">
      <w:pPr>
        <w:spacing w:after="0"/>
        <w:jc w:val="both"/>
        <w:rPr>
          <w:b/>
          <w:i/>
          <w:sz w:val="20"/>
          <w:szCs w:val="20"/>
        </w:rPr>
      </w:pPr>
      <w:r w:rsidRPr="00006B5F">
        <w:rPr>
          <w:b/>
          <w:i/>
          <w:sz w:val="20"/>
          <w:szCs w:val="20"/>
        </w:rPr>
        <w:t xml:space="preserve">Legal </w:t>
      </w:r>
      <w:r w:rsidR="00006B5F">
        <w:rPr>
          <w:b/>
          <w:i/>
          <w:sz w:val="20"/>
          <w:szCs w:val="20"/>
        </w:rPr>
        <w:t>P</w:t>
      </w:r>
      <w:r w:rsidRPr="00006B5F">
        <w:rPr>
          <w:b/>
          <w:i/>
          <w:sz w:val="20"/>
          <w:szCs w:val="20"/>
        </w:rPr>
        <w:t xml:space="preserve">roceedings </w:t>
      </w:r>
    </w:p>
    <w:p w:rsidR="00006B5F" w:rsidRPr="00B4333E" w:rsidRDefault="00006B5F" w:rsidP="00B4333E">
      <w:pPr>
        <w:spacing w:after="0"/>
        <w:jc w:val="both"/>
        <w:rPr>
          <w:b/>
          <w:sz w:val="20"/>
          <w:szCs w:val="20"/>
        </w:rPr>
      </w:pPr>
    </w:p>
    <w:p w:rsidR="00602F55" w:rsidRPr="00B4333E" w:rsidRDefault="00602F55" w:rsidP="00B4333E">
      <w:pPr>
        <w:spacing w:after="0"/>
        <w:jc w:val="both"/>
        <w:rPr>
          <w:sz w:val="20"/>
          <w:szCs w:val="20"/>
        </w:rPr>
      </w:pPr>
      <w:r w:rsidRPr="00B4333E">
        <w:rPr>
          <w:sz w:val="20"/>
          <w:szCs w:val="20"/>
        </w:rPr>
        <w:t xml:space="preserve">There are no ongoing legal proceedings of any kind initiated by the Company or by third parties against the Company. </w:t>
      </w:r>
    </w:p>
    <w:p w:rsidR="007719C2" w:rsidRDefault="007719C2" w:rsidP="00B4333E">
      <w:pPr>
        <w:spacing w:after="0"/>
        <w:jc w:val="both"/>
        <w:rPr>
          <w:b/>
          <w:sz w:val="20"/>
          <w:szCs w:val="20"/>
        </w:rPr>
      </w:pPr>
    </w:p>
    <w:p w:rsidR="00602F55" w:rsidRPr="00006B5F" w:rsidRDefault="00602F55" w:rsidP="00B4333E">
      <w:pPr>
        <w:spacing w:after="0"/>
        <w:jc w:val="both"/>
        <w:rPr>
          <w:b/>
          <w:i/>
          <w:sz w:val="20"/>
          <w:szCs w:val="20"/>
        </w:rPr>
      </w:pPr>
      <w:r w:rsidRPr="00006B5F">
        <w:rPr>
          <w:b/>
          <w:i/>
          <w:sz w:val="20"/>
          <w:szCs w:val="20"/>
        </w:rPr>
        <w:t xml:space="preserve">Contingent </w:t>
      </w:r>
      <w:r w:rsidR="00006B5F">
        <w:rPr>
          <w:b/>
          <w:i/>
          <w:sz w:val="20"/>
          <w:szCs w:val="20"/>
        </w:rPr>
        <w:t>L</w:t>
      </w:r>
      <w:r w:rsidRPr="00006B5F">
        <w:rPr>
          <w:b/>
          <w:i/>
          <w:sz w:val="20"/>
          <w:szCs w:val="20"/>
        </w:rPr>
        <w:t xml:space="preserve">iabilities </w:t>
      </w:r>
    </w:p>
    <w:p w:rsidR="007719C2" w:rsidRDefault="007719C2"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 xml:space="preserve">At the date of MD&amp;A, management was unaware of any outstanding contingent liability relating to the Company’s activities. </w:t>
      </w:r>
    </w:p>
    <w:p w:rsidR="007719C2" w:rsidRDefault="007719C2" w:rsidP="00B4333E">
      <w:pPr>
        <w:spacing w:after="0"/>
        <w:jc w:val="both"/>
        <w:rPr>
          <w:b/>
          <w:sz w:val="20"/>
          <w:szCs w:val="20"/>
        </w:rPr>
      </w:pPr>
    </w:p>
    <w:p w:rsidR="00006B5F" w:rsidRDefault="00602F55" w:rsidP="00006B5F">
      <w:pPr>
        <w:keepNext/>
        <w:spacing w:after="0"/>
        <w:jc w:val="both"/>
        <w:rPr>
          <w:b/>
          <w:sz w:val="20"/>
          <w:szCs w:val="20"/>
        </w:rPr>
      </w:pPr>
      <w:r w:rsidRPr="00B4333E">
        <w:rPr>
          <w:b/>
          <w:sz w:val="20"/>
          <w:szCs w:val="20"/>
        </w:rPr>
        <w:t>Disclosure Controls and Procedures</w:t>
      </w:r>
    </w:p>
    <w:p w:rsidR="00602F55" w:rsidRPr="00B4333E" w:rsidRDefault="00602F55" w:rsidP="00006B5F">
      <w:pPr>
        <w:keepNext/>
        <w:spacing w:after="0"/>
        <w:jc w:val="both"/>
        <w:rPr>
          <w:b/>
          <w:sz w:val="20"/>
          <w:szCs w:val="20"/>
        </w:rPr>
      </w:pPr>
      <w:r w:rsidRPr="00B4333E">
        <w:rPr>
          <w:b/>
          <w:sz w:val="20"/>
          <w:szCs w:val="20"/>
        </w:rPr>
        <w:t xml:space="preserve"> </w:t>
      </w:r>
    </w:p>
    <w:p w:rsidR="00602F55" w:rsidRPr="00B4333E" w:rsidRDefault="00602F55" w:rsidP="00006B5F">
      <w:pPr>
        <w:keepNext/>
        <w:spacing w:after="0"/>
        <w:jc w:val="both"/>
        <w:rPr>
          <w:sz w:val="20"/>
          <w:szCs w:val="20"/>
        </w:rPr>
      </w:pPr>
      <w:r w:rsidRPr="00B4333E">
        <w:rPr>
          <w:sz w:val="20"/>
          <w:szCs w:val="20"/>
        </w:rPr>
        <w:t xml:space="preserve">The Company’s directors and officers are responsible for designing internal controls over financial reporting in order to provide reasonable assurance regarding the reliability of financial reporting and the preparation of the Company’s financial statements for external purposes in accordance with IFRS. The design of the Company’s internal control over financial reporting was assessed as of the date of this MD&amp;A. </w:t>
      </w:r>
    </w:p>
    <w:p w:rsidR="007719C2" w:rsidRDefault="007719C2" w:rsidP="00B4333E">
      <w:pPr>
        <w:spacing w:after="0"/>
        <w:jc w:val="both"/>
        <w:rPr>
          <w:sz w:val="20"/>
          <w:szCs w:val="20"/>
        </w:rPr>
      </w:pPr>
    </w:p>
    <w:p w:rsidR="00602F55" w:rsidRDefault="00602F55" w:rsidP="00B4333E">
      <w:pPr>
        <w:spacing w:after="0"/>
        <w:jc w:val="both"/>
        <w:rPr>
          <w:sz w:val="20"/>
          <w:szCs w:val="20"/>
        </w:rPr>
      </w:pPr>
      <w:r w:rsidRPr="00B4333E">
        <w:rPr>
          <w:sz w:val="20"/>
          <w:szCs w:val="20"/>
        </w:rPr>
        <w:t xml:space="preserve">Based on this assessment, it was determined that certain weaknesses existed in internal controls over financial reporting. As indicative of many small companies, the lack of segregation of duties and effective risk assessment were identified as areas where weaknesses existed. The existence of these weaknesses is to be compensated for by senior management monitoring, which exists. The officers will continue to monitor very closely all financial activities of the Company and increase the level of supervision in key areas. It is important to note that this issue would also require the Company to hire additional staff in order to provide greater segregation of duties. Since the increased costs of such hiring could threaten the Company’s financial viability, management has chosen to disclose the potential risk in its filings and proceed with increased staffing only when the budgets and work load will enable the action.  </w:t>
      </w:r>
    </w:p>
    <w:p w:rsidR="007719C2" w:rsidRPr="00B4333E" w:rsidRDefault="007719C2"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The Company has attempted to mitigate these weaknesses, through a combination of extensive and detailed review by the Company’s directors and officers, of the financial reports, the integrity and reputation of accounting personnel, and candid discussion of those risks.</w:t>
      </w:r>
    </w:p>
    <w:p w:rsidR="00006B5F" w:rsidRDefault="00006B5F" w:rsidP="00006B5F">
      <w:pPr>
        <w:keepNext/>
        <w:spacing w:after="0"/>
        <w:jc w:val="both"/>
        <w:rPr>
          <w:b/>
          <w:bCs/>
          <w:sz w:val="20"/>
          <w:szCs w:val="20"/>
          <w:u w:val="single"/>
          <w:lang w:bidi="he-IL"/>
        </w:rPr>
      </w:pPr>
    </w:p>
    <w:p w:rsidR="00006B5F" w:rsidRPr="0085422F" w:rsidRDefault="00006B5F" w:rsidP="00006B5F">
      <w:pPr>
        <w:keepNext/>
        <w:spacing w:after="0"/>
        <w:jc w:val="both"/>
        <w:rPr>
          <w:b/>
          <w:bCs/>
          <w:sz w:val="20"/>
          <w:szCs w:val="20"/>
          <w:u w:val="single"/>
          <w:lang w:bidi="he-IL"/>
        </w:rPr>
      </w:pPr>
      <w:r w:rsidRPr="0085422F">
        <w:rPr>
          <w:b/>
          <w:bCs/>
          <w:sz w:val="20"/>
          <w:szCs w:val="20"/>
          <w:u w:val="single"/>
          <w:lang w:bidi="he-IL"/>
        </w:rPr>
        <w:t>DISCLAIMER</w:t>
      </w:r>
    </w:p>
    <w:p w:rsidR="00006B5F" w:rsidRPr="0085422F" w:rsidRDefault="00006B5F" w:rsidP="00006B5F">
      <w:pPr>
        <w:keepNext/>
        <w:spacing w:after="0"/>
        <w:jc w:val="both"/>
        <w:rPr>
          <w:bCs/>
          <w:sz w:val="20"/>
          <w:szCs w:val="20"/>
        </w:rPr>
      </w:pPr>
    </w:p>
    <w:p w:rsidR="00006B5F" w:rsidRPr="0085422F" w:rsidRDefault="00006B5F" w:rsidP="00006B5F">
      <w:pPr>
        <w:keepNext/>
        <w:spacing w:after="0"/>
        <w:jc w:val="both"/>
        <w:rPr>
          <w:bCs/>
          <w:sz w:val="20"/>
          <w:szCs w:val="20"/>
        </w:rPr>
      </w:pPr>
      <w:r w:rsidRPr="0085422F">
        <w:rPr>
          <w:bCs/>
          <w:sz w:val="20"/>
          <w:szCs w:val="20"/>
        </w:rPr>
        <w:t>The information provided in this document is not intended to be a comprehensive review of all matters concerning the Company. The users of this information, including but not limited to investors and prospective investors, should read it in conjunction with all other disclosure documents provided</w:t>
      </w:r>
      <w:r>
        <w:rPr>
          <w:bCs/>
          <w:sz w:val="20"/>
          <w:szCs w:val="20"/>
        </w:rPr>
        <w:t xml:space="preserve"> by the Company from time to time</w:t>
      </w:r>
      <w:r w:rsidRPr="0085422F">
        <w:rPr>
          <w:bCs/>
          <w:sz w:val="20"/>
          <w:szCs w:val="20"/>
        </w:rPr>
        <w:t>.</w:t>
      </w:r>
    </w:p>
    <w:p w:rsidR="00006B5F" w:rsidRPr="0085422F" w:rsidRDefault="00006B5F" w:rsidP="00006B5F">
      <w:pPr>
        <w:spacing w:after="0"/>
        <w:jc w:val="both"/>
        <w:rPr>
          <w:bCs/>
          <w:sz w:val="20"/>
          <w:szCs w:val="20"/>
        </w:rPr>
      </w:pPr>
    </w:p>
    <w:p w:rsidR="00006B5F" w:rsidRDefault="00006B5F" w:rsidP="00006B5F">
      <w:pPr>
        <w:spacing w:after="0"/>
        <w:jc w:val="both"/>
        <w:rPr>
          <w:bCs/>
          <w:sz w:val="20"/>
          <w:szCs w:val="20"/>
        </w:rPr>
      </w:pPr>
      <w:r w:rsidRPr="0085422F">
        <w:rPr>
          <w:bCs/>
          <w:sz w:val="20"/>
          <w:szCs w:val="20"/>
        </w:rPr>
        <w:t>No securities commission or regulatory authority has reviewed the accuracy or adequacy of the information presented herein.</w:t>
      </w:r>
    </w:p>
    <w:p w:rsidR="007719C2" w:rsidRDefault="007719C2" w:rsidP="00B4333E">
      <w:pPr>
        <w:spacing w:after="0"/>
        <w:jc w:val="both"/>
        <w:rPr>
          <w:b/>
          <w:sz w:val="20"/>
          <w:szCs w:val="20"/>
        </w:rPr>
      </w:pPr>
    </w:p>
    <w:p w:rsidR="00602F55" w:rsidRPr="007719C2" w:rsidRDefault="00602F55" w:rsidP="00B4333E">
      <w:pPr>
        <w:spacing w:after="0"/>
        <w:jc w:val="both"/>
        <w:rPr>
          <w:b/>
          <w:sz w:val="20"/>
          <w:szCs w:val="20"/>
          <w:u w:val="single"/>
        </w:rPr>
      </w:pPr>
      <w:r w:rsidRPr="007719C2">
        <w:rPr>
          <w:b/>
          <w:sz w:val="20"/>
          <w:szCs w:val="20"/>
          <w:u w:val="single"/>
        </w:rPr>
        <w:t>APPROVAL</w:t>
      </w:r>
    </w:p>
    <w:p w:rsidR="007719C2" w:rsidRDefault="007719C2" w:rsidP="00B4333E">
      <w:pPr>
        <w:spacing w:after="0"/>
        <w:jc w:val="both"/>
        <w:rPr>
          <w:sz w:val="20"/>
          <w:szCs w:val="20"/>
        </w:rPr>
      </w:pPr>
    </w:p>
    <w:p w:rsidR="00602F55" w:rsidRPr="00B4333E" w:rsidRDefault="00602F55" w:rsidP="00B4333E">
      <w:pPr>
        <w:spacing w:after="0"/>
        <w:jc w:val="both"/>
        <w:rPr>
          <w:sz w:val="20"/>
          <w:szCs w:val="20"/>
        </w:rPr>
      </w:pPr>
      <w:r w:rsidRPr="00B4333E">
        <w:rPr>
          <w:sz w:val="20"/>
          <w:szCs w:val="20"/>
        </w:rPr>
        <w:t>The Company’s directors and officers have approved the disclosures in the MD&amp;A.</w:t>
      </w:r>
    </w:p>
    <w:p w:rsidR="00E245B8" w:rsidRPr="00B4333E" w:rsidRDefault="00E245B8" w:rsidP="00B4333E">
      <w:pPr>
        <w:spacing w:after="0"/>
        <w:jc w:val="both"/>
        <w:rPr>
          <w:sz w:val="20"/>
          <w:szCs w:val="20"/>
          <w:rtl/>
        </w:rPr>
      </w:pPr>
    </w:p>
    <w:p w:rsidR="00E245B8" w:rsidRPr="00B4333E" w:rsidRDefault="00E245B8" w:rsidP="00B4333E">
      <w:pPr>
        <w:spacing w:after="0"/>
        <w:jc w:val="both"/>
        <w:rPr>
          <w:sz w:val="20"/>
          <w:szCs w:val="20"/>
        </w:rPr>
      </w:pPr>
    </w:p>
    <w:p w:rsidR="00BD392A" w:rsidRPr="00B4333E" w:rsidRDefault="00BD392A" w:rsidP="00B4333E">
      <w:pPr>
        <w:spacing w:after="0"/>
        <w:rPr>
          <w:sz w:val="20"/>
          <w:szCs w:val="20"/>
        </w:rPr>
      </w:pPr>
    </w:p>
    <w:sectPr w:rsidR="00BD392A" w:rsidRPr="00B4333E" w:rsidSect="00BA0FB3">
      <w:headerReference w:type="default" r:id="rId8"/>
      <w:footerReference w:type="default" r:id="rId9"/>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76B" w:rsidRDefault="00B1076B">
      <w:r>
        <w:separator/>
      </w:r>
    </w:p>
  </w:endnote>
  <w:endnote w:type="continuationSeparator" w:id="0">
    <w:p w:rsidR="00B1076B" w:rsidRDefault="00B1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ucida Sans Typewriter"/>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93334"/>
      <w:docPartObj>
        <w:docPartGallery w:val="Page Numbers (Bottom of Page)"/>
        <w:docPartUnique/>
      </w:docPartObj>
    </w:sdtPr>
    <w:sdtEndPr>
      <w:rPr>
        <w:noProof/>
      </w:rPr>
    </w:sdtEndPr>
    <w:sdtContent>
      <w:p w:rsidR="00B40FE9" w:rsidRDefault="00B40FE9">
        <w:pPr>
          <w:pStyle w:val="Footer"/>
          <w:jc w:val="right"/>
        </w:pPr>
        <w:r>
          <w:fldChar w:fldCharType="begin"/>
        </w:r>
        <w:r>
          <w:instrText xml:space="preserve"> PAGE   \* MERGEFORMAT </w:instrText>
        </w:r>
        <w:r>
          <w:fldChar w:fldCharType="separate"/>
        </w:r>
        <w:r w:rsidR="00837C80">
          <w:rPr>
            <w:noProof/>
          </w:rPr>
          <w:t>8</w:t>
        </w:r>
        <w:r>
          <w:rPr>
            <w:noProof/>
          </w:rPr>
          <w:fldChar w:fldCharType="end"/>
        </w:r>
      </w:p>
    </w:sdtContent>
  </w:sdt>
  <w:p w:rsidR="00B40FE9" w:rsidRDefault="00B40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76B" w:rsidRDefault="00B1076B">
      <w:r>
        <w:separator/>
      </w:r>
    </w:p>
  </w:footnote>
  <w:footnote w:type="continuationSeparator" w:id="0">
    <w:p w:rsidR="00B1076B" w:rsidRDefault="00B1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E9" w:rsidRPr="004906B8" w:rsidRDefault="00B40FE9" w:rsidP="00461897">
    <w:pPr>
      <w:pStyle w:val="Header"/>
      <w:tabs>
        <w:tab w:val="clear" w:pos="4680"/>
      </w:tabs>
      <w:jc w:val="center"/>
      <w:rPr>
        <w:rStyle w:val="PageNumber"/>
      </w:rP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2E8B"/>
    <w:multiLevelType w:val="hybridMultilevel"/>
    <w:tmpl w:val="B02276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3DF2F1D"/>
    <w:multiLevelType w:val="hybridMultilevel"/>
    <w:tmpl w:val="5C78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C0FA8"/>
    <w:multiLevelType w:val="hybridMultilevel"/>
    <w:tmpl w:val="CE24EEC6"/>
    <w:lvl w:ilvl="0" w:tplc="10090001">
      <w:start w:val="1"/>
      <w:numFmt w:val="bullet"/>
      <w:lvlText w:val=""/>
      <w:lvlJc w:val="left"/>
      <w:pPr>
        <w:ind w:left="907" w:hanging="360"/>
      </w:pPr>
      <w:rPr>
        <w:rFonts w:ascii="Symbol" w:hAnsi="Symbol" w:hint="default"/>
      </w:rPr>
    </w:lvl>
    <w:lvl w:ilvl="1" w:tplc="E49235FC">
      <w:numFmt w:val="bullet"/>
      <w:lvlText w:val="-"/>
      <w:lvlJc w:val="left"/>
      <w:pPr>
        <w:ind w:left="1627" w:hanging="360"/>
      </w:pPr>
      <w:rPr>
        <w:rFonts w:ascii="Times New Roman" w:eastAsia="Times New Roman" w:hAnsi="Times New Roman" w:cs="Times New Roman"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3" w15:restartNumberingAfterBreak="0">
    <w:nsid w:val="3C8E510F"/>
    <w:multiLevelType w:val="hybridMultilevel"/>
    <w:tmpl w:val="EBCA5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A915B1"/>
    <w:multiLevelType w:val="hybridMultilevel"/>
    <w:tmpl w:val="802EF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284D6E"/>
    <w:multiLevelType w:val="hybridMultilevel"/>
    <w:tmpl w:val="8698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C54E66"/>
    <w:multiLevelType w:val="hybridMultilevel"/>
    <w:tmpl w:val="A52AB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CD2789"/>
    <w:multiLevelType w:val="singleLevel"/>
    <w:tmpl w:val="85300994"/>
    <w:name w:val="Bullet"/>
    <w:lvl w:ilvl="0">
      <w:start w:val="1"/>
      <w:numFmt w:val="bullet"/>
      <w:lvlText w:val=""/>
      <w:lvlJc w:val="left"/>
      <w:pPr>
        <w:tabs>
          <w:tab w:val="num" w:pos="720"/>
        </w:tabs>
        <w:ind w:left="720" w:hanging="720"/>
      </w:pPr>
      <w:rPr>
        <w:rFonts w:ascii="Symbol" w:hAnsi="Symbol" w:hint="default"/>
        <w:b w:val="0"/>
        <w:i w:val="0"/>
        <w:sz w:val="24"/>
      </w:rPr>
    </w:lvl>
  </w:abstractNum>
  <w:abstractNum w:abstractNumId="8" w15:restartNumberingAfterBreak="0">
    <w:nsid w:val="79E33A6E"/>
    <w:multiLevelType w:val="hybridMultilevel"/>
    <w:tmpl w:val="96409E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EBF27CB"/>
    <w:multiLevelType w:val="hybridMultilevel"/>
    <w:tmpl w:val="B09E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0"/>
  </w:num>
  <w:num w:numId="6">
    <w:abstractNumId w:val="5"/>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E245B8"/>
    <w:rsid w:val="000032C7"/>
    <w:rsid w:val="00006B5F"/>
    <w:rsid w:val="00034EC1"/>
    <w:rsid w:val="0003676A"/>
    <w:rsid w:val="0003792D"/>
    <w:rsid w:val="00050EAA"/>
    <w:rsid w:val="00072048"/>
    <w:rsid w:val="00072C3A"/>
    <w:rsid w:val="000A0014"/>
    <w:rsid w:val="000A1E1E"/>
    <w:rsid w:val="000B61F0"/>
    <w:rsid w:val="000C5DAC"/>
    <w:rsid w:val="000C62AC"/>
    <w:rsid w:val="000D141D"/>
    <w:rsid w:val="000F7C3E"/>
    <w:rsid w:val="0010755C"/>
    <w:rsid w:val="00110275"/>
    <w:rsid w:val="00124D6F"/>
    <w:rsid w:val="00146C0A"/>
    <w:rsid w:val="00176F58"/>
    <w:rsid w:val="00182930"/>
    <w:rsid w:val="00185B89"/>
    <w:rsid w:val="00195CE3"/>
    <w:rsid w:val="001A6B24"/>
    <w:rsid w:val="001B3B95"/>
    <w:rsid w:val="001B61BA"/>
    <w:rsid w:val="001C6D03"/>
    <w:rsid w:val="001E58D2"/>
    <w:rsid w:val="001F0404"/>
    <w:rsid w:val="001F2DEB"/>
    <w:rsid w:val="00212689"/>
    <w:rsid w:val="00227BE7"/>
    <w:rsid w:val="00233AAA"/>
    <w:rsid w:val="00244EF2"/>
    <w:rsid w:val="002625E5"/>
    <w:rsid w:val="002D3BA0"/>
    <w:rsid w:val="002F4FCF"/>
    <w:rsid w:val="00304DAB"/>
    <w:rsid w:val="003051A5"/>
    <w:rsid w:val="00307227"/>
    <w:rsid w:val="00315ED7"/>
    <w:rsid w:val="00326CAD"/>
    <w:rsid w:val="003750EC"/>
    <w:rsid w:val="003A17C1"/>
    <w:rsid w:val="003B734A"/>
    <w:rsid w:val="003C56DA"/>
    <w:rsid w:val="003D687B"/>
    <w:rsid w:val="0040223F"/>
    <w:rsid w:val="00410766"/>
    <w:rsid w:val="00413BA1"/>
    <w:rsid w:val="00436448"/>
    <w:rsid w:val="00437E3F"/>
    <w:rsid w:val="00441830"/>
    <w:rsid w:val="00455592"/>
    <w:rsid w:val="00461897"/>
    <w:rsid w:val="00473623"/>
    <w:rsid w:val="00491BB7"/>
    <w:rsid w:val="004E1191"/>
    <w:rsid w:val="004E66C4"/>
    <w:rsid w:val="004F40EA"/>
    <w:rsid w:val="00561936"/>
    <w:rsid w:val="005719DB"/>
    <w:rsid w:val="00573F5A"/>
    <w:rsid w:val="00582498"/>
    <w:rsid w:val="00587DCF"/>
    <w:rsid w:val="005971BE"/>
    <w:rsid w:val="005D6337"/>
    <w:rsid w:val="005D68DD"/>
    <w:rsid w:val="005F6BAB"/>
    <w:rsid w:val="00602F55"/>
    <w:rsid w:val="00627BC0"/>
    <w:rsid w:val="00631D21"/>
    <w:rsid w:val="006616A7"/>
    <w:rsid w:val="00674D8B"/>
    <w:rsid w:val="006A0F37"/>
    <w:rsid w:val="006C5E48"/>
    <w:rsid w:val="006C7CC6"/>
    <w:rsid w:val="006E3477"/>
    <w:rsid w:val="006F01F2"/>
    <w:rsid w:val="00722EAB"/>
    <w:rsid w:val="00730BFB"/>
    <w:rsid w:val="00770562"/>
    <w:rsid w:val="007719C2"/>
    <w:rsid w:val="007857F8"/>
    <w:rsid w:val="007A267F"/>
    <w:rsid w:val="007A4E1C"/>
    <w:rsid w:val="007C2D5B"/>
    <w:rsid w:val="007D389B"/>
    <w:rsid w:val="00807C8D"/>
    <w:rsid w:val="00835A86"/>
    <w:rsid w:val="00837C80"/>
    <w:rsid w:val="00876452"/>
    <w:rsid w:val="008905A5"/>
    <w:rsid w:val="008968C0"/>
    <w:rsid w:val="008A3760"/>
    <w:rsid w:val="008D3264"/>
    <w:rsid w:val="008E5219"/>
    <w:rsid w:val="008E6222"/>
    <w:rsid w:val="00921166"/>
    <w:rsid w:val="009222F1"/>
    <w:rsid w:val="00940491"/>
    <w:rsid w:val="009538B1"/>
    <w:rsid w:val="00966781"/>
    <w:rsid w:val="00981E6E"/>
    <w:rsid w:val="009859D1"/>
    <w:rsid w:val="00997382"/>
    <w:rsid w:val="00A03FC6"/>
    <w:rsid w:val="00A46511"/>
    <w:rsid w:val="00A52FD0"/>
    <w:rsid w:val="00A65089"/>
    <w:rsid w:val="00A87EA1"/>
    <w:rsid w:val="00AC7FA9"/>
    <w:rsid w:val="00AD53FA"/>
    <w:rsid w:val="00AD5F94"/>
    <w:rsid w:val="00AD6573"/>
    <w:rsid w:val="00B1076B"/>
    <w:rsid w:val="00B40FE9"/>
    <w:rsid w:val="00B4333E"/>
    <w:rsid w:val="00B800AE"/>
    <w:rsid w:val="00B93E10"/>
    <w:rsid w:val="00B96653"/>
    <w:rsid w:val="00BA0FB3"/>
    <w:rsid w:val="00BB4424"/>
    <w:rsid w:val="00BC42F1"/>
    <w:rsid w:val="00BC4B81"/>
    <w:rsid w:val="00BD392A"/>
    <w:rsid w:val="00C0190D"/>
    <w:rsid w:val="00C10F50"/>
    <w:rsid w:val="00C13CC6"/>
    <w:rsid w:val="00C153A7"/>
    <w:rsid w:val="00C53B90"/>
    <w:rsid w:val="00C740C1"/>
    <w:rsid w:val="00C84F56"/>
    <w:rsid w:val="00C851D1"/>
    <w:rsid w:val="00C9774B"/>
    <w:rsid w:val="00CD3912"/>
    <w:rsid w:val="00CE335F"/>
    <w:rsid w:val="00D20101"/>
    <w:rsid w:val="00D46947"/>
    <w:rsid w:val="00D47E64"/>
    <w:rsid w:val="00D60ED6"/>
    <w:rsid w:val="00D6413A"/>
    <w:rsid w:val="00D73053"/>
    <w:rsid w:val="00D7554F"/>
    <w:rsid w:val="00D8020A"/>
    <w:rsid w:val="00DA4C73"/>
    <w:rsid w:val="00DC61C8"/>
    <w:rsid w:val="00DD5B16"/>
    <w:rsid w:val="00DE1764"/>
    <w:rsid w:val="00DF2E7C"/>
    <w:rsid w:val="00E23833"/>
    <w:rsid w:val="00E245B8"/>
    <w:rsid w:val="00E5523D"/>
    <w:rsid w:val="00E82887"/>
    <w:rsid w:val="00EA6EBD"/>
    <w:rsid w:val="00EA77FD"/>
    <w:rsid w:val="00EB0166"/>
    <w:rsid w:val="00EC621B"/>
    <w:rsid w:val="00ED0720"/>
    <w:rsid w:val="00ED112F"/>
    <w:rsid w:val="00EE66EA"/>
    <w:rsid w:val="00F12BAD"/>
    <w:rsid w:val="00F40C66"/>
    <w:rsid w:val="00F568C7"/>
    <w:rsid w:val="00F6323A"/>
    <w:rsid w:val="00F7428F"/>
    <w:rsid w:val="00F845C1"/>
    <w:rsid w:val="00FE24E6"/>
    <w:rsid w:val="00FE4DD8"/>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46C12"/>
  <w15:docId w15:val="{50C562E1-5633-48AB-BC66-02E0F067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nhideWhenUsed="1"/>
    <w:lsdException w:name="heading 2" w:unhideWhenUsed="1"/>
    <w:lsdException w:name="heading 3"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64"/>
    <w:pPr>
      <w:spacing w:after="240"/>
    </w:pPr>
    <w:rPr>
      <w:sz w:val="24"/>
      <w:szCs w:val="24"/>
      <w:lang w:eastAsia="en-US"/>
    </w:rPr>
  </w:style>
  <w:style w:type="paragraph" w:styleId="Heading1">
    <w:name w:val="heading 1"/>
    <w:basedOn w:val="NormalSingle"/>
    <w:next w:val="Normal"/>
    <w:semiHidden/>
    <w:unhideWhenUsed/>
    <w:rsid w:val="00BA0FB3"/>
    <w:pPr>
      <w:outlineLvl w:val="0"/>
    </w:pPr>
    <w:rPr>
      <w:rFonts w:cs="Arial"/>
      <w:b/>
      <w:bCs/>
    </w:rPr>
  </w:style>
  <w:style w:type="paragraph" w:styleId="Heading2">
    <w:name w:val="heading 2"/>
    <w:basedOn w:val="NormalSingle"/>
    <w:next w:val="Normal"/>
    <w:semiHidden/>
    <w:unhideWhenUsed/>
    <w:rsid w:val="00BA0FB3"/>
    <w:pPr>
      <w:outlineLvl w:val="1"/>
    </w:pPr>
    <w:rPr>
      <w:rFonts w:cs="Arial"/>
      <w:b/>
      <w:bCs/>
      <w:iCs/>
      <w:szCs w:val="28"/>
    </w:rPr>
  </w:style>
  <w:style w:type="paragraph" w:styleId="Heading3">
    <w:name w:val="heading 3"/>
    <w:basedOn w:val="Heading30"/>
    <w:next w:val="Normal"/>
    <w:semiHidden/>
    <w:unhideWhenUsed/>
    <w:rsid w:val="00BA0FB3"/>
    <w:rPr>
      <w:rFonts w:cs="Arial"/>
      <w:b w:val="0"/>
      <w:bCs/>
      <w:szCs w:val="26"/>
    </w:rPr>
  </w:style>
  <w:style w:type="paragraph" w:styleId="Heading4">
    <w:name w:val="heading 4"/>
    <w:basedOn w:val="Normal"/>
    <w:next w:val="Normal"/>
    <w:link w:val="Heading4Char"/>
    <w:semiHidden/>
    <w:unhideWhenUsed/>
    <w:qFormat/>
    <w:rsid w:val="00D641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641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641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641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641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641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0FB3"/>
    <w:rPr>
      <w:rFonts w:ascii="Tahoma" w:hAnsi="Tahoma"/>
      <w:sz w:val="16"/>
      <w:szCs w:val="16"/>
    </w:rPr>
  </w:style>
  <w:style w:type="paragraph" w:customStyle="1" w:styleId="Block">
    <w:name w:val="Block"/>
    <w:aliases w:val="B=0.5&quot;"/>
    <w:basedOn w:val="Normal"/>
    <w:rsid w:val="00BA0FB3"/>
    <w:pPr>
      <w:ind w:left="720" w:right="720"/>
    </w:pPr>
    <w:rPr>
      <w:szCs w:val="20"/>
    </w:rPr>
  </w:style>
  <w:style w:type="paragraph" w:customStyle="1" w:styleId="Block1">
    <w:name w:val="Block1"/>
    <w:aliases w:val="B1=1&quot;"/>
    <w:basedOn w:val="Block"/>
    <w:rsid w:val="00BA0FB3"/>
    <w:pPr>
      <w:ind w:left="1440" w:right="1440"/>
    </w:pPr>
  </w:style>
  <w:style w:type="paragraph" w:customStyle="1" w:styleId="Block2">
    <w:name w:val="Block2"/>
    <w:aliases w:val="B2=1.5&quot;"/>
    <w:basedOn w:val="Block"/>
    <w:rsid w:val="00BA0FB3"/>
    <w:pPr>
      <w:ind w:left="2160" w:right="2160"/>
    </w:pPr>
  </w:style>
  <w:style w:type="paragraph" w:customStyle="1" w:styleId="Block3">
    <w:name w:val="Block3"/>
    <w:aliases w:val="B3=2&quot;"/>
    <w:basedOn w:val="Block"/>
    <w:rsid w:val="00BA0FB3"/>
    <w:pPr>
      <w:ind w:left="2880" w:right="2880"/>
    </w:pPr>
  </w:style>
  <w:style w:type="paragraph" w:customStyle="1" w:styleId="Centre">
    <w:name w:val="Centre"/>
    <w:aliases w:val="C"/>
    <w:basedOn w:val="Normal"/>
    <w:rsid w:val="00BA0FB3"/>
    <w:pPr>
      <w:jc w:val="center"/>
    </w:pPr>
    <w:rPr>
      <w:b/>
      <w:szCs w:val="20"/>
    </w:rPr>
  </w:style>
  <w:style w:type="paragraph" w:customStyle="1" w:styleId="NormalSingle">
    <w:name w:val="Normal Single"/>
    <w:rsid w:val="008D3264"/>
    <w:pPr>
      <w:spacing w:after="240"/>
    </w:pPr>
    <w:rPr>
      <w:sz w:val="24"/>
      <w:lang w:eastAsia="en-US"/>
    </w:rPr>
  </w:style>
  <w:style w:type="paragraph" w:styleId="Footer">
    <w:name w:val="footer"/>
    <w:basedOn w:val="NormalSingle"/>
    <w:link w:val="FooterChar"/>
    <w:uiPriority w:val="99"/>
    <w:rsid w:val="00BA0FB3"/>
    <w:pPr>
      <w:tabs>
        <w:tab w:val="center" w:pos="4680"/>
        <w:tab w:val="right" w:pos="9360"/>
      </w:tabs>
      <w:spacing w:after="0"/>
    </w:pPr>
  </w:style>
  <w:style w:type="character" w:styleId="FootnoteReference">
    <w:name w:val="footnote reference"/>
    <w:basedOn w:val="DefaultParagraphFont"/>
    <w:semiHidden/>
    <w:rsid w:val="00BA0FB3"/>
    <w:rPr>
      <w:vertAlign w:val="superscript"/>
    </w:rPr>
  </w:style>
  <w:style w:type="paragraph" w:styleId="FootnoteText">
    <w:name w:val="footnote text"/>
    <w:basedOn w:val="PlainSingle"/>
    <w:semiHidden/>
    <w:rsid w:val="00BA0FB3"/>
    <w:pPr>
      <w:ind w:left="720" w:hanging="720"/>
    </w:pPr>
    <w:rPr>
      <w:sz w:val="20"/>
    </w:rPr>
  </w:style>
  <w:style w:type="paragraph" w:customStyle="1" w:styleId="Hanging">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pPr>
  </w:style>
  <w:style w:type="paragraph" w:customStyle="1" w:styleId="Heading10">
    <w:name w:val="Heading1"/>
    <w:aliases w:val="H1"/>
    <w:basedOn w:val="NormalSingle"/>
    <w:next w:val="Normal"/>
    <w:rsid w:val="00BA0FB3"/>
    <w:pPr>
      <w:keepNext/>
      <w:spacing w:before="120" w:after="120"/>
      <w:outlineLvl w:val="0"/>
    </w:pPr>
    <w:rPr>
      <w:b/>
      <w:szCs w:val="24"/>
    </w:rPr>
  </w:style>
  <w:style w:type="paragraph" w:customStyle="1" w:styleId="Heading1Centre">
    <w:name w:val="Heading1Centre"/>
    <w:aliases w:val="H1C"/>
    <w:basedOn w:val="Heading10"/>
    <w:next w:val="Normal"/>
    <w:rsid w:val="00BA0FB3"/>
    <w:pPr>
      <w:spacing w:after="480"/>
      <w:jc w:val="center"/>
      <w:outlineLvl w:val="9"/>
    </w:pPr>
    <w:rPr>
      <w:sz w:val="28"/>
      <w:szCs w:val="28"/>
    </w:rPr>
  </w:style>
  <w:style w:type="paragraph" w:customStyle="1" w:styleId="Heading20">
    <w:name w:val="Heading2"/>
    <w:aliases w:val="H2"/>
    <w:basedOn w:val="NormalSingle"/>
    <w:next w:val="Normal"/>
    <w:rsid w:val="00BA0FB3"/>
    <w:pPr>
      <w:keepNext/>
      <w:spacing w:before="120" w:after="120"/>
      <w:outlineLvl w:val="1"/>
    </w:pPr>
    <w:rPr>
      <w:b/>
    </w:rPr>
  </w:style>
  <w:style w:type="paragraph" w:customStyle="1" w:styleId="Heading2NoToc">
    <w:name w:val="Heading2NoToc"/>
    <w:aliases w:val="H2NT"/>
    <w:basedOn w:val="Heading20"/>
    <w:next w:val="Normal"/>
    <w:rsid w:val="00BA0FB3"/>
    <w:pPr>
      <w:outlineLvl w:val="9"/>
    </w:pPr>
  </w:style>
  <w:style w:type="paragraph" w:customStyle="1" w:styleId="Heading30">
    <w:name w:val="Heading3"/>
    <w:aliases w:val="H3"/>
    <w:basedOn w:val="NormalSingle"/>
    <w:next w:val="Normal"/>
    <w:rsid w:val="00BA0FB3"/>
    <w:pPr>
      <w:keepNext/>
      <w:spacing w:before="120" w:after="120"/>
      <w:outlineLvl w:val="2"/>
    </w:pPr>
    <w:rPr>
      <w:b/>
    </w:rPr>
  </w:style>
  <w:style w:type="paragraph" w:customStyle="1" w:styleId="Indent">
    <w:name w:val="Indent"/>
    <w:aliases w:val="In=0.5&quot;"/>
    <w:basedOn w:val="Normal"/>
    <w:rsid w:val="00BA0FB3"/>
    <w:pPr>
      <w:ind w:left="720"/>
    </w:pPr>
    <w:rPr>
      <w:szCs w:val="20"/>
    </w:rPr>
  </w:style>
  <w:style w:type="paragraph" w:customStyle="1" w:styleId="Indent1">
    <w:name w:val="Indent1"/>
    <w:aliases w:val="I1=1&quot;"/>
    <w:basedOn w:val="Indent"/>
    <w:rsid w:val="00BA0FB3"/>
    <w:pPr>
      <w:ind w:left="1440"/>
    </w:pPr>
  </w:style>
  <w:style w:type="paragraph" w:customStyle="1" w:styleId="Indent2">
    <w:name w:val="Indent2"/>
    <w:aliases w:val="I2=1.5&quot;"/>
    <w:basedOn w:val="Indent"/>
    <w:rsid w:val="00BA0FB3"/>
    <w:pPr>
      <w:ind w:left="2160"/>
    </w:pPr>
  </w:style>
  <w:style w:type="paragraph" w:customStyle="1" w:styleId="Indent3">
    <w:name w:val="Indent3"/>
    <w:aliases w:val="I3=2&quot;"/>
    <w:basedOn w:val="Indent"/>
    <w:rsid w:val="00BA0FB3"/>
    <w:pPr>
      <w:ind w:left="2880"/>
    </w:pPr>
  </w:style>
  <w:style w:type="paragraph" w:customStyle="1" w:styleId="Left">
    <w:name w:val="Left"/>
    <w:aliases w:val="L"/>
    <w:basedOn w:val="Normal"/>
    <w:rsid w:val="00BA0FB3"/>
    <w:rPr>
      <w:szCs w:val="20"/>
    </w:rPr>
  </w:style>
  <w:style w:type="character" w:styleId="PageNumber">
    <w:name w:val="page number"/>
    <w:rsid w:val="007857F8"/>
    <w:rPr>
      <w:rFonts w:ascii="Goudy Old Style" w:hAnsi="Goudy Old Style" w:cs="Times New Roman"/>
      <w:sz w:val="28"/>
      <w:szCs w:val="24"/>
    </w:rPr>
  </w:style>
  <w:style w:type="paragraph" w:customStyle="1" w:styleId="PlainSingle">
    <w:name w:val="Plain Single"/>
    <w:basedOn w:val="NormalSingle"/>
    <w:rsid w:val="00BA0FB3"/>
    <w:pPr>
      <w:spacing w:after="0"/>
    </w:pPr>
  </w:style>
  <w:style w:type="paragraph" w:customStyle="1" w:styleId="Plain">
    <w:name w:val="Plain"/>
    <w:aliases w:val="P"/>
    <w:basedOn w:val="Normal"/>
    <w:rsid w:val="00BA0FB3"/>
    <w:pPr>
      <w:spacing w:after="0"/>
    </w:pPr>
    <w:rPr>
      <w:szCs w:val="20"/>
    </w:rPr>
  </w:style>
  <w:style w:type="character" w:customStyle="1" w:styleId="Prompt">
    <w:name w:val="Prompt"/>
    <w:rsid w:val="00BA0FB3"/>
    <w:rPr>
      <w:color w:val="0000FF"/>
    </w:rPr>
  </w:style>
  <w:style w:type="character" w:customStyle="1" w:styleId="Reference">
    <w:name w:val="Reference"/>
    <w:aliases w:val="Ref"/>
    <w:basedOn w:val="DefaultParagraphFont"/>
    <w:rsid w:val="00BA0FB3"/>
    <w:rPr>
      <w:b/>
      <w:sz w:val="16"/>
      <w:szCs w:val="16"/>
    </w:rPr>
  </w:style>
  <w:style w:type="paragraph" w:customStyle="1" w:styleId="Right">
    <w:name w:val="Right"/>
    <w:aliases w:val="R"/>
    <w:basedOn w:val="Normal"/>
    <w:rsid w:val="00BA0FB3"/>
    <w:pPr>
      <w:jc w:val="right"/>
    </w:pPr>
    <w:rPr>
      <w:szCs w:val="20"/>
    </w:rPr>
  </w:style>
  <w:style w:type="paragraph" w:customStyle="1" w:styleId="Tab">
    <w:name w:val="Tab"/>
    <w:aliases w:val="T"/>
    <w:basedOn w:val="Normal"/>
    <w:rsid w:val="00BA0FB3"/>
    <w:pPr>
      <w:ind w:firstLine="720"/>
    </w:pPr>
    <w:rPr>
      <w:szCs w:val="20"/>
    </w:rPr>
  </w:style>
  <w:style w:type="paragraph" w:customStyle="1" w:styleId="Tab1">
    <w:name w:val="Tab1"/>
    <w:aliases w:val="T1"/>
    <w:basedOn w:val="Tab"/>
    <w:rsid w:val="00BA0FB3"/>
    <w:pPr>
      <w:ind w:firstLine="1440"/>
    </w:pPr>
  </w:style>
  <w:style w:type="paragraph" w:customStyle="1" w:styleId="TableHeading">
    <w:name w:val="TableHeading"/>
    <w:aliases w:val="TH"/>
    <w:basedOn w:val="NormalSingle"/>
    <w:rsid w:val="00BA0FB3"/>
    <w:pPr>
      <w:keepNext/>
      <w:keepLines/>
      <w:spacing w:before="120" w:after="120"/>
      <w:jc w:val="center"/>
    </w:pPr>
    <w:rPr>
      <w:b/>
    </w:rPr>
  </w:style>
  <w:style w:type="paragraph" w:customStyle="1" w:styleId="TableText">
    <w:name w:val="TableText"/>
    <w:aliases w:val="TT"/>
    <w:basedOn w:val="Normal"/>
    <w:rsid w:val="00BA0FB3"/>
    <w:pPr>
      <w:spacing w:before="60" w:after="60"/>
    </w:pPr>
  </w:style>
  <w:style w:type="paragraph" w:styleId="TOC1">
    <w:name w:val="toc 1"/>
    <w:basedOn w:val="Normal"/>
    <w:next w:val="Normal"/>
    <w:semiHidden/>
    <w:rsid w:val="00BA0FB3"/>
    <w:pPr>
      <w:tabs>
        <w:tab w:val="left" w:pos="720"/>
        <w:tab w:val="right" w:leader="dot" w:pos="9360"/>
      </w:tabs>
    </w:pPr>
  </w:style>
  <w:style w:type="paragraph" w:styleId="TOC2">
    <w:name w:val="toc 2"/>
    <w:basedOn w:val="Normal"/>
    <w:next w:val="Normal"/>
    <w:semiHidden/>
    <w:rsid w:val="00BA0FB3"/>
    <w:pPr>
      <w:tabs>
        <w:tab w:val="left" w:pos="1440"/>
        <w:tab w:val="right" w:leader="dot" w:pos="9360"/>
      </w:tabs>
      <w:ind w:left="720"/>
    </w:pPr>
  </w:style>
  <w:style w:type="character" w:customStyle="1" w:styleId="Bold">
    <w:name w:val="Bold"/>
    <w:rsid w:val="00315ED7"/>
    <w:rPr>
      <w:b/>
    </w:rPr>
  </w:style>
  <w:style w:type="character" w:customStyle="1" w:styleId="Underline">
    <w:name w:val="Underline"/>
    <w:rsid w:val="00315ED7"/>
    <w:rPr>
      <w:u w:val="single"/>
    </w:rPr>
  </w:style>
  <w:style w:type="character" w:customStyle="1" w:styleId="Italic">
    <w:name w:val="Italic"/>
    <w:rsid w:val="00315ED7"/>
    <w:rPr>
      <w:i/>
    </w:rPr>
  </w:style>
  <w:style w:type="character" w:customStyle="1" w:styleId="BoldItalic">
    <w:name w:val="BoldItalic"/>
    <w:rsid w:val="00315ED7"/>
    <w:rPr>
      <w:b/>
      <w:i/>
    </w:rPr>
  </w:style>
  <w:style w:type="paragraph" w:customStyle="1" w:styleId="FirstLine">
    <w:name w:val="FirstLine"/>
    <w:aliases w:val="FL=0.5&quot;"/>
    <w:basedOn w:val="Normal"/>
    <w:rsid w:val="008D3264"/>
    <w:pPr>
      <w:ind w:firstLine="720"/>
    </w:pPr>
  </w:style>
  <w:style w:type="paragraph" w:customStyle="1" w:styleId="FirstLine1">
    <w:name w:val="FirstLine1"/>
    <w:aliases w:val="FL1=1&quot;"/>
    <w:basedOn w:val="Normal"/>
    <w:rsid w:val="008D3264"/>
    <w:pPr>
      <w:ind w:firstLine="1440"/>
    </w:pPr>
  </w:style>
  <w:style w:type="paragraph" w:customStyle="1" w:styleId="FirstLine2">
    <w:name w:val="FirstLine2"/>
    <w:aliases w:val="FL2=1.5&quot;"/>
    <w:basedOn w:val="Normal"/>
    <w:rsid w:val="008D3264"/>
    <w:pPr>
      <w:ind w:firstLine="2160"/>
    </w:pPr>
  </w:style>
  <w:style w:type="paragraph" w:customStyle="1" w:styleId="Expanded4pt">
    <w:name w:val="Expanded 4pt"/>
    <w:basedOn w:val="Normal"/>
    <w:qFormat/>
    <w:rsid w:val="007857F8"/>
    <w:rPr>
      <w:rFonts w:cs="Arial"/>
      <w:spacing w:val="80"/>
    </w:rPr>
  </w:style>
  <w:style w:type="paragraph" w:customStyle="1" w:styleId="TableTextCenter">
    <w:name w:val="TableTextCenter"/>
    <w:aliases w:val="TTC"/>
    <w:basedOn w:val="TableText"/>
    <w:link w:val="TableTextCenterChar"/>
    <w:rsid w:val="00DD5B16"/>
    <w:pPr>
      <w:jc w:val="center"/>
    </w:pPr>
  </w:style>
  <w:style w:type="character" w:customStyle="1" w:styleId="TableTextCenterChar">
    <w:name w:val="TableTextCenter Char"/>
    <w:aliases w:val="TTC Char"/>
    <w:basedOn w:val="DefaultParagraphFont"/>
    <w:link w:val="TableTextCenter"/>
    <w:rsid w:val="00DD5B16"/>
    <w:rPr>
      <w:sz w:val="24"/>
      <w:szCs w:val="24"/>
      <w:lang w:eastAsia="en-US"/>
    </w:rPr>
  </w:style>
  <w:style w:type="paragraph" w:customStyle="1" w:styleId="TableTextRight">
    <w:name w:val="TableTextRight"/>
    <w:aliases w:val="TTR"/>
    <w:basedOn w:val="TableText"/>
    <w:link w:val="TableTextRightChar"/>
    <w:rsid w:val="00DD5B16"/>
    <w:pPr>
      <w:jc w:val="right"/>
    </w:pPr>
  </w:style>
  <w:style w:type="character" w:customStyle="1" w:styleId="TableTextRightChar">
    <w:name w:val="TableTextRight Char"/>
    <w:aliases w:val="TTR Char"/>
    <w:basedOn w:val="DefaultParagraphFont"/>
    <w:link w:val="TableTextRight"/>
    <w:rsid w:val="00DD5B16"/>
    <w:rPr>
      <w:sz w:val="24"/>
      <w:szCs w:val="24"/>
      <w:lang w:eastAsia="en-US"/>
    </w:rPr>
  </w:style>
  <w:style w:type="paragraph" w:customStyle="1" w:styleId="TableHeadingLeft">
    <w:name w:val="TableHeadingLeft"/>
    <w:aliases w:val="THL"/>
    <w:basedOn w:val="TableHeading"/>
    <w:link w:val="TableHeadingLeftChar"/>
    <w:rsid w:val="00DD5B16"/>
    <w:pPr>
      <w:jc w:val="left"/>
    </w:pPr>
  </w:style>
  <w:style w:type="character" w:customStyle="1" w:styleId="TableHeadingLeftChar">
    <w:name w:val="TableHeadingLeft Char"/>
    <w:aliases w:val="THL Char"/>
    <w:basedOn w:val="DefaultParagraphFont"/>
    <w:link w:val="TableHeadingLeft"/>
    <w:rsid w:val="00DD5B16"/>
    <w:rPr>
      <w:b/>
      <w:sz w:val="24"/>
      <w:lang w:eastAsia="en-US"/>
    </w:rPr>
  </w:style>
  <w:style w:type="paragraph" w:customStyle="1" w:styleId="TableHeadingRight">
    <w:name w:val="TableHeadingRight"/>
    <w:aliases w:val="THR"/>
    <w:basedOn w:val="TableHeading"/>
    <w:link w:val="TableHeadingRightChar"/>
    <w:rsid w:val="00DD5B16"/>
    <w:pPr>
      <w:jc w:val="right"/>
    </w:pPr>
  </w:style>
  <w:style w:type="character" w:customStyle="1" w:styleId="TableHeadingRightChar">
    <w:name w:val="TableHeadingRight Char"/>
    <w:aliases w:val="THR Char"/>
    <w:basedOn w:val="DefaultParagraphFont"/>
    <w:link w:val="TableHeadingRight"/>
    <w:rsid w:val="00DD5B16"/>
    <w:rPr>
      <w:b/>
      <w:sz w:val="24"/>
      <w:lang w:eastAsia="en-US"/>
    </w:rPr>
  </w:style>
  <w:style w:type="paragraph" w:customStyle="1" w:styleId="Quote1">
    <w:name w:val="Quote1"/>
    <w:aliases w:val="Q=0.5&quot;"/>
    <w:basedOn w:val="Quote"/>
    <w:link w:val="Quote1Char"/>
    <w:rsid w:val="00DD5B16"/>
    <w:pPr>
      <w:ind w:left="720" w:right="720"/>
    </w:pPr>
  </w:style>
  <w:style w:type="character" w:customStyle="1" w:styleId="Quote1Char">
    <w:name w:val="Quote1 Char"/>
    <w:aliases w:val="Q=0.5&quot; Char"/>
    <w:basedOn w:val="DefaultParagraphFont"/>
    <w:link w:val="Quote1"/>
    <w:rsid w:val="00DD5B16"/>
    <w:rPr>
      <w:i/>
      <w:iCs/>
      <w:color w:val="000000" w:themeColor="text1"/>
      <w:sz w:val="24"/>
      <w:szCs w:val="24"/>
      <w:lang w:eastAsia="en-US"/>
    </w:rPr>
  </w:style>
  <w:style w:type="paragraph" w:styleId="Quote">
    <w:name w:val="Quote"/>
    <w:basedOn w:val="NormalSingle"/>
    <w:next w:val="Normal"/>
    <w:link w:val="QuoteChar"/>
    <w:uiPriority w:val="29"/>
    <w:qFormat/>
    <w:rsid w:val="00DD5B16"/>
    <w:rPr>
      <w:i/>
      <w:iCs/>
      <w:color w:val="000000" w:themeColor="text1"/>
    </w:rPr>
  </w:style>
  <w:style w:type="character" w:customStyle="1" w:styleId="QuoteChar">
    <w:name w:val="Quote Char"/>
    <w:basedOn w:val="DefaultParagraphFont"/>
    <w:link w:val="Quote"/>
    <w:uiPriority w:val="29"/>
    <w:rsid w:val="00DD5B16"/>
    <w:rPr>
      <w:i/>
      <w:iCs/>
      <w:color w:val="000000" w:themeColor="text1"/>
      <w:sz w:val="24"/>
      <w:lang w:eastAsia="en-US"/>
    </w:rPr>
  </w:style>
  <w:style w:type="paragraph" w:customStyle="1" w:styleId="Quote2">
    <w:name w:val="Quote2"/>
    <w:aliases w:val="Q=1.0&quot;"/>
    <w:basedOn w:val="Quote"/>
    <w:link w:val="Quote2Char"/>
    <w:rsid w:val="00DD5B16"/>
    <w:pPr>
      <w:ind w:left="1440" w:right="1440"/>
    </w:pPr>
  </w:style>
  <w:style w:type="character" w:customStyle="1" w:styleId="Quote2Char">
    <w:name w:val="Quote2 Char"/>
    <w:aliases w:val="Q=1.0&quot; Char"/>
    <w:basedOn w:val="DefaultParagraphFont"/>
    <w:link w:val="Quote2"/>
    <w:rsid w:val="00DD5B16"/>
    <w:rPr>
      <w:i/>
      <w:iCs/>
      <w:color w:val="000000" w:themeColor="text1"/>
      <w:sz w:val="24"/>
      <w:szCs w:val="24"/>
      <w:lang w:eastAsia="en-US"/>
    </w:rPr>
  </w:style>
  <w:style w:type="paragraph" w:customStyle="1" w:styleId="Quote3">
    <w:name w:val="Quote3"/>
    <w:aliases w:val="Q=1.5&quot;"/>
    <w:basedOn w:val="Quote"/>
    <w:link w:val="Quote3Char"/>
    <w:rsid w:val="00DD5B16"/>
    <w:pPr>
      <w:ind w:left="2160" w:right="2160"/>
    </w:pPr>
  </w:style>
  <w:style w:type="character" w:customStyle="1" w:styleId="Quote3Char">
    <w:name w:val="Quote3 Char"/>
    <w:aliases w:val="Q=1.5&quot; Char"/>
    <w:basedOn w:val="DefaultParagraphFont"/>
    <w:link w:val="Quote3"/>
    <w:rsid w:val="00DD5B16"/>
    <w:rPr>
      <w:i/>
      <w:iCs/>
      <w:color w:val="000000" w:themeColor="text1"/>
      <w:sz w:val="24"/>
      <w:szCs w:val="24"/>
      <w:lang w:eastAsia="en-US"/>
    </w:rPr>
  </w:style>
  <w:style w:type="paragraph" w:customStyle="1" w:styleId="Quote4">
    <w:name w:val="Quote4"/>
    <w:aliases w:val="Q=2.0&quot;"/>
    <w:basedOn w:val="Quote"/>
    <w:link w:val="Quote4Char"/>
    <w:rsid w:val="00DD5B16"/>
    <w:pPr>
      <w:ind w:left="2880" w:right="2880"/>
    </w:pPr>
  </w:style>
  <w:style w:type="character" w:customStyle="1" w:styleId="Quote4Char">
    <w:name w:val="Quote4 Char"/>
    <w:aliases w:val="Q=2.0&quot; Char"/>
    <w:basedOn w:val="DefaultParagraphFont"/>
    <w:link w:val="Quote4"/>
    <w:rsid w:val="00DD5B16"/>
    <w:rPr>
      <w:i/>
      <w:iCs/>
      <w:color w:val="000000" w:themeColor="text1"/>
      <w:sz w:val="24"/>
      <w:szCs w:val="24"/>
      <w:lang w:eastAsia="en-US"/>
    </w:rPr>
  </w:style>
  <w:style w:type="paragraph" w:customStyle="1" w:styleId="Address">
    <w:name w:val="Address"/>
    <w:basedOn w:val="NormalSingle"/>
    <w:rsid w:val="007C2D5B"/>
    <w:pPr>
      <w:keepLines/>
      <w:spacing w:after="120"/>
    </w:pPr>
  </w:style>
  <w:style w:type="character" w:customStyle="1" w:styleId="Heading4Char">
    <w:name w:val="Heading 4 Char"/>
    <w:basedOn w:val="DefaultParagraphFont"/>
    <w:link w:val="Heading4"/>
    <w:semiHidden/>
    <w:rsid w:val="00D6413A"/>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D6413A"/>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D6413A"/>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D6413A"/>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D6413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D6413A"/>
    <w:rPr>
      <w:rFonts w:asciiTheme="majorHAnsi" w:eastAsiaTheme="majorEastAsia" w:hAnsiTheme="majorHAnsi" w:cstheme="majorBidi"/>
      <w:i/>
      <w:iCs/>
      <w:color w:val="404040" w:themeColor="text1" w:themeTint="BF"/>
      <w:lang w:eastAsia="en-US"/>
    </w:rPr>
  </w:style>
  <w:style w:type="paragraph" w:styleId="BodyText">
    <w:name w:val="Body Text"/>
    <w:aliases w:val="Body Text Char Char,Body Text Char1"/>
    <w:basedOn w:val="Normal"/>
    <w:link w:val="BodyTextChar"/>
    <w:qFormat/>
    <w:rsid w:val="00E245B8"/>
    <w:pPr>
      <w:autoSpaceDE w:val="0"/>
      <w:autoSpaceDN w:val="0"/>
      <w:adjustRightInd w:val="0"/>
      <w:spacing w:after="0"/>
      <w:jc w:val="both"/>
    </w:pPr>
    <w:rPr>
      <w:bCs/>
      <w:sz w:val="22"/>
      <w:szCs w:val="22"/>
      <w:lang w:val="en-US"/>
    </w:rPr>
  </w:style>
  <w:style w:type="character" w:customStyle="1" w:styleId="BodyTextChar">
    <w:name w:val="Body Text Char"/>
    <w:aliases w:val="Body Text Char Char Char,Body Text Char1 Char"/>
    <w:basedOn w:val="DefaultParagraphFont"/>
    <w:link w:val="BodyText"/>
    <w:rsid w:val="00E245B8"/>
    <w:rPr>
      <w:bCs/>
      <w:sz w:val="22"/>
      <w:szCs w:val="22"/>
      <w:lang w:val="en-US" w:eastAsia="en-US"/>
    </w:rPr>
  </w:style>
  <w:style w:type="paragraph" w:customStyle="1" w:styleId="Default">
    <w:name w:val="Default"/>
    <w:rsid w:val="00E245B8"/>
    <w:pPr>
      <w:autoSpaceDE w:val="0"/>
      <w:autoSpaceDN w:val="0"/>
      <w:adjustRightInd w:val="0"/>
    </w:pPr>
    <w:rPr>
      <w:rFonts w:ascii="Cambria" w:eastAsia="Calibri" w:hAnsi="Cambria" w:cs="Cambria"/>
      <w:color w:val="000000"/>
      <w:sz w:val="24"/>
      <w:szCs w:val="24"/>
    </w:rPr>
  </w:style>
  <w:style w:type="paragraph" w:styleId="ListParagraph">
    <w:name w:val="List Paragraph"/>
    <w:basedOn w:val="Normal"/>
    <w:link w:val="ListParagraphChar"/>
    <w:uiPriority w:val="34"/>
    <w:qFormat/>
    <w:rsid w:val="00E245B8"/>
    <w:pPr>
      <w:widowControl w:val="0"/>
      <w:autoSpaceDE w:val="0"/>
      <w:autoSpaceDN w:val="0"/>
      <w:adjustRightInd w:val="0"/>
      <w:spacing w:after="0"/>
      <w:ind w:left="720"/>
    </w:pPr>
    <w:rPr>
      <w:sz w:val="20"/>
      <w:lang w:val="en-US"/>
    </w:rPr>
  </w:style>
  <w:style w:type="character" w:customStyle="1" w:styleId="ListParagraphChar">
    <w:name w:val="List Paragraph Char"/>
    <w:basedOn w:val="DefaultParagraphFont"/>
    <w:link w:val="ListParagraph"/>
    <w:uiPriority w:val="99"/>
    <w:locked/>
    <w:rsid w:val="00E245B8"/>
    <w:rPr>
      <w:szCs w:val="24"/>
      <w:lang w:val="en-US" w:eastAsia="en-US"/>
    </w:rPr>
  </w:style>
  <w:style w:type="character" w:customStyle="1" w:styleId="FooterChar">
    <w:name w:val="Footer Char"/>
    <w:basedOn w:val="DefaultParagraphFont"/>
    <w:link w:val="Footer"/>
    <w:uiPriority w:val="99"/>
    <w:rsid w:val="00E245B8"/>
    <w:rPr>
      <w:sz w:val="24"/>
      <w:lang w:eastAsia="en-US"/>
    </w:rPr>
  </w:style>
  <w:style w:type="character" w:customStyle="1" w:styleId="highlight">
    <w:name w:val="highlight"/>
    <w:basedOn w:val="DefaultParagraphFont"/>
    <w:rsid w:val="00B40FE9"/>
  </w:style>
  <w:style w:type="paragraph" w:styleId="Revision">
    <w:name w:val="Revision"/>
    <w:hidden/>
    <w:uiPriority w:val="99"/>
    <w:semiHidden/>
    <w:rsid w:val="00AD6573"/>
    <w:rPr>
      <w:sz w:val="24"/>
      <w:szCs w:val="24"/>
      <w:lang w:eastAsia="en-US"/>
    </w:rPr>
  </w:style>
  <w:style w:type="table" w:styleId="TableGrid">
    <w:name w:val="Table Grid"/>
    <w:basedOn w:val="TableNormal"/>
    <w:uiPriority w:val="59"/>
    <w:rsid w:val="001B61BA"/>
    <w:rPr>
      <w:rFonts w:asciiTheme="minorHAnsi" w:eastAsiaTheme="minorHAnsi" w:hAnsiTheme="minorHAnsi" w:cstheme="minorBidi"/>
      <w:sz w:val="22"/>
      <w:szCs w:val="22"/>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מא2"/>
    <w:basedOn w:val="Normal"/>
    <w:link w:val="20"/>
    <w:uiPriority w:val="99"/>
    <w:rsid w:val="001B61BA"/>
    <w:pPr>
      <w:tabs>
        <w:tab w:val="left" w:pos="1134"/>
        <w:tab w:val="left" w:pos="1701"/>
      </w:tabs>
      <w:overflowPunct w:val="0"/>
      <w:autoSpaceDE w:val="0"/>
      <w:autoSpaceDN w:val="0"/>
      <w:adjustRightInd w:val="0"/>
      <w:spacing w:after="0" w:line="264" w:lineRule="auto"/>
      <w:ind w:left="1701" w:hanging="567"/>
      <w:jc w:val="both"/>
      <w:textAlignment w:val="baseline"/>
    </w:pPr>
    <w:rPr>
      <w:sz w:val="22"/>
      <w:szCs w:val="22"/>
      <w:lang w:bidi="he-IL"/>
    </w:rPr>
  </w:style>
  <w:style w:type="character" w:customStyle="1" w:styleId="20">
    <w:name w:val="מא2 תו"/>
    <w:basedOn w:val="DefaultParagraphFont"/>
    <w:link w:val="2"/>
    <w:uiPriority w:val="99"/>
    <w:rsid w:val="001B61BA"/>
    <w:rPr>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25F7-D958-409E-92A1-12B93AE0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94</TotalTime>
  <Pages>8</Pages>
  <Words>3664</Words>
  <Characters>20889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Blank</vt:lpstr>
    </vt:vector>
  </TitlesOfParts>
  <Manager/>
  <Company>Devry Smith Frank LLP</Company>
  <LinksUpToDate>false</LinksUpToDate>
  <CharactersWithSpaces>24504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Dan Rothberg</dc:creator>
  <cp:keywords/>
  <dc:description>v1.03</dc:description>
  <cp:lastModifiedBy>Gabi Kabazo</cp:lastModifiedBy>
  <cp:revision>9</cp:revision>
  <dcterms:created xsi:type="dcterms:W3CDTF">2021-04-27T03:00:00Z</dcterms:created>
  <dcterms:modified xsi:type="dcterms:W3CDTF">2021-04-27T23:16:00Z</dcterms:modified>
  <cp:category/>
</cp:coreProperties>
</file>