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1A0" w:rsidRDefault="004361A0" w:rsidP="004361A0">
      <w:pPr>
        <w:pStyle w:val="Heading1"/>
      </w:pPr>
      <w:bookmarkStart w:id="0" w:name="_Toc524689562"/>
      <w:r>
        <w:t>MANAGEMENT’S DISCUSSION AND ANALYSIS</w:t>
      </w:r>
      <w:bookmarkEnd w:id="0"/>
    </w:p>
    <w:p w:rsidR="004361A0" w:rsidRPr="00861DA5" w:rsidRDefault="004361A0" w:rsidP="003442C7">
      <w:pPr>
        <w:spacing w:after="240" w:line="240" w:lineRule="auto"/>
        <w:jc w:val="both"/>
        <w:rPr>
          <w:rFonts w:ascii="Times New Roman" w:hAnsi="Times New Roman" w:cs="Times New Roman"/>
          <w:b/>
        </w:rPr>
      </w:pPr>
      <w:r>
        <w:rPr>
          <w:rFonts w:ascii="Times New Roman" w:hAnsi="Times New Roman" w:cs="Times New Roman"/>
          <w:b/>
        </w:rPr>
        <w:t>MD&amp;A of Financial Condition and</w:t>
      </w:r>
      <w:r w:rsidRPr="00861DA5">
        <w:rPr>
          <w:rFonts w:ascii="Times New Roman" w:hAnsi="Times New Roman" w:cs="Times New Roman"/>
          <w:b/>
        </w:rPr>
        <w:t xml:space="preserve"> the Results of Operations for the </w:t>
      </w:r>
      <w:r w:rsidR="004B2C89">
        <w:rPr>
          <w:rFonts w:ascii="Times New Roman" w:hAnsi="Times New Roman" w:cs="Times New Roman"/>
          <w:b/>
        </w:rPr>
        <w:t xml:space="preserve">three </w:t>
      </w:r>
      <w:r w:rsidR="00CD2D95">
        <w:rPr>
          <w:rFonts w:ascii="Times New Roman" w:hAnsi="Times New Roman" w:cs="Times New Roman"/>
          <w:b/>
        </w:rPr>
        <w:t xml:space="preserve">and </w:t>
      </w:r>
      <w:r w:rsidR="00ED6F85">
        <w:rPr>
          <w:rFonts w:ascii="Times New Roman" w:hAnsi="Times New Roman" w:cs="Times New Roman"/>
          <w:b/>
        </w:rPr>
        <w:t>nine</w:t>
      </w:r>
      <w:r w:rsidR="00CD2D95">
        <w:rPr>
          <w:rFonts w:ascii="Times New Roman" w:hAnsi="Times New Roman" w:cs="Times New Roman"/>
          <w:b/>
        </w:rPr>
        <w:t xml:space="preserve"> </w:t>
      </w:r>
      <w:r w:rsidR="004B2C89">
        <w:rPr>
          <w:rFonts w:ascii="Times New Roman" w:hAnsi="Times New Roman" w:cs="Times New Roman"/>
          <w:b/>
        </w:rPr>
        <w:t xml:space="preserve">month </w:t>
      </w:r>
      <w:r w:rsidRPr="00861DA5">
        <w:rPr>
          <w:rFonts w:ascii="Times New Roman" w:hAnsi="Times New Roman" w:cs="Times New Roman"/>
          <w:b/>
        </w:rPr>
        <w:t>period</w:t>
      </w:r>
      <w:r w:rsidR="00CD2D95">
        <w:rPr>
          <w:rFonts w:ascii="Times New Roman" w:hAnsi="Times New Roman" w:cs="Times New Roman"/>
          <w:b/>
        </w:rPr>
        <w:t>s</w:t>
      </w:r>
      <w:r w:rsidRPr="00861DA5">
        <w:rPr>
          <w:rFonts w:ascii="Times New Roman" w:hAnsi="Times New Roman" w:cs="Times New Roman"/>
          <w:b/>
        </w:rPr>
        <w:t xml:space="preserve"> ended </w:t>
      </w:r>
      <w:r w:rsidR="00ED6F85">
        <w:rPr>
          <w:rFonts w:ascii="Times New Roman" w:hAnsi="Times New Roman" w:cs="Times New Roman"/>
          <w:b/>
        </w:rPr>
        <w:t>May 31</w:t>
      </w:r>
      <w:r w:rsidR="004B2C89">
        <w:rPr>
          <w:rFonts w:ascii="Times New Roman" w:hAnsi="Times New Roman" w:cs="Times New Roman"/>
          <w:b/>
        </w:rPr>
        <w:t>, 2019</w:t>
      </w:r>
    </w:p>
    <w:p w:rsidR="004361A0" w:rsidRDefault="004361A0" w:rsidP="003442C7">
      <w:pPr>
        <w:autoSpaceDE w:val="0"/>
        <w:autoSpaceDN w:val="0"/>
        <w:adjustRightInd w:val="0"/>
        <w:spacing w:after="240" w:line="240" w:lineRule="auto"/>
        <w:jc w:val="both"/>
        <w:rPr>
          <w:rFonts w:ascii="Times New Roman" w:hAnsi="Times New Roman" w:cs="Times New Roman"/>
        </w:rPr>
      </w:pPr>
      <w:r w:rsidRPr="00861DA5">
        <w:rPr>
          <w:rFonts w:ascii="Times New Roman" w:hAnsi="Times New Roman" w:cs="Times New Roman"/>
        </w:rPr>
        <w:t xml:space="preserve">This MD&amp;A is for the </w:t>
      </w:r>
      <w:r w:rsidR="004B2C89">
        <w:rPr>
          <w:rFonts w:ascii="Times New Roman" w:hAnsi="Times New Roman" w:cs="Times New Roman"/>
        </w:rPr>
        <w:t xml:space="preserve">three </w:t>
      </w:r>
      <w:r w:rsidR="00CD2D95">
        <w:rPr>
          <w:rFonts w:ascii="Times New Roman" w:hAnsi="Times New Roman" w:cs="Times New Roman"/>
        </w:rPr>
        <w:t xml:space="preserve">and </w:t>
      </w:r>
      <w:r w:rsidR="00ED6F85">
        <w:rPr>
          <w:rFonts w:ascii="Times New Roman" w:hAnsi="Times New Roman" w:cs="Times New Roman"/>
        </w:rPr>
        <w:t>nine</w:t>
      </w:r>
      <w:r w:rsidR="00CD2D95">
        <w:rPr>
          <w:rFonts w:ascii="Times New Roman" w:hAnsi="Times New Roman" w:cs="Times New Roman"/>
        </w:rPr>
        <w:t xml:space="preserve"> </w:t>
      </w:r>
      <w:r w:rsidR="004B2C89">
        <w:rPr>
          <w:rFonts w:ascii="Times New Roman" w:hAnsi="Times New Roman" w:cs="Times New Roman"/>
        </w:rPr>
        <w:t xml:space="preserve">month </w:t>
      </w:r>
      <w:r w:rsidRPr="00861DA5">
        <w:rPr>
          <w:rFonts w:ascii="Times New Roman" w:hAnsi="Times New Roman" w:cs="Times New Roman"/>
        </w:rPr>
        <w:t>period</w:t>
      </w:r>
      <w:r w:rsidR="00CD2D95">
        <w:rPr>
          <w:rFonts w:ascii="Times New Roman" w:hAnsi="Times New Roman" w:cs="Times New Roman"/>
        </w:rPr>
        <w:t>s</w:t>
      </w:r>
      <w:r w:rsidRPr="00861DA5">
        <w:rPr>
          <w:rFonts w:ascii="Times New Roman" w:hAnsi="Times New Roman" w:cs="Times New Roman"/>
        </w:rPr>
        <w:t xml:space="preserve"> ended </w:t>
      </w:r>
      <w:r w:rsidR="00ED6F85">
        <w:rPr>
          <w:rFonts w:ascii="Times New Roman" w:hAnsi="Times New Roman" w:cs="Times New Roman"/>
        </w:rPr>
        <w:t>May 31</w:t>
      </w:r>
      <w:r w:rsidR="004B2C89">
        <w:rPr>
          <w:rFonts w:ascii="Times New Roman" w:hAnsi="Times New Roman" w:cs="Times New Roman"/>
        </w:rPr>
        <w:t>, 2019</w:t>
      </w:r>
      <w:r w:rsidRPr="00861DA5">
        <w:rPr>
          <w:rFonts w:ascii="Times New Roman" w:hAnsi="Times New Roman" w:cs="Times New Roman"/>
        </w:rPr>
        <w:t xml:space="preserve"> and should be read in conjunction with the Company’s audited financial statements and the related notes contained therein for the financial period ended </w:t>
      </w:r>
      <w:r w:rsidR="004B2C89">
        <w:rPr>
          <w:rFonts w:ascii="Times New Roman" w:hAnsi="Times New Roman" w:cs="Times New Roman"/>
        </w:rPr>
        <w:t>August 31, 2018</w:t>
      </w:r>
      <w:r w:rsidRPr="00861DA5">
        <w:rPr>
          <w:rFonts w:ascii="Times New Roman" w:hAnsi="Times New Roman" w:cs="Times New Roman"/>
        </w:rPr>
        <w:t xml:space="preserve"> (the “Financial Statements”). The Financial Statements summarize the financial impact of the Company’s financings, investments and operations</w:t>
      </w:r>
      <w:r w:rsidR="004B2C89">
        <w:rPr>
          <w:rFonts w:ascii="Times New Roman" w:hAnsi="Times New Roman" w:cs="Times New Roman"/>
        </w:rPr>
        <w:t xml:space="preserve"> up to that date.</w:t>
      </w:r>
    </w:p>
    <w:p w:rsidR="004361A0" w:rsidRPr="00861DA5" w:rsidRDefault="004361A0" w:rsidP="003442C7">
      <w:pPr>
        <w:spacing w:after="240" w:line="240" w:lineRule="auto"/>
        <w:jc w:val="both"/>
        <w:rPr>
          <w:rFonts w:ascii="Times New Roman" w:hAnsi="Times New Roman" w:cs="Times New Roman"/>
        </w:rPr>
      </w:pPr>
      <w:r w:rsidRPr="00861DA5">
        <w:rPr>
          <w:rFonts w:ascii="Times New Roman" w:hAnsi="Times New Roman" w:cs="Times New Roman"/>
        </w:rPr>
        <w:t xml:space="preserve">All figures are in Canadian dollars unless otherwise stated. </w:t>
      </w:r>
    </w:p>
    <w:p w:rsidR="004361A0" w:rsidRPr="00861DA5" w:rsidRDefault="004361A0" w:rsidP="003442C7">
      <w:pPr>
        <w:spacing w:after="240" w:line="240" w:lineRule="auto"/>
        <w:jc w:val="both"/>
        <w:rPr>
          <w:rFonts w:ascii="Times New Roman" w:hAnsi="Times New Roman" w:cs="Times New Roman"/>
        </w:rPr>
      </w:pPr>
      <w:r w:rsidRPr="00861DA5">
        <w:rPr>
          <w:rFonts w:ascii="Times New Roman" w:hAnsi="Times New Roman" w:cs="Times New Roman"/>
        </w:rPr>
        <w:t xml:space="preserve">The MD&amp;A was prepared on the basis of information available as at </w:t>
      </w:r>
      <w:r w:rsidR="00ED6F85">
        <w:rPr>
          <w:rFonts w:ascii="Times New Roman" w:hAnsi="Times New Roman" w:cs="Times New Roman"/>
        </w:rPr>
        <w:t>July 29</w:t>
      </w:r>
      <w:r w:rsidR="004B2C89">
        <w:rPr>
          <w:rFonts w:ascii="Times New Roman" w:hAnsi="Times New Roman" w:cs="Times New Roman"/>
        </w:rPr>
        <w:t>, 2019</w:t>
      </w:r>
      <w:r w:rsidRPr="00861DA5">
        <w:rPr>
          <w:rFonts w:ascii="Times New Roman" w:hAnsi="Times New Roman" w:cs="Times New Roman"/>
        </w:rPr>
        <w:t xml:space="preserve">. </w:t>
      </w:r>
    </w:p>
    <w:p w:rsidR="00616ED5" w:rsidRPr="004B2C89" w:rsidRDefault="00616ED5" w:rsidP="00616ED5">
      <w:pPr>
        <w:rPr>
          <w:rFonts w:ascii="Times New Roman" w:hAnsi="Times New Roman" w:cs="Times New Roman"/>
          <w:b/>
        </w:rPr>
      </w:pPr>
      <w:r w:rsidRPr="004B2C89">
        <w:rPr>
          <w:rFonts w:ascii="Times New Roman" w:hAnsi="Times New Roman" w:cs="Times New Roman"/>
          <w:b/>
        </w:rPr>
        <w:t xml:space="preserve">Caution Regarding Forward Looking Statements </w:t>
      </w:r>
    </w:p>
    <w:p w:rsidR="00616ED5" w:rsidRPr="004B2C89" w:rsidRDefault="00616ED5" w:rsidP="004B2C89">
      <w:pPr>
        <w:spacing w:line="240" w:lineRule="auto"/>
        <w:rPr>
          <w:rFonts w:ascii="Times New Roman" w:hAnsi="Times New Roman" w:cs="Times New Roman"/>
        </w:rPr>
      </w:pPr>
      <w:r w:rsidRPr="004B2C89">
        <w:rPr>
          <w:rFonts w:ascii="Times New Roman" w:hAnsi="Times New Roman" w:cs="Times New Roman"/>
        </w:rPr>
        <w:t>This MD&amp;A contains certain forward-looking information. All statements in this disclosure, other than statements of historical facts, that address permitting, exploration drilling, exploration activities and events or developments, are expected by the Company to be forward looking statements. Although the Company believes the expectations expressed in such forward looking statements are based on reasonable assumptions, such statements are not guarantees of future performance and actual results or developments may differ materially from those in the forward looking statements. Factors that could cause actual results to differ materially from those in the forward looking statements include market prices, exploration successes, continuity of mineralization, potential environmental issues and liabilities associated with exploration, development and mining activities, uncertainties related to the ability to obtain necessary permits, licenses and title and delays due to third party opposition, changes in government policies regarding mining and natural resource exploration and exploitation, continued availability of capital and financing, and general economic, market or business conditions. Investors are cautioned that any such statements are not guarantees of future performance and actual results or developments may differ materially from those projected in the forward  looking statements.</w:t>
      </w:r>
    </w:p>
    <w:p w:rsidR="004361A0" w:rsidRPr="00861DA5" w:rsidRDefault="004361A0" w:rsidP="004361A0">
      <w:pPr>
        <w:spacing w:after="240" w:line="240" w:lineRule="auto"/>
        <w:jc w:val="both"/>
        <w:rPr>
          <w:rFonts w:ascii="Times New Roman" w:hAnsi="Times New Roman" w:cs="Times New Roman"/>
          <w:b/>
        </w:rPr>
      </w:pPr>
      <w:r>
        <w:rPr>
          <w:rFonts w:ascii="Times New Roman" w:hAnsi="Times New Roman" w:cs="Times New Roman"/>
          <w:b/>
        </w:rPr>
        <w:t>Nature of Activities</w:t>
      </w:r>
    </w:p>
    <w:p w:rsidR="004361A0" w:rsidRPr="005B4E68" w:rsidRDefault="004361A0" w:rsidP="003442C7">
      <w:pPr>
        <w:spacing w:after="240" w:line="240" w:lineRule="auto"/>
        <w:jc w:val="both"/>
        <w:rPr>
          <w:rFonts w:ascii="Times New Roman" w:hAnsi="Times New Roman" w:cs="Times New Roman"/>
        </w:rPr>
      </w:pPr>
      <w:r w:rsidRPr="005B4E68">
        <w:rPr>
          <w:rFonts w:ascii="Times New Roman" w:hAnsi="Times New Roman" w:cs="Times New Roman"/>
        </w:rPr>
        <w:t>The principal business carried on and intended to be carried on by the Company is the acquisition, exploration and development of mineral properties.  The Company’s principal property is the Aura Property situated in the New Westminster Mining Division in South Western British Columbia.  The Company's current objective is to explore and develop the Property.  The Property consists of five map staked mineral claims comprising 2,705.5 hectares.</w:t>
      </w:r>
    </w:p>
    <w:p w:rsidR="004361A0" w:rsidRPr="00F73948" w:rsidRDefault="004361A0" w:rsidP="003442C7">
      <w:pPr>
        <w:shd w:val="clear" w:color="auto" w:fill="FFFFFF"/>
        <w:spacing w:after="240" w:line="240" w:lineRule="auto"/>
        <w:jc w:val="both"/>
        <w:rPr>
          <w:rFonts w:ascii="Times New Roman" w:eastAsia="Times New Roman" w:hAnsi="Times New Roman" w:cs="Times New Roman"/>
          <w:b/>
          <w:color w:val="222222"/>
          <w:lang w:eastAsia="en-CA"/>
        </w:rPr>
      </w:pPr>
      <w:r w:rsidRPr="00F73948">
        <w:rPr>
          <w:rFonts w:ascii="Times New Roman" w:eastAsia="Times New Roman" w:hAnsi="Times New Roman" w:cs="Times New Roman"/>
          <w:b/>
          <w:color w:val="222222"/>
          <w:lang w:eastAsia="en-CA"/>
        </w:rPr>
        <w:t>History of the Company</w:t>
      </w:r>
    </w:p>
    <w:p w:rsidR="004361A0" w:rsidRPr="00861DA5" w:rsidRDefault="004361A0" w:rsidP="003442C7">
      <w:pPr>
        <w:shd w:val="clear" w:color="auto" w:fill="FFFFFF"/>
        <w:spacing w:after="240" w:line="240" w:lineRule="auto"/>
        <w:jc w:val="both"/>
        <w:rPr>
          <w:rFonts w:ascii="Times New Roman" w:eastAsia="Times New Roman" w:hAnsi="Times New Roman" w:cs="Times New Roman"/>
          <w:color w:val="222222"/>
          <w:lang w:eastAsia="en-CA"/>
        </w:rPr>
      </w:pPr>
      <w:r w:rsidRPr="00861DA5">
        <w:rPr>
          <w:rFonts w:ascii="Times New Roman" w:eastAsia="Times New Roman" w:hAnsi="Times New Roman" w:cs="Times New Roman"/>
          <w:color w:val="222222"/>
          <w:lang w:eastAsia="en-CA"/>
        </w:rPr>
        <w:t>Since incorporation in</w:t>
      </w:r>
      <w:r w:rsidR="00397383">
        <w:rPr>
          <w:rFonts w:ascii="Times New Roman" w:eastAsia="Times New Roman" w:hAnsi="Times New Roman" w:cs="Times New Roman"/>
          <w:color w:val="222222"/>
          <w:lang w:eastAsia="en-CA"/>
        </w:rPr>
        <w:t xml:space="preserve"> March 2018</w:t>
      </w:r>
      <w:r w:rsidRPr="00861DA5">
        <w:rPr>
          <w:rFonts w:ascii="Times New Roman" w:eastAsia="Times New Roman" w:hAnsi="Times New Roman" w:cs="Times New Roman"/>
          <w:color w:val="222222"/>
          <w:lang w:eastAsia="en-CA"/>
        </w:rPr>
        <w:t>, the Company has undertaken certain steps to develop its business, including, among other things, recruiting directors and officers with the skills required to operate a public mining exploration company, entering into the</w:t>
      </w:r>
      <w:r w:rsidR="00E84090">
        <w:rPr>
          <w:rFonts w:ascii="Times New Roman" w:eastAsia="Times New Roman" w:hAnsi="Times New Roman" w:cs="Times New Roman"/>
          <w:color w:val="222222"/>
          <w:lang w:eastAsia="en-CA"/>
        </w:rPr>
        <w:t xml:space="preserve"> </w:t>
      </w:r>
      <w:r w:rsidRPr="00861DA5">
        <w:rPr>
          <w:rFonts w:ascii="Times New Roman" w:eastAsia="Times New Roman" w:hAnsi="Times New Roman" w:cs="Times New Roman"/>
          <w:color w:val="222222"/>
          <w:lang w:eastAsia="en-CA"/>
        </w:rPr>
        <w:t>Property Agreement to acquire the Aura Property for shares, raising sufficient capital to commence initial exploration on the Aura Property, engaging Carl von Einsiedel, P.Geo., to prepare the Technical Report and engaging the Agent to assist in</w:t>
      </w:r>
      <w:r w:rsidR="00E84090">
        <w:rPr>
          <w:rFonts w:ascii="Times New Roman" w:eastAsia="Times New Roman" w:hAnsi="Times New Roman" w:cs="Times New Roman"/>
          <w:color w:val="222222"/>
          <w:lang w:eastAsia="en-CA"/>
        </w:rPr>
        <w:t xml:space="preserve"> i</w:t>
      </w:r>
      <w:r>
        <w:rPr>
          <w:rFonts w:ascii="Times New Roman" w:eastAsia="Times New Roman" w:hAnsi="Times New Roman" w:cs="Times New Roman"/>
          <w:color w:val="222222"/>
          <w:lang w:eastAsia="en-CA"/>
        </w:rPr>
        <w:t xml:space="preserve">ts </w:t>
      </w:r>
      <w:r w:rsidRPr="00861DA5">
        <w:rPr>
          <w:rFonts w:ascii="Times New Roman" w:eastAsia="Times New Roman" w:hAnsi="Times New Roman" w:cs="Times New Roman"/>
          <w:color w:val="222222"/>
          <w:lang w:eastAsia="en-CA"/>
        </w:rPr>
        <w:t xml:space="preserve">application for listing on the </w:t>
      </w:r>
      <w:r>
        <w:rPr>
          <w:rFonts w:ascii="Times New Roman" w:eastAsia="Times New Roman" w:hAnsi="Times New Roman" w:cs="Times New Roman"/>
          <w:color w:val="222222"/>
          <w:lang w:eastAsia="en-CA"/>
        </w:rPr>
        <w:t xml:space="preserve">Exchange </w:t>
      </w:r>
      <w:r w:rsidRPr="00861DA5">
        <w:rPr>
          <w:rFonts w:ascii="Times New Roman" w:eastAsia="Times New Roman" w:hAnsi="Times New Roman" w:cs="Times New Roman"/>
          <w:color w:val="222222"/>
          <w:lang w:eastAsia="en-CA"/>
        </w:rPr>
        <w:t xml:space="preserve">and </w:t>
      </w:r>
      <w:r>
        <w:rPr>
          <w:rFonts w:ascii="Times New Roman" w:eastAsia="Times New Roman" w:hAnsi="Times New Roman" w:cs="Times New Roman"/>
          <w:color w:val="222222"/>
          <w:lang w:eastAsia="en-CA"/>
        </w:rPr>
        <w:t xml:space="preserve">to </w:t>
      </w:r>
      <w:r w:rsidRPr="00861DA5">
        <w:rPr>
          <w:rFonts w:ascii="Times New Roman" w:eastAsia="Times New Roman" w:hAnsi="Times New Roman" w:cs="Times New Roman"/>
          <w:color w:val="222222"/>
          <w:lang w:eastAsia="en-CA"/>
        </w:rPr>
        <w:t>complet</w:t>
      </w:r>
      <w:r>
        <w:rPr>
          <w:rFonts w:ascii="Times New Roman" w:eastAsia="Times New Roman" w:hAnsi="Times New Roman" w:cs="Times New Roman"/>
          <w:color w:val="222222"/>
          <w:lang w:eastAsia="en-CA"/>
        </w:rPr>
        <w:t>e</w:t>
      </w:r>
      <w:r w:rsidRPr="00861DA5">
        <w:rPr>
          <w:rFonts w:ascii="Times New Roman" w:eastAsia="Times New Roman" w:hAnsi="Times New Roman" w:cs="Times New Roman"/>
          <w:color w:val="222222"/>
          <w:lang w:eastAsia="en-CA"/>
        </w:rPr>
        <w:t xml:space="preserve"> a public offering.</w:t>
      </w:r>
    </w:p>
    <w:p w:rsidR="004361A0" w:rsidRPr="00E458B6" w:rsidRDefault="004361A0" w:rsidP="003442C7">
      <w:pPr>
        <w:shd w:val="clear" w:color="auto" w:fill="FFFFFF"/>
        <w:spacing w:after="240" w:line="240" w:lineRule="auto"/>
        <w:jc w:val="both"/>
        <w:rPr>
          <w:rFonts w:ascii="Times New Roman" w:eastAsia="Times New Roman" w:hAnsi="Times New Roman" w:cs="Times New Roman"/>
          <w:color w:val="222222"/>
          <w:lang w:eastAsia="en-CA"/>
        </w:rPr>
      </w:pPr>
      <w:r w:rsidRPr="003442C7">
        <w:rPr>
          <w:rFonts w:ascii="Times New Roman" w:hAnsi="Times New Roman"/>
        </w:rPr>
        <w:t>On March 28, 2018, the Company entered into the Property Agreement with Ronald Shenton</w:t>
      </w:r>
      <w:r w:rsidRPr="00E458B6">
        <w:rPr>
          <w:rFonts w:ascii="Times New Roman" w:hAnsi="Times New Roman" w:cs="Times New Roman"/>
        </w:rPr>
        <w:t xml:space="preserve"> on his own behalf and on behalf of his wholly-owned private company, 475175 B.C. Ltd.  Mr. Shenton is</w:t>
      </w:r>
      <w:r w:rsidRPr="003442C7">
        <w:rPr>
          <w:rFonts w:ascii="Times New Roman" w:hAnsi="Times New Roman"/>
        </w:rPr>
        <w:t xml:space="preserve"> a director and officer of the Company</w:t>
      </w:r>
      <w:r>
        <w:rPr>
          <w:rFonts w:ascii="Times New Roman" w:hAnsi="Times New Roman" w:cs="Times New Roman"/>
        </w:rPr>
        <w:t xml:space="preserve"> P</w:t>
      </w:r>
      <w:r w:rsidRPr="00E458B6">
        <w:rPr>
          <w:rFonts w:ascii="Times New Roman" w:hAnsi="Times New Roman" w:cs="Times New Roman"/>
        </w:rPr>
        <w:t>ursuant</w:t>
      </w:r>
      <w:r w:rsidRPr="003442C7">
        <w:rPr>
          <w:rFonts w:ascii="Times New Roman" w:hAnsi="Times New Roman"/>
        </w:rPr>
        <w:t xml:space="preserve"> to </w:t>
      </w:r>
      <w:r>
        <w:rPr>
          <w:rFonts w:ascii="Times New Roman" w:hAnsi="Times New Roman" w:cs="Times New Roman"/>
        </w:rPr>
        <w:t>the terms of the Property Agreement,</w:t>
      </w:r>
      <w:r w:rsidRPr="003442C7">
        <w:rPr>
          <w:rFonts w:ascii="Times New Roman" w:hAnsi="Times New Roman"/>
        </w:rPr>
        <w:t xml:space="preserve"> the Company</w:t>
      </w:r>
      <w:r w:rsidR="00E84090">
        <w:rPr>
          <w:rFonts w:ascii="Times New Roman" w:hAnsi="Times New Roman"/>
        </w:rPr>
        <w:t xml:space="preserve"> </w:t>
      </w:r>
      <w:r w:rsidRPr="00E458B6">
        <w:rPr>
          <w:rFonts w:ascii="Times New Roman" w:hAnsi="Times New Roman" w:cs="Times New Roman"/>
        </w:rPr>
        <w:t xml:space="preserve">agreed to </w:t>
      </w:r>
      <w:r w:rsidRPr="00E458B6">
        <w:rPr>
          <w:rFonts w:ascii="Times New Roman" w:hAnsi="Times New Roman" w:cs="Times New Roman"/>
        </w:rPr>
        <w:lastRenderedPageBreak/>
        <w:t>purchase and</w:t>
      </w:r>
      <w:r w:rsidRPr="003442C7">
        <w:rPr>
          <w:rFonts w:ascii="Times New Roman" w:hAnsi="Times New Roman"/>
        </w:rPr>
        <w:t xml:space="preserve"> Mr. Shenton </w:t>
      </w:r>
      <w:r w:rsidRPr="00E458B6">
        <w:rPr>
          <w:rFonts w:ascii="Times New Roman" w:hAnsi="Times New Roman" w:cs="Times New Roman"/>
        </w:rPr>
        <w:t xml:space="preserve">agreed to sell </w:t>
      </w:r>
      <w:r w:rsidRPr="003442C7">
        <w:rPr>
          <w:rFonts w:ascii="Times New Roman" w:hAnsi="Times New Roman"/>
        </w:rPr>
        <w:t xml:space="preserve">all right, title and interest in and to </w:t>
      </w:r>
      <w:r w:rsidR="00397383" w:rsidRPr="003442C7">
        <w:rPr>
          <w:rFonts w:ascii="Times New Roman" w:hAnsi="Times New Roman"/>
        </w:rPr>
        <w:t xml:space="preserve">the </w:t>
      </w:r>
      <w:r w:rsidR="00397383">
        <w:rPr>
          <w:rFonts w:ascii="Times New Roman" w:hAnsi="Times New Roman" w:cs="Times New Roman"/>
        </w:rPr>
        <w:t xml:space="preserve">initial </w:t>
      </w:r>
      <w:r w:rsidRPr="00E458B6">
        <w:rPr>
          <w:rFonts w:ascii="Times New Roman" w:hAnsi="Times New Roman" w:cs="Times New Roman"/>
        </w:rPr>
        <w:t>four claims comprising the Property.  Subsequently, the Company staked one (1) additional mineral claim</w:t>
      </w:r>
      <w:r w:rsidRPr="003442C7">
        <w:rPr>
          <w:rFonts w:ascii="Times New Roman" w:hAnsi="Times New Roman"/>
        </w:rPr>
        <w:t>.</w:t>
      </w:r>
    </w:p>
    <w:p w:rsidR="004361A0" w:rsidRPr="00861DA5" w:rsidRDefault="004361A0" w:rsidP="003442C7">
      <w:pPr>
        <w:shd w:val="clear" w:color="auto" w:fill="FFFFFF"/>
        <w:spacing w:after="240" w:line="240" w:lineRule="auto"/>
        <w:jc w:val="both"/>
        <w:rPr>
          <w:rFonts w:ascii="Times New Roman" w:eastAsia="Times New Roman" w:hAnsi="Times New Roman" w:cs="Times New Roman"/>
          <w:color w:val="222222"/>
          <w:lang w:eastAsia="en-CA"/>
        </w:rPr>
      </w:pPr>
      <w:r w:rsidRPr="00861DA5">
        <w:rPr>
          <w:rFonts w:ascii="Times New Roman" w:eastAsia="Times New Roman" w:hAnsi="Times New Roman" w:cs="Times New Roman"/>
          <w:color w:val="222222"/>
          <w:lang w:eastAsia="en-CA"/>
        </w:rPr>
        <w:t xml:space="preserve">The Company </w:t>
      </w:r>
      <w:r w:rsidR="004B2C89">
        <w:rPr>
          <w:rFonts w:ascii="Times New Roman" w:eastAsia="Times New Roman" w:hAnsi="Times New Roman" w:cs="Times New Roman"/>
          <w:color w:val="222222"/>
          <w:lang w:eastAsia="en-CA"/>
        </w:rPr>
        <w:t xml:space="preserve">retained </w:t>
      </w:r>
      <w:r w:rsidR="00CB23B1">
        <w:rPr>
          <w:rFonts w:ascii="Times New Roman" w:eastAsia="Times New Roman" w:hAnsi="Times New Roman" w:cs="Times New Roman"/>
          <w:color w:val="222222"/>
          <w:lang w:eastAsia="en-CA"/>
        </w:rPr>
        <w:t xml:space="preserve">a qualified geologist to prepare a Technical Report which included recommended exploration activities that could be undertaken. An initial </w:t>
      </w:r>
      <w:r w:rsidRPr="00861DA5">
        <w:rPr>
          <w:rFonts w:ascii="Times New Roman" w:eastAsia="Times New Roman" w:hAnsi="Times New Roman" w:cs="Times New Roman"/>
          <w:color w:val="222222"/>
          <w:lang w:eastAsia="en-CA"/>
        </w:rPr>
        <w:t>exploration program</w:t>
      </w:r>
      <w:r w:rsidR="00CB23B1">
        <w:rPr>
          <w:rFonts w:ascii="Times New Roman" w:eastAsia="Times New Roman" w:hAnsi="Times New Roman" w:cs="Times New Roman"/>
          <w:color w:val="222222"/>
          <w:lang w:eastAsia="en-CA"/>
        </w:rPr>
        <w:t xml:space="preserve"> was carried out which</w:t>
      </w:r>
      <w:r w:rsidRPr="00861DA5">
        <w:rPr>
          <w:rFonts w:ascii="Times New Roman" w:eastAsia="Times New Roman" w:hAnsi="Times New Roman" w:cs="Times New Roman"/>
          <w:color w:val="222222"/>
          <w:lang w:eastAsia="en-CA"/>
        </w:rPr>
        <w:t xml:space="preserve"> consist</w:t>
      </w:r>
      <w:r w:rsidR="00CB23B1">
        <w:rPr>
          <w:rFonts w:ascii="Times New Roman" w:eastAsia="Times New Roman" w:hAnsi="Times New Roman" w:cs="Times New Roman"/>
          <w:color w:val="222222"/>
          <w:lang w:eastAsia="en-CA"/>
        </w:rPr>
        <w:t>ed</w:t>
      </w:r>
      <w:r w:rsidRPr="00861DA5">
        <w:rPr>
          <w:rFonts w:ascii="Times New Roman" w:eastAsia="Times New Roman" w:hAnsi="Times New Roman" w:cs="Times New Roman"/>
          <w:color w:val="222222"/>
          <w:lang w:eastAsia="en-CA"/>
        </w:rPr>
        <w:t xml:space="preserve"> of airborne magnetic and radiometric surveys, satellite image analysis and digital elevation modelling and a systematic evaluation of available stream, soil and rock geochemical data for the project area.  The total cost of this exploration program was $81,597.21.</w:t>
      </w:r>
    </w:p>
    <w:p w:rsidR="004361A0" w:rsidRDefault="004361A0" w:rsidP="003442C7">
      <w:pPr>
        <w:shd w:val="clear" w:color="auto" w:fill="FFFFFF"/>
        <w:spacing w:after="240" w:line="240" w:lineRule="auto"/>
        <w:jc w:val="both"/>
        <w:rPr>
          <w:rFonts w:ascii="Times New Roman" w:eastAsia="Times New Roman" w:hAnsi="Times New Roman" w:cs="Times New Roman"/>
          <w:color w:val="000000" w:themeColor="text1"/>
          <w:lang w:eastAsia="en-CA"/>
        </w:rPr>
      </w:pPr>
      <w:r w:rsidRPr="00F10C49">
        <w:rPr>
          <w:rFonts w:ascii="Times New Roman" w:eastAsia="Times New Roman" w:hAnsi="Times New Roman" w:cs="Times New Roman"/>
          <w:color w:val="000000" w:themeColor="text1"/>
          <w:lang w:eastAsia="en-CA"/>
        </w:rPr>
        <w:t>To date the Company has raised $174,500 through the sale of securities.  The Company intends to raise additional funding through</w:t>
      </w:r>
      <w:r w:rsidR="004B2C89" w:rsidRPr="00F10C49">
        <w:rPr>
          <w:rFonts w:ascii="Times New Roman" w:eastAsia="Times New Roman" w:hAnsi="Times New Roman" w:cs="Times New Roman"/>
          <w:color w:val="000000" w:themeColor="text1"/>
          <w:lang w:eastAsia="en-CA"/>
        </w:rPr>
        <w:t xml:space="preserve"> a Prospectus </w:t>
      </w:r>
      <w:r w:rsidR="00CB23B1" w:rsidRPr="00F10C49">
        <w:rPr>
          <w:rFonts w:ascii="Times New Roman" w:eastAsia="Times New Roman" w:hAnsi="Times New Roman" w:cs="Times New Roman"/>
          <w:color w:val="000000" w:themeColor="text1"/>
          <w:lang w:eastAsia="en-CA"/>
        </w:rPr>
        <w:t>O</w:t>
      </w:r>
      <w:r w:rsidR="004B2C89" w:rsidRPr="00F10C49">
        <w:rPr>
          <w:rFonts w:ascii="Times New Roman" w:eastAsia="Times New Roman" w:hAnsi="Times New Roman" w:cs="Times New Roman"/>
          <w:color w:val="000000" w:themeColor="text1"/>
          <w:lang w:eastAsia="en-CA"/>
        </w:rPr>
        <w:t>ffering with which</w:t>
      </w:r>
      <w:r w:rsidRPr="00F10C49">
        <w:rPr>
          <w:rFonts w:ascii="Times New Roman" w:eastAsia="Times New Roman" w:hAnsi="Times New Roman" w:cs="Times New Roman"/>
          <w:color w:val="000000" w:themeColor="text1"/>
          <w:lang w:eastAsia="en-CA"/>
        </w:rPr>
        <w:t xml:space="preserve"> to carry out additional exploration on the Property.</w:t>
      </w:r>
      <w:r w:rsidR="004A6ED1" w:rsidRPr="00F10C49">
        <w:rPr>
          <w:rFonts w:ascii="Times New Roman" w:eastAsia="Times New Roman" w:hAnsi="Times New Roman" w:cs="Times New Roman"/>
          <w:color w:val="000000" w:themeColor="text1"/>
          <w:lang w:eastAsia="en-CA"/>
        </w:rPr>
        <w:t xml:space="preserve"> The Company’s Prospectus has been filed with the British Columbia Securities Commission and was accepted on March 28, 2019.</w:t>
      </w:r>
    </w:p>
    <w:p w:rsidR="00F10C49" w:rsidRPr="00F10C49" w:rsidRDefault="00F10C49" w:rsidP="003442C7">
      <w:pPr>
        <w:shd w:val="clear" w:color="auto" w:fill="FFFFFF"/>
        <w:spacing w:after="240" w:line="240" w:lineRule="auto"/>
        <w:jc w:val="both"/>
        <w:rPr>
          <w:rFonts w:ascii="Times New Roman" w:eastAsia="Times New Roman" w:hAnsi="Times New Roman" w:cs="Times New Roman"/>
          <w:b/>
          <w:bCs/>
          <w:color w:val="000000" w:themeColor="text1"/>
          <w:lang w:eastAsia="en-CA"/>
        </w:rPr>
      </w:pPr>
      <w:r w:rsidRPr="00F10C49">
        <w:rPr>
          <w:rFonts w:ascii="Times New Roman" w:eastAsia="Times New Roman" w:hAnsi="Times New Roman" w:cs="Times New Roman"/>
          <w:b/>
          <w:bCs/>
          <w:color w:val="000000" w:themeColor="text1"/>
          <w:lang w:eastAsia="en-CA"/>
        </w:rPr>
        <w:t>Subsequent events section in this document comments on the ultimate listing of the Company’s common shares on the Canadian Stock Exchange effective June 12, 201</w:t>
      </w:r>
      <w:r w:rsidR="005124F3">
        <w:rPr>
          <w:rFonts w:ascii="Times New Roman" w:eastAsia="Times New Roman" w:hAnsi="Times New Roman" w:cs="Times New Roman"/>
          <w:b/>
          <w:bCs/>
          <w:color w:val="000000" w:themeColor="text1"/>
          <w:lang w:eastAsia="en-CA"/>
        </w:rPr>
        <w:t>9</w:t>
      </w:r>
      <w:r>
        <w:rPr>
          <w:rFonts w:ascii="Times New Roman" w:eastAsia="Times New Roman" w:hAnsi="Times New Roman" w:cs="Times New Roman"/>
          <w:b/>
          <w:bCs/>
          <w:color w:val="000000" w:themeColor="text1"/>
          <w:lang w:eastAsia="en-CA"/>
        </w:rPr>
        <w:t>.</w:t>
      </w:r>
    </w:p>
    <w:p w:rsidR="004361A0" w:rsidRPr="00861DA5" w:rsidRDefault="004361A0" w:rsidP="003442C7">
      <w:pPr>
        <w:autoSpaceDE w:val="0"/>
        <w:autoSpaceDN w:val="0"/>
        <w:adjustRightInd w:val="0"/>
        <w:spacing w:after="240" w:line="240" w:lineRule="auto"/>
        <w:jc w:val="both"/>
        <w:rPr>
          <w:rFonts w:ascii="Times New Roman" w:hAnsi="Times New Roman" w:cs="Times New Roman"/>
          <w:b/>
          <w:bCs/>
        </w:rPr>
      </w:pPr>
      <w:r w:rsidRPr="00861DA5">
        <w:rPr>
          <w:rFonts w:ascii="Times New Roman" w:hAnsi="Times New Roman" w:cs="Times New Roman"/>
          <w:b/>
          <w:bCs/>
        </w:rPr>
        <w:t>Description of Business</w:t>
      </w:r>
    </w:p>
    <w:p w:rsidR="004361A0" w:rsidRPr="00861DA5" w:rsidRDefault="004361A0" w:rsidP="003442C7">
      <w:pPr>
        <w:autoSpaceDE w:val="0"/>
        <w:autoSpaceDN w:val="0"/>
        <w:adjustRightInd w:val="0"/>
        <w:spacing w:after="240" w:line="240" w:lineRule="auto"/>
        <w:jc w:val="both"/>
        <w:rPr>
          <w:rFonts w:ascii="Times New Roman" w:hAnsi="Times New Roman" w:cs="Times New Roman"/>
        </w:rPr>
      </w:pPr>
      <w:r w:rsidRPr="00861DA5">
        <w:rPr>
          <w:rFonts w:ascii="Times New Roman" w:hAnsi="Times New Roman" w:cs="Times New Roman"/>
        </w:rPr>
        <w:t xml:space="preserve">The Company’s main emphasis is on the exploration for </w:t>
      </w:r>
      <w:r w:rsidRPr="00861DA5">
        <w:rPr>
          <w:rFonts w:ascii="Times New Roman" w:hAnsi="Times New Roman" w:cs="Times New Roman"/>
          <w:lang w:val="en-GB"/>
        </w:rPr>
        <w:t xml:space="preserve">precious metals </w:t>
      </w:r>
      <w:r w:rsidRPr="00861DA5">
        <w:rPr>
          <w:rFonts w:ascii="Times New Roman" w:hAnsi="Times New Roman" w:cs="Times New Roman"/>
        </w:rPr>
        <w:t xml:space="preserve">in the New Westminster Mining Division, British Columbia where the Company has acquired a 100% undivided interest in the </w:t>
      </w:r>
      <w:r w:rsidR="004B2C89">
        <w:rPr>
          <w:rFonts w:ascii="Times New Roman" w:hAnsi="Times New Roman" w:cs="Times New Roman"/>
        </w:rPr>
        <w:t xml:space="preserve">Aura </w:t>
      </w:r>
      <w:r w:rsidRPr="00861DA5">
        <w:rPr>
          <w:rFonts w:ascii="Times New Roman" w:hAnsi="Times New Roman" w:cs="Times New Roman"/>
        </w:rPr>
        <w:t>Property.</w:t>
      </w:r>
    </w:p>
    <w:p w:rsidR="004361A0" w:rsidRPr="00E458B6" w:rsidRDefault="004361A0" w:rsidP="003442C7">
      <w:pPr>
        <w:autoSpaceDE w:val="0"/>
        <w:autoSpaceDN w:val="0"/>
        <w:adjustRightInd w:val="0"/>
        <w:spacing w:after="240" w:line="240" w:lineRule="auto"/>
        <w:jc w:val="both"/>
        <w:rPr>
          <w:rFonts w:ascii="Times New Roman" w:hAnsi="Times New Roman" w:cs="Times New Roman"/>
        </w:rPr>
      </w:pPr>
      <w:r w:rsidRPr="00861DA5">
        <w:rPr>
          <w:rFonts w:ascii="Times New Roman" w:hAnsi="Times New Roman" w:cs="Times New Roman"/>
        </w:rPr>
        <w:t xml:space="preserve">In February 2018, </w:t>
      </w:r>
      <w:r w:rsidR="00E84090">
        <w:rPr>
          <w:rFonts w:ascii="Times New Roman" w:hAnsi="Times New Roman" w:cs="Times New Roman"/>
        </w:rPr>
        <w:t>R</w:t>
      </w:r>
      <w:r w:rsidRPr="00861DA5">
        <w:rPr>
          <w:rFonts w:ascii="Times New Roman" w:hAnsi="Times New Roman" w:cs="Times New Roman"/>
        </w:rPr>
        <w:t>on</w:t>
      </w:r>
      <w:r>
        <w:rPr>
          <w:rFonts w:ascii="Times New Roman" w:hAnsi="Times New Roman" w:cs="Times New Roman"/>
        </w:rPr>
        <w:t>ald</w:t>
      </w:r>
      <w:r w:rsidRPr="00861DA5">
        <w:rPr>
          <w:rFonts w:ascii="Times New Roman" w:hAnsi="Times New Roman" w:cs="Times New Roman"/>
        </w:rPr>
        <w:t xml:space="preserve"> Shenton</w:t>
      </w:r>
      <w:r w:rsidR="00E84090">
        <w:rPr>
          <w:rFonts w:ascii="Times New Roman" w:hAnsi="Times New Roman" w:cs="Times New Roman"/>
        </w:rPr>
        <w:t>,</w:t>
      </w:r>
      <w:r w:rsidR="004B2C89">
        <w:rPr>
          <w:rFonts w:ascii="Times New Roman" w:hAnsi="Times New Roman" w:cs="Times New Roman"/>
        </w:rPr>
        <w:t xml:space="preserve"> </w:t>
      </w:r>
      <w:r w:rsidR="00E84090">
        <w:rPr>
          <w:rFonts w:ascii="Times New Roman" w:hAnsi="Times New Roman" w:cs="Times New Roman"/>
        </w:rPr>
        <w:t>(</w:t>
      </w:r>
      <w:r>
        <w:rPr>
          <w:rFonts w:ascii="Times New Roman" w:hAnsi="Times New Roman" w:cs="Times New Roman"/>
        </w:rPr>
        <w:t>a director and officer of the</w:t>
      </w:r>
      <w:r w:rsidR="004B2C89">
        <w:rPr>
          <w:rFonts w:ascii="Times New Roman" w:hAnsi="Times New Roman" w:cs="Times New Roman"/>
        </w:rPr>
        <w:t xml:space="preserve"> </w:t>
      </w:r>
      <w:r>
        <w:rPr>
          <w:rFonts w:ascii="Times New Roman" w:hAnsi="Times New Roman" w:cs="Times New Roman"/>
        </w:rPr>
        <w:t xml:space="preserve">Company, </w:t>
      </w:r>
      <w:r w:rsidRPr="00861DA5">
        <w:rPr>
          <w:rFonts w:ascii="Times New Roman" w:hAnsi="Times New Roman" w:cs="Times New Roman"/>
        </w:rPr>
        <w:t xml:space="preserve">commenced funding </w:t>
      </w:r>
      <w:r w:rsidRPr="00E458B6">
        <w:rPr>
          <w:rFonts w:ascii="Times New Roman" w:hAnsi="Times New Roman" w:cs="Times New Roman"/>
        </w:rPr>
        <w:t xml:space="preserve">operations on the Property. That funding totaled $23,507.77 in acquisition and exploration costs. The principal exploration costs totaled $9,590.00.  The Company was incorporated in March 2018. Since incorporation to </w:t>
      </w:r>
      <w:r w:rsidR="00ED6F85">
        <w:rPr>
          <w:rFonts w:ascii="Times New Roman" w:hAnsi="Times New Roman" w:cs="Times New Roman"/>
        </w:rPr>
        <w:t>May 31</w:t>
      </w:r>
      <w:r w:rsidR="004B2C89">
        <w:rPr>
          <w:rFonts w:ascii="Times New Roman" w:hAnsi="Times New Roman" w:cs="Times New Roman"/>
        </w:rPr>
        <w:t>, 2019</w:t>
      </w:r>
      <w:r w:rsidRPr="00E458B6">
        <w:rPr>
          <w:rFonts w:ascii="Times New Roman" w:hAnsi="Times New Roman" w:cs="Times New Roman"/>
        </w:rPr>
        <w:t>, the Company has spent $</w:t>
      </w:r>
      <w:r w:rsidRPr="00E458B6">
        <w:rPr>
          <w:rFonts w:ascii="Times New Roman" w:hAnsi="Times New Roman" w:cs="Times New Roman"/>
          <w:lang w:val="en-GB"/>
        </w:rPr>
        <w:t>72,007.21</w:t>
      </w:r>
      <w:r w:rsidRPr="00E458B6">
        <w:rPr>
          <w:rFonts w:ascii="Times New Roman" w:hAnsi="Times New Roman" w:cs="Times New Roman"/>
        </w:rPr>
        <w:t xml:space="preserve"> on the exploration of the Property </w:t>
      </w:r>
      <w:r w:rsidRPr="003442C7">
        <w:rPr>
          <w:rFonts w:ascii="Times New Roman" w:hAnsi="Times New Roman"/>
        </w:rPr>
        <w:t>and $</w:t>
      </w:r>
      <w:r w:rsidRPr="00E458B6">
        <w:rPr>
          <w:rFonts w:ascii="Times New Roman" w:hAnsi="Times New Roman" w:cs="Times New Roman"/>
        </w:rPr>
        <w:t>1,519</w:t>
      </w:r>
      <w:r w:rsidRPr="003442C7">
        <w:rPr>
          <w:rFonts w:ascii="Times New Roman" w:hAnsi="Times New Roman"/>
        </w:rPr>
        <w:t>.54 in acquisition costs</w:t>
      </w:r>
      <w:r w:rsidRPr="00E458B6">
        <w:rPr>
          <w:rFonts w:ascii="Times New Roman" w:hAnsi="Times New Roman" w:cs="Times New Roman"/>
        </w:rPr>
        <w:t xml:space="preserve">. The resultant total of eligible exploration expenditures since incorporation through to </w:t>
      </w:r>
      <w:r w:rsidR="00ED6F85">
        <w:rPr>
          <w:rFonts w:ascii="Times New Roman" w:hAnsi="Times New Roman" w:cs="Times New Roman"/>
        </w:rPr>
        <w:t>May 31</w:t>
      </w:r>
      <w:r w:rsidR="004B2C89">
        <w:rPr>
          <w:rFonts w:ascii="Times New Roman" w:hAnsi="Times New Roman" w:cs="Times New Roman"/>
        </w:rPr>
        <w:t>, 2019</w:t>
      </w:r>
      <w:r w:rsidRPr="00E458B6">
        <w:rPr>
          <w:rFonts w:ascii="Times New Roman" w:hAnsi="Times New Roman" w:cs="Times New Roman"/>
        </w:rPr>
        <w:t xml:space="preserve"> totals $81,597.21 ($9,590.00 + $72,007.21).</w:t>
      </w:r>
    </w:p>
    <w:p w:rsidR="004361A0" w:rsidRPr="00F10C49" w:rsidRDefault="004361A0" w:rsidP="003442C7">
      <w:pPr>
        <w:autoSpaceDE w:val="0"/>
        <w:autoSpaceDN w:val="0"/>
        <w:adjustRightInd w:val="0"/>
        <w:spacing w:after="240" w:line="240" w:lineRule="auto"/>
        <w:jc w:val="both"/>
        <w:rPr>
          <w:rFonts w:ascii="Times New Roman" w:hAnsi="Times New Roman" w:cs="Times New Roman"/>
        </w:rPr>
      </w:pPr>
      <w:r w:rsidRPr="00F10C49">
        <w:rPr>
          <w:rFonts w:ascii="Times New Roman" w:hAnsi="Times New Roman" w:cs="Times New Roman"/>
        </w:rPr>
        <w:t xml:space="preserve">The Company intends to expend existing working capital and net proceeds from the </w:t>
      </w:r>
      <w:r w:rsidR="00CB23B1" w:rsidRPr="00F10C49">
        <w:rPr>
          <w:rFonts w:ascii="Times New Roman" w:hAnsi="Times New Roman" w:cs="Times New Roman"/>
        </w:rPr>
        <w:t>planned public offering</w:t>
      </w:r>
      <w:r w:rsidRPr="00F10C49">
        <w:rPr>
          <w:rFonts w:ascii="Times New Roman" w:hAnsi="Times New Roman" w:cs="Times New Roman"/>
        </w:rPr>
        <w:t xml:space="preserve"> to undertake Phase 1 of the exploration program on the Property, to pay the balance of the estimated costs of the </w:t>
      </w:r>
      <w:r w:rsidR="00CB23B1" w:rsidRPr="00F10C49">
        <w:rPr>
          <w:rFonts w:ascii="Times New Roman" w:hAnsi="Times New Roman" w:cs="Times New Roman"/>
        </w:rPr>
        <w:t>public o</w:t>
      </w:r>
      <w:r w:rsidRPr="00F10C49">
        <w:rPr>
          <w:rFonts w:ascii="Times New Roman" w:hAnsi="Times New Roman" w:cs="Times New Roman"/>
        </w:rPr>
        <w:t xml:space="preserve">ffering, to pay for administrative costs for the next 12 months and for working capital. </w:t>
      </w:r>
    </w:p>
    <w:p w:rsidR="004361A0" w:rsidRPr="00861DA5" w:rsidRDefault="004361A0" w:rsidP="003442C7">
      <w:pPr>
        <w:autoSpaceDE w:val="0"/>
        <w:autoSpaceDN w:val="0"/>
        <w:adjustRightInd w:val="0"/>
        <w:spacing w:after="240" w:line="240" w:lineRule="auto"/>
        <w:jc w:val="both"/>
        <w:rPr>
          <w:rFonts w:ascii="Times New Roman" w:hAnsi="Times New Roman" w:cs="Times New Roman"/>
        </w:rPr>
      </w:pPr>
      <w:r w:rsidRPr="00861DA5">
        <w:rPr>
          <w:rFonts w:ascii="Times New Roman" w:hAnsi="Times New Roman" w:cs="Times New Roman"/>
        </w:rPr>
        <w:t>As consideration for the Property, the Company issued a total of 2,350,777 Property Shares at a deemed price of $0.01 per Property Share.  The deemed value of this acquisition is $23,507.77, which represented a repayment of Mr. Shenton’s acquisition and exploration costs in respect of the Property.  Mr. Shenton has agreed to deposit the Property Shares into escrow.</w:t>
      </w:r>
    </w:p>
    <w:p w:rsidR="004361A0" w:rsidRPr="00861DA5" w:rsidRDefault="004361A0" w:rsidP="003442C7">
      <w:pPr>
        <w:autoSpaceDE w:val="0"/>
        <w:autoSpaceDN w:val="0"/>
        <w:adjustRightInd w:val="0"/>
        <w:spacing w:after="240" w:line="240" w:lineRule="auto"/>
        <w:jc w:val="both"/>
        <w:rPr>
          <w:rFonts w:ascii="Times New Roman" w:hAnsi="Times New Roman" w:cs="Times New Roman"/>
        </w:rPr>
      </w:pPr>
      <w:r w:rsidRPr="00861DA5">
        <w:rPr>
          <w:rFonts w:ascii="Times New Roman" w:hAnsi="Times New Roman" w:cs="Times New Roman"/>
          <w:b/>
        </w:rPr>
        <w:t xml:space="preserve">Exploration Work Completed </w:t>
      </w:r>
      <w:r w:rsidR="004B2C89">
        <w:rPr>
          <w:rFonts w:ascii="Times New Roman" w:hAnsi="Times New Roman" w:cs="Times New Roman"/>
          <w:b/>
        </w:rPr>
        <w:t xml:space="preserve">to </w:t>
      </w:r>
      <w:r w:rsidR="00ED6F85">
        <w:rPr>
          <w:rFonts w:ascii="Times New Roman" w:hAnsi="Times New Roman" w:cs="Times New Roman"/>
          <w:b/>
        </w:rPr>
        <w:t>May 31</w:t>
      </w:r>
      <w:r w:rsidR="004B2C89">
        <w:rPr>
          <w:rFonts w:ascii="Times New Roman" w:hAnsi="Times New Roman" w:cs="Times New Roman"/>
          <w:b/>
        </w:rPr>
        <w:t>, 2019</w:t>
      </w:r>
    </w:p>
    <w:p w:rsidR="004361A0" w:rsidRPr="00861DA5" w:rsidRDefault="004361A0" w:rsidP="003442C7">
      <w:pPr>
        <w:autoSpaceDE w:val="0"/>
        <w:autoSpaceDN w:val="0"/>
        <w:adjustRightInd w:val="0"/>
        <w:spacing w:after="240" w:line="240" w:lineRule="auto"/>
        <w:jc w:val="both"/>
        <w:rPr>
          <w:rFonts w:ascii="Times New Roman" w:hAnsi="Times New Roman" w:cs="Times New Roman"/>
          <w:lang w:eastAsia="en-CA"/>
        </w:rPr>
      </w:pPr>
      <w:r w:rsidRPr="00861DA5">
        <w:rPr>
          <w:rFonts w:ascii="Times New Roman" w:hAnsi="Times New Roman" w:cs="Times New Roman"/>
          <w:lang w:eastAsia="en-CA"/>
        </w:rPr>
        <w:t xml:space="preserve">Based on the results published by Noranda and Longacre, </w:t>
      </w:r>
      <w:r>
        <w:rPr>
          <w:rFonts w:ascii="Times New Roman" w:hAnsi="Times New Roman" w:cs="Times New Roman"/>
          <w:lang w:eastAsia="en-CA"/>
        </w:rPr>
        <w:t xml:space="preserve">the Company </w:t>
      </w:r>
      <w:r w:rsidRPr="00861DA5">
        <w:rPr>
          <w:rFonts w:ascii="Times New Roman" w:hAnsi="Times New Roman" w:cs="Times New Roman"/>
          <w:lang w:eastAsia="en-CA"/>
        </w:rPr>
        <w:t>acquired the Aura project in March of 2018 and completed a follow up program designed to assess the potential for discovery of additional mineralized breccia zones, consisting of airborne magnetic and radiometric surveys, satellite image analysis, digital elevation modelling and a systematic evaluation of available stream, soil and rock geochemical data for the project area.</w:t>
      </w:r>
    </w:p>
    <w:p w:rsidR="004361A0" w:rsidRPr="00861DA5" w:rsidRDefault="004361A0" w:rsidP="003442C7">
      <w:pPr>
        <w:autoSpaceDE w:val="0"/>
        <w:autoSpaceDN w:val="0"/>
        <w:adjustRightInd w:val="0"/>
        <w:spacing w:after="240" w:line="240" w:lineRule="auto"/>
        <w:jc w:val="both"/>
        <w:rPr>
          <w:rFonts w:ascii="Times New Roman" w:hAnsi="Times New Roman" w:cs="Times New Roman"/>
          <w:lang w:eastAsia="en-CA"/>
        </w:rPr>
      </w:pPr>
      <w:r w:rsidRPr="00861DA5">
        <w:rPr>
          <w:rFonts w:ascii="Times New Roman" w:hAnsi="Times New Roman" w:cs="Times New Roman"/>
          <w:lang w:eastAsia="en-CA"/>
        </w:rPr>
        <w:t xml:space="preserve">Results of these programs were encouraging.  The airborne geophysical survey identified a cluster of three high priority target areas centred approximately 1.5 kilometers north of the Noranda Target and identified a series of magnetic lineaments interpreted as possible structurally controlled mineralization localized at or near the bedrock - overburden interface approximately 2.5 kilometers west of the Noranda Target.  Satellite </w:t>
      </w:r>
      <w:r w:rsidRPr="00F10C49">
        <w:rPr>
          <w:rFonts w:ascii="Times New Roman" w:hAnsi="Times New Roman" w:cs="Times New Roman"/>
          <w:lang w:eastAsia="en-CA"/>
        </w:rPr>
        <w:lastRenderedPageBreak/>
        <w:t>imaging and alteration analysis and results of the compilation studies show that the cluster of new targe</w:t>
      </w:r>
      <w:r w:rsidR="00397383" w:rsidRPr="00F10C49">
        <w:rPr>
          <w:rFonts w:ascii="Times New Roman" w:hAnsi="Times New Roman" w:cs="Times New Roman"/>
          <w:lang w:eastAsia="en-CA"/>
        </w:rPr>
        <w:t>ts to the north of the Noranda T</w:t>
      </w:r>
      <w:r w:rsidRPr="00F10C49">
        <w:rPr>
          <w:rFonts w:ascii="Times New Roman" w:hAnsi="Times New Roman" w:cs="Times New Roman"/>
          <w:lang w:eastAsia="en-CA"/>
        </w:rPr>
        <w:t>arget are overburden covered but are localized upslope of a strong “gold in stream” anomaly reported by the BCGS.  The series of magnetic lineaments reported to the west of the Noranda Target exhibit sericite – illite alteration responses in satellite imagery and are localized along the projected extension of a northwest trending series of precious and base metal, vein type occurrences (reported by the BCGS Minfile database) located on mineral tenures controlled by unrelated third parties.</w:t>
      </w:r>
    </w:p>
    <w:p w:rsidR="004361A0" w:rsidRPr="00861DA5" w:rsidRDefault="00F10C49" w:rsidP="003442C7">
      <w:pPr>
        <w:autoSpaceDE w:val="0"/>
        <w:autoSpaceDN w:val="0"/>
        <w:adjustRightInd w:val="0"/>
        <w:spacing w:after="240" w:line="240" w:lineRule="auto"/>
        <w:jc w:val="both"/>
        <w:rPr>
          <w:rFonts w:ascii="Times New Roman" w:hAnsi="Times New Roman" w:cs="Times New Roman"/>
          <w:b/>
        </w:rPr>
      </w:pPr>
      <w:r>
        <w:rPr>
          <w:rFonts w:ascii="Times New Roman" w:hAnsi="Times New Roman" w:cs="Times New Roman"/>
          <w:b/>
        </w:rPr>
        <w:t>Planned</w:t>
      </w:r>
      <w:r w:rsidR="004361A0" w:rsidRPr="00861DA5">
        <w:rPr>
          <w:rFonts w:ascii="Times New Roman" w:hAnsi="Times New Roman" w:cs="Times New Roman"/>
          <w:b/>
        </w:rPr>
        <w:t xml:space="preserve"> Work Program</w:t>
      </w:r>
    </w:p>
    <w:p w:rsidR="004361A0" w:rsidRPr="00861DA5" w:rsidRDefault="004361A0" w:rsidP="003442C7">
      <w:pPr>
        <w:autoSpaceDE w:val="0"/>
        <w:autoSpaceDN w:val="0"/>
        <w:adjustRightInd w:val="0"/>
        <w:spacing w:after="240" w:line="240" w:lineRule="auto"/>
        <w:jc w:val="both"/>
        <w:rPr>
          <w:rFonts w:ascii="Times New Roman" w:hAnsi="Times New Roman" w:cs="Times New Roman"/>
          <w:lang w:eastAsia="en-CA"/>
        </w:rPr>
      </w:pPr>
      <w:r w:rsidRPr="00861DA5">
        <w:rPr>
          <w:rFonts w:ascii="Times New Roman" w:hAnsi="Times New Roman" w:cs="Times New Roman"/>
        </w:rPr>
        <w:t xml:space="preserve">The next stage of exploration work (Stage 1) at the Aura Property </w:t>
      </w:r>
      <w:r w:rsidR="00ED6F85">
        <w:rPr>
          <w:rFonts w:ascii="Times New Roman" w:hAnsi="Times New Roman" w:cs="Times New Roman"/>
        </w:rPr>
        <w:t xml:space="preserve">has commenced and </w:t>
      </w:r>
      <w:r w:rsidRPr="00861DA5">
        <w:rPr>
          <w:rFonts w:ascii="Times New Roman" w:hAnsi="Times New Roman" w:cs="Times New Roman"/>
        </w:rPr>
        <w:t>consist</w:t>
      </w:r>
      <w:r w:rsidR="00ED6F85">
        <w:rPr>
          <w:rFonts w:ascii="Times New Roman" w:hAnsi="Times New Roman" w:cs="Times New Roman"/>
        </w:rPr>
        <w:t>s</w:t>
      </w:r>
      <w:r w:rsidRPr="00861DA5">
        <w:rPr>
          <w:rFonts w:ascii="Times New Roman" w:hAnsi="Times New Roman" w:cs="Times New Roman"/>
        </w:rPr>
        <w:t xml:space="preserve"> of stream sampling and grid or contour based soil geochemical surveys as well as geological mapping.  This work program will be designed to assess the three high priority target areas </w:t>
      </w:r>
      <w:r w:rsidRPr="00861DA5">
        <w:rPr>
          <w:rFonts w:ascii="Times New Roman" w:hAnsi="Times New Roman" w:cs="Times New Roman"/>
          <w:lang w:eastAsia="en-CA"/>
        </w:rPr>
        <w:t xml:space="preserve">centred approximately 1.5 kilometers north of the Noranda Target.  </w:t>
      </w:r>
      <w:r w:rsidR="00ED6F85">
        <w:rPr>
          <w:rFonts w:ascii="Times New Roman" w:hAnsi="Times New Roman" w:cs="Times New Roman"/>
          <w:lang w:eastAsia="en-CA"/>
        </w:rPr>
        <w:t>R</w:t>
      </w:r>
      <w:r w:rsidRPr="00861DA5">
        <w:rPr>
          <w:rFonts w:ascii="Times New Roman" w:hAnsi="Times New Roman" w:cs="Times New Roman"/>
          <w:lang w:eastAsia="en-CA"/>
        </w:rPr>
        <w:t xml:space="preserve">econnaissance scale geochemical surveys and geological mapping </w:t>
      </w:r>
      <w:r w:rsidR="00ED6F85">
        <w:rPr>
          <w:rFonts w:ascii="Times New Roman" w:hAnsi="Times New Roman" w:cs="Times New Roman"/>
          <w:lang w:eastAsia="en-CA"/>
        </w:rPr>
        <w:t xml:space="preserve">will </w:t>
      </w:r>
      <w:r w:rsidRPr="00861DA5">
        <w:rPr>
          <w:rFonts w:ascii="Times New Roman" w:hAnsi="Times New Roman" w:cs="Times New Roman"/>
          <w:lang w:eastAsia="en-CA"/>
        </w:rPr>
        <w:t>be carried out to assess the series of magnetic lineaments interpreted as possible structurally controlled mineralization localized at or near the bedrock - overburden interface approximately 2.5 kilometers west of the Noranda Target.  These programs are considered low impact and do not require permitting.  The total estimated cost of th</w:t>
      </w:r>
      <w:r w:rsidR="00ED6F85">
        <w:rPr>
          <w:rFonts w:ascii="Times New Roman" w:hAnsi="Times New Roman" w:cs="Times New Roman"/>
          <w:lang w:eastAsia="en-CA"/>
        </w:rPr>
        <w:t xml:space="preserve">is </w:t>
      </w:r>
      <w:r w:rsidRPr="00861DA5">
        <w:rPr>
          <w:rFonts w:ascii="Times New Roman" w:hAnsi="Times New Roman" w:cs="Times New Roman"/>
          <w:lang w:eastAsia="en-CA"/>
        </w:rPr>
        <w:t xml:space="preserve">program is $110,000.  </w:t>
      </w:r>
    </w:p>
    <w:p w:rsidR="004361A0" w:rsidRPr="00861DA5" w:rsidRDefault="004361A0" w:rsidP="003442C7">
      <w:pPr>
        <w:spacing w:after="240" w:line="240" w:lineRule="auto"/>
        <w:jc w:val="both"/>
        <w:rPr>
          <w:rFonts w:ascii="Times New Roman" w:hAnsi="Times New Roman" w:cs="Times New Roman"/>
          <w:lang w:eastAsia="en-CA"/>
        </w:rPr>
      </w:pPr>
      <w:r w:rsidRPr="00861DA5">
        <w:rPr>
          <w:rFonts w:ascii="Times New Roman" w:hAnsi="Times New Roman" w:cs="Times New Roman"/>
          <w:lang w:eastAsia="en-CA"/>
        </w:rPr>
        <w:t>In the event that additional, gold bearing, silicified breccia zones are identified during Stage, 1 follow up IP surveys and drilling would be warranted however the costs of these programs cannot be estimated at this stage.  This type of follow up work will require permitting through the Ministry of Mines and consultation with affected First Nations.</w:t>
      </w:r>
    </w:p>
    <w:p w:rsidR="004361A0" w:rsidRPr="00861DA5" w:rsidRDefault="00ED6F85" w:rsidP="003442C7">
      <w:pPr>
        <w:spacing w:after="240" w:line="240" w:lineRule="auto"/>
        <w:jc w:val="center"/>
        <w:rPr>
          <w:rFonts w:ascii="Times New Roman" w:hAnsi="Times New Roman" w:cs="Times New Roman"/>
          <w:u w:val="single"/>
        </w:rPr>
      </w:pPr>
      <w:r>
        <w:rPr>
          <w:rFonts w:ascii="Times New Roman" w:hAnsi="Times New Roman" w:cs="Times New Roman"/>
          <w:u w:val="single"/>
        </w:rPr>
        <w:t>Current</w:t>
      </w:r>
      <w:r w:rsidR="004361A0" w:rsidRPr="00861DA5">
        <w:rPr>
          <w:rFonts w:ascii="Times New Roman" w:hAnsi="Times New Roman" w:cs="Times New Roman"/>
          <w:u w:val="single"/>
        </w:rPr>
        <w:t xml:space="preserve"> Exploration Program</w:t>
      </w:r>
    </w:p>
    <w:tbl>
      <w:tblPr>
        <w:tblStyle w:val="TableGrid"/>
        <w:tblW w:w="0" w:type="auto"/>
        <w:jc w:val="center"/>
        <w:tblLook w:val="04A0" w:firstRow="1" w:lastRow="0" w:firstColumn="1" w:lastColumn="0" w:noHBand="0" w:noVBand="1"/>
      </w:tblPr>
      <w:tblGrid>
        <w:gridCol w:w="5778"/>
        <w:gridCol w:w="1440"/>
      </w:tblGrid>
      <w:tr w:rsidR="004361A0" w:rsidRPr="00861DA5" w:rsidTr="003442C7">
        <w:trPr>
          <w:jc w:val="center"/>
        </w:trPr>
        <w:tc>
          <w:tcPr>
            <w:tcW w:w="5778" w:type="dxa"/>
          </w:tcPr>
          <w:p w:rsidR="004361A0" w:rsidRPr="00861DA5" w:rsidRDefault="004361A0" w:rsidP="003442C7">
            <w:pPr>
              <w:jc w:val="both"/>
              <w:rPr>
                <w:rFonts w:ascii="Times New Roman" w:hAnsi="Times New Roman" w:cs="Times New Roman"/>
                <w:lang w:eastAsia="en-CA"/>
              </w:rPr>
            </w:pPr>
            <w:r w:rsidRPr="00861DA5">
              <w:rPr>
                <w:rFonts w:ascii="Times New Roman" w:hAnsi="Times New Roman" w:cs="Times New Roman"/>
              </w:rPr>
              <w:t>Project supervision, reports</w:t>
            </w:r>
          </w:p>
        </w:tc>
        <w:tc>
          <w:tcPr>
            <w:tcW w:w="1440" w:type="dxa"/>
          </w:tcPr>
          <w:p w:rsidR="004361A0" w:rsidRPr="00861DA5" w:rsidRDefault="004361A0" w:rsidP="003442C7">
            <w:pPr>
              <w:jc w:val="both"/>
              <w:rPr>
                <w:rFonts w:ascii="Times New Roman" w:hAnsi="Times New Roman" w:cs="Times New Roman"/>
                <w:lang w:eastAsia="en-CA"/>
              </w:rPr>
            </w:pPr>
            <w:r w:rsidRPr="00861DA5">
              <w:rPr>
                <w:rFonts w:ascii="Times New Roman" w:hAnsi="Times New Roman" w:cs="Times New Roman"/>
                <w:lang w:eastAsia="en-CA"/>
              </w:rPr>
              <w:t>$15,000</w:t>
            </w:r>
          </w:p>
        </w:tc>
      </w:tr>
      <w:tr w:rsidR="004361A0" w:rsidRPr="00861DA5" w:rsidTr="003442C7">
        <w:trPr>
          <w:jc w:val="center"/>
        </w:trPr>
        <w:tc>
          <w:tcPr>
            <w:tcW w:w="5778" w:type="dxa"/>
          </w:tcPr>
          <w:p w:rsidR="004361A0" w:rsidRPr="00861DA5" w:rsidRDefault="004361A0" w:rsidP="003442C7">
            <w:pPr>
              <w:jc w:val="both"/>
              <w:rPr>
                <w:rFonts w:ascii="Times New Roman" w:hAnsi="Times New Roman" w:cs="Times New Roman"/>
                <w:lang w:eastAsia="en-CA"/>
              </w:rPr>
            </w:pPr>
            <w:r w:rsidRPr="00861DA5">
              <w:rPr>
                <w:rFonts w:ascii="Times New Roman" w:hAnsi="Times New Roman" w:cs="Times New Roman"/>
              </w:rPr>
              <w:t>Field costs, vehicle rentals, helicopter charter</w:t>
            </w:r>
          </w:p>
        </w:tc>
        <w:tc>
          <w:tcPr>
            <w:tcW w:w="1440" w:type="dxa"/>
          </w:tcPr>
          <w:p w:rsidR="004361A0" w:rsidRPr="00861DA5" w:rsidRDefault="004361A0" w:rsidP="003442C7">
            <w:pPr>
              <w:jc w:val="both"/>
              <w:rPr>
                <w:rFonts w:ascii="Times New Roman" w:hAnsi="Times New Roman" w:cs="Times New Roman"/>
                <w:lang w:eastAsia="en-CA"/>
              </w:rPr>
            </w:pPr>
            <w:r w:rsidRPr="00861DA5">
              <w:rPr>
                <w:rFonts w:ascii="Times New Roman" w:hAnsi="Times New Roman" w:cs="Times New Roman"/>
                <w:lang w:eastAsia="en-CA"/>
              </w:rPr>
              <w:t>$20,000</w:t>
            </w:r>
          </w:p>
        </w:tc>
      </w:tr>
      <w:tr w:rsidR="004361A0" w:rsidRPr="00861DA5" w:rsidTr="003442C7">
        <w:trPr>
          <w:jc w:val="center"/>
        </w:trPr>
        <w:tc>
          <w:tcPr>
            <w:tcW w:w="5778" w:type="dxa"/>
          </w:tcPr>
          <w:p w:rsidR="004361A0" w:rsidRPr="00861DA5" w:rsidRDefault="004361A0" w:rsidP="003442C7">
            <w:pPr>
              <w:jc w:val="both"/>
              <w:rPr>
                <w:rFonts w:ascii="Times New Roman" w:hAnsi="Times New Roman" w:cs="Times New Roman"/>
                <w:lang w:eastAsia="en-CA"/>
              </w:rPr>
            </w:pPr>
            <w:r w:rsidRPr="00861DA5">
              <w:rPr>
                <w:rFonts w:ascii="Times New Roman" w:hAnsi="Times New Roman" w:cs="Times New Roman"/>
              </w:rPr>
              <w:t>Field personnel (2 man crew) reconnaissance soil surveys geological mapping (allow 20 days @ $2,500 incl.)</w:t>
            </w:r>
          </w:p>
        </w:tc>
        <w:tc>
          <w:tcPr>
            <w:tcW w:w="1440" w:type="dxa"/>
          </w:tcPr>
          <w:p w:rsidR="004361A0" w:rsidRPr="00861DA5" w:rsidRDefault="004361A0" w:rsidP="003442C7">
            <w:pPr>
              <w:jc w:val="both"/>
              <w:rPr>
                <w:rFonts w:ascii="Times New Roman" w:hAnsi="Times New Roman" w:cs="Times New Roman"/>
                <w:lang w:eastAsia="en-CA"/>
              </w:rPr>
            </w:pPr>
          </w:p>
        </w:tc>
      </w:tr>
      <w:tr w:rsidR="004361A0" w:rsidRPr="00861DA5" w:rsidTr="003442C7">
        <w:trPr>
          <w:jc w:val="center"/>
        </w:trPr>
        <w:tc>
          <w:tcPr>
            <w:tcW w:w="5778" w:type="dxa"/>
          </w:tcPr>
          <w:p w:rsidR="004361A0" w:rsidRPr="00861DA5" w:rsidRDefault="004361A0" w:rsidP="003442C7">
            <w:pPr>
              <w:ind w:left="270"/>
              <w:jc w:val="both"/>
              <w:rPr>
                <w:rFonts w:ascii="Times New Roman" w:hAnsi="Times New Roman" w:cs="Times New Roman"/>
              </w:rPr>
            </w:pPr>
            <w:r w:rsidRPr="00861DA5">
              <w:rPr>
                <w:rFonts w:ascii="Times New Roman" w:hAnsi="Times New Roman" w:cs="Times New Roman"/>
              </w:rPr>
              <w:t>-allowance for mapping and sample collection (1,000 samples)</w:t>
            </w:r>
          </w:p>
        </w:tc>
        <w:tc>
          <w:tcPr>
            <w:tcW w:w="1440" w:type="dxa"/>
          </w:tcPr>
          <w:p w:rsidR="004361A0" w:rsidRPr="00861DA5" w:rsidRDefault="004361A0" w:rsidP="003442C7">
            <w:pPr>
              <w:jc w:val="both"/>
              <w:rPr>
                <w:rFonts w:ascii="Times New Roman" w:hAnsi="Times New Roman" w:cs="Times New Roman"/>
                <w:lang w:eastAsia="en-CA"/>
              </w:rPr>
            </w:pPr>
            <w:r w:rsidRPr="00861DA5">
              <w:rPr>
                <w:rFonts w:ascii="Times New Roman" w:hAnsi="Times New Roman" w:cs="Times New Roman"/>
                <w:lang w:eastAsia="en-CA"/>
              </w:rPr>
              <w:t>$50,000</w:t>
            </w:r>
          </w:p>
        </w:tc>
      </w:tr>
      <w:tr w:rsidR="004361A0" w:rsidRPr="00861DA5" w:rsidTr="003442C7">
        <w:trPr>
          <w:jc w:val="center"/>
        </w:trPr>
        <w:tc>
          <w:tcPr>
            <w:tcW w:w="5778" w:type="dxa"/>
          </w:tcPr>
          <w:p w:rsidR="004361A0" w:rsidRPr="00861DA5" w:rsidRDefault="004361A0" w:rsidP="003442C7">
            <w:pPr>
              <w:ind w:left="270"/>
              <w:jc w:val="both"/>
              <w:rPr>
                <w:rFonts w:ascii="Times New Roman" w:hAnsi="Times New Roman" w:cs="Times New Roman"/>
              </w:rPr>
            </w:pPr>
            <w:r w:rsidRPr="00861DA5">
              <w:rPr>
                <w:rFonts w:ascii="Times New Roman" w:hAnsi="Times New Roman" w:cs="Times New Roman"/>
              </w:rPr>
              <w:t>-soil and rock sample assays (approx. 500 samples)</w:t>
            </w:r>
          </w:p>
        </w:tc>
        <w:tc>
          <w:tcPr>
            <w:tcW w:w="1440" w:type="dxa"/>
          </w:tcPr>
          <w:p w:rsidR="004361A0" w:rsidRPr="00861DA5" w:rsidRDefault="004361A0" w:rsidP="003442C7">
            <w:pPr>
              <w:jc w:val="both"/>
              <w:rPr>
                <w:rFonts w:ascii="Times New Roman" w:hAnsi="Times New Roman" w:cs="Times New Roman"/>
                <w:lang w:eastAsia="en-CA"/>
              </w:rPr>
            </w:pPr>
            <w:r w:rsidRPr="00861DA5">
              <w:rPr>
                <w:rFonts w:ascii="Times New Roman" w:hAnsi="Times New Roman" w:cs="Times New Roman"/>
                <w:lang w:eastAsia="en-CA"/>
              </w:rPr>
              <w:t>$15,000</w:t>
            </w:r>
          </w:p>
        </w:tc>
      </w:tr>
      <w:tr w:rsidR="004361A0" w:rsidRPr="00861DA5" w:rsidTr="003442C7">
        <w:trPr>
          <w:jc w:val="center"/>
        </w:trPr>
        <w:tc>
          <w:tcPr>
            <w:tcW w:w="5778" w:type="dxa"/>
          </w:tcPr>
          <w:p w:rsidR="004361A0" w:rsidRPr="00861DA5" w:rsidRDefault="004361A0" w:rsidP="003442C7">
            <w:pPr>
              <w:jc w:val="both"/>
              <w:rPr>
                <w:rFonts w:ascii="Times New Roman" w:hAnsi="Times New Roman" w:cs="Times New Roman"/>
              </w:rPr>
            </w:pPr>
            <w:r w:rsidRPr="00861DA5">
              <w:rPr>
                <w:rFonts w:ascii="Times New Roman" w:hAnsi="Times New Roman" w:cs="Times New Roman"/>
              </w:rPr>
              <w:t>Contingency</w:t>
            </w:r>
          </w:p>
        </w:tc>
        <w:tc>
          <w:tcPr>
            <w:tcW w:w="1440" w:type="dxa"/>
          </w:tcPr>
          <w:p w:rsidR="004361A0" w:rsidRPr="00861DA5" w:rsidRDefault="004361A0" w:rsidP="003442C7">
            <w:pPr>
              <w:jc w:val="both"/>
              <w:rPr>
                <w:rFonts w:ascii="Times New Roman" w:hAnsi="Times New Roman" w:cs="Times New Roman"/>
                <w:lang w:eastAsia="en-CA"/>
              </w:rPr>
            </w:pPr>
            <w:r w:rsidRPr="00861DA5">
              <w:rPr>
                <w:rFonts w:ascii="Times New Roman" w:hAnsi="Times New Roman" w:cs="Times New Roman"/>
                <w:lang w:eastAsia="en-CA"/>
              </w:rPr>
              <w:t>$10,000</w:t>
            </w:r>
          </w:p>
        </w:tc>
      </w:tr>
      <w:tr w:rsidR="004361A0" w:rsidRPr="00861DA5" w:rsidTr="003442C7">
        <w:trPr>
          <w:jc w:val="center"/>
        </w:trPr>
        <w:tc>
          <w:tcPr>
            <w:tcW w:w="5778" w:type="dxa"/>
          </w:tcPr>
          <w:p w:rsidR="004361A0" w:rsidRPr="00861DA5" w:rsidRDefault="004361A0" w:rsidP="003442C7">
            <w:pPr>
              <w:jc w:val="both"/>
              <w:rPr>
                <w:rFonts w:ascii="Times New Roman" w:hAnsi="Times New Roman" w:cs="Times New Roman"/>
              </w:rPr>
            </w:pPr>
            <w:r w:rsidRPr="00861DA5">
              <w:rPr>
                <w:rFonts w:ascii="Times New Roman" w:hAnsi="Times New Roman" w:cs="Times New Roman"/>
              </w:rPr>
              <w:t>Total estimated cost of Stage 1</w:t>
            </w:r>
          </w:p>
        </w:tc>
        <w:tc>
          <w:tcPr>
            <w:tcW w:w="1440" w:type="dxa"/>
          </w:tcPr>
          <w:p w:rsidR="004361A0" w:rsidRPr="00861DA5" w:rsidRDefault="004361A0" w:rsidP="003442C7">
            <w:pPr>
              <w:jc w:val="both"/>
              <w:rPr>
                <w:rFonts w:ascii="Times New Roman" w:hAnsi="Times New Roman" w:cs="Times New Roman"/>
                <w:lang w:eastAsia="en-CA"/>
              </w:rPr>
            </w:pPr>
            <w:r w:rsidRPr="00861DA5">
              <w:rPr>
                <w:rFonts w:ascii="Times New Roman" w:hAnsi="Times New Roman" w:cs="Times New Roman"/>
                <w:lang w:eastAsia="en-CA"/>
              </w:rPr>
              <w:t>$110,000</w:t>
            </w:r>
          </w:p>
        </w:tc>
      </w:tr>
    </w:tbl>
    <w:p w:rsidR="00F10C49" w:rsidRDefault="00F10C49" w:rsidP="004361A0">
      <w:pPr>
        <w:spacing w:before="240" w:after="240" w:line="240" w:lineRule="auto"/>
        <w:jc w:val="both"/>
        <w:rPr>
          <w:rFonts w:ascii="Times New Roman" w:hAnsi="Times New Roman" w:cs="Times New Roman"/>
          <w:b/>
        </w:rPr>
      </w:pPr>
      <w:r>
        <w:rPr>
          <w:rFonts w:ascii="Times New Roman" w:hAnsi="Times New Roman" w:cs="Times New Roman"/>
          <w:b/>
        </w:rPr>
        <w:t>The Subsequent events section in this document refers to the commencement of this work program as at June 24, 2019</w:t>
      </w:r>
    </w:p>
    <w:p w:rsidR="004361A0" w:rsidRPr="00861DA5" w:rsidRDefault="004361A0" w:rsidP="004361A0">
      <w:pPr>
        <w:spacing w:before="240" w:after="240" w:line="240" w:lineRule="auto"/>
        <w:jc w:val="both"/>
        <w:rPr>
          <w:rFonts w:ascii="Times New Roman" w:hAnsi="Times New Roman" w:cs="Times New Roman"/>
          <w:b/>
        </w:rPr>
      </w:pPr>
      <w:r>
        <w:rPr>
          <w:rFonts w:ascii="Times New Roman" w:hAnsi="Times New Roman" w:cs="Times New Roman"/>
          <w:b/>
        </w:rPr>
        <w:t>Overall Performance</w:t>
      </w:r>
    </w:p>
    <w:p w:rsidR="004361A0" w:rsidRPr="003442C7" w:rsidRDefault="004361A0" w:rsidP="003442C7">
      <w:pPr>
        <w:spacing w:after="240" w:line="240" w:lineRule="auto"/>
        <w:jc w:val="both"/>
        <w:rPr>
          <w:rFonts w:ascii="Times New Roman" w:hAnsi="Times New Roman"/>
          <w:i/>
        </w:rPr>
      </w:pPr>
      <w:r w:rsidRPr="003442C7">
        <w:rPr>
          <w:rFonts w:ascii="Times New Roman" w:hAnsi="Times New Roman"/>
          <w:i/>
        </w:rPr>
        <w:t>Results of Operations</w:t>
      </w:r>
    </w:p>
    <w:p w:rsidR="004361A0" w:rsidRPr="00F10C49" w:rsidRDefault="004361A0" w:rsidP="003442C7">
      <w:pPr>
        <w:spacing w:after="240" w:line="240" w:lineRule="auto"/>
        <w:jc w:val="both"/>
        <w:rPr>
          <w:rFonts w:ascii="Times New Roman" w:hAnsi="Times New Roman" w:cs="Times New Roman"/>
        </w:rPr>
      </w:pPr>
      <w:r w:rsidRPr="00F10C49">
        <w:rPr>
          <w:rFonts w:ascii="Times New Roman" w:hAnsi="Times New Roman" w:cs="Times New Roman"/>
        </w:rPr>
        <w:t>As disclosed above, since formation, the Company has experienced only limited activity and has incurred minimal initial exploration costs and minor general corporate administration costs. See the heading “Description of the Business” .</w:t>
      </w:r>
    </w:p>
    <w:p w:rsidR="004361A0" w:rsidRPr="00861DA5" w:rsidRDefault="004361A0" w:rsidP="003442C7">
      <w:pPr>
        <w:spacing w:after="240" w:line="240" w:lineRule="auto"/>
        <w:jc w:val="both"/>
        <w:rPr>
          <w:rFonts w:ascii="Times New Roman" w:hAnsi="Times New Roman" w:cs="Times New Roman"/>
        </w:rPr>
      </w:pPr>
      <w:r w:rsidRPr="00861DA5">
        <w:rPr>
          <w:rFonts w:ascii="Times New Roman" w:hAnsi="Times New Roman" w:cs="Times New Roman"/>
        </w:rPr>
        <w:t xml:space="preserve">The risks associated with the </w:t>
      </w:r>
      <w:r>
        <w:rPr>
          <w:rFonts w:ascii="Times New Roman" w:hAnsi="Times New Roman" w:cs="Times New Roman"/>
        </w:rPr>
        <w:t>p</w:t>
      </w:r>
      <w:r w:rsidRPr="00861DA5">
        <w:rPr>
          <w:rFonts w:ascii="Times New Roman" w:hAnsi="Times New Roman" w:cs="Times New Roman"/>
        </w:rPr>
        <w:t>roject are out</w:t>
      </w:r>
      <w:r w:rsidR="00CB23B1">
        <w:rPr>
          <w:rFonts w:ascii="Times New Roman" w:hAnsi="Times New Roman" w:cs="Times New Roman"/>
        </w:rPr>
        <w:t xml:space="preserve">lined </w:t>
      </w:r>
      <w:r>
        <w:rPr>
          <w:rFonts w:ascii="Times New Roman" w:hAnsi="Times New Roman" w:cs="Times New Roman"/>
        </w:rPr>
        <w:t xml:space="preserve">under the heading </w:t>
      </w:r>
      <w:r w:rsidRPr="00861DA5">
        <w:rPr>
          <w:rFonts w:ascii="Times New Roman" w:hAnsi="Times New Roman" w:cs="Times New Roman"/>
        </w:rPr>
        <w:t>“Risk Factors”.</w:t>
      </w:r>
    </w:p>
    <w:p w:rsidR="004361A0" w:rsidRPr="003442C7" w:rsidRDefault="004361A0" w:rsidP="003442C7">
      <w:pPr>
        <w:spacing w:after="240" w:line="240" w:lineRule="auto"/>
        <w:jc w:val="both"/>
        <w:rPr>
          <w:rFonts w:ascii="Times New Roman" w:hAnsi="Times New Roman"/>
          <w:i/>
        </w:rPr>
      </w:pPr>
      <w:r w:rsidRPr="003442C7">
        <w:rPr>
          <w:rFonts w:ascii="Times New Roman" w:hAnsi="Times New Roman"/>
          <w:i/>
        </w:rPr>
        <w:t>Selected Financial Information</w:t>
      </w:r>
    </w:p>
    <w:p w:rsidR="004361A0" w:rsidRPr="00861DA5" w:rsidRDefault="004361A0" w:rsidP="003442C7">
      <w:pPr>
        <w:spacing w:after="240" w:line="240" w:lineRule="auto"/>
        <w:jc w:val="both"/>
        <w:rPr>
          <w:rFonts w:ascii="Times New Roman" w:hAnsi="Times New Roman" w:cs="Times New Roman"/>
        </w:rPr>
      </w:pPr>
      <w:r w:rsidRPr="00861DA5">
        <w:rPr>
          <w:rFonts w:ascii="Times New Roman" w:hAnsi="Times New Roman" w:cs="Times New Roman"/>
        </w:rPr>
        <w:lastRenderedPageBreak/>
        <w:t xml:space="preserve">The following table represents selected financial information derived from the Company’s </w:t>
      </w:r>
      <w:r>
        <w:rPr>
          <w:rFonts w:ascii="Times New Roman" w:hAnsi="Times New Roman" w:cs="Times New Roman"/>
        </w:rPr>
        <w:t>f</w:t>
      </w:r>
      <w:r w:rsidRPr="00861DA5">
        <w:rPr>
          <w:rFonts w:ascii="Times New Roman" w:hAnsi="Times New Roman" w:cs="Times New Roman"/>
        </w:rPr>
        <w:t xml:space="preserve">inancial </w:t>
      </w:r>
      <w:r>
        <w:rPr>
          <w:rFonts w:ascii="Times New Roman" w:hAnsi="Times New Roman" w:cs="Times New Roman"/>
        </w:rPr>
        <w:t>s</w:t>
      </w:r>
      <w:r w:rsidRPr="00861DA5">
        <w:rPr>
          <w:rFonts w:ascii="Times New Roman" w:hAnsi="Times New Roman" w:cs="Times New Roman"/>
        </w:rPr>
        <w:t xml:space="preserve">tatements and should be read in conjunction with the </w:t>
      </w:r>
      <w:r>
        <w:rPr>
          <w:rFonts w:ascii="Times New Roman" w:hAnsi="Times New Roman" w:cs="Times New Roman"/>
        </w:rPr>
        <w:t>f</w:t>
      </w:r>
      <w:r w:rsidRPr="00861DA5">
        <w:rPr>
          <w:rFonts w:ascii="Times New Roman" w:hAnsi="Times New Roman" w:cs="Times New Roman"/>
        </w:rPr>
        <w:t xml:space="preserve">inancial </w:t>
      </w:r>
      <w:r>
        <w:rPr>
          <w:rFonts w:ascii="Times New Roman" w:hAnsi="Times New Roman" w:cs="Times New Roman"/>
        </w:rPr>
        <w:t>s</w:t>
      </w:r>
      <w:r w:rsidRPr="00861DA5">
        <w:rPr>
          <w:rFonts w:ascii="Times New Roman" w:hAnsi="Times New Roman" w:cs="Times New Roman"/>
        </w:rPr>
        <w:t>tatements.</w:t>
      </w:r>
    </w:p>
    <w:p w:rsidR="004361A0" w:rsidRPr="004A6ED1" w:rsidRDefault="004361A0" w:rsidP="003442C7">
      <w:pPr>
        <w:spacing w:before="240" w:after="240" w:line="240" w:lineRule="auto"/>
        <w:jc w:val="both"/>
        <w:rPr>
          <w:rFonts w:ascii="Times New Roman" w:hAnsi="Times New Roman" w:cs="Times New Roman"/>
        </w:rPr>
      </w:pPr>
      <w:r w:rsidRPr="004A6ED1">
        <w:rPr>
          <w:rFonts w:ascii="Times New Roman" w:hAnsi="Times New Roman" w:cs="Times New Roman"/>
        </w:rPr>
        <w:t>The Company anticipates that, for the foreseeable future, quarterly results of operations will primarily be impacted by several factors, including the timing of exploration and the efforts and timing of expenditures related to the development of the Company.  Due to fluctuations in these factors, the Company believes that the period-to-period comparisons of operating results are not a good indication of its future performance.</w:t>
      </w:r>
    </w:p>
    <w:tbl>
      <w:tblPr>
        <w:tblW w:w="9520" w:type="dxa"/>
        <w:tblLook w:val="04A0" w:firstRow="1" w:lastRow="0" w:firstColumn="1" w:lastColumn="0" w:noHBand="0" w:noVBand="1"/>
      </w:tblPr>
      <w:tblGrid>
        <w:gridCol w:w="1182"/>
        <w:gridCol w:w="1200"/>
        <w:gridCol w:w="960"/>
        <w:gridCol w:w="1280"/>
        <w:gridCol w:w="740"/>
        <w:gridCol w:w="1280"/>
        <w:gridCol w:w="860"/>
        <w:gridCol w:w="1280"/>
        <w:gridCol w:w="860"/>
      </w:tblGrid>
      <w:tr w:rsidR="00C236A4" w:rsidRPr="00C236A4" w:rsidTr="00C236A4">
        <w:trPr>
          <w:trHeight w:val="288"/>
        </w:trPr>
        <w:tc>
          <w:tcPr>
            <w:tcW w:w="106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Times New Roman" w:eastAsia="Times New Roman" w:hAnsi="Times New Roman" w:cs="Times New Roman"/>
                <w:sz w:val="24"/>
                <w:szCs w:val="24"/>
                <w:lang w:eastAsia="en-CA"/>
              </w:rPr>
            </w:pPr>
          </w:p>
        </w:tc>
        <w:tc>
          <w:tcPr>
            <w:tcW w:w="2160" w:type="dxa"/>
            <w:gridSpan w:val="2"/>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Calibri" w:eastAsia="Times New Roman" w:hAnsi="Calibri" w:cs="Calibri"/>
                <w:b/>
                <w:bCs/>
                <w:color w:val="000000"/>
                <w:lang w:eastAsia="en-CA"/>
              </w:rPr>
            </w:pPr>
            <w:r w:rsidRPr="00C236A4">
              <w:rPr>
                <w:rFonts w:ascii="Calibri" w:eastAsia="Times New Roman" w:hAnsi="Calibri" w:cs="Calibri"/>
                <w:b/>
                <w:bCs/>
                <w:color w:val="000000"/>
                <w:lang w:eastAsia="en-CA"/>
              </w:rPr>
              <w:t>For the period from</w:t>
            </w:r>
          </w:p>
        </w:tc>
        <w:tc>
          <w:tcPr>
            <w:tcW w:w="128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Calibri" w:eastAsia="Times New Roman" w:hAnsi="Calibri" w:cs="Calibri"/>
                <w:b/>
                <w:bCs/>
                <w:color w:val="000000"/>
                <w:lang w:eastAsia="en-CA"/>
              </w:rPr>
            </w:pPr>
          </w:p>
        </w:tc>
        <w:tc>
          <w:tcPr>
            <w:tcW w:w="74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c>
          <w:tcPr>
            <w:tcW w:w="128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c>
          <w:tcPr>
            <w:tcW w:w="86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c>
          <w:tcPr>
            <w:tcW w:w="128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c>
          <w:tcPr>
            <w:tcW w:w="86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r>
      <w:tr w:rsidR="00C236A4" w:rsidRPr="00C236A4" w:rsidTr="00C236A4">
        <w:trPr>
          <w:trHeight w:val="288"/>
        </w:trPr>
        <w:tc>
          <w:tcPr>
            <w:tcW w:w="106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c>
          <w:tcPr>
            <w:tcW w:w="120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Calibri" w:eastAsia="Times New Roman" w:hAnsi="Calibri" w:cs="Calibri"/>
                <w:b/>
                <w:bCs/>
                <w:color w:val="000000"/>
                <w:lang w:eastAsia="en-CA"/>
              </w:rPr>
            </w:pPr>
            <w:r w:rsidRPr="00C236A4">
              <w:rPr>
                <w:rFonts w:ascii="Calibri" w:eastAsia="Times New Roman" w:hAnsi="Calibri" w:cs="Calibri"/>
                <w:b/>
                <w:bCs/>
                <w:color w:val="000000"/>
                <w:lang w:eastAsia="en-CA"/>
              </w:rPr>
              <w:t>Inception to</w:t>
            </w:r>
          </w:p>
        </w:tc>
        <w:tc>
          <w:tcPr>
            <w:tcW w:w="96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Calibri" w:eastAsia="Times New Roman" w:hAnsi="Calibri" w:cs="Calibri"/>
                <w:b/>
                <w:bCs/>
                <w:color w:val="000000"/>
                <w:lang w:eastAsia="en-CA"/>
              </w:rPr>
            </w:pPr>
          </w:p>
        </w:tc>
        <w:tc>
          <w:tcPr>
            <w:tcW w:w="128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c>
          <w:tcPr>
            <w:tcW w:w="74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c>
          <w:tcPr>
            <w:tcW w:w="128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c>
          <w:tcPr>
            <w:tcW w:w="86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c>
          <w:tcPr>
            <w:tcW w:w="128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c>
          <w:tcPr>
            <w:tcW w:w="86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r>
      <w:tr w:rsidR="00C236A4" w:rsidRPr="00C236A4" w:rsidTr="00C236A4">
        <w:trPr>
          <w:trHeight w:val="288"/>
        </w:trPr>
        <w:tc>
          <w:tcPr>
            <w:tcW w:w="106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c>
          <w:tcPr>
            <w:tcW w:w="1200" w:type="dxa"/>
            <w:tcBorders>
              <w:top w:val="nil"/>
              <w:left w:val="nil"/>
              <w:bottom w:val="nil"/>
              <w:right w:val="nil"/>
            </w:tcBorders>
            <w:shd w:val="clear" w:color="auto" w:fill="auto"/>
            <w:noWrap/>
            <w:vAlign w:val="center"/>
            <w:hideMark/>
          </w:tcPr>
          <w:p w:rsidR="00C236A4" w:rsidRPr="00C236A4" w:rsidRDefault="00C236A4" w:rsidP="00C236A4">
            <w:pPr>
              <w:spacing w:after="0" w:line="240" w:lineRule="auto"/>
              <w:rPr>
                <w:rFonts w:ascii="Calibri" w:eastAsia="Times New Roman" w:hAnsi="Calibri" w:cs="Calibri"/>
                <w:b/>
                <w:bCs/>
                <w:color w:val="000000"/>
                <w:lang w:eastAsia="en-CA"/>
              </w:rPr>
            </w:pPr>
            <w:r w:rsidRPr="00C236A4">
              <w:rPr>
                <w:rFonts w:ascii="Calibri" w:eastAsia="Times New Roman" w:hAnsi="Calibri" w:cs="Calibri"/>
                <w:b/>
                <w:bCs/>
                <w:color w:val="000000"/>
                <w:lang w:eastAsia="en-CA"/>
              </w:rPr>
              <w:t>Aug 31</w:t>
            </w:r>
            <w:r w:rsidR="005124F3">
              <w:rPr>
                <w:rFonts w:ascii="Calibri" w:eastAsia="Times New Roman" w:hAnsi="Calibri" w:cs="Calibri"/>
                <w:b/>
                <w:bCs/>
                <w:color w:val="000000"/>
                <w:lang w:eastAsia="en-CA"/>
              </w:rPr>
              <w:t>/</w:t>
            </w:r>
            <w:r w:rsidRPr="00C236A4">
              <w:rPr>
                <w:rFonts w:ascii="Calibri" w:eastAsia="Times New Roman" w:hAnsi="Calibri" w:cs="Calibri"/>
                <w:b/>
                <w:bCs/>
                <w:color w:val="000000"/>
                <w:lang w:eastAsia="en-CA"/>
              </w:rPr>
              <w:t>18</w:t>
            </w:r>
          </w:p>
        </w:tc>
        <w:tc>
          <w:tcPr>
            <w:tcW w:w="960" w:type="dxa"/>
            <w:tcBorders>
              <w:top w:val="nil"/>
              <w:left w:val="nil"/>
              <w:bottom w:val="nil"/>
              <w:right w:val="nil"/>
            </w:tcBorders>
            <w:shd w:val="clear" w:color="auto" w:fill="auto"/>
            <w:noWrap/>
            <w:vAlign w:val="center"/>
            <w:hideMark/>
          </w:tcPr>
          <w:p w:rsidR="00C236A4" w:rsidRPr="00C236A4" w:rsidRDefault="00C236A4" w:rsidP="00C236A4">
            <w:pPr>
              <w:spacing w:after="0" w:line="240" w:lineRule="auto"/>
              <w:rPr>
                <w:rFonts w:ascii="Calibri" w:eastAsia="Times New Roman" w:hAnsi="Calibri" w:cs="Calibri"/>
                <w:b/>
                <w:bCs/>
                <w:color w:val="000000"/>
                <w:lang w:eastAsia="en-CA"/>
              </w:rPr>
            </w:pPr>
          </w:p>
        </w:tc>
        <w:tc>
          <w:tcPr>
            <w:tcW w:w="2020" w:type="dxa"/>
            <w:gridSpan w:val="2"/>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Calibri" w:eastAsia="Times New Roman" w:hAnsi="Calibri" w:cs="Calibri"/>
                <w:b/>
                <w:bCs/>
                <w:color w:val="000000"/>
                <w:lang w:eastAsia="en-CA"/>
              </w:rPr>
            </w:pPr>
            <w:r w:rsidRPr="00C236A4">
              <w:rPr>
                <w:rFonts w:ascii="Calibri" w:eastAsia="Times New Roman" w:hAnsi="Calibri" w:cs="Calibri"/>
                <w:b/>
                <w:bCs/>
                <w:color w:val="000000"/>
                <w:lang w:eastAsia="en-CA"/>
              </w:rPr>
              <w:t>Sept 1/18-Nov 30/18</w:t>
            </w:r>
          </w:p>
        </w:tc>
        <w:tc>
          <w:tcPr>
            <w:tcW w:w="2140" w:type="dxa"/>
            <w:gridSpan w:val="2"/>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Calibri" w:eastAsia="Times New Roman" w:hAnsi="Calibri" w:cs="Calibri"/>
                <w:b/>
                <w:bCs/>
                <w:color w:val="000000"/>
                <w:lang w:eastAsia="en-CA"/>
              </w:rPr>
            </w:pPr>
            <w:r w:rsidRPr="00C236A4">
              <w:rPr>
                <w:rFonts w:ascii="Calibri" w:eastAsia="Times New Roman" w:hAnsi="Calibri" w:cs="Calibri"/>
                <w:b/>
                <w:bCs/>
                <w:color w:val="000000"/>
                <w:lang w:eastAsia="en-CA"/>
              </w:rPr>
              <w:t>Dec 1/18-Feb 28/19</w:t>
            </w:r>
          </w:p>
        </w:tc>
        <w:tc>
          <w:tcPr>
            <w:tcW w:w="2140" w:type="dxa"/>
            <w:gridSpan w:val="2"/>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Calibri" w:eastAsia="Times New Roman" w:hAnsi="Calibri" w:cs="Calibri"/>
                <w:b/>
                <w:bCs/>
                <w:color w:val="000000"/>
                <w:lang w:eastAsia="en-CA"/>
              </w:rPr>
            </w:pPr>
            <w:r w:rsidRPr="00C236A4">
              <w:rPr>
                <w:rFonts w:ascii="Calibri" w:eastAsia="Times New Roman" w:hAnsi="Calibri" w:cs="Calibri"/>
                <w:b/>
                <w:bCs/>
                <w:color w:val="000000"/>
                <w:lang w:eastAsia="en-CA"/>
              </w:rPr>
              <w:t>Mar 1/19-May 31/19</w:t>
            </w:r>
          </w:p>
        </w:tc>
      </w:tr>
      <w:tr w:rsidR="00C236A4" w:rsidRPr="00C236A4" w:rsidTr="00C236A4">
        <w:trPr>
          <w:trHeight w:val="288"/>
        </w:trPr>
        <w:tc>
          <w:tcPr>
            <w:tcW w:w="106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Calibri" w:eastAsia="Times New Roman" w:hAnsi="Calibri" w:cs="Calibri"/>
                <w:b/>
                <w:bCs/>
                <w:color w:val="000000"/>
                <w:lang w:eastAsia="en-CA"/>
              </w:rPr>
            </w:pPr>
          </w:p>
        </w:tc>
        <w:tc>
          <w:tcPr>
            <w:tcW w:w="1200" w:type="dxa"/>
            <w:tcBorders>
              <w:top w:val="nil"/>
              <w:left w:val="nil"/>
              <w:bottom w:val="nil"/>
              <w:right w:val="nil"/>
            </w:tcBorders>
            <w:shd w:val="clear" w:color="auto" w:fill="auto"/>
            <w:noWrap/>
            <w:vAlign w:val="center"/>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center"/>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c>
          <w:tcPr>
            <w:tcW w:w="128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c>
          <w:tcPr>
            <w:tcW w:w="74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c>
          <w:tcPr>
            <w:tcW w:w="128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c>
          <w:tcPr>
            <w:tcW w:w="86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c>
          <w:tcPr>
            <w:tcW w:w="128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c>
          <w:tcPr>
            <w:tcW w:w="86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r>
      <w:tr w:rsidR="00C236A4" w:rsidRPr="00C236A4" w:rsidTr="00C236A4">
        <w:trPr>
          <w:trHeight w:val="288"/>
        </w:trPr>
        <w:tc>
          <w:tcPr>
            <w:tcW w:w="106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c>
          <w:tcPr>
            <w:tcW w:w="1200" w:type="dxa"/>
            <w:tcBorders>
              <w:top w:val="nil"/>
              <w:left w:val="nil"/>
              <w:bottom w:val="nil"/>
              <w:right w:val="nil"/>
            </w:tcBorders>
            <w:shd w:val="clear" w:color="auto" w:fill="auto"/>
            <w:noWrap/>
            <w:vAlign w:val="center"/>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center"/>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c>
          <w:tcPr>
            <w:tcW w:w="1280" w:type="dxa"/>
            <w:tcBorders>
              <w:top w:val="nil"/>
              <w:left w:val="nil"/>
              <w:bottom w:val="nil"/>
              <w:right w:val="nil"/>
            </w:tcBorders>
            <w:shd w:val="clear" w:color="auto" w:fill="auto"/>
            <w:noWrap/>
            <w:vAlign w:val="center"/>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c>
          <w:tcPr>
            <w:tcW w:w="74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c>
          <w:tcPr>
            <w:tcW w:w="128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c>
          <w:tcPr>
            <w:tcW w:w="86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c>
          <w:tcPr>
            <w:tcW w:w="128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c>
          <w:tcPr>
            <w:tcW w:w="86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r>
      <w:tr w:rsidR="00C236A4" w:rsidRPr="00C236A4" w:rsidTr="00C236A4">
        <w:trPr>
          <w:trHeight w:val="288"/>
        </w:trPr>
        <w:tc>
          <w:tcPr>
            <w:tcW w:w="106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c>
          <w:tcPr>
            <w:tcW w:w="1200" w:type="dxa"/>
            <w:tcBorders>
              <w:top w:val="nil"/>
              <w:left w:val="nil"/>
              <w:bottom w:val="nil"/>
              <w:right w:val="nil"/>
            </w:tcBorders>
            <w:shd w:val="clear" w:color="auto" w:fill="auto"/>
            <w:noWrap/>
            <w:vAlign w:val="center"/>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center"/>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c>
          <w:tcPr>
            <w:tcW w:w="1280" w:type="dxa"/>
            <w:tcBorders>
              <w:top w:val="nil"/>
              <w:left w:val="nil"/>
              <w:bottom w:val="nil"/>
              <w:right w:val="nil"/>
            </w:tcBorders>
            <w:shd w:val="clear" w:color="auto" w:fill="auto"/>
            <w:noWrap/>
            <w:vAlign w:val="center"/>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c>
          <w:tcPr>
            <w:tcW w:w="74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c>
          <w:tcPr>
            <w:tcW w:w="128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c>
          <w:tcPr>
            <w:tcW w:w="86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c>
          <w:tcPr>
            <w:tcW w:w="128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c>
          <w:tcPr>
            <w:tcW w:w="86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r>
      <w:tr w:rsidR="00C236A4" w:rsidRPr="00C236A4" w:rsidTr="00C236A4">
        <w:trPr>
          <w:trHeight w:val="552"/>
        </w:trPr>
        <w:tc>
          <w:tcPr>
            <w:tcW w:w="1060" w:type="dxa"/>
            <w:tcBorders>
              <w:top w:val="nil"/>
              <w:left w:val="nil"/>
              <w:bottom w:val="nil"/>
              <w:right w:val="nil"/>
            </w:tcBorders>
            <w:shd w:val="clear" w:color="auto" w:fill="auto"/>
            <w:vAlign w:val="center"/>
            <w:hideMark/>
          </w:tcPr>
          <w:p w:rsidR="00C236A4" w:rsidRPr="00C236A4" w:rsidRDefault="00C236A4" w:rsidP="00C236A4">
            <w:pPr>
              <w:spacing w:after="0" w:line="240" w:lineRule="auto"/>
              <w:jc w:val="both"/>
              <w:rPr>
                <w:rFonts w:ascii="Times New Roman" w:eastAsia="Times New Roman" w:hAnsi="Times New Roman" w:cs="Times New Roman"/>
                <w:b/>
                <w:bCs/>
                <w:color w:val="000000"/>
                <w:lang w:eastAsia="en-CA"/>
              </w:rPr>
            </w:pPr>
            <w:r w:rsidRPr="00C236A4">
              <w:rPr>
                <w:rFonts w:ascii="Times New Roman" w:eastAsia="Times New Roman" w:hAnsi="Times New Roman" w:cs="Times New Roman"/>
                <w:b/>
                <w:bCs/>
                <w:color w:val="000000"/>
                <w:lang w:eastAsia="en-CA"/>
              </w:rPr>
              <w:t>Gross Revenue</w:t>
            </w:r>
          </w:p>
        </w:tc>
        <w:tc>
          <w:tcPr>
            <w:tcW w:w="1200" w:type="dxa"/>
            <w:tcBorders>
              <w:top w:val="nil"/>
              <w:left w:val="nil"/>
              <w:bottom w:val="nil"/>
              <w:right w:val="nil"/>
            </w:tcBorders>
            <w:shd w:val="clear" w:color="auto" w:fill="auto"/>
            <w:vAlign w:val="center"/>
            <w:hideMark/>
          </w:tcPr>
          <w:p w:rsidR="00C236A4" w:rsidRPr="00C236A4" w:rsidRDefault="00C236A4" w:rsidP="00C236A4">
            <w:pPr>
              <w:spacing w:after="0" w:line="240" w:lineRule="auto"/>
              <w:jc w:val="both"/>
              <w:rPr>
                <w:rFonts w:ascii="Times New Roman" w:eastAsia="Times New Roman" w:hAnsi="Times New Roman" w:cs="Times New Roman"/>
                <w:color w:val="000000"/>
                <w:lang w:eastAsia="en-CA"/>
              </w:rPr>
            </w:pPr>
            <w:r w:rsidRPr="00C236A4">
              <w:rPr>
                <w:rFonts w:ascii="Times New Roman" w:eastAsia="Times New Roman" w:hAnsi="Times New Roman" w:cs="Times New Roman"/>
                <w:color w:val="000000"/>
                <w:lang w:eastAsia="en-CA"/>
              </w:rPr>
              <w:t>$Nil</w:t>
            </w:r>
          </w:p>
        </w:tc>
        <w:tc>
          <w:tcPr>
            <w:tcW w:w="96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jc w:val="both"/>
              <w:rPr>
                <w:rFonts w:ascii="Times New Roman" w:eastAsia="Times New Roman" w:hAnsi="Times New Roman" w:cs="Times New Roman"/>
                <w:color w:val="000000"/>
                <w:lang w:eastAsia="en-CA"/>
              </w:rPr>
            </w:pPr>
          </w:p>
        </w:tc>
        <w:tc>
          <w:tcPr>
            <w:tcW w:w="1280" w:type="dxa"/>
            <w:tcBorders>
              <w:top w:val="nil"/>
              <w:left w:val="nil"/>
              <w:bottom w:val="nil"/>
              <w:right w:val="nil"/>
            </w:tcBorders>
            <w:shd w:val="clear" w:color="auto" w:fill="auto"/>
            <w:noWrap/>
            <w:vAlign w:val="center"/>
            <w:hideMark/>
          </w:tcPr>
          <w:p w:rsidR="00C236A4" w:rsidRPr="00C236A4" w:rsidRDefault="00C236A4" w:rsidP="00C236A4">
            <w:pPr>
              <w:spacing w:after="0" w:line="240" w:lineRule="auto"/>
              <w:rPr>
                <w:rFonts w:ascii="Calibri" w:eastAsia="Times New Roman" w:hAnsi="Calibri" w:cs="Calibri"/>
                <w:color w:val="000000"/>
                <w:lang w:eastAsia="en-CA"/>
              </w:rPr>
            </w:pPr>
            <w:r w:rsidRPr="00C236A4">
              <w:rPr>
                <w:rFonts w:ascii="Calibri" w:eastAsia="Times New Roman" w:hAnsi="Calibri" w:cs="Calibri"/>
                <w:color w:val="000000"/>
                <w:lang w:eastAsia="en-CA"/>
              </w:rPr>
              <w:t>$Nil</w:t>
            </w:r>
          </w:p>
        </w:tc>
        <w:tc>
          <w:tcPr>
            <w:tcW w:w="74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Calibri" w:eastAsia="Times New Roman" w:hAnsi="Calibri" w:cs="Calibri"/>
                <w:color w:val="000000"/>
                <w:lang w:eastAsia="en-CA"/>
              </w:rPr>
            </w:pPr>
          </w:p>
        </w:tc>
        <w:tc>
          <w:tcPr>
            <w:tcW w:w="1280" w:type="dxa"/>
            <w:tcBorders>
              <w:top w:val="nil"/>
              <w:left w:val="nil"/>
              <w:bottom w:val="nil"/>
              <w:right w:val="nil"/>
            </w:tcBorders>
            <w:shd w:val="clear" w:color="auto" w:fill="auto"/>
            <w:noWrap/>
            <w:vAlign w:val="center"/>
            <w:hideMark/>
          </w:tcPr>
          <w:p w:rsidR="00C236A4" w:rsidRPr="00C236A4" w:rsidRDefault="00C236A4" w:rsidP="00C236A4">
            <w:pPr>
              <w:spacing w:after="0" w:line="240" w:lineRule="auto"/>
              <w:rPr>
                <w:rFonts w:ascii="Calibri" w:eastAsia="Times New Roman" w:hAnsi="Calibri" w:cs="Calibri"/>
                <w:color w:val="000000"/>
                <w:lang w:eastAsia="en-CA"/>
              </w:rPr>
            </w:pPr>
            <w:r w:rsidRPr="00C236A4">
              <w:rPr>
                <w:rFonts w:ascii="Calibri" w:eastAsia="Times New Roman" w:hAnsi="Calibri" w:cs="Calibri"/>
                <w:color w:val="000000"/>
                <w:lang w:eastAsia="en-CA"/>
              </w:rPr>
              <w:t>$Nil</w:t>
            </w:r>
          </w:p>
        </w:tc>
        <w:tc>
          <w:tcPr>
            <w:tcW w:w="86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Calibri" w:eastAsia="Times New Roman" w:hAnsi="Calibri" w:cs="Calibri"/>
                <w:color w:val="000000"/>
                <w:lang w:eastAsia="en-CA"/>
              </w:rPr>
            </w:pPr>
          </w:p>
        </w:tc>
        <w:tc>
          <w:tcPr>
            <w:tcW w:w="1280" w:type="dxa"/>
            <w:tcBorders>
              <w:top w:val="nil"/>
              <w:left w:val="nil"/>
              <w:bottom w:val="nil"/>
              <w:right w:val="nil"/>
            </w:tcBorders>
            <w:shd w:val="clear" w:color="auto" w:fill="auto"/>
            <w:noWrap/>
            <w:vAlign w:val="center"/>
            <w:hideMark/>
          </w:tcPr>
          <w:p w:rsidR="00C236A4" w:rsidRPr="00C236A4" w:rsidRDefault="00C236A4" w:rsidP="00C236A4">
            <w:pPr>
              <w:spacing w:after="0" w:line="240" w:lineRule="auto"/>
              <w:rPr>
                <w:rFonts w:ascii="Calibri" w:eastAsia="Times New Roman" w:hAnsi="Calibri" w:cs="Calibri"/>
                <w:color w:val="000000"/>
                <w:lang w:eastAsia="en-CA"/>
              </w:rPr>
            </w:pPr>
            <w:r w:rsidRPr="00C236A4">
              <w:rPr>
                <w:rFonts w:ascii="Calibri" w:eastAsia="Times New Roman" w:hAnsi="Calibri" w:cs="Calibri"/>
                <w:color w:val="000000"/>
                <w:lang w:eastAsia="en-CA"/>
              </w:rPr>
              <w:t>$Nil</w:t>
            </w:r>
          </w:p>
        </w:tc>
        <w:tc>
          <w:tcPr>
            <w:tcW w:w="86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Calibri" w:eastAsia="Times New Roman" w:hAnsi="Calibri" w:cs="Calibri"/>
                <w:color w:val="000000"/>
                <w:lang w:eastAsia="en-CA"/>
              </w:rPr>
            </w:pPr>
          </w:p>
        </w:tc>
      </w:tr>
      <w:tr w:rsidR="00C236A4" w:rsidRPr="00C236A4" w:rsidTr="00C236A4">
        <w:trPr>
          <w:trHeight w:val="552"/>
        </w:trPr>
        <w:tc>
          <w:tcPr>
            <w:tcW w:w="1060" w:type="dxa"/>
            <w:tcBorders>
              <w:top w:val="nil"/>
              <w:left w:val="nil"/>
              <w:bottom w:val="nil"/>
              <w:right w:val="nil"/>
            </w:tcBorders>
            <w:shd w:val="clear" w:color="auto" w:fill="auto"/>
            <w:vAlign w:val="center"/>
            <w:hideMark/>
          </w:tcPr>
          <w:p w:rsidR="00C236A4" w:rsidRPr="00C236A4" w:rsidRDefault="00C236A4" w:rsidP="00C236A4">
            <w:pPr>
              <w:spacing w:after="0" w:line="240" w:lineRule="auto"/>
              <w:jc w:val="both"/>
              <w:rPr>
                <w:rFonts w:ascii="Times New Roman" w:eastAsia="Times New Roman" w:hAnsi="Times New Roman" w:cs="Times New Roman"/>
                <w:b/>
                <w:bCs/>
                <w:color w:val="000000"/>
                <w:lang w:eastAsia="en-CA"/>
              </w:rPr>
            </w:pPr>
            <w:r w:rsidRPr="00C236A4">
              <w:rPr>
                <w:rFonts w:ascii="Times New Roman" w:eastAsia="Times New Roman" w:hAnsi="Times New Roman" w:cs="Times New Roman"/>
                <w:b/>
                <w:bCs/>
                <w:color w:val="000000"/>
                <w:lang w:eastAsia="en-CA"/>
              </w:rPr>
              <w:t>Operating expenses</w:t>
            </w:r>
          </w:p>
        </w:tc>
        <w:tc>
          <w:tcPr>
            <w:tcW w:w="1200" w:type="dxa"/>
            <w:tcBorders>
              <w:top w:val="nil"/>
              <w:left w:val="nil"/>
              <w:bottom w:val="nil"/>
              <w:right w:val="nil"/>
            </w:tcBorders>
            <w:shd w:val="clear" w:color="auto" w:fill="auto"/>
            <w:vAlign w:val="center"/>
            <w:hideMark/>
          </w:tcPr>
          <w:p w:rsidR="00C236A4" w:rsidRPr="00C236A4" w:rsidRDefault="00C236A4" w:rsidP="00C236A4">
            <w:pPr>
              <w:spacing w:after="0" w:line="240" w:lineRule="auto"/>
              <w:jc w:val="both"/>
              <w:rPr>
                <w:rFonts w:ascii="Times New Roman" w:eastAsia="Times New Roman" w:hAnsi="Times New Roman" w:cs="Times New Roman"/>
                <w:color w:val="000000"/>
                <w:lang w:eastAsia="en-CA"/>
              </w:rPr>
            </w:pPr>
            <w:r w:rsidRPr="00C236A4">
              <w:rPr>
                <w:rFonts w:ascii="Times New Roman" w:eastAsia="Times New Roman" w:hAnsi="Times New Roman" w:cs="Times New Roman"/>
                <w:color w:val="000000"/>
                <w:lang w:eastAsia="en-CA"/>
              </w:rPr>
              <w:t>$20,700</w:t>
            </w:r>
          </w:p>
        </w:tc>
        <w:tc>
          <w:tcPr>
            <w:tcW w:w="96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jc w:val="both"/>
              <w:rPr>
                <w:rFonts w:ascii="Times New Roman" w:eastAsia="Times New Roman" w:hAnsi="Times New Roman" w:cs="Times New Roman"/>
                <w:color w:val="000000"/>
                <w:lang w:eastAsia="en-CA"/>
              </w:rPr>
            </w:pPr>
          </w:p>
        </w:tc>
        <w:tc>
          <w:tcPr>
            <w:tcW w:w="1280" w:type="dxa"/>
            <w:tcBorders>
              <w:top w:val="nil"/>
              <w:left w:val="nil"/>
              <w:bottom w:val="nil"/>
              <w:right w:val="nil"/>
            </w:tcBorders>
            <w:shd w:val="clear" w:color="auto" w:fill="auto"/>
            <w:noWrap/>
            <w:vAlign w:val="center"/>
            <w:hideMark/>
          </w:tcPr>
          <w:p w:rsidR="00C236A4" w:rsidRPr="00C236A4" w:rsidRDefault="00C236A4" w:rsidP="00C236A4">
            <w:pPr>
              <w:spacing w:after="0" w:line="240" w:lineRule="auto"/>
              <w:jc w:val="right"/>
              <w:rPr>
                <w:rFonts w:ascii="Calibri" w:eastAsia="Times New Roman" w:hAnsi="Calibri" w:cs="Calibri"/>
                <w:color w:val="000000"/>
                <w:lang w:eastAsia="en-CA"/>
              </w:rPr>
            </w:pPr>
            <w:r w:rsidRPr="00C236A4">
              <w:rPr>
                <w:rFonts w:ascii="Calibri" w:eastAsia="Times New Roman" w:hAnsi="Calibri" w:cs="Calibri"/>
                <w:color w:val="000000"/>
                <w:lang w:eastAsia="en-CA"/>
              </w:rPr>
              <w:t>$38,964</w:t>
            </w:r>
          </w:p>
        </w:tc>
        <w:tc>
          <w:tcPr>
            <w:tcW w:w="74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jc w:val="right"/>
              <w:rPr>
                <w:rFonts w:ascii="Calibri" w:eastAsia="Times New Roman" w:hAnsi="Calibri" w:cs="Calibri"/>
                <w:color w:val="000000"/>
                <w:lang w:eastAsia="en-CA"/>
              </w:rPr>
            </w:pPr>
          </w:p>
        </w:tc>
        <w:tc>
          <w:tcPr>
            <w:tcW w:w="1280" w:type="dxa"/>
            <w:tcBorders>
              <w:top w:val="nil"/>
              <w:left w:val="nil"/>
              <w:bottom w:val="nil"/>
              <w:right w:val="nil"/>
            </w:tcBorders>
            <w:shd w:val="clear" w:color="auto" w:fill="auto"/>
            <w:noWrap/>
            <w:vAlign w:val="center"/>
            <w:hideMark/>
          </w:tcPr>
          <w:p w:rsidR="00C236A4" w:rsidRPr="00C236A4" w:rsidRDefault="00C236A4" w:rsidP="00C236A4">
            <w:pPr>
              <w:spacing w:after="0" w:line="240" w:lineRule="auto"/>
              <w:jc w:val="right"/>
              <w:rPr>
                <w:rFonts w:ascii="Calibri" w:eastAsia="Times New Roman" w:hAnsi="Calibri" w:cs="Calibri"/>
                <w:color w:val="000000"/>
                <w:lang w:eastAsia="en-CA"/>
              </w:rPr>
            </w:pPr>
            <w:r w:rsidRPr="00C236A4">
              <w:rPr>
                <w:rFonts w:ascii="Calibri" w:eastAsia="Times New Roman" w:hAnsi="Calibri" w:cs="Calibri"/>
                <w:color w:val="000000"/>
                <w:lang w:eastAsia="en-CA"/>
              </w:rPr>
              <w:t>$5,128</w:t>
            </w:r>
          </w:p>
        </w:tc>
        <w:tc>
          <w:tcPr>
            <w:tcW w:w="86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jc w:val="right"/>
              <w:rPr>
                <w:rFonts w:ascii="Calibri" w:eastAsia="Times New Roman" w:hAnsi="Calibri" w:cs="Calibri"/>
                <w:color w:val="000000"/>
                <w:lang w:eastAsia="en-CA"/>
              </w:rPr>
            </w:pPr>
          </w:p>
        </w:tc>
        <w:tc>
          <w:tcPr>
            <w:tcW w:w="1280" w:type="dxa"/>
            <w:tcBorders>
              <w:top w:val="nil"/>
              <w:left w:val="nil"/>
              <w:bottom w:val="nil"/>
              <w:right w:val="nil"/>
            </w:tcBorders>
            <w:shd w:val="clear" w:color="auto" w:fill="auto"/>
            <w:noWrap/>
            <w:vAlign w:val="center"/>
            <w:hideMark/>
          </w:tcPr>
          <w:p w:rsidR="00C236A4" w:rsidRPr="00C236A4" w:rsidRDefault="00C236A4" w:rsidP="00C236A4">
            <w:pPr>
              <w:spacing w:after="0" w:line="240" w:lineRule="auto"/>
              <w:jc w:val="right"/>
              <w:rPr>
                <w:rFonts w:ascii="Calibri" w:eastAsia="Times New Roman" w:hAnsi="Calibri" w:cs="Calibri"/>
                <w:color w:val="000000"/>
                <w:lang w:eastAsia="en-CA"/>
              </w:rPr>
            </w:pPr>
            <w:r w:rsidRPr="00C236A4">
              <w:rPr>
                <w:rFonts w:ascii="Calibri" w:eastAsia="Times New Roman" w:hAnsi="Calibri" w:cs="Calibri"/>
                <w:color w:val="000000"/>
                <w:lang w:eastAsia="en-CA"/>
              </w:rPr>
              <w:t>$27,550</w:t>
            </w:r>
          </w:p>
        </w:tc>
        <w:tc>
          <w:tcPr>
            <w:tcW w:w="86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jc w:val="right"/>
              <w:rPr>
                <w:rFonts w:ascii="Calibri" w:eastAsia="Times New Roman" w:hAnsi="Calibri" w:cs="Calibri"/>
                <w:color w:val="000000"/>
                <w:lang w:eastAsia="en-CA"/>
              </w:rPr>
            </w:pPr>
          </w:p>
        </w:tc>
      </w:tr>
      <w:tr w:rsidR="00C236A4" w:rsidRPr="00C236A4" w:rsidTr="00C236A4">
        <w:trPr>
          <w:trHeight w:val="288"/>
        </w:trPr>
        <w:tc>
          <w:tcPr>
            <w:tcW w:w="1060" w:type="dxa"/>
            <w:tcBorders>
              <w:top w:val="nil"/>
              <w:left w:val="nil"/>
              <w:bottom w:val="nil"/>
              <w:right w:val="nil"/>
            </w:tcBorders>
            <w:shd w:val="clear" w:color="auto" w:fill="auto"/>
            <w:vAlign w:val="center"/>
            <w:hideMark/>
          </w:tcPr>
          <w:p w:rsidR="00C236A4" w:rsidRPr="00C236A4" w:rsidRDefault="00C236A4" w:rsidP="00C236A4">
            <w:pPr>
              <w:spacing w:after="0" w:line="240" w:lineRule="auto"/>
              <w:jc w:val="both"/>
              <w:rPr>
                <w:rFonts w:ascii="Times New Roman" w:eastAsia="Times New Roman" w:hAnsi="Times New Roman" w:cs="Times New Roman"/>
                <w:b/>
                <w:bCs/>
                <w:lang w:eastAsia="en-CA"/>
              </w:rPr>
            </w:pPr>
            <w:r w:rsidRPr="00C236A4">
              <w:rPr>
                <w:rFonts w:ascii="Times New Roman" w:eastAsia="Times New Roman" w:hAnsi="Times New Roman" w:cs="Times New Roman"/>
                <w:b/>
                <w:bCs/>
                <w:lang w:eastAsia="en-CA"/>
              </w:rPr>
              <w:t>Net Loss</w:t>
            </w:r>
          </w:p>
        </w:tc>
        <w:tc>
          <w:tcPr>
            <w:tcW w:w="1200" w:type="dxa"/>
            <w:tcBorders>
              <w:top w:val="nil"/>
              <w:left w:val="nil"/>
              <w:bottom w:val="nil"/>
              <w:right w:val="nil"/>
            </w:tcBorders>
            <w:shd w:val="clear" w:color="auto" w:fill="auto"/>
            <w:noWrap/>
            <w:vAlign w:val="bottom"/>
            <w:hideMark/>
          </w:tcPr>
          <w:p w:rsidR="00C236A4" w:rsidRPr="00C236A4" w:rsidRDefault="00C80407" w:rsidP="00C80407">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w:t>
            </w:r>
            <w:r w:rsidR="00C236A4" w:rsidRPr="00C236A4">
              <w:rPr>
                <w:rFonts w:ascii="Calibri" w:eastAsia="Times New Roman" w:hAnsi="Calibri" w:cs="Calibri"/>
                <w:color w:val="000000"/>
                <w:lang w:eastAsia="en-CA"/>
              </w:rPr>
              <w:t>-20</w:t>
            </w:r>
            <w:r>
              <w:rPr>
                <w:rFonts w:ascii="Calibri" w:eastAsia="Times New Roman" w:hAnsi="Calibri" w:cs="Calibri"/>
                <w:color w:val="000000"/>
                <w:lang w:eastAsia="en-CA"/>
              </w:rPr>
              <w:t>,</w:t>
            </w:r>
            <w:r w:rsidR="00C236A4" w:rsidRPr="00C236A4">
              <w:rPr>
                <w:rFonts w:ascii="Calibri" w:eastAsia="Times New Roman" w:hAnsi="Calibri" w:cs="Calibri"/>
                <w:color w:val="000000"/>
                <w:lang w:eastAsia="en-CA"/>
              </w:rPr>
              <w:t>700</w:t>
            </w:r>
          </w:p>
        </w:tc>
        <w:tc>
          <w:tcPr>
            <w:tcW w:w="96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jc w:val="right"/>
              <w:rPr>
                <w:rFonts w:ascii="Calibri" w:eastAsia="Times New Roman" w:hAnsi="Calibri" w:cs="Calibri"/>
                <w:color w:val="000000"/>
                <w:lang w:eastAsia="en-CA"/>
              </w:rPr>
            </w:pPr>
          </w:p>
        </w:tc>
        <w:tc>
          <w:tcPr>
            <w:tcW w:w="1280" w:type="dxa"/>
            <w:tcBorders>
              <w:top w:val="nil"/>
              <w:left w:val="nil"/>
              <w:bottom w:val="nil"/>
              <w:right w:val="nil"/>
            </w:tcBorders>
            <w:shd w:val="clear" w:color="auto" w:fill="auto"/>
            <w:noWrap/>
            <w:vAlign w:val="bottom"/>
            <w:hideMark/>
          </w:tcPr>
          <w:p w:rsidR="00C236A4" w:rsidRPr="00C236A4" w:rsidRDefault="00C80407" w:rsidP="00C236A4">
            <w:pPr>
              <w:spacing w:after="0" w:line="240" w:lineRule="auto"/>
              <w:jc w:val="right"/>
              <w:rPr>
                <w:rFonts w:ascii="Calibri" w:eastAsia="Times New Roman" w:hAnsi="Calibri" w:cs="Calibri"/>
                <w:color w:val="000000"/>
                <w:lang w:eastAsia="en-CA"/>
              </w:rPr>
            </w:pPr>
            <w:r>
              <w:rPr>
                <w:rFonts w:ascii="Calibri" w:eastAsia="Times New Roman" w:hAnsi="Calibri" w:cs="Calibri"/>
                <w:color w:val="000000"/>
                <w:lang w:eastAsia="en-CA"/>
              </w:rPr>
              <w:t>-38,964</w:t>
            </w:r>
          </w:p>
        </w:tc>
        <w:tc>
          <w:tcPr>
            <w:tcW w:w="74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jc w:val="right"/>
              <w:rPr>
                <w:rFonts w:ascii="Calibri" w:eastAsia="Times New Roman" w:hAnsi="Calibri" w:cs="Calibri"/>
                <w:color w:val="000000"/>
                <w:lang w:eastAsia="en-CA"/>
              </w:rPr>
            </w:pPr>
          </w:p>
        </w:tc>
        <w:tc>
          <w:tcPr>
            <w:tcW w:w="128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jc w:val="right"/>
              <w:rPr>
                <w:rFonts w:ascii="Calibri" w:eastAsia="Times New Roman" w:hAnsi="Calibri" w:cs="Calibri"/>
                <w:color w:val="000000"/>
                <w:lang w:eastAsia="en-CA"/>
              </w:rPr>
            </w:pPr>
            <w:r w:rsidRPr="00C236A4">
              <w:rPr>
                <w:rFonts w:ascii="Calibri" w:eastAsia="Times New Roman" w:hAnsi="Calibri" w:cs="Calibri"/>
                <w:color w:val="000000"/>
                <w:lang w:eastAsia="en-CA"/>
              </w:rPr>
              <w:t>-5</w:t>
            </w:r>
            <w:r w:rsidR="00C80407">
              <w:rPr>
                <w:rFonts w:ascii="Calibri" w:eastAsia="Times New Roman" w:hAnsi="Calibri" w:cs="Calibri"/>
                <w:color w:val="000000"/>
                <w:lang w:eastAsia="en-CA"/>
              </w:rPr>
              <w:t>,</w:t>
            </w:r>
            <w:r w:rsidRPr="00C236A4">
              <w:rPr>
                <w:rFonts w:ascii="Calibri" w:eastAsia="Times New Roman" w:hAnsi="Calibri" w:cs="Calibri"/>
                <w:color w:val="000000"/>
                <w:lang w:eastAsia="en-CA"/>
              </w:rPr>
              <w:t>128</w:t>
            </w:r>
          </w:p>
        </w:tc>
        <w:tc>
          <w:tcPr>
            <w:tcW w:w="86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jc w:val="right"/>
              <w:rPr>
                <w:rFonts w:ascii="Calibri" w:eastAsia="Times New Roman" w:hAnsi="Calibri" w:cs="Calibri"/>
                <w:color w:val="000000"/>
                <w:lang w:eastAsia="en-CA"/>
              </w:rPr>
            </w:pPr>
          </w:p>
        </w:tc>
        <w:tc>
          <w:tcPr>
            <w:tcW w:w="128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jc w:val="right"/>
              <w:rPr>
                <w:rFonts w:ascii="Calibri" w:eastAsia="Times New Roman" w:hAnsi="Calibri" w:cs="Calibri"/>
                <w:color w:val="000000"/>
                <w:lang w:eastAsia="en-CA"/>
              </w:rPr>
            </w:pPr>
            <w:r w:rsidRPr="00C236A4">
              <w:rPr>
                <w:rFonts w:ascii="Calibri" w:eastAsia="Times New Roman" w:hAnsi="Calibri" w:cs="Calibri"/>
                <w:color w:val="000000"/>
                <w:lang w:eastAsia="en-CA"/>
              </w:rPr>
              <w:t>-27</w:t>
            </w:r>
            <w:r w:rsidR="00C80407">
              <w:rPr>
                <w:rFonts w:ascii="Calibri" w:eastAsia="Times New Roman" w:hAnsi="Calibri" w:cs="Calibri"/>
                <w:color w:val="000000"/>
                <w:lang w:eastAsia="en-CA"/>
              </w:rPr>
              <w:t>,</w:t>
            </w:r>
            <w:r w:rsidRPr="00C236A4">
              <w:rPr>
                <w:rFonts w:ascii="Calibri" w:eastAsia="Times New Roman" w:hAnsi="Calibri" w:cs="Calibri"/>
                <w:color w:val="000000"/>
                <w:lang w:eastAsia="en-CA"/>
              </w:rPr>
              <w:t>550</w:t>
            </w:r>
          </w:p>
        </w:tc>
        <w:tc>
          <w:tcPr>
            <w:tcW w:w="86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jc w:val="right"/>
              <w:rPr>
                <w:rFonts w:ascii="Calibri" w:eastAsia="Times New Roman" w:hAnsi="Calibri" w:cs="Calibri"/>
                <w:color w:val="000000"/>
                <w:lang w:eastAsia="en-CA"/>
              </w:rPr>
            </w:pPr>
          </w:p>
        </w:tc>
      </w:tr>
      <w:tr w:rsidR="00C236A4" w:rsidRPr="00C236A4" w:rsidTr="00C236A4">
        <w:trPr>
          <w:trHeight w:val="288"/>
        </w:trPr>
        <w:tc>
          <w:tcPr>
            <w:tcW w:w="1060" w:type="dxa"/>
            <w:tcBorders>
              <w:top w:val="nil"/>
              <w:left w:val="nil"/>
              <w:bottom w:val="nil"/>
              <w:right w:val="nil"/>
            </w:tcBorders>
            <w:shd w:val="clear" w:color="auto" w:fill="auto"/>
            <w:vAlign w:val="center"/>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c>
          <w:tcPr>
            <w:tcW w:w="1200" w:type="dxa"/>
            <w:tcBorders>
              <w:top w:val="nil"/>
              <w:left w:val="nil"/>
              <w:bottom w:val="nil"/>
              <w:right w:val="nil"/>
            </w:tcBorders>
            <w:shd w:val="clear" w:color="auto" w:fill="auto"/>
            <w:vAlign w:val="center"/>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c>
          <w:tcPr>
            <w:tcW w:w="128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c>
          <w:tcPr>
            <w:tcW w:w="74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c>
          <w:tcPr>
            <w:tcW w:w="128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c>
          <w:tcPr>
            <w:tcW w:w="86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c>
          <w:tcPr>
            <w:tcW w:w="128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c>
          <w:tcPr>
            <w:tcW w:w="86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Times New Roman" w:eastAsia="Times New Roman" w:hAnsi="Times New Roman" w:cs="Times New Roman"/>
                <w:sz w:val="20"/>
                <w:szCs w:val="20"/>
                <w:lang w:eastAsia="en-CA"/>
              </w:rPr>
            </w:pPr>
          </w:p>
        </w:tc>
      </w:tr>
      <w:tr w:rsidR="00C236A4" w:rsidRPr="00C236A4" w:rsidTr="00C236A4">
        <w:trPr>
          <w:trHeight w:val="1104"/>
        </w:trPr>
        <w:tc>
          <w:tcPr>
            <w:tcW w:w="1060" w:type="dxa"/>
            <w:tcBorders>
              <w:top w:val="nil"/>
              <w:left w:val="nil"/>
              <w:bottom w:val="nil"/>
              <w:right w:val="nil"/>
            </w:tcBorders>
            <w:shd w:val="clear" w:color="auto" w:fill="auto"/>
            <w:vAlign w:val="center"/>
            <w:hideMark/>
          </w:tcPr>
          <w:p w:rsidR="00C236A4" w:rsidRPr="00C236A4" w:rsidRDefault="00C236A4" w:rsidP="00C236A4">
            <w:pPr>
              <w:spacing w:after="0" w:line="240" w:lineRule="auto"/>
              <w:jc w:val="both"/>
              <w:rPr>
                <w:rFonts w:ascii="Times New Roman" w:eastAsia="Times New Roman" w:hAnsi="Times New Roman" w:cs="Times New Roman"/>
                <w:b/>
                <w:bCs/>
                <w:color w:val="000000"/>
                <w:lang w:eastAsia="en-CA"/>
              </w:rPr>
            </w:pPr>
            <w:r w:rsidRPr="00C236A4">
              <w:rPr>
                <w:rFonts w:ascii="Times New Roman" w:eastAsia="Times New Roman" w:hAnsi="Times New Roman" w:cs="Times New Roman"/>
                <w:b/>
                <w:bCs/>
                <w:color w:val="000000"/>
                <w:lang w:eastAsia="en-CA"/>
              </w:rPr>
              <w:t>Basic and diluted loss per share</w:t>
            </w:r>
          </w:p>
        </w:tc>
        <w:tc>
          <w:tcPr>
            <w:tcW w:w="1200" w:type="dxa"/>
            <w:tcBorders>
              <w:top w:val="nil"/>
              <w:left w:val="nil"/>
              <w:bottom w:val="nil"/>
              <w:right w:val="nil"/>
            </w:tcBorders>
            <w:shd w:val="clear" w:color="auto" w:fill="auto"/>
            <w:vAlign w:val="center"/>
            <w:hideMark/>
          </w:tcPr>
          <w:p w:rsidR="00C236A4" w:rsidRPr="00C236A4" w:rsidRDefault="00C236A4" w:rsidP="00C236A4">
            <w:pPr>
              <w:spacing w:after="0" w:line="240" w:lineRule="auto"/>
              <w:jc w:val="both"/>
              <w:rPr>
                <w:rFonts w:ascii="Times New Roman" w:eastAsia="Times New Roman" w:hAnsi="Times New Roman" w:cs="Times New Roman"/>
                <w:color w:val="000000"/>
                <w:lang w:eastAsia="en-CA"/>
              </w:rPr>
            </w:pPr>
            <w:r w:rsidRPr="00C236A4">
              <w:rPr>
                <w:rFonts w:ascii="Times New Roman" w:eastAsia="Times New Roman" w:hAnsi="Times New Roman" w:cs="Times New Roman"/>
                <w:color w:val="000000"/>
                <w:lang w:eastAsia="en-CA"/>
              </w:rPr>
              <w:t>$0.01</w:t>
            </w:r>
          </w:p>
        </w:tc>
        <w:tc>
          <w:tcPr>
            <w:tcW w:w="96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jc w:val="both"/>
              <w:rPr>
                <w:rFonts w:ascii="Times New Roman" w:eastAsia="Times New Roman" w:hAnsi="Times New Roman" w:cs="Times New Roman"/>
                <w:color w:val="000000"/>
                <w:lang w:eastAsia="en-CA"/>
              </w:rPr>
            </w:pPr>
          </w:p>
        </w:tc>
        <w:tc>
          <w:tcPr>
            <w:tcW w:w="1280" w:type="dxa"/>
            <w:tcBorders>
              <w:top w:val="nil"/>
              <w:left w:val="nil"/>
              <w:bottom w:val="nil"/>
              <w:right w:val="nil"/>
            </w:tcBorders>
            <w:shd w:val="clear" w:color="auto" w:fill="auto"/>
            <w:noWrap/>
            <w:vAlign w:val="center"/>
            <w:hideMark/>
          </w:tcPr>
          <w:p w:rsidR="00C236A4" w:rsidRPr="00C236A4" w:rsidRDefault="00C236A4" w:rsidP="00C236A4">
            <w:pPr>
              <w:spacing w:after="0" w:line="240" w:lineRule="auto"/>
              <w:jc w:val="right"/>
              <w:rPr>
                <w:rFonts w:ascii="Calibri" w:eastAsia="Times New Roman" w:hAnsi="Calibri" w:cs="Calibri"/>
                <w:color w:val="000000"/>
                <w:lang w:eastAsia="en-CA"/>
              </w:rPr>
            </w:pPr>
            <w:r w:rsidRPr="00C236A4">
              <w:rPr>
                <w:rFonts w:ascii="Calibri" w:eastAsia="Times New Roman" w:hAnsi="Calibri" w:cs="Calibri"/>
                <w:color w:val="000000"/>
                <w:lang w:eastAsia="en-CA"/>
              </w:rPr>
              <w:t>$0.06</w:t>
            </w:r>
          </w:p>
        </w:tc>
        <w:tc>
          <w:tcPr>
            <w:tcW w:w="74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jc w:val="right"/>
              <w:rPr>
                <w:rFonts w:ascii="Calibri" w:eastAsia="Times New Roman" w:hAnsi="Calibri" w:cs="Calibri"/>
                <w:color w:val="000000"/>
                <w:lang w:eastAsia="en-CA"/>
              </w:rPr>
            </w:pPr>
          </w:p>
        </w:tc>
        <w:tc>
          <w:tcPr>
            <w:tcW w:w="1280" w:type="dxa"/>
            <w:tcBorders>
              <w:top w:val="nil"/>
              <w:left w:val="nil"/>
              <w:bottom w:val="nil"/>
              <w:right w:val="nil"/>
            </w:tcBorders>
            <w:shd w:val="clear" w:color="auto" w:fill="auto"/>
            <w:noWrap/>
            <w:vAlign w:val="center"/>
            <w:hideMark/>
          </w:tcPr>
          <w:p w:rsidR="00C236A4" w:rsidRPr="00C236A4" w:rsidRDefault="00C236A4" w:rsidP="00C236A4">
            <w:pPr>
              <w:spacing w:after="0" w:line="240" w:lineRule="auto"/>
              <w:jc w:val="right"/>
              <w:rPr>
                <w:rFonts w:ascii="Calibri" w:eastAsia="Times New Roman" w:hAnsi="Calibri" w:cs="Calibri"/>
                <w:color w:val="000000"/>
                <w:lang w:eastAsia="en-CA"/>
              </w:rPr>
            </w:pPr>
            <w:r w:rsidRPr="00C236A4">
              <w:rPr>
                <w:rFonts w:ascii="Calibri" w:eastAsia="Times New Roman" w:hAnsi="Calibri" w:cs="Calibri"/>
                <w:color w:val="000000"/>
                <w:lang w:eastAsia="en-CA"/>
              </w:rPr>
              <w:t>$0.01</w:t>
            </w:r>
          </w:p>
        </w:tc>
        <w:tc>
          <w:tcPr>
            <w:tcW w:w="86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jc w:val="right"/>
              <w:rPr>
                <w:rFonts w:ascii="Calibri" w:eastAsia="Times New Roman" w:hAnsi="Calibri" w:cs="Calibri"/>
                <w:color w:val="000000"/>
                <w:lang w:eastAsia="en-CA"/>
              </w:rPr>
            </w:pPr>
          </w:p>
        </w:tc>
        <w:tc>
          <w:tcPr>
            <w:tcW w:w="1280" w:type="dxa"/>
            <w:tcBorders>
              <w:top w:val="nil"/>
              <w:left w:val="nil"/>
              <w:bottom w:val="nil"/>
              <w:right w:val="nil"/>
            </w:tcBorders>
            <w:shd w:val="clear" w:color="auto" w:fill="auto"/>
            <w:noWrap/>
            <w:vAlign w:val="center"/>
            <w:hideMark/>
          </w:tcPr>
          <w:p w:rsidR="00C236A4" w:rsidRPr="00C236A4" w:rsidRDefault="00C236A4" w:rsidP="00C236A4">
            <w:pPr>
              <w:spacing w:after="0" w:line="240" w:lineRule="auto"/>
              <w:jc w:val="right"/>
              <w:rPr>
                <w:rFonts w:ascii="Calibri" w:eastAsia="Times New Roman" w:hAnsi="Calibri" w:cs="Calibri"/>
                <w:color w:val="000000"/>
                <w:lang w:eastAsia="en-CA"/>
              </w:rPr>
            </w:pPr>
            <w:r w:rsidRPr="00C236A4">
              <w:rPr>
                <w:rFonts w:ascii="Calibri" w:eastAsia="Times New Roman" w:hAnsi="Calibri" w:cs="Calibri"/>
                <w:color w:val="000000"/>
                <w:lang w:eastAsia="en-CA"/>
              </w:rPr>
              <w:t>$0.04</w:t>
            </w:r>
          </w:p>
        </w:tc>
        <w:tc>
          <w:tcPr>
            <w:tcW w:w="86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jc w:val="right"/>
              <w:rPr>
                <w:rFonts w:ascii="Calibri" w:eastAsia="Times New Roman" w:hAnsi="Calibri" w:cs="Calibri"/>
                <w:color w:val="000000"/>
                <w:lang w:eastAsia="en-CA"/>
              </w:rPr>
            </w:pPr>
          </w:p>
        </w:tc>
      </w:tr>
      <w:tr w:rsidR="00C236A4" w:rsidRPr="00C236A4" w:rsidTr="00C236A4">
        <w:trPr>
          <w:trHeight w:val="552"/>
        </w:trPr>
        <w:tc>
          <w:tcPr>
            <w:tcW w:w="1060" w:type="dxa"/>
            <w:tcBorders>
              <w:top w:val="nil"/>
              <w:left w:val="nil"/>
              <w:bottom w:val="nil"/>
              <w:right w:val="nil"/>
            </w:tcBorders>
            <w:shd w:val="clear" w:color="auto" w:fill="auto"/>
            <w:vAlign w:val="center"/>
            <w:hideMark/>
          </w:tcPr>
          <w:p w:rsidR="00C236A4" w:rsidRPr="00C236A4" w:rsidRDefault="00C236A4" w:rsidP="00C236A4">
            <w:pPr>
              <w:spacing w:after="0" w:line="240" w:lineRule="auto"/>
              <w:jc w:val="both"/>
              <w:rPr>
                <w:rFonts w:ascii="Times New Roman" w:eastAsia="Times New Roman" w:hAnsi="Times New Roman" w:cs="Times New Roman"/>
                <w:b/>
                <w:bCs/>
                <w:color w:val="000000"/>
                <w:lang w:eastAsia="en-CA"/>
              </w:rPr>
            </w:pPr>
            <w:r w:rsidRPr="00C236A4">
              <w:rPr>
                <w:rFonts w:ascii="Times New Roman" w:eastAsia="Times New Roman" w:hAnsi="Times New Roman" w:cs="Times New Roman"/>
                <w:b/>
                <w:bCs/>
                <w:color w:val="000000"/>
                <w:lang w:eastAsia="en-CA"/>
              </w:rPr>
              <w:t>Total Assets</w:t>
            </w:r>
          </w:p>
        </w:tc>
        <w:tc>
          <w:tcPr>
            <w:tcW w:w="1200" w:type="dxa"/>
            <w:tcBorders>
              <w:top w:val="nil"/>
              <w:left w:val="nil"/>
              <w:bottom w:val="nil"/>
              <w:right w:val="nil"/>
            </w:tcBorders>
            <w:shd w:val="clear" w:color="auto" w:fill="auto"/>
            <w:vAlign w:val="center"/>
            <w:hideMark/>
          </w:tcPr>
          <w:p w:rsidR="00C236A4" w:rsidRPr="00C236A4" w:rsidRDefault="00C236A4" w:rsidP="00C236A4">
            <w:pPr>
              <w:spacing w:after="0" w:line="240" w:lineRule="auto"/>
              <w:jc w:val="both"/>
              <w:rPr>
                <w:rFonts w:ascii="Times New Roman" w:eastAsia="Times New Roman" w:hAnsi="Times New Roman" w:cs="Times New Roman"/>
                <w:color w:val="000000"/>
                <w:lang w:eastAsia="en-CA"/>
              </w:rPr>
            </w:pPr>
            <w:r w:rsidRPr="00C236A4">
              <w:rPr>
                <w:rFonts w:ascii="Times New Roman" w:eastAsia="Times New Roman" w:hAnsi="Times New Roman" w:cs="Times New Roman"/>
                <w:color w:val="000000"/>
                <w:lang w:eastAsia="en-CA"/>
              </w:rPr>
              <w:t>$109,414</w:t>
            </w:r>
          </w:p>
        </w:tc>
        <w:tc>
          <w:tcPr>
            <w:tcW w:w="96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jc w:val="both"/>
              <w:rPr>
                <w:rFonts w:ascii="Times New Roman" w:eastAsia="Times New Roman" w:hAnsi="Times New Roman" w:cs="Times New Roman"/>
                <w:color w:val="000000"/>
                <w:lang w:eastAsia="en-CA"/>
              </w:rPr>
            </w:pPr>
          </w:p>
        </w:tc>
        <w:tc>
          <w:tcPr>
            <w:tcW w:w="1280" w:type="dxa"/>
            <w:tcBorders>
              <w:top w:val="nil"/>
              <w:left w:val="nil"/>
              <w:bottom w:val="nil"/>
              <w:right w:val="nil"/>
            </w:tcBorders>
            <w:shd w:val="clear" w:color="auto" w:fill="auto"/>
            <w:noWrap/>
            <w:vAlign w:val="center"/>
            <w:hideMark/>
          </w:tcPr>
          <w:p w:rsidR="00C236A4" w:rsidRPr="00C236A4" w:rsidRDefault="00C236A4" w:rsidP="00C236A4">
            <w:pPr>
              <w:spacing w:after="0" w:line="240" w:lineRule="auto"/>
              <w:jc w:val="right"/>
              <w:rPr>
                <w:rFonts w:ascii="Calibri" w:eastAsia="Times New Roman" w:hAnsi="Calibri" w:cs="Calibri"/>
                <w:color w:val="000000"/>
                <w:lang w:eastAsia="en-CA"/>
              </w:rPr>
            </w:pPr>
            <w:r w:rsidRPr="00C236A4">
              <w:rPr>
                <w:rFonts w:ascii="Calibri" w:eastAsia="Times New Roman" w:hAnsi="Calibri" w:cs="Calibri"/>
                <w:color w:val="000000"/>
                <w:lang w:eastAsia="en-CA"/>
              </w:rPr>
              <w:t>$74,354</w:t>
            </w:r>
          </w:p>
        </w:tc>
        <w:tc>
          <w:tcPr>
            <w:tcW w:w="74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jc w:val="right"/>
              <w:rPr>
                <w:rFonts w:ascii="Calibri" w:eastAsia="Times New Roman" w:hAnsi="Calibri" w:cs="Calibri"/>
                <w:color w:val="000000"/>
                <w:lang w:eastAsia="en-CA"/>
              </w:rPr>
            </w:pPr>
          </w:p>
        </w:tc>
        <w:tc>
          <w:tcPr>
            <w:tcW w:w="1280" w:type="dxa"/>
            <w:tcBorders>
              <w:top w:val="nil"/>
              <w:left w:val="nil"/>
              <w:bottom w:val="nil"/>
              <w:right w:val="nil"/>
            </w:tcBorders>
            <w:shd w:val="clear" w:color="auto" w:fill="auto"/>
            <w:noWrap/>
            <w:vAlign w:val="center"/>
            <w:hideMark/>
          </w:tcPr>
          <w:p w:rsidR="00C236A4" w:rsidRPr="00C236A4" w:rsidRDefault="00C236A4" w:rsidP="00C236A4">
            <w:pPr>
              <w:spacing w:after="0" w:line="240" w:lineRule="auto"/>
              <w:jc w:val="right"/>
              <w:rPr>
                <w:rFonts w:ascii="Calibri" w:eastAsia="Times New Roman" w:hAnsi="Calibri" w:cs="Calibri"/>
                <w:color w:val="000000"/>
                <w:lang w:eastAsia="en-CA"/>
              </w:rPr>
            </w:pPr>
            <w:r w:rsidRPr="00C236A4">
              <w:rPr>
                <w:rFonts w:ascii="Calibri" w:eastAsia="Times New Roman" w:hAnsi="Calibri" w:cs="Calibri"/>
                <w:color w:val="000000"/>
                <w:lang w:eastAsia="en-CA"/>
              </w:rPr>
              <w:t>$52,230</w:t>
            </w:r>
          </w:p>
        </w:tc>
        <w:tc>
          <w:tcPr>
            <w:tcW w:w="86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jc w:val="right"/>
              <w:rPr>
                <w:rFonts w:ascii="Calibri" w:eastAsia="Times New Roman" w:hAnsi="Calibri" w:cs="Calibri"/>
                <w:color w:val="000000"/>
                <w:lang w:eastAsia="en-CA"/>
              </w:rPr>
            </w:pPr>
          </w:p>
        </w:tc>
        <w:tc>
          <w:tcPr>
            <w:tcW w:w="1280" w:type="dxa"/>
            <w:tcBorders>
              <w:top w:val="nil"/>
              <w:left w:val="nil"/>
              <w:bottom w:val="nil"/>
              <w:right w:val="nil"/>
            </w:tcBorders>
            <w:shd w:val="clear" w:color="auto" w:fill="auto"/>
            <w:noWrap/>
            <w:vAlign w:val="center"/>
            <w:hideMark/>
          </w:tcPr>
          <w:p w:rsidR="00C236A4" w:rsidRPr="00C236A4" w:rsidRDefault="00C236A4" w:rsidP="00C236A4">
            <w:pPr>
              <w:spacing w:after="0" w:line="240" w:lineRule="auto"/>
              <w:jc w:val="right"/>
              <w:rPr>
                <w:rFonts w:ascii="Calibri" w:eastAsia="Times New Roman" w:hAnsi="Calibri" w:cs="Calibri"/>
                <w:color w:val="000000"/>
                <w:lang w:eastAsia="en-CA"/>
              </w:rPr>
            </w:pPr>
            <w:r w:rsidRPr="00C236A4">
              <w:rPr>
                <w:rFonts w:ascii="Calibri" w:eastAsia="Times New Roman" w:hAnsi="Calibri" w:cs="Calibri"/>
                <w:color w:val="000000"/>
                <w:lang w:eastAsia="en-CA"/>
              </w:rPr>
              <w:t>$47,110</w:t>
            </w:r>
          </w:p>
        </w:tc>
        <w:tc>
          <w:tcPr>
            <w:tcW w:w="86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jc w:val="right"/>
              <w:rPr>
                <w:rFonts w:ascii="Calibri" w:eastAsia="Times New Roman" w:hAnsi="Calibri" w:cs="Calibri"/>
                <w:color w:val="000000"/>
                <w:lang w:eastAsia="en-CA"/>
              </w:rPr>
            </w:pPr>
          </w:p>
        </w:tc>
      </w:tr>
      <w:tr w:rsidR="00C236A4" w:rsidRPr="00C236A4" w:rsidTr="00C236A4">
        <w:trPr>
          <w:trHeight w:val="552"/>
        </w:trPr>
        <w:tc>
          <w:tcPr>
            <w:tcW w:w="1060" w:type="dxa"/>
            <w:tcBorders>
              <w:top w:val="nil"/>
              <w:left w:val="nil"/>
              <w:bottom w:val="nil"/>
              <w:right w:val="nil"/>
            </w:tcBorders>
            <w:shd w:val="clear" w:color="auto" w:fill="auto"/>
            <w:vAlign w:val="center"/>
            <w:hideMark/>
          </w:tcPr>
          <w:p w:rsidR="00C236A4" w:rsidRPr="00C236A4" w:rsidRDefault="00C236A4" w:rsidP="00C236A4">
            <w:pPr>
              <w:spacing w:after="0" w:line="240" w:lineRule="auto"/>
              <w:jc w:val="both"/>
              <w:rPr>
                <w:rFonts w:ascii="Times New Roman" w:eastAsia="Times New Roman" w:hAnsi="Times New Roman" w:cs="Times New Roman"/>
                <w:b/>
                <w:bCs/>
                <w:color w:val="000000"/>
                <w:lang w:eastAsia="en-CA"/>
              </w:rPr>
            </w:pPr>
            <w:r w:rsidRPr="00C236A4">
              <w:rPr>
                <w:rFonts w:ascii="Times New Roman" w:eastAsia="Times New Roman" w:hAnsi="Times New Roman" w:cs="Times New Roman"/>
                <w:b/>
                <w:bCs/>
                <w:color w:val="000000"/>
                <w:lang w:eastAsia="en-CA"/>
              </w:rPr>
              <w:t>Long term debt</w:t>
            </w:r>
          </w:p>
        </w:tc>
        <w:tc>
          <w:tcPr>
            <w:tcW w:w="1200" w:type="dxa"/>
            <w:tcBorders>
              <w:top w:val="nil"/>
              <w:left w:val="nil"/>
              <w:bottom w:val="nil"/>
              <w:right w:val="nil"/>
            </w:tcBorders>
            <w:shd w:val="clear" w:color="auto" w:fill="auto"/>
            <w:vAlign w:val="center"/>
            <w:hideMark/>
          </w:tcPr>
          <w:p w:rsidR="00C236A4" w:rsidRPr="00C236A4" w:rsidRDefault="00C80407" w:rsidP="00C236A4">
            <w:pPr>
              <w:spacing w:after="0" w:line="240" w:lineRule="auto"/>
              <w:jc w:val="both"/>
              <w:rPr>
                <w:rFonts w:ascii="Times New Roman" w:eastAsia="Times New Roman" w:hAnsi="Times New Roman" w:cs="Times New Roman"/>
                <w:color w:val="000000"/>
                <w:lang w:eastAsia="en-CA"/>
              </w:rPr>
            </w:pPr>
            <w:r>
              <w:rPr>
                <w:rFonts w:ascii="Times New Roman" w:eastAsia="Times New Roman" w:hAnsi="Times New Roman" w:cs="Times New Roman"/>
                <w:color w:val="000000"/>
                <w:lang w:eastAsia="en-CA"/>
              </w:rPr>
              <w:t xml:space="preserve">   </w:t>
            </w:r>
            <w:r w:rsidR="00C236A4" w:rsidRPr="00C236A4">
              <w:rPr>
                <w:rFonts w:ascii="Times New Roman" w:eastAsia="Times New Roman" w:hAnsi="Times New Roman" w:cs="Times New Roman"/>
                <w:color w:val="000000"/>
                <w:lang w:eastAsia="en-CA"/>
              </w:rPr>
              <w:t>Nil</w:t>
            </w:r>
          </w:p>
        </w:tc>
        <w:tc>
          <w:tcPr>
            <w:tcW w:w="96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jc w:val="both"/>
              <w:rPr>
                <w:rFonts w:ascii="Times New Roman" w:eastAsia="Times New Roman" w:hAnsi="Times New Roman" w:cs="Times New Roman"/>
                <w:color w:val="000000"/>
                <w:lang w:eastAsia="en-CA"/>
              </w:rPr>
            </w:pPr>
          </w:p>
        </w:tc>
        <w:tc>
          <w:tcPr>
            <w:tcW w:w="1280" w:type="dxa"/>
            <w:tcBorders>
              <w:top w:val="nil"/>
              <w:left w:val="nil"/>
              <w:bottom w:val="nil"/>
              <w:right w:val="nil"/>
            </w:tcBorders>
            <w:shd w:val="clear" w:color="auto" w:fill="auto"/>
            <w:noWrap/>
            <w:vAlign w:val="center"/>
            <w:hideMark/>
          </w:tcPr>
          <w:p w:rsidR="00C236A4" w:rsidRPr="00C236A4" w:rsidRDefault="00C80407" w:rsidP="00C236A4">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w:t>
            </w:r>
            <w:r w:rsidR="00C236A4" w:rsidRPr="00C236A4">
              <w:rPr>
                <w:rFonts w:ascii="Calibri" w:eastAsia="Times New Roman" w:hAnsi="Calibri" w:cs="Calibri"/>
                <w:color w:val="000000"/>
                <w:lang w:eastAsia="en-CA"/>
              </w:rPr>
              <w:t>Nil</w:t>
            </w:r>
          </w:p>
        </w:tc>
        <w:tc>
          <w:tcPr>
            <w:tcW w:w="74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Calibri" w:eastAsia="Times New Roman" w:hAnsi="Calibri" w:cs="Calibri"/>
                <w:color w:val="000000"/>
                <w:lang w:eastAsia="en-CA"/>
              </w:rPr>
            </w:pPr>
          </w:p>
        </w:tc>
        <w:tc>
          <w:tcPr>
            <w:tcW w:w="1280" w:type="dxa"/>
            <w:tcBorders>
              <w:top w:val="nil"/>
              <w:left w:val="nil"/>
              <w:bottom w:val="nil"/>
              <w:right w:val="nil"/>
            </w:tcBorders>
            <w:shd w:val="clear" w:color="auto" w:fill="auto"/>
            <w:noWrap/>
            <w:vAlign w:val="center"/>
            <w:hideMark/>
          </w:tcPr>
          <w:p w:rsidR="00C236A4" w:rsidRPr="00C236A4" w:rsidRDefault="00C80407" w:rsidP="00C236A4">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w:t>
            </w:r>
            <w:r w:rsidR="00C236A4" w:rsidRPr="00C236A4">
              <w:rPr>
                <w:rFonts w:ascii="Calibri" w:eastAsia="Times New Roman" w:hAnsi="Calibri" w:cs="Calibri"/>
                <w:color w:val="000000"/>
                <w:lang w:eastAsia="en-CA"/>
              </w:rPr>
              <w:t>Nil</w:t>
            </w:r>
          </w:p>
        </w:tc>
        <w:tc>
          <w:tcPr>
            <w:tcW w:w="86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Calibri" w:eastAsia="Times New Roman" w:hAnsi="Calibri" w:cs="Calibri"/>
                <w:color w:val="000000"/>
                <w:lang w:eastAsia="en-CA"/>
              </w:rPr>
            </w:pPr>
          </w:p>
        </w:tc>
        <w:tc>
          <w:tcPr>
            <w:tcW w:w="1280" w:type="dxa"/>
            <w:tcBorders>
              <w:top w:val="nil"/>
              <w:left w:val="nil"/>
              <w:bottom w:val="nil"/>
              <w:right w:val="nil"/>
            </w:tcBorders>
            <w:shd w:val="clear" w:color="auto" w:fill="auto"/>
            <w:noWrap/>
            <w:vAlign w:val="center"/>
            <w:hideMark/>
          </w:tcPr>
          <w:p w:rsidR="00C236A4" w:rsidRPr="00C236A4" w:rsidRDefault="00C80407" w:rsidP="00C236A4">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w:t>
            </w:r>
            <w:r w:rsidR="00C236A4" w:rsidRPr="00C236A4">
              <w:rPr>
                <w:rFonts w:ascii="Calibri" w:eastAsia="Times New Roman" w:hAnsi="Calibri" w:cs="Calibri"/>
                <w:color w:val="000000"/>
                <w:lang w:eastAsia="en-CA"/>
              </w:rPr>
              <w:t>Nil</w:t>
            </w:r>
          </w:p>
        </w:tc>
        <w:tc>
          <w:tcPr>
            <w:tcW w:w="86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Calibri" w:eastAsia="Times New Roman" w:hAnsi="Calibri" w:cs="Calibri"/>
                <w:color w:val="000000"/>
                <w:lang w:eastAsia="en-CA"/>
              </w:rPr>
            </w:pPr>
          </w:p>
        </w:tc>
      </w:tr>
      <w:tr w:rsidR="00C236A4" w:rsidRPr="00C236A4" w:rsidTr="00C236A4">
        <w:trPr>
          <w:trHeight w:val="828"/>
        </w:trPr>
        <w:tc>
          <w:tcPr>
            <w:tcW w:w="1060" w:type="dxa"/>
            <w:tcBorders>
              <w:top w:val="nil"/>
              <w:left w:val="nil"/>
              <w:bottom w:val="nil"/>
              <w:right w:val="nil"/>
            </w:tcBorders>
            <w:shd w:val="clear" w:color="auto" w:fill="auto"/>
            <w:vAlign w:val="center"/>
            <w:hideMark/>
          </w:tcPr>
          <w:p w:rsidR="00C236A4" w:rsidRPr="00C236A4" w:rsidRDefault="00C236A4" w:rsidP="00C236A4">
            <w:pPr>
              <w:spacing w:after="0" w:line="240" w:lineRule="auto"/>
              <w:jc w:val="both"/>
              <w:rPr>
                <w:rFonts w:ascii="Times New Roman" w:eastAsia="Times New Roman" w:hAnsi="Times New Roman" w:cs="Times New Roman"/>
                <w:b/>
                <w:bCs/>
                <w:color w:val="000000"/>
                <w:lang w:eastAsia="en-CA"/>
              </w:rPr>
            </w:pPr>
            <w:r w:rsidRPr="00C236A4">
              <w:rPr>
                <w:rFonts w:ascii="Times New Roman" w:eastAsia="Times New Roman" w:hAnsi="Times New Roman" w:cs="Times New Roman"/>
                <w:b/>
                <w:bCs/>
                <w:color w:val="000000"/>
                <w:lang w:eastAsia="en-CA"/>
              </w:rPr>
              <w:t>Cash dividends per share</w:t>
            </w:r>
          </w:p>
        </w:tc>
        <w:tc>
          <w:tcPr>
            <w:tcW w:w="1200" w:type="dxa"/>
            <w:tcBorders>
              <w:top w:val="nil"/>
              <w:left w:val="nil"/>
              <w:bottom w:val="nil"/>
              <w:right w:val="nil"/>
            </w:tcBorders>
            <w:shd w:val="clear" w:color="auto" w:fill="auto"/>
            <w:vAlign w:val="center"/>
            <w:hideMark/>
          </w:tcPr>
          <w:p w:rsidR="00C236A4" w:rsidRPr="00C236A4" w:rsidRDefault="00C80407" w:rsidP="00C236A4">
            <w:pPr>
              <w:spacing w:after="0" w:line="240" w:lineRule="auto"/>
              <w:jc w:val="both"/>
              <w:rPr>
                <w:rFonts w:ascii="Times New Roman" w:eastAsia="Times New Roman" w:hAnsi="Times New Roman" w:cs="Times New Roman"/>
                <w:color w:val="000000"/>
                <w:lang w:eastAsia="en-CA"/>
              </w:rPr>
            </w:pPr>
            <w:r>
              <w:rPr>
                <w:rFonts w:ascii="Times New Roman" w:eastAsia="Times New Roman" w:hAnsi="Times New Roman" w:cs="Times New Roman"/>
                <w:color w:val="000000"/>
                <w:lang w:eastAsia="en-CA"/>
              </w:rPr>
              <w:t xml:space="preserve">   </w:t>
            </w:r>
            <w:r w:rsidR="00C236A4" w:rsidRPr="00C236A4">
              <w:rPr>
                <w:rFonts w:ascii="Times New Roman" w:eastAsia="Times New Roman" w:hAnsi="Times New Roman" w:cs="Times New Roman"/>
                <w:color w:val="000000"/>
                <w:lang w:eastAsia="en-CA"/>
              </w:rPr>
              <w:t>Nil</w:t>
            </w:r>
          </w:p>
        </w:tc>
        <w:tc>
          <w:tcPr>
            <w:tcW w:w="96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jc w:val="both"/>
              <w:rPr>
                <w:rFonts w:ascii="Times New Roman" w:eastAsia="Times New Roman" w:hAnsi="Times New Roman" w:cs="Times New Roman"/>
                <w:color w:val="000000"/>
                <w:lang w:eastAsia="en-CA"/>
              </w:rPr>
            </w:pPr>
          </w:p>
        </w:tc>
        <w:tc>
          <w:tcPr>
            <w:tcW w:w="1280" w:type="dxa"/>
            <w:tcBorders>
              <w:top w:val="nil"/>
              <w:left w:val="nil"/>
              <w:bottom w:val="nil"/>
              <w:right w:val="nil"/>
            </w:tcBorders>
            <w:shd w:val="clear" w:color="auto" w:fill="auto"/>
            <w:noWrap/>
            <w:vAlign w:val="center"/>
            <w:hideMark/>
          </w:tcPr>
          <w:p w:rsidR="00C236A4" w:rsidRPr="00C236A4" w:rsidRDefault="00C80407" w:rsidP="00C236A4">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w:t>
            </w:r>
            <w:r w:rsidR="00C236A4" w:rsidRPr="00C236A4">
              <w:rPr>
                <w:rFonts w:ascii="Calibri" w:eastAsia="Times New Roman" w:hAnsi="Calibri" w:cs="Calibri"/>
                <w:color w:val="000000"/>
                <w:lang w:eastAsia="en-CA"/>
              </w:rPr>
              <w:t>Nil</w:t>
            </w:r>
          </w:p>
        </w:tc>
        <w:tc>
          <w:tcPr>
            <w:tcW w:w="74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Calibri" w:eastAsia="Times New Roman" w:hAnsi="Calibri" w:cs="Calibri"/>
                <w:color w:val="000000"/>
                <w:lang w:eastAsia="en-CA"/>
              </w:rPr>
            </w:pPr>
          </w:p>
        </w:tc>
        <w:tc>
          <w:tcPr>
            <w:tcW w:w="1280" w:type="dxa"/>
            <w:tcBorders>
              <w:top w:val="nil"/>
              <w:left w:val="nil"/>
              <w:bottom w:val="nil"/>
              <w:right w:val="nil"/>
            </w:tcBorders>
            <w:shd w:val="clear" w:color="auto" w:fill="auto"/>
            <w:noWrap/>
            <w:vAlign w:val="center"/>
            <w:hideMark/>
          </w:tcPr>
          <w:p w:rsidR="00C236A4" w:rsidRPr="00C236A4" w:rsidRDefault="00C80407" w:rsidP="00C236A4">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w:t>
            </w:r>
            <w:r w:rsidR="00C236A4" w:rsidRPr="00C236A4">
              <w:rPr>
                <w:rFonts w:ascii="Calibri" w:eastAsia="Times New Roman" w:hAnsi="Calibri" w:cs="Calibri"/>
                <w:color w:val="000000"/>
                <w:lang w:eastAsia="en-CA"/>
              </w:rPr>
              <w:t>Nil</w:t>
            </w:r>
          </w:p>
        </w:tc>
        <w:tc>
          <w:tcPr>
            <w:tcW w:w="86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Calibri" w:eastAsia="Times New Roman" w:hAnsi="Calibri" w:cs="Calibri"/>
                <w:color w:val="000000"/>
                <w:lang w:eastAsia="en-CA"/>
              </w:rPr>
            </w:pPr>
          </w:p>
        </w:tc>
        <w:tc>
          <w:tcPr>
            <w:tcW w:w="1280" w:type="dxa"/>
            <w:tcBorders>
              <w:top w:val="nil"/>
              <w:left w:val="nil"/>
              <w:bottom w:val="nil"/>
              <w:right w:val="nil"/>
            </w:tcBorders>
            <w:shd w:val="clear" w:color="auto" w:fill="auto"/>
            <w:noWrap/>
            <w:vAlign w:val="center"/>
            <w:hideMark/>
          </w:tcPr>
          <w:p w:rsidR="00C236A4" w:rsidRPr="00C236A4" w:rsidRDefault="00C80407" w:rsidP="00C236A4">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w:t>
            </w:r>
            <w:r w:rsidR="00C236A4" w:rsidRPr="00C236A4">
              <w:rPr>
                <w:rFonts w:ascii="Calibri" w:eastAsia="Times New Roman" w:hAnsi="Calibri" w:cs="Calibri"/>
                <w:color w:val="000000"/>
                <w:lang w:eastAsia="en-CA"/>
              </w:rPr>
              <w:t>Nil</w:t>
            </w:r>
          </w:p>
        </w:tc>
        <w:tc>
          <w:tcPr>
            <w:tcW w:w="860" w:type="dxa"/>
            <w:tcBorders>
              <w:top w:val="nil"/>
              <w:left w:val="nil"/>
              <w:bottom w:val="nil"/>
              <w:right w:val="nil"/>
            </w:tcBorders>
            <w:shd w:val="clear" w:color="auto" w:fill="auto"/>
            <w:noWrap/>
            <w:vAlign w:val="bottom"/>
            <w:hideMark/>
          </w:tcPr>
          <w:p w:rsidR="00C236A4" w:rsidRPr="00C236A4" w:rsidRDefault="00C236A4" w:rsidP="00C236A4">
            <w:pPr>
              <w:spacing w:after="0" w:line="240" w:lineRule="auto"/>
              <w:rPr>
                <w:rFonts w:ascii="Calibri" w:eastAsia="Times New Roman" w:hAnsi="Calibri" w:cs="Calibri"/>
                <w:color w:val="000000"/>
                <w:lang w:eastAsia="en-CA"/>
              </w:rPr>
            </w:pPr>
          </w:p>
        </w:tc>
      </w:tr>
    </w:tbl>
    <w:p w:rsidR="00A824C7" w:rsidRPr="004A6ED1" w:rsidRDefault="00A824C7" w:rsidP="003442C7">
      <w:pPr>
        <w:spacing w:before="240" w:after="240" w:line="240" w:lineRule="auto"/>
        <w:jc w:val="both"/>
        <w:rPr>
          <w:rFonts w:ascii="Times New Roman" w:hAnsi="Times New Roman" w:cs="Times New Roman"/>
        </w:rPr>
      </w:pPr>
    </w:p>
    <w:p w:rsidR="004361A0" w:rsidRPr="004A6ED1" w:rsidRDefault="004361A0" w:rsidP="003442C7">
      <w:pPr>
        <w:spacing w:after="240" w:line="240" w:lineRule="auto"/>
        <w:jc w:val="both"/>
        <w:rPr>
          <w:rFonts w:ascii="Times New Roman" w:hAnsi="Times New Roman"/>
          <w:i/>
        </w:rPr>
      </w:pPr>
      <w:r w:rsidRPr="004A6ED1">
        <w:rPr>
          <w:rFonts w:ascii="Times New Roman" w:hAnsi="Times New Roman"/>
          <w:i/>
        </w:rPr>
        <w:t>Revenues</w:t>
      </w:r>
    </w:p>
    <w:p w:rsidR="004361A0" w:rsidRPr="004A6ED1" w:rsidRDefault="004361A0" w:rsidP="003442C7">
      <w:pPr>
        <w:spacing w:after="240" w:line="240" w:lineRule="auto"/>
        <w:jc w:val="both"/>
        <w:rPr>
          <w:rFonts w:ascii="Times New Roman" w:hAnsi="Times New Roman" w:cs="Times New Roman"/>
        </w:rPr>
      </w:pPr>
      <w:r w:rsidRPr="004A6ED1">
        <w:rPr>
          <w:rFonts w:ascii="Times New Roman" w:hAnsi="Times New Roman" w:cs="Times New Roman"/>
        </w:rPr>
        <w:t>Given its status as a recently incorporated mining exploration company, the Company does not generate any steady income, and must finance its activities by issuing equity instruments.</w:t>
      </w:r>
    </w:p>
    <w:p w:rsidR="004361A0" w:rsidRPr="00C236A4" w:rsidRDefault="004361A0" w:rsidP="003442C7">
      <w:pPr>
        <w:spacing w:after="240" w:line="240" w:lineRule="auto"/>
        <w:jc w:val="both"/>
        <w:rPr>
          <w:rFonts w:ascii="Times New Roman" w:hAnsi="Times New Roman"/>
          <w:i/>
        </w:rPr>
      </w:pPr>
      <w:r w:rsidRPr="00C236A4">
        <w:rPr>
          <w:rFonts w:ascii="Times New Roman" w:hAnsi="Times New Roman"/>
          <w:i/>
        </w:rPr>
        <w:t>Expenses</w:t>
      </w:r>
      <w:r w:rsidR="00CD2D95" w:rsidRPr="00C236A4">
        <w:rPr>
          <w:rFonts w:ascii="Times New Roman" w:hAnsi="Times New Roman"/>
          <w:i/>
        </w:rPr>
        <w:t xml:space="preserve"> for the three month period ended </w:t>
      </w:r>
      <w:r w:rsidR="00ED6F85" w:rsidRPr="00C236A4">
        <w:rPr>
          <w:rFonts w:ascii="Times New Roman" w:hAnsi="Times New Roman"/>
          <w:i/>
        </w:rPr>
        <w:t>May 31</w:t>
      </w:r>
      <w:r w:rsidR="00CD2D95" w:rsidRPr="00C236A4">
        <w:rPr>
          <w:rFonts w:ascii="Times New Roman" w:hAnsi="Times New Roman"/>
          <w:i/>
        </w:rPr>
        <w:t>, 2019</w:t>
      </w:r>
    </w:p>
    <w:p w:rsidR="004361A0" w:rsidRPr="00C236A4" w:rsidRDefault="004361A0" w:rsidP="003442C7">
      <w:pPr>
        <w:spacing w:after="240" w:line="240" w:lineRule="auto"/>
        <w:jc w:val="both"/>
        <w:rPr>
          <w:rFonts w:ascii="Times New Roman" w:hAnsi="Times New Roman" w:cs="Times New Roman"/>
        </w:rPr>
      </w:pPr>
      <w:r w:rsidRPr="00C236A4">
        <w:rPr>
          <w:rFonts w:ascii="Times New Roman" w:hAnsi="Times New Roman" w:cs="Times New Roman"/>
        </w:rPr>
        <w:t xml:space="preserve">The Company’s general and administrative expenses </w:t>
      </w:r>
      <w:r w:rsidR="00A824C7" w:rsidRPr="00C236A4">
        <w:rPr>
          <w:rFonts w:ascii="Times New Roman" w:hAnsi="Times New Roman" w:cs="Times New Roman"/>
        </w:rPr>
        <w:t>for the three month period ended</w:t>
      </w:r>
      <w:r w:rsidRPr="00C236A4">
        <w:rPr>
          <w:rFonts w:ascii="Times New Roman" w:hAnsi="Times New Roman" w:cs="Times New Roman"/>
        </w:rPr>
        <w:t xml:space="preserve"> </w:t>
      </w:r>
      <w:r w:rsidR="00ED6F85" w:rsidRPr="00C236A4">
        <w:rPr>
          <w:rFonts w:ascii="Times New Roman" w:hAnsi="Times New Roman" w:cs="Times New Roman"/>
        </w:rPr>
        <w:t>May 31</w:t>
      </w:r>
      <w:r w:rsidR="004B2C89" w:rsidRPr="00C236A4">
        <w:rPr>
          <w:rFonts w:ascii="Times New Roman" w:hAnsi="Times New Roman" w:cs="Times New Roman"/>
        </w:rPr>
        <w:t>, 2019</w:t>
      </w:r>
      <w:r w:rsidRPr="00C236A4">
        <w:rPr>
          <w:rFonts w:ascii="Times New Roman" w:hAnsi="Times New Roman" w:cs="Times New Roman"/>
        </w:rPr>
        <w:t>, totaled $</w:t>
      </w:r>
      <w:r w:rsidR="00C236A4" w:rsidRPr="00C236A4">
        <w:rPr>
          <w:rFonts w:ascii="Times New Roman" w:hAnsi="Times New Roman" w:cs="Times New Roman"/>
        </w:rPr>
        <w:t>27,550</w:t>
      </w:r>
      <w:r w:rsidRPr="00C236A4">
        <w:rPr>
          <w:rFonts w:ascii="Times New Roman" w:hAnsi="Times New Roman" w:cs="Times New Roman"/>
        </w:rPr>
        <w:t xml:space="preserve"> and included </w:t>
      </w:r>
      <w:r w:rsidR="00A824C7" w:rsidRPr="00C236A4">
        <w:rPr>
          <w:rFonts w:ascii="Times New Roman" w:hAnsi="Times New Roman" w:cs="Times New Roman"/>
        </w:rPr>
        <w:t>transfer agent</w:t>
      </w:r>
      <w:r w:rsidRPr="00C236A4">
        <w:rPr>
          <w:rFonts w:ascii="Times New Roman" w:hAnsi="Times New Roman" w:cs="Times New Roman"/>
        </w:rPr>
        <w:t xml:space="preserve"> fees of $</w:t>
      </w:r>
      <w:r w:rsidR="00A824C7" w:rsidRPr="00C236A4">
        <w:rPr>
          <w:rFonts w:ascii="Times New Roman" w:hAnsi="Times New Roman" w:cs="Times New Roman"/>
        </w:rPr>
        <w:t>1</w:t>
      </w:r>
      <w:r w:rsidR="005124F3">
        <w:rPr>
          <w:rFonts w:ascii="Times New Roman" w:hAnsi="Times New Roman" w:cs="Times New Roman"/>
        </w:rPr>
        <w:t>,</w:t>
      </w:r>
      <w:r w:rsidR="00C236A4" w:rsidRPr="00C236A4">
        <w:rPr>
          <w:rFonts w:ascii="Times New Roman" w:hAnsi="Times New Roman" w:cs="Times New Roman"/>
        </w:rPr>
        <w:t>125</w:t>
      </w:r>
      <w:r w:rsidRPr="00C236A4">
        <w:rPr>
          <w:rFonts w:ascii="Times New Roman" w:hAnsi="Times New Roman" w:cs="Times New Roman"/>
        </w:rPr>
        <w:t>, management fees of $nil,</w:t>
      </w:r>
      <w:r w:rsidR="004A6ED1" w:rsidRPr="00C236A4">
        <w:rPr>
          <w:rFonts w:ascii="Times New Roman" w:hAnsi="Times New Roman" w:cs="Times New Roman"/>
        </w:rPr>
        <w:t xml:space="preserve"> </w:t>
      </w:r>
      <w:r w:rsidR="00C236A4" w:rsidRPr="00C236A4">
        <w:rPr>
          <w:rFonts w:ascii="Times New Roman" w:hAnsi="Times New Roman" w:cs="Times New Roman"/>
        </w:rPr>
        <w:t>accounting and legal costs of $10</w:t>
      </w:r>
      <w:r w:rsidR="005124F3">
        <w:rPr>
          <w:rFonts w:ascii="Times New Roman" w:hAnsi="Times New Roman" w:cs="Times New Roman"/>
        </w:rPr>
        <w:t>,</w:t>
      </w:r>
      <w:r w:rsidR="00C236A4" w:rsidRPr="00C236A4">
        <w:rPr>
          <w:rFonts w:ascii="Times New Roman" w:hAnsi="Times New Roman" w:cs="Times New Roman"/>
        </w:rPr>
        <w:t>500, printing for $936, travel related costs of $2</w:t>
      </w:r>
      <w:r w:rsidR="005124F3">
        <w:rPr>
          <w:rFonts w:ascii="Times New Roman" w:hAnsi="Times New Roman" w:cs="Times New Roman"/>
        </w:rPr>
        <w:t>,</w:t>
      </w:r>
      <w:r w:rsidR="00C236A4" w:rsidRPr="00C236A4">
        <w:rPr>
          <w:rFonts w:ascii="Times New Roman" w:hAnsi="Times New Roman" w:cs="Times New Roman"/>
        </w:rPr>
        <w:t xml:space="preserve">599, </w:t>
      </w:r>
      <w:r w:rsidRPr="00C236A4">
        <w:rPr>
          <w:rFonts w:ascii="Times New Roman" w:hAnsi="Times New Roman" w:cs="Times New Roman"/>
        </w:rPr>
        <w:t>rental expenses of $</w:t>
      </w:r>
      <w:r w:rsidR="00A824C7" w:rsidRPr="00C236A4">
        <w:rPr>
          <w:rFonts w:ascii="Times New Roman" w:hAnsi="Times New Roman" w:cs="Times New Roman"/>
        </w:rPr>
        <w:t>1,5</w:t>
      </w:r>
      <w:r w:rsidRPr="00C236A4">
        <w:rPr>
          <w:rFonts w:ascii="Times New Roman" w:hAnsi="Times New Roman" w:cs="Times New Roman"/>
        </w:rPr>
        <w:t>00, website design fees of $</w:t>
      </w:r>
      <w:r w:rsidR="00C236A4" w:rsidRPr="00C236A4">
        <w:rPr>
          <w:rFonts w:ascii="Times New Roman" w:hAnsi="Times New Roman" w:cs="Times New Roman"/>
        </w:rPr>
        <w:t>462</w:t>
      </w:r>
      <w:r w:rsidRPr="00C236A4">
        <w:rPr>
          <w:rFonts w:ascii="Times New Roman" w:hAnsi="Times New Roman" w:cs="Times New Roman"/>
        </w:rPr>
        <w:t>, consulting fees of $</w:t>
      </w:r>
      <w:r w:rsidR="00C236A4" w:rsidRPr="00C236A4">
        <w:rPr>
          <w:rFonts w:ascii="Times New Roman" w:hAnsi="Times New Roman" w:cs="Times New Roman"/>
        </w:rPr>
        <w:t>10</w:t>
      </w:r>
      <w:r w:rsidR="005124F3">
        <w:rPr>
          <w:rFonts w:ascii="Times New Roman" w:hAnsi="Times New Roman" w:cs="Times New Roman"/>
        </w:rPr>
        <w:t>,</w:t>
      </w:r>
      <w:r w:rsidR="00C236A4" w:rsidRPr="00C236A4">
        <w:rPr>
          <w:rFonts w:ascii="Times New Roman" w:hAnsi="Times New Roman" w:cs="Times New Roman"/>
        </w:rPr>
        <w:t>06</w:t>
      </w:r>
      <w:r w:rsidRPr="00C236A4">
        <w:rPr>
          <w:rFonts w:ascii="Times New Roman" w:hAnsi="Times New Roman" w:cs="Times New Roman"/>
        </w:rPr>
        <w:t>0</w:t>
      </w:r>
      <w:r w:rsidR="004A6ED1" w:rsidRPr="00C236A4">
        <w:rPr>
          <w:rFonts w:ascii="Times New Roman" w:hAnsi="Times New Roman" w:cs="Times New Roman"/>
        </w:rPr>
        <w:t>, promotional expenses of $</w:t>
      </w:r>
      <w:r w:rsidR="00C236A4" w:rsidRPr="00C236A4">
        <w:rPr>
          <w:rFonts w:ascii="Times New Roman" w:hAnsi="Times New Roman" w:cs="Times New Roman"/>
        </w:rPr>
        <w:t>nil</w:t>
      </w:r>
      <w:r w:rsidRPr="00C236A4">
        <w:rPr>
          <w:rFonts w:ascii="Times New Roman" w:hAnsi="Times New Roman" w:cs="Times New Roman"/>
        </w:rPr>
        <w:t xml:space="preserve"> and bank charges and fees of $</w:t>
      </w:r>
      <w:r w:rsidR="00C236A4" w:rsidRPr="00C236A4">
        <w:rPr>
          <w:rFonts w:ascii="Times New Roman" w:hAnsi="Times New Roman" w:cs="Times New Roman"/>
        </w:rPr>
        <w:t>69</w:t>
      </w:r>
      <w:r w:rsidRPr="00C236A4">
        <w:rPr>
          <w:rFonts w:ascii="Times New Roman" w:hAnsi="Times New Roman" w:cs="Times New Roman"/>
        </w:rPr>
        <w:t>.</w:t>
      </w:r>
    </w:p>
    <w:p w:rsidR="00CD2D95" w:rsidRPr="00C236A4" w:rsidRDefault="00CD2D95" w:rsidP="003442C7">
      <w:pPr>
        <w:spacing w:after="240" w:line="240" w:lineRule="auto"/>
        <w:jc w:val="both"/>
        <w:rPr>
          <w:rFonts w:ascii="Times New Roman" w:hAnsi="Times New Roman" w:cs="Times New Roman"/>
          <w:i/>
        </w:rPr>
      </w:pPr>
      <w:r w:rsidRPr="00C236A4">
        <w:rPr>
          <w:rFonts w:ascii="Times New Roman" w:hAnsi="Times New Roman" w:cs="Times New Roman"/>
          <w:i/>
        </w:rPr>
        <w:lastRenderedPageBreak/>
        <w:t xml:space="preserve">Expenses for the </w:t>
      </w:r>
      <w:r w:rsidR="00753049" w:rsidRPr="00C236A4">
        <w:rPr>
          <w:rFonts w:ascii="Times New Roman" w:hAnsi="Times New Roman" w:cs="Times New Roman"/>
          <w:i/>
        </w:rPr>
        <w:t>nine</w:t>
      </w:r>
      <w:r w:rsidRPr="00C236A4">
        <w:rPr>
          <w:rFonts w:ascii="Times New Roman" w:hAnsi="Times New Roman" w:cs="Times New Roman"/>
          <w:i/>
        </w:rPr>
        <w:t xml:space="preserve"> month period ended </w:t>
      </w:r>
      <w:r w:rsidR="00ED6F85" w:rsidRPr="00C236A4">
        <w:rPr>
          <w:rFonts w:ascii="Times New Roman" w:hAnsi="Times New Roman" w:cs="Times New Roman"/>
          <w:i/>
        </w:rPr>
        <w:t>May 31</w:t>
      </w:r>
      <w:r w:rsidRPr="00C236A4">
        <w:rPr>
          <w:rFonts w:ascii="Times New Roman" w:hAnsi="Times New Roman" w:cs="Times New Roman"/>
          <w:i/>
        </w:rPr>
        <w:t>, 2019</w:t>
      </w:r>
    </w:p>
    <w:p w:rsidR="00A13B1B" w:rsidRPr="00C236A4" w:rsidRDefault="00A13B1B" w:rsidP="003442C7">
      <w:pPr>
        <w:spacing w:after="240" w:line="240" w:lineRule="auto"/>
        <w:jc w:val="both"/>
        <w:rPr>
          <w:rFonts w:ascii="Times New Roman" w:hAnsi="Times New Roman" w:cs="Times New Roman"/>
        </w:rPr>
      </w:pPr>
      <w:r w:rsidRPr="00C236A4">
        <w:rPr>
          <w:rFonts w:ascii="Times New Roman" w:hAnsi="Times New Roman" w:cs="Times New Roman"/>
        </w:rPr>
        <w:t xml:space="preserve">For the </w:t>
      </w:r>
      <w:r w:rsidR="00753049" w:rsidRPr="00C236A4">
        <w:rPr>
          <w:rFonts w:ascii="Times New Roman" w:hAnsi="Times New Roman" w:cs="Times New Roman"/>
        </w:rPr>
        <w:t>nine</w:t>
      </w:r>
      <w:r w:rsidRPr="00C236A4">
        <w:rPr>
          <w:rFonts w:ascii="Times New Roman" w:hAnsi="Times New Roman" w:cs="Times New Roman"/>
        </w:rPr>
        <w:t xml:space="preserve"> month period ended </w:t>
      </w:r>
      <w:r w:rsidR="00ED6F85" w:rsidRPr="00C236A4">
        <w:rPr>
          <w:rFonts w:ascii="Times New Roman" w:hAnsi="Times New Roman" w:cs="Times New Roman"/>
        </w:rPr>
        <w:t>May 31</w:t>
      </w:r>
      <w:r w:rsidRPr="00C236A4">
        <w:rPr>
          <w:rFonts w:ascii="Times New Roman" w:hAnsi="Times New Roman" w:cs="Times New Roman"/>
        </w:rPr>
        <w:t xml:space="preserve">, 2019, total administrative </w:t>
      </w:r>
      <w:r w:rsidR="00C46B2D" w:rsidRPr="00C236A4">
        <w:rPr>
          <w:rFonts w:ascii="Times New Roman" w:hAnsi="Times New Roman" w:cs="Times New Roman"/>
        </w:rPr>
        <w:t>a</w:t>
      </w:r>
      <w:r w:rsidRPr="00C236A4">
        <w:rPr>
          <w:rFonts w:ascii="Times New Roman" w:hAnsi="Times New Roman" w:cs="Times New Roman"/>
        </w:rPr>
        <w:t>nd general expenses were $</w:t>
      </w:r>
      <w:r w:rsidR="00C236A4" w:rsidRPr="00C236A4">
        <w:rPr>
          <w:rFonts w:ascii="Times New Roman" w:hAnsi="Times New Roman" w:cs="Times New Roman"/>
        </w:rPr>
        <w:t>81</w:t>
      </w:r>
      <w:r w:rsidR="005124F3">
        <w:rPr>
          <w:rFonts w:ascii="Times New Roman" w:hAnsi="Times New Roman" w:cs="Times New Roman"/>
        </w:rPr>
        <w:t>,</w:t>
      </w:r>
      <w:r w:rsidR="00C236A4" w:rsidRPr="00C236A4">
        <w:rPr>
          <w:rFonts w:ascii="Times New Roman" w:hAnsi="Times New Roman" w:cs="Times New Roman"/>
        </w:rPr>
        <w:t>631</w:t>
      </w:r>
      <w:r w:rsidRPr="00C236A4">
        <w:rPr>
          <w:rFonts w:ascii="Times New Roman" w:hAnsi="Times New Roman" w:cs="Times New Roman"/>
        </w:rPr>
        <w:t>. These included transfer agent fees of $</w:t>
      </w:r>
      <w:r w:rsidR="00C236A4" w:rsidRPr="00C236A4">
        <w:rPr>
          <w:rFonts w:ascii="Times New Roman" w:hAnsi="Times New Roman" w:cs="Times New Roman"/>
        </w:rPr>
        <w:t>1</w:t>
      </w:r>
      <w:r w:rsidR="005124F3">
        <w:rPr>
          <w:rFonts w:ascii="Times New Roman" w:hAnsi="Times New Roman" w:cs="Times New Roman"/>
        </w:rPr>
        <w:t>,</w:t>
      </w:r>
      <w:r w:rsidR="00C236A4" w:rsidRPr="00C236A4">
        <w:rPr>
          <w:rFonts w:ascii="Times New Roman" w:hAnsi="Times New Roman" w:cs="Times New Roman"/>
        </w:rPr>
        <w:t>256</w:t>
      </w:r>
      <w:r w:rsidRPr="00C236A4">
        <w:rPr>
          <w:rFonts w:ascii="Times New Roman" w:hAnsi="Times New Roman" w:cs="Times New Roman"/>
        </w:rPr>
        <w:t>, accounting, legal and professional fees of $</w:t>
      </w:r>
      <w:r w:rsidR="00C236A4" w:rsidRPr="00C236A4">
        <w:rPr>
          <w:rFonts w:ascii="Times New Roman" w:hAnsi="Times New Roman" w:cs="Times New Roman"/>
        </w:rPr>
        <w:t>35</w:t>
      </w:r>
      <w:r w:rsidR="005124F3">
        <w:rPr>
          <w:rFonts w:ascii="Times New Roman" w:hAnsi="Times New Roman" w:cs="Times New Roman"/>
        </w:rPr>
        <w:t>,</w:t>
      </w:r>
      <w:r w:rsidR="00C236A4" w:rsidRPr="00C236A4">
        <w:rPr>
          <w:rFonts w:ascii="Times New Roman" w:hAnsi="Times New Roman" w:cs="Times New Roman"/>
        </w:rPr>
        <w:t>613</w:t>
      </w:r>
      <w:r w:rsidRPr="00C236A4">
        <w:rPr>
          <w:rFonts w:ascii="Times New Roman" w:hAnsi="Times New Roman" w:cs="Times New Roman"/>
        </w:rPr>
        <w:t xml:space="preserve"> management </w:t>
      </w:r>
      <w:r w:rsidR="00C46B2D" w:rsidRPr="00C236A4">
        <w:rPr>
          <w:rFonts w:ascii="Times New Roman" w:hAnsi="Times New Roman" w:cs="Times New Roman"/>
        </w:rPr>
        <w:t xml:space="preserve">consulting </w:t>
      </w:r>
      <w:r w:rsidRPr="00C236A4">
        <w:rPr>
          <w:rFonts w:ascii="Times New Roman" w:hAnsi="Times New Roman" w:cs="Times New Roman"/>
        </w:rPr>
        <w:t>fees of $</w:t>
      </w:r>
      <w:r w:rsidR="00C46B2D" w:rsidRPr="00C236A4">
        <w:rPr>
          <w:rFonts w:ascii="Times New Roman" w:hAnsi="Times New Roman" w:cs="Times New Roman"/>
        </w:rPr>
        <w:t>6,000</w:t>
      </w:r>
      <w:r w:rsidRPr="00C236A4">
        <w:rPr>
          <w:rFonts w:ascii="Times New Roman" w:hAnsi="Times New Roman" w:cs="Times New Roman"/>
        </w:rPr>
        <w:t xml:space="preserve">, </w:t>
      </w:r>
      <w:r w:rsidR="00C46B2D" w:rsidRPr="00C236A4">
        <w:rPr>
          <w:rFonts w:ascii="Times New Roman" w:hAnsi="Times New Roman" w:cs="Times New Roman"/>
        </w:rPr>
        <w:t xml:space="preserve">public company and exchange fees and costs of $16,499, </w:t>
      </w:r>
      <w:r w:rsidRPr="00C236A4">
        <w:rPr>
          <w:rFonts w:ascii="Times New Roman" w:hAnsi="Times New Roman" w:cs="Times New Roman"/>
        </w:rPr>
        <w:t>travel costs of $</w:t>
      </w:r>
      <w:r w:rsidR="00C236A4" w:rsidRPr="00C236A4">
        <w:rPr>
          <w:rFonts w:ascii="Times New Roman" w:hAnsi="Times New Roman" w:cs="Times New Roman"/>
        </w:rPr>
        <w:t>3</w:t>
      </w:r>
      <w:r w:rsidR="005124F3">
        <w:rPr>
          <w:rFonts w:ascii="Times New Roman" w:hAnsi="Times New Roman" w:cs="Times New Roman"/>
        </w:rPr>
        <w:t>,</w:t>
      </w:r>
      <w:r w:rsidR="00C236A4" w:rsidRPr="00C236A4">
        <w:rPr>
          <w:rFonts w:ascii="Times New Roman" w:hAnsi="Times New Roman" w:cs="Times New Roman"/>
        </w:rPr>
        <w:t>517</w:t>
      </w:r>
      <w:r w:rsidRPr="00C236A4">
        <w:rPr>
          <w:rFonts w:ascii="Times New Roman" w:hAnsi="Times New Roman" w:cs="Times New Roman"/>
        </w:rPr>
        <w:t>, rental expenses of $</w:t>
      </w:r>
      <w:r w:rsidR="00C236A4" w:rsidRPr="00C236A4">
        <w:rPr>
          <w:rFonts w:ascii="Times New Roman" w:hAnsi="Times New Roman" w:cs="Times New Roman"/>
        </w:rPr>
        <w:t>4</w:t>
      </w:r>
      <w:r w:rsidR="005124F3">
        <w:rPr>
          <w:rFonts w:ascii="Times New Roman" w:hAnsi="Times New Roman" w:cs="Times New Roman"/>
        </w:rPr>
        <w:t>,</w:t>
      </w:r>
      <w:r w:rsidR="00C236A4" w:rsidRPr="00C236A4">
        <w:rPr>
          <w:rFonts w:ascii="Times New Roman" w:hAnsi="Times New Roman" w:cs="Times New Roman"/>
        </w:rPr>
        <w:t>5</w:t>
      </w:r>
      <w:r w:rsidRPr="00C236A4">
        <w:rPr>
          <w:rFonts w:ascii="Times New Roman" w:hAnsi="Times New Roman" w:cs="Times New Roman"/>
        </w:rPr>
        <w:t xml:space="preserve">00, </w:t>
      </w:r>
      <w:r w:rsidR="00C236A4" w:rsidRPr="00C236A4">
        <w:rPr>
          <w:rFonts w:ascii="Times New Roman" w:hAnsi="Times New Roman" w:cs="Times New Roman"/>
        </w:rPr>
        <w:t>Canadian Stock Exchange fees of $3</w:t>
      </w:r>
      <w:r w:rsidR="005124F3">
        <w:rPr>
          <w:rFonts w:ascii="Times New Roman" w:hAnsi="Times New Roman" w:cs="Times New Roman"/>
        </w:rPr>
        <w:t>,</w:t>
      </w:r>
      <w:r w:rsidR="00C236A4" w:rsidRPr="00C236A4">
        <w:rPr>
          <w:rFonts w:ascii="Times New Roman" w:hAnsi="Times New Roman" w:cs="Times New Roman"/>
        </w:rPr>
        <w:t>500, public company related costs of $12</w:t>
      </w:r>
      <w:r w:rsidR="005124F3">
        <w:rPr>
          <w:rFonts w:ascii="Times New Roman" w:hAnsi="Times New Roman" w:cs="Times New Roman"/>
        </w:rPr>
        <w:t>,</w:t>
      </w:r>
      <w:r w:rsidR="00C236A4" w:rsidRPr="00C236A4">
        <w:rPr>
          <w:rFonts w:ascii="Times New Roman" w:hAnsi="Times New Roman" w:cs="Times New Roman"/>
        </w:rPr>
        <w:t>999,</w:t>
      </w:r>
      <w:r w:rsidRPr="00C236A4">
        <w:rPr>
          <w:rFonts w:ascii="Times New Roman" w:hAnsi="Times New Roman" w:cs="Times New Roman"/>
        </w:rPr>
        <w:t xml:space="preserve">website design fees of </w:t>
      </w:r>
      <w:r w:rsidR="00C236A4" w:rsidRPr="00C236A4">
        <w:rPr>
          <w:rFonts w:ascii="Times New Roman" w:hAnsi="Times New Roman" w:cs="Times New Roman"/>
        </w:rPr>
        <w:t>$1</w:t>
      </w:r>
      <w:r w:rsidR="005124F3">
        <w:rPr>
          <w:rFonts w:ascii="Times New Roman" w:hAnsi="Times New Roman" w:cs="Times New Roman"/>
        </w:rPr>
        <w:t>,</w:t>
      </w:r>
      <w:r w:rsidR="00C236A4" w:rsidRPr="00C236A4">
        <w:rPr>
          <w:rFonts w:ascii="Times New Roman" w:hAnsi="Times New Roman" w:cs="Times New Roman"/>
        </w:rPr>
        <w:t>146</w:t>
      </w:r>
      <w:r w:rsidRPr="00C236A4">
        <w:rPr>
          <w:rFonts w:ascii="Times New Roman" w:hAnsi="Times New Roman" w:cs="Times New Roman"/>
        </w:rPr>
        <w:t>, consulting fees of $</w:t>
      </w:r>
      <w:r w:rsidR="00C46B2D" w:rsidRPr="00C236A4">
        <w:rPr>
          <w:rFonts w:ascii="Times New Roman" w:hAnsi="Times New Roman" w:cs="Times New Roman"/>
        </w:rPr>
        <w:t>1</w:t>
      </w:r>
      <w:r w:rsidR="00C236A4" w:rsidRPr="00C236A4">
        <w:rPr>
          <w:rFonts w:ascii="Times New Roman" w:hAnsi="Times New Roman" w:cs="Times New Roman"/>
        </w:rPr>
        <w:t>7</w:t>
      </w:r>
      <w:r w:rsidR="005124F3">
        <w:rPr>
          <w:rFonts w:ascii="Times New Roman" w:hAnsi="Times New Roman" w:cs="Times New Roman"/>
        </w:rPr>
        <w:t>,</w:t>
      </w:r>
      <w:r w:rsidR="00C236A4" w:rsidRPr="00C236A4">
        <w:rPr>
          <w:rFonts w:ascii="Times New Roman" w:hAnsi="Times New Roman" w:cs="Times New Roman"/>
        </w:rPr>
        <w:t>16</w:t>
      </w:r>
      <w:r w:rsidRPr="00C236A4">
        <w:rPr>
          <w:rFonts w:ascii="Times New Roman" w:hAnsi="Times New Roman" w:cs="Times New Roman"/>
        </w:rPr>
        <w:t>0, promotional expenses of $</w:t>
      </w:r>
      <w:r w:rsidR="00C236A4" w:rsidRPr="00C236A4">
        <w:rPr>
          <w:rFonts w:ascii="Times New Roman" w:hAnsi="Times New Roman" w:cs="Times New Roman"/>
        </w:rPr>
        <w:t>291</w:t>
      </w:r>
      <w:r w:rsidRPr="00C236A4">
        <w:rPr>
          <w:rFonts w:ascii="Times New Roman" w:hAnsi="Times New Roman" w:cs="Times New Roman"/>
        </w:rPr>
        <w:t xml:space="preserve"> and office and bank charges and fees of $</w:t>
      </w:r>
      <w:r w:rsidR="00C236A4" w:rsidRPr="00C236A4">
        <w:rPr>
          <w:rFonts w:ascii="Times New Roman" w:hAnsi="Times New Roman" w:cs="Times New Roman"/>
        </w:rPr>
        <w:t>142</w:t>
      </w:r>
      <w:r w:rsidRPr="00C236A4">
        <w:rPr>
          <w:rFonts w:ascii="Times New Roman" w:hAnsi="Times New Roman" w:cs="Times New Roman"/>
        </w:rPr>
        <w:t>.</w:t>
      </w:r>
    </w:p>
    <w:p w:rsidR="004361A0" w:rsidRPr="00C236A4" w:rsidRDefault="004361A0" w:rsidP="003442C7">
      <w:pPr>
        <w:spacing w:after="240" w:line="240" w:lineRule="auto"/>
        <w:jc w:val="both"/>
        <w:rPr>
          <w:rFonts w:ascii="Times New Roman" w:hAnsi="Times New Roman"/>
          <w:i/>
        </w:rPr>
      </w:pPr>
      <w:r w:rsidRPr="00C236A4">
        <w:rPr>
          <w:rFonts w:ascii="Times New Roman" w:hAnsi="Times New Roman"/>
          <w:i/>
        </w:rPr>
        <w:t>Liquidity and Capital Resources</w:t>
      </w:r>
    </w:p>
    <w:p w:rsidR="004361A0" w:rsidRPr="00C236A4" w:rsidRDefault="004361A0" w:rsidP="003442C7">
      <w:pPr>
        <w:spacing w:after="240" w:line="240" w:lineRule="auto"/>
        <w:jc w:val="both"/>
        <w:rPr>
          <w:rFonts w:ascii="Times New Roman" w:hAnsi="Times New Roman" w:cs="Times New Roman"/>
        </w:rPr>
      </w:pPr>
      <w:r w:rsidRPr="00C236A4">
        <w:rPr>
          <w:rFonts w:ascii="Times New Roman" w:hAnsi="Times New Roman" w:cs="Times New Roman"/>
        </w:rPr>
        <w:t xml:space="preserve">Cash and cash equivalents as at </w:t>
      </w:r>
      <w:r w:rsidR="00ED6F85" w:rsidRPr="00C236A4">
        <w:rPr>
          <w:rFonts w:ascii="Times New Roman" w:hAnsi="Times New Roman" w:cs="Times New Roman"/>
        </w:rPr>
        <w:t>May 31</w:t>
      </w:r>
      <w:r w:rsidR="004B2C89" w:rsidRPr="00C236A4">
        <w:rPr>
          <w:rFonts w:ascii="Times New Roman" w:hAnsi="Times New Roman" w:cs="Times New Roman"/>
        </w:rPr>
        <w:t>, 2019</w:t>
      </w:r>
      <w:r w:rsidRPr="00C236A4">
        <w:rPr>
          <w:rFonts w:ascii="Times New Roman" w:hAnsi="Times New Roman" w:cs="Times New Roman"/>
        </w:rPr>
        <w:t>, totaled $</w:t>
      </w:r>
      <w:r w:rsidR="005124F3">
        <w:rPr>
          <w:rFonts w:ascii="Times New Roman" w:hAnsi="Times New Roman" w:cs="Times New Roman"/>
        </w:rPr>
        <w:t>11,58</w:t>
      </w:r>
      <w:r w:rsidR="00C236A4" w:rsidRPr="00C236A4">
        <w:rPr>
          <w:rFonts w:ascii="Times New Roman" w:hAnsi="Times New Roman" w:cs="Times New Roman"/>
        </w:rPr>
        <w:t>3</w:t>
      </w:r>
      <w:r w:rsidRPr="00C236A4">
        <w:rPr>
          <w:rFonts w:ascii="Times New Roman" w:hAnsi="Times New Roman" w:cs="Times New Roman"/>
        </w:rPr>
        <w:t xml:space="preserve">.  It is management's intention to secure further capital funding in the form of equity to support current and future exploration and evaluation assets development. </w:t>
      </w:r>
    </w:p>
    <w:p w:rsidR="004361A0" w:rsidRPr="00861DA5" w:rsidRDefault="004361A0" w:rsidP="003442C7">
      <w:pPr>
        <w:spacing w:after="240" w:line="240" w:lineRule="auto"/>
        <w:jc w:val="both"/>
        <w:rPr>
          <w:rFonts w:ascii="Times New Roman" w:hAnsi="Times New Roman" w:cs="Times New Roman"/>
        </w:rPr>
      </w:pPr>
      <w:r w:rsidRPr="00C236A4">
        <w:rPr>
          <w:rFonts w:ascii="Times New Roman" w:hAnsi="Times New Roman" w:cs="Times New Roman"/>
        </w:rPr>
        <w:t xml:space="preserve">For the next year, the Company has budgeted $140,000 for administrative expenses. Management is of the opinion that, based on its plan to raise additional equity financing, the Company will be able to meet its current exploration obligations and keep its property in good standing for the next 12 months. Advanced exploration of the mineral property would require substantially more financial resources.  There </w:t>
      </w:r>
      <w:r w:rsidRPr="00861DA5">
        <w:rPr>
          <w:rFonts w:ascii="Times New Roman" w:hAnsi="Times New Roman" w:cs="Times New Roman"/>
        </w:rPr>
        <w:t xml:space="preserve">is no assurance that such financing will be available when required, or under terms that are favourable to the Company. </w:t>
      </w:r>
      <w:r>
        <w:rPr>
          <w:rFonts w:ascii="Times New Roman" w:hAnsi="Times New Roman" w:cs="Times New Roman"/>
        </w:rPr>
        <w:t xml:space="preserve"> </w:t>
      </w:r>
      <w:r w:rsidRPr="00861DA5">
        <w:rPr>
          <w:rFonts w:ascii="Times New Roman" w:hAnsi="Times New Roman" w:cs="Times New Roman"/>
        </w:rPr>
        <w:t>The Company may also select to advance the exploration and development of exploration and evaluation assets through joint ventures. Management is currently considering opportunities for further financing.</w:t>
      </w:r>
    </w:p>
    <w:p w:rsidR="004361A0" w:rsidRPr="003442C7" w:rsidRDefault="004361A0" w:rsidP="003442C7">
      <w:pPr>
        <w:spacing w:after="240" w:line="240" w:lineRule="auto"/>
        <w:jc w:val="both"/>
        <w:rPr>
          <w:rFonts w:ascii="Times New Roman" w:hAnsi="Times New Roman"/>
          <w:i/>
        </w:rPr>
      </w:pPr>
      <w:r w:rsidRPr="003442C7">
        <w:rPr>
          <w:rFonts w:ascii="Times New Roman" w:hAnsi="Times New Roman"/>
          <w:i/>
        </w:rPr>
        <w:t>Off Balance Sheet Arrangements</w:t>
      </w:r>
    </w:p>
    <w:p w:rsidR="004361A0" w:rsidRPr="00861DA5" w:rsidRDefault="004361A0" w:rsidP="003442C7">
      <w:pPr>
        <w:spacing w:after="240" w:line="240" w:lineRule="auto"/>
        <w:jc w:val="both"/>
        <w:rPr>
          <w:rFonts w:ascii="Times New Roman" w:hAnsi="Times New Roman" w:cs="Times New Roman"/>
        </w:rPr>
      </w:pPr>
      <w:r w:rsidRPr="00861DA5">
        <w:rPr>
          <w:rFonts w:ascii="Times New Roman" w:hAnsi="Times New Roman" w:cs="Times New Roman"/>
        </w:rPr>
        <w:t>The Company has no off-balance sheet arrangements</w:t>
      </w:r>
      <w:r>
        <w:rPr>
          <w:rFonts w:ascii="Times New Roman" w:hAnsi="Times New Roman" w:cs="Times New Roman"/>
        </w:rPr>
        <w:t>.</w:t>
      </w:r>
    </w:p>
    <w:p w:rsidR="004361A0" w:rsidRPr="003442C7" w:rsidRDefault="004361A0" w:rsidP="003442C7">
      <w:pPr>
        <w:spacing w:after="240" w:line="240" w:lineRule="auto"/>
        <w:jc w:val="both"/>
        <w:rPr>
          <w:rFonts w:ascii="Times New Roman" w:hAnsi="Times New Roman"/>
          <w:i/>
        </w:rPr>
      </w:pPr>
      <w:r w:rsidRPr="003442C7">
        <w:rPr>
          <w:rFonts w:ascii="Times New Roman" w:hAnsi="Times New Roman"/>
          <w:i/>
        </w:rPr>
        <w:t>Contractual Obligations</w:t>
      </w:r>
    </w:p>
    <w:p w:rsidR="004361A0" w:rsidRPr="00861DA5" w:rsidRDefault="004361A0" w:rsidP="003442C7">
      <w:pPr>
        <w:spacing w:after="240" w:line="240" w:lineRule="auto"/>
        <w:jc w:val="both"/>
        <w:rPr>
          <w:rFonts w:ascii="Times New Roman" w:hAnsi="Times New Roman" w:cs="Times New Roman"/>
        </w:rPr>
      </w:pPr>
      <w:r w:rsidRPr="00861DA5">
        <w:rPr>
          <w:rFonts w:ascii="Times New Roman" w:hAnsi="Times New Roman" w:cs="Times New Roman"/>
        </w:rPr>
        <w:t xml:space="preserve">The </w:t>
      </w:r>
      <w:r>
        <w:rPr>
          <w:rFonts w:ascii="Times New Roman" w:hAnsi="Times New Roman" w:cs="Times New Roman"/>
        </w:rPr>
        <w:t xml:space="preserve">Company has no material and </w:t>
      </w:r>
      <w:r w:rsidRPr="00861DA5">
        <w:rPr>
          <w:rFonts w:ascii="Times New Roman" w:hAnsi="Times New Roman" w:cs="Times New Roman"/>
        </w:rPr>
        <w:t>long-term contractual obligations.</w:t>
      </w:r>
    </w:p>
    <w:p w:rsidR="004361A0" w:rsidRPr="00C236A4" w:rsidRDefault="004361A0" w:rsidP="003442C7">
      <w:pPr>
        <w:spacing w:after="200" w:line="276" w:lineRule="auto"/>
        <w:rPr>
          <w:rFonts w:ascii="Times New Roman" w:hAnsi="Times New Roman"/>
          <w:bCs/>
          <w:i/>
          <w:iCs/>
        </w:rPr>
      </w:pPr>
      <w:r w:rsidRPr="00C236A4">
        <w:rPr>
          <w:rFonts w:ascii="Times New Roman" w:hAnsi="Times New Roman" w:cs="Times New Roman"/>
          <w:bCs/>
          <w:i/>
          <w:iCs/>
        </w:rPr>
        <w:t>Significant Accounting Policies and Estimates</w:t>
      </w:r>
    </w:p>
    <w:p w:rsidR="004361A0" w:rsidRPr="00397383" w:rsidRDefault="004361A0" w:rsidP="003442C7">
      <w:pPr>
        <w:spacing w:after="240" w:line="240" w:lineRule="auto"/>
        <w:jc w:val="both"/>
        <w:rPr>
          <w:rFonts w:ascii="Times New Roman" w:hAnsi="Times New Roman" w:cs="Times New Roman"/>
        </w:rPr>
      </w:pPr>
      <w:r w:rsidRPr="00397383">
        <w:rPr>
          <w:rFonts w:ascii="Times New Roman" w:hAnsi="Times New Roman" w:cs="Times New Roman"/>
        </w:rPr>
        <w:t>The preparation of financial statements requires management to establish accounting policies, estimates and assumptions that affect the timing and reported amounts of assets, liabilities</w:t>
      </w:r>
      <w:r w:rsidR="00397383">
        <w:rPr>
          <w:rFonts w:ascii="Times New Roman" w:hAnsi="Times New Roman" w:cs="Times New Roman"/>
        </w:rPr>
        <w:t>,</w:t>
      </w:r>
      <w:r w:rsidRPr="00397383">
        <w:rPr>
          <w:rFonts w:ascii="Times New Roman" w:hAnsi="Times New Roman" w:cs="Times New Roman"/>
        </w:rPr>
        <w:t xml:space="preserve"> revenues and expenses. These estimates are based on historical experience and on various other assumptions that management believes to be reasonable under the circumstances and require judgment on matters that are inherently uncertain. Details of the Company's significant accounting policies can be found in Note 2 of the audited financial statements for the period from incorporation to </w:t>
      </w:r>
      <w:r w:rsidR="004A6ED1">
        <w:rPr>
          <w:rFonts w:ascii="Times New Roman" w:hAnsi="Times New Roman" w:cs="Times New Roman"/>
        </w:rPr>
        <w:t>August 31,2018.</w:t>
      </w:r>
    </w:p>
    <w:p w:rsidR="004361A0" w:rsidRPr="003442C7" w:rsidRDefault="004361A0" w:rsidP="003442C7">
      <w:pPr>
        <w:spacing w:after="240" w:line="240" w:lineRule="auto"/>
        <w:jc w:val="both"/>
        <w:rPr>
          <w:rFonts w:ascii="Times New Roman" w:hAnsi="Times New Roman"/>
          <w:i/>
        </w:rPr>
      </w:pPr>
      <w:r w:rsidRPr="003442C7">
        <w:rPr>
          <w:rFonts w:ascii="Times New Roman" w:hAnsi="Times New Roman"/>
          <w:i/>
        </w:rPr>
        <w:t>New Accounting Standards</w:t>
      </w:r>
    </w:p>
    <w:p w:rsidR="004361A0" w:rsidRPr="00861DA5" w:rsidRDefault="004361A0" w:rsidP="003442C7">
      <w:pPr>
        <w:spacing w:after="240" w:line="240" w:lineRule="auto"/>
        <w:jc w:val="both"/>
        <w:rPr>
          <w:rFonts w:ascii="Times New Roman" w:hAnsi="Times New Roman" w:cs="Times New Roman"/>
        </w:rPr>
      </w:pPr>
      <w:r w:rsidRPr="00861DA5">
        <w:rPr>
          <w:rFonts w:ascii="Times New Roman" w:hAnsi="Times New Roman" w:cs="Times New Roman"/>
        </w:rPr>
        <w:t xml:space="preserve">The Company is aware of certain new accounting standards which are reasonably expected to have an impact on disclosures, financial position or performance when applied at a future date. </w:t>
      </w:r>
      <w:r>
        <w:rPr>
          <w:rFonts w:ascii="Times New Roman" w:hAnsi="Times New Roman" w:cs="Times New Roman"/>
        </w:rPr>
        <w:t xml:space="preserve"> </w:t>
      </w:r>
      <w:r w:rsidRPr="00861DA5">
        <w:rPr>
          <w:rFonts w:ascii="Times New Roman" w:hAnsi="Times New Roman" w:cs="Times New Roman"/>
        </w:rPr>
        <w:t>Details of these changes can be found in Note 4 of the audited financial statements for the period from incorporation to</w:t>
      </w:r>
      <w:r w:rsidR="004A6ED1">
        <w:rPr>
          <w:rFonts w:ascii="Times New Roman" w:hAnsi="Times New Roman" w:cs="Times New Roman"/>
        </w:rPr>
        <w:t xml:space="preserve"> August 31,2018</w:t>
      </w:r>
      <w:r w:rsidRPr="00861DA5">
        <w:rPr>
          <w:rFonts w:ascii="Times New Roman" w:hAnsi="Times New Roman" w:cs="Times New Roman"/>
        </w:rPr>
        <w:t>.</w:t>
      </w:r>
    </w:p>
    <w:p w:rsidR="004361A0" w:rsidRPr="003442C7" w:rsidRDefault="004361A0" w:rsidP="003442C7">
      <w:pPr>
        <w:spacing w:after="240" w:line="240" w:lineRule="auto"/>
        <w:jc w:val="both"/>
        <w:rPr>
          <w:rFonts w:ascii="Times New Roman" w:hAnsi="Times New Roman"/>
          <w:i/>
        </w:rPr>
      </w:pPr>
      <w:r w:rsidRPr="003442C7">
        <w:rPr>
          <w:rFonts w:ascii="Times New Roman" w:hAnsi="Times New Roman"/>
          <w:i/>
        </w:rPr>
        <w:t>Related Party Transactions</w:t>
      </w:r>
    </w:p>
    <w:p w:rsidR="004361A0" w:rsidRPr="00861DA5" w:rsidRDefault="004361A0" w:rsidP="003442C7">
      <w:pPr>
        <w:spacing w:after="240" w:line="240" w:lineRule="auto"/>
        <w:jc w:val="both"/>
        <w:rPr>
          <w:rFonts w:ascii="Times New Roman" w:hAnsi="Times New Roman" w:cs="Times New Roman"/>
        </w:rPr>
      </w:pPr>
      <w:r w:rsidRPr="00861DA5">
        <w:rPr>
          <w:rFonts w:ascii="Times New Roman" w:hAnsi="Times New Roman" w:cs="Times New Roman"/>
        </w:rPr>
        <w:lastRenderedPageBreak/>
        <w:t xml:space="preserve">Parties are considered to be related if one party has the ability, directly or indirectly, to control the other party or exercise significant influence over the other party in making financial and operating decisions. Related parties may be individuals or corporate entities. </w:t>
      </w:r>
      <w:r>
        <w:rPr>
          <w:rFonts w:ascii="Times New Roman" w:hAnsi="Times New Roman" w:cs="Times New Roman"/>
        </w:rPr>
        <w:t xml:space="preserve"> </w:t>
      </w:r>
      <w:r w:rsidRPr="00861DA5">
        <w:rPr>
          <w:rFonts w:ascii="Times New Roman" w:hAnsi="Times New Roman" w:cs="Times New Roman"/>
        </w:rPr>
        <w:t>A transaction is considered to be a related party transaction when there is a transfer of resources or obligations between related parties.</w:t>
      </w:r>
    </w:p>
    <w:p w:rsidR="004361A0" w:rsidRPr="00FF5118" w:rsidRDefault="004361A0" w:rsidP="004361A0">
      <w:pPr>
        <w:spacing w:after="200" w:line="276" w:lineRule="auto"/>
        <w:rPr>
          <w:b/>
        </w:rPr>
      </w:pPr>
      <w:r>
        <w:rPr>
          <w:b/>
        </w:rPr>
        <w:t>Risks</w:t>
      </w:r>
    </w:p>
    <w:p w:rsidR="004361A0" w:rsidRPr="003442C7" w:rsidRDefault="004361A0" w:rsidP="003442C7">
      <w:pPr>
        <w:spacing w:after="240" w:line="240" w:lineRule="auto"/>
        <w:jc w:val="both"/>
        <w:rPr>
          <w:rFonts w:ascii="Times New Roman" w:hAnsi="Times New Roman"/>
          <w:i/>
        </w:rPr>
      </w:pPr>
      <w:r w:rsidRPr="003442C7">
        <w:rPr>
          <w:rFonts w:ascii="Times New Roman" w:hAnsi="Times New Roman"/>
          <w:i/>
        </w:rPr>
        <w:t>Currency Risk</w:t>
      </w:r>
    </w:p>
    <w:p w:rsidR="004361A0" w:rsidRPr="00861DA5" w:rsidRDefault="004361A0" w:rsidP="003442C7">
      <w:pPr>
        <w:spacing w:after="240" w:line="240" w:lineRule="auto"/>
        <w:jc w:val="both"/>
        <w:rPr>
          <w:rFonts w:ascii="Times New Roman" w:hAnsi="Times New Roman" w:cs="Times New Roman"/>
        </w:rPr>
      </w:pPr>
      <w:r w:rsidRPr="00861DA5">
        <w:rPr>
          <w:rFonts w:ascii="Times New Roman" w:hAnsi="Times New Roman" w:cs="Times New Roman"/>
        </w:rPr>
        <w:t xml:space="preserve">The Company's expenses are denominated in Canadian dollars. </w:t>
      </w:r>
      <w:r>
        <w:rPr>
          <w:rFonts w:ascii="Times New Roman" w:hAnsi="Times New Roman" w:cs="Times New Roman"/>
        </w:rPr>
        <w:t xml:space="preserve"> </w:t>
      </w:r>
      <w:r w:rsidRPr="00861DA5">
        <w:rPr>
          <w:rFonts w:ascii="Times New Roman" w:hAnsi="Times New Roman" w:cs="Times New Roman"/>
        </w:rPr>
        <w:t>The Company's corporate office is based in Canada and current exposure to exchange rate fluctuations is minimal.</w:t>
      </w:r>
    </w:p>
    <w:p w:rsidR="004361A0" w:rsidRPr="00861DA5" w:rsidRDefault="004361A0" w:rsidP="003442C7">
      <w:pPr>
        <w:spacing w:after="240" w:line="240" w:lineRule="auto"/>
        <w:jc w:val="both"/>
        <w:rPr>
          <w:rFonts w:ascii="Times New Roman" w:hAnsi="Times New Roman" w:cs="Times New Roman"/>
        </w:rPr>
      </w:pPr>
      <w:r w:rsidRPr="00861DA5">
        <w:rPr>
          <w:rFonts w:ascii="Times New Roman" w:hAnsi="Times New Roman" w:cs="Times New Roman"/>
        </w:rPr>
        <w:t xml:space="preserve">The Company does not have any significant foreign currency denominated monetary liabilities. </w:t>
      </w:r>
      <w:r>
        <w:rPr>
          <w:rFonts w:ascii="Times New Roman" w:hAnsi="Times New Roman" w:cs="Times New Roman"/>
        </w:rPr>
        <w:t xml:space="preserve"> </w:t>
      </w:r>
      <w:r w:rsidRPr="00861DA5">
        <w:rPr>
          <w:rFonts w:ascii="Times New Roman" w:hAnsi="Times New Roman" w:cs="Times New Roman"/>
        </w:rPr>
        <w:t>The principal business of the Company is the identification and evaluation of assets or a business and once identified or evaluated, to negotiate an acquisition or participation in a business subject to receipt of shareholder approval and acceptance by regulatory authorities.</w:t>
      </w:r>
    </w:p>
    <w:p w:rsidR="004361A0" w:rsidRPr="003442C7" w:rsidRDefault="004361A0" w:rsidP="003442C7">
      <w:pPr>
        <w:spacing w:after="240" w:line="240" w:lineRule="auto"/>
        <w:jc w:val="both"/>
        <w:rPr>
          <w:rFonts w:ascii="Times New Roman" w:hAnsi="Times New Roman"/>
          <w:i/>
        </w:rPr>
      </w:pPr>
      <w:r w:rsidRPr="003442C7">
        <w:rPr>
          <w:rFonts w:ascii="Times New Roman" w:hAnsi="Times New Roman"/>
          <w:i/>
        </w:rPr>
        <w:t>Interest Rate Risk</w:t>
      </w:r>
    </w:p>
    <w:p w:rsidR="004361A0" w:rsidRPr="00861DA5" w:rsidRDefault="004361A0" w:rsidP="003442C7">
      <w:pPr>
        <w:spacing w:after="240" w:line="240" w:lineRule="auto"/>
        <w:jc w:val="both"/>
        <w:rPr>
          <w:rFonts w:ascii="Times New Roman" w:hAnsi="Times New Roman" w:cs="Times New Roman"/>
        </w:rPr>
      </w:pPr>
      <w:r w:rsidRPr="00861DA5">
        <w:rPr>
          <w:rFonts w:ascii="Times New Roman" w:hAnsi="Times New Roman" w:cs="Times New Roman"/>
        </w:rPr>
        <w:t xml:space="preserve">The Company is exposed to interest rate risk on the variable rate of interest earned on bank deposits. </w:t>
      </w:r>
      <w:r>
        <w:rPr>
          <w:rFonts w:ascii="Times New Roman" w:hAnsi="Times New Roman" w:cs="Times New Roman"/>
        </w:rPr>
        <w:t xml:space="preserve"> </w:t>
      </w:r>
      <w:r w:rsidRPr="00861DA5">
        <w:rPr>
          <w:rFonts w:ascii="Times New Roman" w:hAnsi="Times New Roman" w:cs="Times New Roman"/>
        </w:rPr>
        <w:t>The fair value interest rate risk on bank deposits is insignificant as the deposits are short-term.</w:t>
      </w:r>
    </w:p>
    <w:p w:rsidR="004361A0" w:rsidRPr="00861DA5" w:rsidRDefault="004361A0" w:rsidP="003442C7">
      <w:pPr>
        <w:spacing w:after="240" w:line="240" w:lineRule="auto"/>
        <w:jc w:val="both"/>
        <w:rPr>
          <w:rFonts w:ascii="Times New Roman" w:hAnsi="Times New Roman" w:cs="Times New Roman"/>
        </w:rPr>
      </w:pPr>
      <w:r w:rsidRPr="00861DA5">
        <w:rPr>
          <w:rFonts w:ascii="Times New Roman" w:hAnsi="Times New Roman" w:cs="Times New Roman"/>
        </w:rPr>
        <w:t>The Company has not entered into any derivative instruments to manage interest rate fluctuations.</w:t>
      </w:r>
    </w:p>
    <w:p w:rsidR="004361A0" w:rsidRPr="003442C7" w:rsidRDefault="004361A0" w:rsidP="003442C7">
      <w:pPr>
        <w:spacing w:after="240" w:line="240" w:lineRule="auto"/>
        <w:jc w:val="both"/>
        <w:rPr>
          <w:rFonts w:ascii="Times New Roman" w:hAnsi="Times New Roman"/>
          <w:i/>
        </w:rPr>
      </w:pPr>
      <w:r w:rsidRPr="003442C7">
        <w:rPr>
          <w:rFonts w:ascii="Times New Roman" w:hAnsi="Times New Roman"/>
          <w:i/>
        </w:rPr>
        <w:t>Credit Risk</w:t>
      </w:r>
    </w:p>
    <w:p w:rsidR="004361A0" w:rsidRPr="00861DA5" w:rsidRDefault="004361A0" w:rsidP="003442C7">
      <w:pPr>
        <w:spacing w:after="240" w:line="240" w:lineRule="auto"/>
        <w:jc w:val="both"/>
        <w:rPr>
          <w:rFonts w:ascii="Times New Roman" w:hAnsi="Times New Roman" w:cs="Times New Roman"/>
        </w:rPr>
      </w:pPr>
      <w:r w:rsidRPr="00861DA5">
        <w:rPr>
          <w:rFonts w:ascii="Times New Roman" w:hAnsi="Times New Roman" w:cs="Times New Roman"/>
        </w:rPr>
        <w:t xml:space="preserve">Credit risk is the risk of loss associated with the counterparty's inability to fulfill its payment obligations. Financial instruments that potentially subject the Company to concentrations of credit risks consist principally of cash. </w:t>
      </w:r>
      <w:r>
        <w:rPr>
          <w:rFonts w:ascii="Times New Roman" w:hAnsi="Times New Roman" w:cs="Times New Roman"/>
        </w:rPr>
        <w:t xml:space="preserve"> </w:t>
      </w:r>
      <w:r w:rsidRPr="00861DA5">
        <w:rPr>
          <w:rFonts w:ascii="Times New Roman" w:hAnsi="Times New Roman" w:cs="Times New Roman"/>
        </w:rPr>
        <w:t>To minimize the credit risk</w:t>
      </w:r>
      <w:r>
        <w:rPr>
          <w:rFonts w:ascii="Times New Roman" w:hAnsi="Times New Roman" w:cs="Times New Roman"/>
        </w:rPr>
        <w:t>,</w:t>
      </w:r>
      <w:r w:rsidRPr="00861DA5">
        <w:rPr>
          <w:rFonts w:ascii="Times New Roman" w:hAnsi="Times New Roman" w:cs="Times New Roman"/>
        </w:rPr>
        <w:t xml:space="preserve"> the Company would intend to place these instruments with a high-quality financial institution.</w:t>
      </w:r>
    </w:p>
    <w:p w:rsidR="004361A0" w:rsidRPr="003442C7" w:rsidRDefault="004361A0" w:rsidP="003442C7">
      <w:pPr>
        <w:spacing w:after="240" w:line="240" w:lineRule="auto"/>
        <w:jc w:val="both"/>
        <w:rPr>
          <w:rFonts w:ascii="Times New Roman" w:hAnsi="Times New Roman"/>
          <w:i/>
        </w:rPr>
      </w:pPr>
      <w:r w:rsidRPr="003442C7">
        <w:rPr>
          <w:rFonts w:ascii="Times New Roman" w:hAnsi="Times New Roman"/>
          <w:i/>
        </w:rPr>
        <w:t>Liquidity Risk</w:t>
      </w:r>
    </w:p>
    <w:p w:rsidR="004361A0" w:rsidRPr="00861DA5" w:rsidRDefault="004361A0" w:rsidP="003442C7">
      <w:pPr>
        <w:spacing w:after="240" w:line="240" w:lineRule="auto"/>
        <w:jc w:val="both"/>
        <w:rPr>
          <w:rFonts w:ascii="Times New Roman" w:hAnsi="Times New Roman" w:cs="Times New Roman"/>
          <w:b/>
        </w:rPr>
      </w:pPr>
      <w:r>
        <w:rPr>
          <w:rFonts w:ascii="Times New Roman" w:hAnsi="Times New Roman" w:cs="Times New Roman"/>
        </w:rPr>
        <w:t>I</w:t>
      </w:r>
      <w:r w:rsidRPr="00861DA5">
        <w:rPr>
          <w:rFonts w:ascii="Times New Roman" w:hAnsi="Times New Roman" w:cs="Times New Roman"/>
        </w:rPr>
        <w:t xml:space="preserve">n the management of </w:t>
      </w:r>
      <w:r>
        <w:rPr>
          <w:rFonts w:ascii="Times New Roman" w:hAnsi="Times New Roman" w:cs="Times New Roman"/>
        </w:rPr>
        <w:t xml:space="preserve">its </w:t>
      </w:r>
      <w:r w:rsidRPr="00861DA5">
        <w:rPr>
          <w:rFonts w:ascii="Times New Roman" w:hAnsi="Times New Roman" w:cs="Times New Roman"/>
        </w:rPr>
        <w:t xml:space="preserve">liquidity risk, the Company maintains a balance between continuity of funding and the flexibility through the use of borrowings. </w:t>
      </w:r>
      <w:r>
        <w:rPr>
          <w:rFonts w:ascii="Times New Roman" w:hAnsi="Times New Roman" w:cs="Times New Roman"/>
        </w:rPr>
        <w:t xml:space="preserve"> </w:t>
      </w:r>
      <w:r w:rsidRPr="00861DA5">
        <w:rPr>
          <w:rFonts w:ascii="Times New Roman" w:hAnsi="Times New Roman" w:cs="Times New Roman"/>
        </w:rPr>
        <w:t>Management closely monitors the liquidity position and expects to have adequate sources of funding to finance the Company's projects and operations.</w:t>
      </w:r>
    </w:p>
    <w:p w:rsidR="004361A0" w:rsidRPr="005124F3" w:rsidRDefault="004361A0" w:rsidP="003442C7">
      <w:pPr>
        <w:spacing w:after="240" w:line="240" w:lineRule="auto"/>
        <w:jc w:val="both"/>
        <w:rPr>
          <w:rFonts w:ascii="Times New Roman" w:hAnsi="Times New Roman" w:cs="Times New Roman"/>
          <w:bCs/>
        </w:rPr>
      </w:pPr>
      <w:r w:rsidRPr="005124F3">
        <w:rPr>
          <w:rFonts w:ascii="Times New Roman" w:hAnsi="Times New Roman" w:cs="Times New Roman"/>
          <w:bCs/>
        </w:rPr>
        <w:t>Additional Disclosure for Junior Companies</w:t>
      </w:r>
    </w:p>
    <w:p w:rsidR="004361A0" w:rsidRPr="00C236A4" w:rsidRDefault="004361A0" w:rsidP="003442C7">
      <w:pPr>
        <w:spacing w:after="240" w:line="240" w:lineRule="auto"/>
        <w:jc w:val="both"/>
        <w:rPr>
          <w:rFonts w:ascii="Times New Roman" w:hAnsi="Times New Roman" w:cs="Times New Roman"/>
        </w:rPr>
      </w:pPr>
      <w:r w:rsidRPr="00C236A4">
        <w:rPr>
          <w:rFonts w:ascii="Times New Roman" w:hAnsi="Times New Roman" w:cs="Times New Roman"/>
        </w:rPr>
        <w:t>The Company expects that the proceeds raised pursuant to the Offering will fund operations for a minimum of 12 months after the completion of the Offering.  The estimated total operating costs necessary for the Company to achieve its stated business objectives during the 12 months subsequent to the co</w:t>
      </w:r>
      <w:r w:rsidR="00B727FE" w:rsidRPr="00C236A4">
        <w:rPr>
          <w:rFonts w:ascii="Times New Roman" w:hAnsi="Times New Roman" w:cs="Times New Roman"/>
        </w:rPr>
        <w:t>mpletion of the Offering is $250</w:t>
      </w:r>
      <w:r w:rsidRPr="00C236A4">
        <w:rPr>
          <w:rFonts w:ascii="Times New Roman" w:hAnsi="Times New Roman" w:cs="Times New Roman"/>
        </w:rPr>
        <w:t xml:space="preserve">,000, including all material capital expenditures during that period. </w:t>
      </w:r>
    </w:p>
    <w:p w:rsidR="00C236A4" w:rsidRDefault="00C236A4" w:rsidP="003442C7">
      <w:pPr>
        <w:spacing w:after="240" w:line="240" w:lineRule="auto"/>
        <w:jc w:val="both"/>
        <w:rPr>
          <w:rFonts w:ascii="Times New Roman" w:hAnsi="Times New Roman" w:cs="Times New Roman"/>
          <w:b/>
          <w:bCs/>
          <w:u w:val="single"/>
        </w:rPr>
      </w:pPr>
      <w:r w:rsidRPr="00C236A4">
        <w:rPr>
          <w:rFonts w:ascii="Times New Roman" w:hAnsi="Times New Roman" w:cs="Times New Roman"/>
          <w:b/>
          <w:bCs/>
          <w:u w:val="single"/>
        </w:rPr>
        <w:t>SUBSEQUENT EVENTS</w:t>
      </w:r>
    </w:p>
    <w:p w:rsidR="009C3451" w:rsidRDefault="00C236A4" w:rsidP="003442C7">
      <w:pPr>
        <w:spacing w:after="240" w:line="240" w:lineRule="auto"/>
        <w:jc w:val="both"/>
        <w:rPr>
          <w:rFonts w:ascii="Times New Roman" w:hAnsi="Times New Roman" w:cs="Times New Roman"/>
        </w:rPr>
      </w:pPr>
      <w:r w:rsidRPr="009C3451">
        <w:rPr>
          <w:rFonts w:ascii="Times New Roman" w:hAnsi="Times New Roman" w:cs="Times New Roman"/>
          <w:b/>
          <w:bCs/>
        </w:rPr>
        <w:t>On June 11, 2019,</w:t>
      </w:r>
      <w:r w:rsidRPr="009C3451">
        <w:rPr>
          <w:rFonts w:ascii="Times New Roman" w:hAnsi="Times New Roman" w:cs="Times New Roman"/>
        </w:rPr>
        <w:t xml:space="preserve"> </w:t>
      </w:r>
      <w:r w:rsidR="009C3451" w:rsidRPr="009C3451">
        <w:rPr>
          <w:rFonts w:ascii="Times New Roman" w:hAnsi="Times New Roman" w:cs="Times New Roman"/>
        </w:rPr>
        <w:t xml:space="preserve">The Company reported that it had completed its initial public offering of common shares through its agent, Haywood Securities Inc.  The Offering consisted of 4,000,000 common shares at a price of $0.10 per common share.  The Company realized gross proceeds from the Offering of $400,000. The Company’s common shares began trading on the Canadian Securities Exchange  under the symbol “PJO” on </w:t>
      </w:r>
      <w:r w:rsidR="009C3451" w:rsidRPr="00781329">
        <w:rPr>
          <w:rFonts w:ascii="Times New Roman" w:hAnsi="Times New Roman" w:cs="Times New Roman"/>
        </w:rPr>
        <w:t xml:space="preserve">June 12, 2019.  </w:t>
      </w:r>
      <w:r w:rsidR="00781329" w:rsidRPr="00781329">
        <w:rPr>
          <w:rFonts w:cstheme="minorHAnsi"/>
        </w:rPr>
        <w:t xml:space="preserve">In consideration for the Agent’s services provided in connection with the Offering, the </w:t>
      </w:r>
      <w:bookmarkStart w:id="1" w:name="_GoBack"/>
      <w:r w:rsidR="00781329" w:rsidRPr="00781329">
        <w:rPr>
          <w:rFonts w:cstheme="minorHAnsi"/>
        </w:rPr>
        <w:lastRenderedPageBreak/>
        <w:t>Company paid a cash commission of $38,000 and a corporate finance fee</w:t>
      </w:r>
      <w:r w:rsidR="00781329">
        <w:rPr>
          <w:rFonts w:cstheme="minorHAnsi"/>
        </w:rPr>
        <w:t xml:space="preserve">. </w:t>
      </w:r>
      <w:r w:rsidR="009C3451" w:rsidRPr="009C3451">
        <w:rPr>
          <w:rFonts w:ascii="Times New Roman" w:hAnsi="Times New Roman" w:cs="Times New Roman"/>
        </w:rPr>
        <w:t xml:space="preserve">The Company also issued </w:t>
      </w:r>
      <w:bookmarkEnd w:id="1"/>
      <w:r w:rsidR="009C3451" w:rsidRPr="009C3451">
        <w:rPr>
          <w:rFonts w:ascii="Times New Roman" w:hAnsi="Times New Roman" w:cs="Times New Roman"/>
        </w:rPr>
        <w:t xml:space="preserve">380,000 compensation options to purchase common shares of the </w:t>
      </w:r>
      <w:r w:rsidR="005124F3" w:rsidRPr="009C3451">
        <w:rPr>
          <w:rFonts w:ascii="Times New Roman" w:hAnsi="Times New Roman" w:cs="Times New Roman"/>
        </w:rPr>
        <w:t>Company,</w:t>
      </w:r>
      <w:r w:rsidR="009C3451" w:rsidRPr="009C3451">
        <w:rPr>
          <w:rFonts w:ascii="Times New Roman" w:hAnsi="Times New Roman" w:cs="Times New Roman"/>
        </w:rPr>
        <w:t xml:space="preserve"> each Agent’s Compensation Option exercisable to purchase one common share for a price of $0.10 per common share until June 11, 2021.  The Company’s CEO, an insider, participated in the Offering, acquiring 200,000 shares. Proceeds of the Offering will be applied to finance exploration work on the Company’s Aura property and for </w:t>
      </w:r>
      <w:r w:rsidR="009C3451">
        <w:rPr>
          <w:rFonts w:ascii="Times New Roman" w:hAnsi="Times New Roman" w:cs="Times New Roman"/>
        </w:rPr>
        <w:t>working capital.</w:t>
      </w:r>
    </w:p>
    <w:p w:rsidR="009C3451" w:rsidRDefault="009C3451" w:rsidP="003442C7">
      <w:pPr>
        <w:spacing w:after="240" w:line="240" w:lineRule="auto"/>
        <w:jc w:val="both"/>
        <w:rPr>
          <w:rFonts w:ascii="Times New Roman" w:hAnsi="Times New Roman" w:cs="Times New Roman"/>
        </w:rPr>
      </w:pPr>
      <w:r w:rsidRPr="009C3451">
        <w:rPr>
          <w:rFonts w:ascii="Times New Roman" w:hAnsi="Times New Roman" w:cs="Times New Roman"/>
          <w:b/>
          <w:bCs/>
        </w:rPr>
        <w:t>On June 24, 2019</w:t>
      </w:r>
      <w:r>
        <w:rPr>
          <w:rFonts w:ascii="Times New Roman" w:hAnsi="Times New Roman" w:cs="Times New Roman"/>
        </w:rPr>
        <w:t>, the Company announced that it had</w:t>
      </w:r>
      <w:r w:rsidRPr="009C3451">
        <w:rPr>
          <w:rFonts w:ascii="Times New Roman" w:hAnsi="Times New Roman" w:cs="Times New Roman"/>
        </w:rPr>
        <w:t xml:space="preserve"> begun the mobilization for fieldwork at its wholly owned Aura Project located approximately 150 km east of Vancouver, near the Spences Bridge Gold Belt. The program has been designed to follow up on the encouraging results of a 2018 aeromagnetic survey completed on the property and are detailed in the Company's Technical Report dated July 15, 2018</w:t>
      </w:r>
      <w:r>
        <w:rPr>
          <w:rFonts w:ascii="Times New Roman" w:hAnsi="Times New Roman" w:cs="Times New Roman"/>
        </w:rPr>
        <w:t xml:space="preserve"> </w:t>
      </w:r>
    </w:p>
    <w:p w:rsidR="00C236A4" w:rsidRDefault="009C3451" w:rsidP="003442C7">
      <w:pPr>
        <w:spacing w:after="240" w:line="240" w:lineRule="auto"/>
        <w:jc w:val="both"/>
        <w:rPr>
          <w:rFonts w:ascii="Times New Roman" w:hAnsi="Times New Roman" w:cs="Times New Roman"/>
        </w:rPr>
      </w:pPr>
      <w:r w:rsidRPr="009C3451">
        <w:rPr>
          <w:rFonts w:ascii="Times New Roman" w:hAnsi="Times New Roman" w:cs="Times New Roman"/>
        </w:rPr>
        <w:t xml:space="preserve">The program has been designed to follow up on the encouraging results of a 2018 aeromagnetic survey completed on the property and are detailed in the Company's Technical Report dated July 15, 2018. </w:t>
      </w:r>
      <w:r>
        <w:rPr>
          <w:rFonts w:ascii="Times New Roman" w:hAnsi="Times New Roman" w:cs="Times New Roman"/>
        </w:rPr>
        <w:t>T</w:t>
      </w:r>
      <w:r w:rsidRPr="009C3451">
        <w:rPr>
          <w:rFonts w:ascii="Times New Roman" w:hAnsi="Times New Roman" w:cs="Times New Roman"/>
        </w:rPr>
        <w:t xml:space="preserve">he compilation of geophysical </w:t>
      </w:r>
      <w:r w:rsidR="005124F3" w:rsidRPr="009C3451">
        <w:rPr>
          <w:rFonts w:ascii="Times New Roman" w:hAnsi="Times New Roman" w:cs="Times New Roman"/>
        </w:rPr>
        <w:t>results indicated</w:t>
      </w:r>
      <w:r w:rsidRPr="009C3451">
        <w:rPr>
          <w:rFonts w:ascii="Times New Roman" w:hAnsi="Times New Roman" w:cs="Times New Roman"/>
        </w:rPr>
        <w:t xml:space="preserve"> an additional three airborne magnetic anomalies throughout the property, which have not received any exploration. Soil sampling grids are scheduled to be completed over these new geophysical anomalies with the goal of determining if mineralization can be discovered in those three areas. Results from the work program will be released when they become available. </w:t>
      </w:r>
    </w:p>
    <w:sectPr w:rsidR="00C236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1EE"/>
    <w:rsid w:val="00015780"/>
    <w:rsid w:val="00057E1D"/>
    <w:rsid w:val="001268E8"/>
    <w:rsid w:val="00127EEC"/>
    <w:rsid w:val="001B2075"/>
    <w:rsid w:val="00237031"/>
    <w:rsid w:val="002531EE"/>
    <w:rsid w:val="002D438E"/>
    <w:rsid w:val="003442C7"/>
    <w:rsid w:val="00397383"/>
    <w:rsid w:val="004361A0"/>
    <w:rsid w:val="00442EB4"/>
    <w:rsid w:val="004A6ED1"/>
    <w:rsid w:val="004B2C89"/>
    <w:rsid w:val="004B4C31"/>
    <w:rsid w:val="004D41C3"/>
    <w:rsid w:val="005124F3"/>
    <w:rsid w:val="0055140F"/>
    <w:rsid w:val="0058110C"/>
    <w:rsid w:val="00582AAA"/>
    <w:rsid w:val="005871CF"/>
    <w:rsid w:val="005B2FB7"/>
    <w:rsid w:val="005B4E68"/>
    <w:rsid w:val="00616ED5"/>
    <w:rsid w:val="00665EE2"/>
    <w:rsid w:val="00705B98"/>
    <w:rsid w:val="00753049"/>
    <w:rsid w:val="00781329"/>
    <w:rsid w:val="00790127"/>
    <w:rsid w:val="007A66C1"/>
    <w:rsid w:val="00812479"/>
    <w:rsid w:val="008258DB"/>
    <w:rsid w:val="00861DA5"/>
    <w:rsid w:val="008C0FB6"/>
    <w:rsid w:val="009A6031"/>
    <w:rsid w:val="009C3451"/>
    <w:rsid w:val="00A00FBA"/>
    <w:rsid w:val="00A13B1B"/>
    <w:rsid w:val="00A31EDE"/>
    <w:rsid w:val="00A51BF3"/>
    <w:rsid w:val="00A824C7"/>
    <w:rsid w:val="00AB5188"/>
    <w:rsid w:val="00AE4598"/>
    <w:rsid w:val="00B727FE"/>
    <w:rsid w:val="00BB0C3E"/>
    <w:rsid w:val="00BB482C"/>
    <w:rsid w:val="00C236A4"/>
    <w:rsid w:val="00C46B2D"/>
    <w:rsid w:val="00C63C83"/>
    <w:rsid w:val="00C80407"/>
    <w:rsid w:val="00CB23B1"/>
    <w:rsid w:val="00CD2D95"/>
    <w:rsid w:val="00CD38D6"/>
    <w:rsid w:val="00D34978"/>
    <w:rsid w:val="00DD4619"/>
    <w:rsid w:val="00DD5BC2"/>
    <w:rsid w:val="00E458B6"/>
    <w:rsid w:val="00E56A8C"/>
    <w:rsid w:val="00E84090"/>
    <w:rsid w:val="00ED6F85"/>
    <w:rsid w:val="00F10C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75C86"/>
  <w15:docId w15:val="{7F6AD4EF-DC37-48B3-BEDD-BE6E3D59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4361A0"/>
    <w:pPr>
      <w:tabs>
        <w:tab w:val="left" w:pos="-720"/>
      </w:tabs>
      <w:spacing w:before="240" w:after="240" w:line="240" w:lineRule="exact"/>
      <w:jc w:val="center"/>
      <w:outlineLvl w:val="0"/>
    </w:pPr>
    <w:rPr>
      <w:rFonts w:ascii="Times New Roman Bold" w:eastAsia="Times New Roman" w:hAnsi="Times New Roman Bold" w:cs="Times New Roman"/>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BC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2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479"/>
    <w:rPr>
      <w:rFonts w:ascii="Tahoma" w:hAnsi="Tahoma" w:cs="Tahoma"/>
      <w:sz w:val="16"/>
      <w:szCs w:val="16"/>
    </w:rPr>
  </w:style>
  <w:style w:type="character" w:customStyle="1" w:styleId="Heading1Char">
    <w:name w:val="Heading 1 Char"/>
    <w:basedOn w:val="DefaultParagraphFont"/>
    <w:link w:val="Heading1"/>
    <w:rsid w:val="004361A0"/>
    <w:rPr>
      <w:rFonts w:ascii="Times New Roman Bold" w:eastAsia="Times New Roman" w:hAnsi="Times New Roman Bold" w:cs="Times New Roman"/>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85638">
      <w:bodyDiv w:val="1"/>
      <w:marLeft w:val="0"/>
      <w:marRight w:val="0"/>
      <w:marTop w:val="0"/>
      <w:marBottom w:val="0"/>
      <w:divBdr>
        <w:top w:val="none" w:sz="0" w:space="0" w:color="auto"/>
        <w:left w:val="none" w:sz="0" w:space="0" w:color="auto"/>
        <w:bottom w:val="none" w:sz="0" w:space="0" w:color="auto"/>
        <w:right w:val="none" w:sz="0" w:space="0" w:color="auto"/>
      </w:divBdr>
    </w:div>
    <w:div w:id="366301470">
      <w:bodyDiv w:val="1"/>
      <w:marLeft w:val="0"/>
      <w:marRight w:val="0"/>
      <w:marTop w:val="0"/>
      <w:marBottom w:val="0"/>
      <w:divBdr>
        <w:top w:val="none" w:sz="0" w:space="0" w:color="auto"/>
        <w:left w:val="none" w:sz="0" w:space="0" w:color="auto"/>
        <w:bottom w:val="none" w:sz="0" w:space="0" w:color="auto"/>
        <w:right w:val="none" w:sz="0" w:space="0" w:color="auto"/>
      </w:divBdr>
    </w:div>
    <w:div w:id="633827458">
      <w:bodyDiv w:val="1"/>
      <w:marLeft w:val="0"/>
      <w:marRight w:val="0"/>
      <w:marTop w:val="0"/>
      <w:marBottom w:val="0"/>
      <w:divBdr>
        <w:top w:val="none" w:sz="0" w:space="0" w:color="auto"/>
        <w:left w:val="none" w:sz="0" w:space="0" w:color="auto"/>
        <w:bottom w:val="none" w:sz="0" w:space="0" w:color="auto"/>
        <w:right w:val="none" w:sz="0" w:space="0" w:color="auto"/>
      </w:divBdr>
    </w:div>
    <w:div w:id="1246499313">
      <w:bodyDiv w:val="1"/>
      <w:marLeft w:val="0"/>
      <w:marRight w:val="0"/>
      <w:marTop w:val="0"/>
      <w:marBottom w:val="0"/>
      <w:divBdr>
        <w:top w:val="none" w:sz="0" w:space="0" w:color="auto"/>
        <w:left w:val="none" w:sz="0" w:space="0" w:color="auto"/>
        <w:bottom w:val="none" w:sz="0" w:space="0" w:color="auto"/>
        <w:right w:val="none" w:sz="0" w:space="0" w:color="auto"/>
      </w:divBdr>
    </w:div>
    <w:div w:id="1410957212">
      <w:bodyDiv w:val="1"/>
      <w:marLeft w:val="0"/>
      <w:marRight w:val="0"/>
      <w:marTop w:val="0"/>
      <w:marBottom w:val="0"/>
      <w:divBdr>
        <w:top w:val="none" w:sz="0" w:space="0" w:color="auto"/>
        <w:left w:val="none" w:sz="0" w:space="0" w:color="auto"/>
        <w:bottom w:val="none" w:sz="0" w:space="0" w:color="auto"/>
        <w:right w:val="none" w:sz="0" w:space="0" w:color="auto"/>
      </w:divBdr>
    </w:div>
    <w:div w:id="151187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2830</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Roberts</dc:creator>
  <cp:lastModifiedBy>brian Roberts</cp:lastModifiedBy>
  <cp:revision>2</cp:revision>
  <cp:lastPrinted>2019-04-09T19:20:00Z</cp:lastPrinted>
  <dcterms:created xsi:type="dcterms:W3CDTF">2019-07-29T19:07:00Z</dcterms:created>
  <dcterms:modified xsi:type="dcterms:W3CDTF">2019-07-29T19:07:00Z</dcterms:modified>
</cp:coreProperties>
</file>