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9D29" w14:textId="77777777" w:rsidR="00B857A7" w:rsidRPr="005877D5" w:rsidRDefault="00B857A7" w:rsidP="00B857A7">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45491D76"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 xml:space="preserve">Name of Listed Issuer: </w:t>
      </w:r>
      <w:r w:rsidR="003876CC">
        <w:rPr>
          <w:rFonts w:ascii="Arial" w:hAnsi="Arial" w:cs="Arial"/>
          <w:color w:val="000000"/>
        </w:rPr>
        <w:t>Blok Technologies Inc.</w:t>
      </w:r>
      <w:r w:rsidRPr="005877D5">
        <w:rPr>
          <w:rFonts w:ascii="Arial" w:hAnsi="Arial" w:cs="Arial"/>
          <w:color w:val="000000"/>
        </w:rPr>
        <w:t xml:space="preserve"> (the “Company” or the “Issuer”).</w:t>
      </w:r>
    </w:p>
    <w:p w14:paraId="6AA4A0F3" w14:textId="12284D2C"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 xml:space="preserve">Trading Symbol: </w:t>
      </w:r>
      <w:r w:rsidR="003876CC">
        <w:rPr>
          <w:rFonts w:ascii="Arial" w:hAnsi="Arial" w:cs="Arial"/>
          <w:color w:val="000000"/>
        </w:rPr>
        <w:t>BLK</w:t>
      </w:r>
    </w:p>
    <w:p w14:paraId="48BF8576" w14:textId="50790834"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3876CC">
        <w:rPr>
          <w:rFonts w:ascii="Arial" w:hAnsi="Arial" w:cs="Arial"/>
          <w:color w:val="000000"/>
        </w:rPr>
        <w:t>119,384,302</w:t>
      </w:r>
    </w:p>
    <w:p w14:paraId="766FCB04" w14:textId="3EDA7274" w:rsidR="00B857A7" w:rsidRPr="00535A86" w:rsidRDefault="00B857A7" w:rsidP="00B857A7">
      <w:pPr>
        <w:pStyle w:val="BodyText"/>
        <w:tabs>
          <w:tab w:val="left" w:pos="7920"/>
          <w:tab w:val="left" w:pos="9180"/>
        </w:tabs>
        <w:jc w:val="both"/>
        <w:rPr>
          <w:rFonts w:ascii="Arial" w:hAnsi="Arial"/>
          <w:color w:val="000000"/>
        </w:rPr>
      </w:pPr>
      <w:r w:rsidRPr="005877D5">
        <w:rPr>
          <w:rFonts w:ascii="Arial" w:hAnsi="Arial" w:cs="Arial"/>
          <w:color w:val="000000"/>
        </w:rPr>
        <w:t xml:space="preserve">Date: </w:t>
      </w:r>
      <w:r w:rsidR="009971BB">
        <w:rPr>
          <w:rFonts w:ascii="Arial" w:hAnsi="Arial"/>
          <w:color w:val="000000"/>
        </w:rPr>
        <w:t>May</w:t>
      </w:r>
      <w:r w:rsidR="007269F8">
        <w:rPr>
          <w:rFonts w:ascii="Arial" w:hAnsi="Arial"/>
          <w:color w:val="000000"/>
        </w:rPr>
        <w:t xml:space="preserve"> 7</w:t>
      </w:r>
      <w:r w:rsidR="00B958E5">
        <w:rPr>
          <w:rFonts w:ascii="Arial" w:hAnsi="Arial"/>
          <w:color w:val="000000"/>
        </w:rPr>
        <w:t>, 2020</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61FB1864" w:rsidR="00B857A7" w:rsidRPr="00DE6B24"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6B903E45" w14:textId="7B363E9F" w:rsidR="00DE6B24" w:rsidRPr="00DE6B24" w:rsidRDefault="00DE6B24" w:rsidP="00DE6B24">
      <w:pPr>
        <w:pStyle w:val="ListParagraph"/>
        <w:rPr>
          <w:rFonts w:ascii="Arial" w:hAnsi="Arial" w:cs="Arial"/>
          <w:b/>
        </w:rPr>
      </w:pPr>
      <w:r w:rsidRPr="00DE6B24">
        <w:rPr>
          <w:rFonts w:ascii="Arial" w:hAnsi="Arial" w:cs="Arial"/>
          <w:b/>
          <w:sz w:val="24"/>
          <w:szCs w:val="24"/>
          <w:lang w:val="en-GB"/>
        </w:rPr>
        <w:t>The Company announces on April 29, 2020,</w:t>
      </w:r>
      <w:r w:rsidRPr="00DE6B24">
        <w:rPr>
          <w:rFonts w:ascii="Verdana" w:hAnsi="Verdana"/>
          <w:color w:val="000000"/>
        </w:rPr>
        <w:t xml:space="preserve"> </w:t>
      </w:r>
      <w:r w:rsidRPr="00DE6B24">
        <w:rPr>
          <w:rFonts w:ascii="Arial" w:hAnsi="Arial" w:cs="Arial"/>
          <w:b/>
          <w:sz w:val="24"/>
          <w:szCs w:val="24"/>
          <w:lang w:val="en-GB"/>
        </w:rPr>
        <w:t xml:space="preserve">Blok Technologies Inc. will be relying on an exemption adopted by the British Columbia Securities Commission and provided in British Columbia Instrument 51-515, </w:t>
      </w:r>
      <w:r w:rsidRPr="00DE6B24">
        <w:rPr>
          <w:rFonts w:ascii="Arial" w:hAnsi="Arial" w:cs="Arial"/>
          <w:b/>
          <w:sz w:val="24"/>
          <w:szCs w:val="24"/>
          <w:lang w:val="en-GB"/>
        </w:rPr>
        <w:lastRenderedPageBreak/>
        <w:t>Temporary Exemption from Certain Corporate Finance Requirements, for temporary exemption from certain continuous disclosure requirements due to challenges posed by the COVID-19 pandemic.</w:t>
      </w:r>
    </w:p>
    <w:p w14:paraId="17B1DE05" w14:textId="77777777" w:rsidR="00DE6B24" w:rsidRPr="00DE6B24" w:rsidRDefault="00DE6B24" w:rsidP="00DE6B24">
      <w:pPr>
        <w:pStyle w:val="ListParagraph"/>
        <w:rPr>
          <w:rFonts w:ascii="Arial" w:hAnsi="Arial" w:cs="Arial"/>
          <w:b/>
          <w:sz w:val="24"/>
          <w:szCs w:val="24"/>
        </w:rPr>
      </w:pPr>
      <w:r w:rsidRPr="00DE6B24">
        <w:rPr>
          <w:rFonts w:ascii="Arial" w:hAnsi="Arial" w:cs="Arial"/>
          <w:b/>
          <w:sz w:val="24"/>
          <w:szCs w:val="24"/>
        </w:rPr>
        <w:t>The company will delay the following annual filings, which would otherwise be due on April 29, 2020, and are now expected to be filed no later than May 31, 2020:</w:t>
      </w:r>
    </w:p>
    <w:p w14:paraId="1D9F3086" w14:textId="77777777" w:rsidR="00DE6B24" w:rsidRPr="00DE6B24" w:rsidRDefault="00DE6B24" w:rsidP="00DE6B24">
      <w:pPr>
        <w:pStyle w:val="ListParagraph"/>
        <w:numPr>
          <w:ilvl w:val="0"/>
          <w:numId w:val="6"/>
        </w:numPr>
        <w:rPr>
          <w:rFonts w:ascii="Arial" w:hAnsi="Arial" w:cs="Arial"/>
          <w:b/>
          <w:sz w:val="24"/>
          <w:szCs w:val="24"/>
        </w:rPr>
      </w:pPr>
      <w:r w:rsidRPr="00DE6B24">
        <w:rPr>
          <w:rFonts w:ascii="Arial" w:hAnsi="Arial" w:cs="Arial"/>
          <w:b/>
          <w:sz w:val="24"/>
          <w:szCs w:val="24"/>
        </w:rPr>
        <w:t>Audited annual financial statements for the year ended Dec. 31, 2019;</w:t>
      </w:r>
    </w:p>
    <w:p w14:paraId="7F153BD3" w14:textId="77777777" w:rsidR="00DE6B24" w:rsidRPr="00DE6B24" w:rsidRDefault="00DE6B24" w:rsidP="00DE6B24">
      <w:pPr>
        <w:pStyle w:val="ListParagraph"/>
        <w:numPr>
          <w:ilvl w:val="0"/>
          <w:numId w:val="6"/>
        </w:numPr>
        <w:rPr>
          <w:rFonts w:ascii="Arial" w:hAnsi="Arial" w:cs="Arial"/>
          <w:b/>
          <w:sz w:val="24"/>
          <w:szCs w:val="24"/>
        </w:rPr>
      </w:pPr>
      <w:r w:rsidRPr="00DE6B24">
        <w:rPr>
          <w:rFonts w:ascii="Arial" w:hAnsi="Arial" w:cs="Arial"/>
          <w:b/>
          <w:sz w:val="24"/>
          <w:szCs w:val="24"/>
        </w:rPr>
        <w:t>Management's discussion and analysis for the year ended Dec. 31, 2019;</w:t>
      </w:r>
    </w:p>
    <w:p w14:paraId="6CA501DD" w14:textId="77777777" w:rsidR="00DE6B24" w:rsidRPr="00DE6B24" w:rsidRDefault="00DE6B24" w:rsidP="00DE6B24">
      <w:pPr>
        <w:pStyle w:val="ListParagraph"/>
        <w:numPr>
          <w:ilvl w:val="0"/>
          <w:numId w:val="6"/>
        </w:numPr>
        <w:rPr>
          <w:rFonts w:ascii="Arial" w:hAnsi="Arial" w:cs="Arial"/>
          <w:b/>
          <w:sz w:val="24"/>
          <w:szCs w:val="24"/>
        </w:rPr>
      </w:pPr>
      <w:r w:rsidRPr="00DE6B24">
        <w:rPr>
          <w:rFonts w:ascii="Arial" w:hAnsi="Arial" w:cs="Arial"/>
          <w:b/>
          <w:sz w:val="24"/>
          <w:szCs w:val="24"/>
        </w:rPr>
        <w:t>Annual certification of filings -- chief executive officer;</w:t>
      </w:r>
    </w:p>
    <w:p w14:paraId="11457100" w14:textId="77777777" w:rsidR="00DE6B24" w:rsidRPr="00DE6B24" w:rsidRDefault="00DE6B24" w:rsidP="00DE6B24">
      <w:pPr>
        <w:pStyle w:val="ListParagraph"/>
        <w:numPr>
          <w:ilvl w:val="0"/>
          <w:numId w:val="6"/>
        </w:numPr>
        <w:rPr>
          <w:rFonts w:ascii="Arial" w:hAnsi="Arial" w:cs="Arial"/>
          <w:b/>
          <w:sz w:val="24"/>
          <w:szCs w:val="24"/>
        </w:rPr>
      </w:pPr>
      <w:r w:rsidRPr="00DE6B24">
        <w:rPr>
          <w:rFonts w:ascii="Arial" w:hAnsi="Arial" w:cs="Arial"/>
          <w:b/>
          <w:sz w:val="24"/>
          <w:szCs w:val="24"/>
        </w:rPr>
        <w:t>Annual certification of filings -- chief financial officer.</w:t>
      </w:r>
    </w:p>
    <w:p w14:paraId="300CCE44" w14:textId="77777777" w:rsidR="00DE6B24" w:rsidRPr="00DE6B24" w:rsidRDefault="00DE6B24" w:rsidP="00DE6B24">
      <w:pPr>
        <w:pStyle w:val="ListParagraph"/>
        <w:rPr>
          <w:rFonts w:ascii="Arial" w:hAnsi="Arial" w:cs="Arial"/>
          <w:b/>
          <w:sz w:val="24"/>
          <w:szCs w:val="24"/>
        </w:rPr>
      </w:pPr>
      <w:r w:rsidRPr="00DE6B24">
        <w:rPr>
          <w:rFonts w:ascii="Arial" w:hAnsi="Arial" w:cs="Arial"/>
          <w:b/>
          <w:sz w:val="24"/>
          <w:szCs w:val="24"/>
        </w:rPr>
        <w:t>As required by British Columbia Instrument 51-515, the company discloses the following:</w:t>
      </w:r>
    </w:p>
    <w:p w14:paraId="7651C231" w14:textId="77777777" w:rsidR="00DE6B24" w:rsidRPr="00DE6B24" w:rsidRDefault="00DE6B24" w:rsidP="00DE6B24">
      <w:pPr>
        <w:pStyle w:val="ListParagraph"/>
        <w:numPr>
          <w:ilvl w:val="0"/>
          <w:numId w:val="7"/>
        </w:numPr>
        <w:rPr>
          <w:rFonts w:ascii="Arial" w:hAnsi="Arial" w:cs="Arial"/>
          <w:b/>
          <w:sz w:val="24"/>
          <w:szCs w:val="24"/>
        </w:rPr>
      </w:pPr>
      <w:r w:rsidRPr="00DE6B24">
        <w:rPr>
          <w:rFonts w:ascii="Arial" w:hAnsi="Arial" w:cs="Arial"/>
          <w:b/>
          <w:sz w:val="24"/>
          <w:szCs w:val="24"/>
        </w:rPr>
        <w:t>The company's management and other insiders will be subject to a trading blackout that reflects the principles in Section 9 of National Policy 11-207 until the required annual filings are filed on SEDAR.</w:t>
      </w:r>
    </w:p>
    <w:p w14:paraId="3993DA8C" w14:textId="77777777" w:rsidR="00DE6B24" w:rsidRPr="00DE6B24" w:rsidRDefault="00DE6B24" w:rsidP="00DE6B24">
      <w:pPr>
        <w:pStyle w:val="ListParagraph"/>
        <w:numPr>
          <w:ilvl w:val="0"/>
          <w:numId w:val="7"/>
        </w:numPr>
        <w:rPr>
          <w:rFonts w:ascii="Arial" w:hAnsi="Arial" w:cs="Arial"/>
          <w:b/>
          <w:sz w:val="24"/>
          <w:szCs w:val="24"/>
        </w:rPr>
      </w:pPr>
      <w:r w:rsidRPr="00DE6B24">
        <w:rPr>
          <w:rFonts w:ascii="Arial" w:hAnsi="Arial" w:cs="Arial"/>
          <w:b/>
          <w:sz w:val="24"/>
          <w:szCs w:val="24"/>
        </w:rPr>
        <w:t>Other than the previously disclosed cease trade order on the company, there have been no other material business developments since the date of the company's most recent filing of its interim financial statements and management's discussion and analysis for its Q3 ended Sept. 30, 2019.</w:t>
      </w:r>
    </w:p>
    <w:p w14:paraId="7833F35D" w14:textId="77777777" w:rsidR="00DE6B24" w:rsidRPr="00DE6B24" w:rsidRDefault="00DE6B24" w:rsidP="00DE6B24">
      <w:pPr>
        <w:pStyle w:val="ListParagraph"/>
        <w:rPr>
          <w:rFonts w:ascii="Arial" w:hAnsi="Arial" w:cs="Arial"/>
          <w:b/>
          <w:sz w:val="24"/>
          <w:szCs w:val="24"/>
        </w:rPr>
      </w:pPr>
      <w:r w:rsidRPr="00DE6B24">
        <w:rPr>
          <w:rFonts w:ascii="Arial" w:hAnsi="Arial" w:cs="Arial"/>
          <w:b/>
          <w:sz w:val="24"/>
          <w:szCs w:val="24"/>
        </w:rPr>
        <w:t>The company is actively working toward removing the cease trade order issued by the British Columbia Securities Commission.</w:t>
      </w:r>
    </w:p>
    <w:p w14:paraId="1446B34E" w14:textId="1A26626E" w:rsidR="00BF1C1F" w:rsidRPr="00CB78EB" w:rsidRDefault="00B857A7" w:rsidP="004242CB">
      <w:pPr>
        <w:pStyle w:val="NormalWeb"/>
        <w:numPr>
          <w:ilvl w:val="0"/>
          <w:numId w:val="3"/>
        </w:numPr>
        <w:jc w:val="both"/>
        <w:rPr>
          <w:rFonts w:ascii="Arial" w:hAnsi="Arial" w:cs="Arial"/>
        </w:rPr>
      </w:pPr>
      <w:r w:rsidRPr="00CB78EB">
        <w:rPr>
          <w:rFonts w:ascii="Arial" w:hAnsi="Arial" w:cs="Arial"/>
        </w:rPr>
        <w:t>Provide a general overview and discussion of the activities of management.</w:t>
      </w:r>
    </w:p>
    <w:p w14:paraId="7759852F" w14:textId="5E8A0AC7" w:rsidR="00BF1C1F" w:rsidRPr="00CB78EB" w:rsidRDefault="009971BB"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The Company announces on April 29, 2020,</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557D7986" w:rsidR="0030330B" w:rsidRPr="00CB78EB" w:rsidRDefault="005A6FA8" w:rsidP="00B857A7">
      <w:pPr>
        <w:pStyle w:val="NormalWeb"/>
        <w:spacing w:before="0" w:beforeAutospacing="0" w:after="0" w:afterAutospacing="0"/>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1044D5CC" w:rsidR="004D1338"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CAAC35" w14:textId="612066B5" w:rsidR="004242CB" w:rsidRPr="004242CB" w:rsidRDefault="007269F8" w:rsidP="004242CB">
      <w:pPr>
        <w:pStyle w:val="List"/>
        <w:spacing w:before="0"/>
        <w:ind w:left="720" w:firstLine="0"/>
        <w:jc w:val="both"/>
        <w:rPr>
          <w:rFonts w:ascii="Arial" w:hAnsi="Arial" w:cs="Arial"/>
          <w:b/>
          <w:bCs/>
          <w:szCs w:val="24"/>
        </w:rPr>
      </w:pPr>
      <w:r>
        <w:rPr>
          <w:rFonts w:ascii="Arial" w:hAnsi="Arial" w:cs="Arial"/>
          <w:b/>
          <w:bCs/>
          <w:szCs w:val="24"/>
        </w:rPr>
        <w:t>None.</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5A42C536" w:rsidR="00B857A7" w:rsidRPr="00CB78EB" w:rsidRDefault="00C63FF5"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employee hirings,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7DC10286" w14:textId="2A8CCB7B" w:rsidR="00B857A7" w:rsidRPr="004242CB" w:rsidRDefault="004242CB" w:rsidP="00B857A7">
      <w:pPr>
        <w:pStyle w:val="List"/>
        <w:tabs>
          <w:tab w:val="left" w:pos="360"/>
        </w:tabs>
        <w:spacing w:before="120"/>
        <w:ind w:left="0" w:firstLine="0"/>
        <w:jc w:val="both"/>
        <w:rPr>
          <w:rFonts w:ascii="Arial" w:hAnsi="Arial"/>
          <w:b/>
          <w:szCs w:val="24"/>
        </w:rPr>
      </w:pPr>
      <w:r>
        <w:rPr>
          <w:rFonts w:ascii="Arial" w:hAnsi="Arial"/>
          <w:b/>
          <w:szCs w:val="24"/>
        </w:rPr>
        <w:tab/>
      </w:r>
      <w:r>
        <w:rPr>
          <w:rFonts w:ascii="Arial" w:hAnsi="Arial"/>
          <w:b/>
          <w:szCs w:val="24"/>
        </w:rPr>
        <w:tab/>
        <w:t>None</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0805BA1A" w14:textId="5B618F3B" w:rsidR="00396EC4" w:rsidRPr="004242CB" w:rsidRDefault="007269F8" w:rsidP="00396EC4">
      <w:pPr>
        <w:pStyle w:val="List"/>
        <w:spacing w:before="0"/>
        <w:ind w:left="720" w:firstLine="0"/>
        <w:jc w:val="both"/>
        <w:rPr>
          <w:rFonts w:ascii="Arial" w:hAnsi="Arial" w:cs="Arial"/>
          <w:b/>
          <w:bCs/>
          <w:szCs w:val="24"/>
        </w:rPr>
      </w:pPr>
      <w:r>
        <w:rPr>
          <w:rFonts w:ascii="Arial" w:hAnsi="Arial" w:cs="Arial"/>
          <w:b/>
          <w:bCs/>
          <w:szCs w:val="24"/>
        </w:rPr>
        <w:t>None.</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07ABE09E"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 xml:space="preserve">Dated: </w:t>
      </w:r>
      <w:r w:rsidR="009971BB">
        <w:rPr>
          <w:rFonts w:ascii="Arial" w:hAnsi="Arial" w:cs="Arial"/>
        </w:rPr>
        <w:t>May</w:t>
      </w:r>
      <w:r w:rsidR="007269F8">
        <w:rPr>
          <w:rFonts w:ascii="Arial" w:hAnsi="Arial" w:cs="Arial"/>
        </w:rPr>
        <w:t xml:space="preserve"> 7</w:t>
      </w:r>
      <w:r w:rsidR="00B958E5">
        <w:rPr>
          <w:rFonts w:ascii="Arial" w:hAnsi="Arial" w:cs="Arial"/>
        </w:rPr>
        <w:t>, 2020</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4F3B740B" w:rsidR="00B857A7" w:rsidRDefault="007269F8" w:rsidP="00B857A7">
      <w:pPr>
        <w:pStyle w:val="List"/>
        <w:tabs>
          <w:tab w:val="left" w:pos="9180"/>
        </w:tabs>
        <w:spacing w:before="0"/>
        <w:ind w:left="5760" w:firstLine="0"/>
        <w:rPr>
          <w:rFonts w:ascii="Arial" w:hAnsi="Arial" w:cs="Arial"/>
        </w:rPr>
      </w:pPr>
      <w:r>
        <w:rPr>
          <w:rFonts w:ascii="Arial" w:hAnsi="Arial" w:cs="Arial"/>
        </w:rPr>
        <w:t>David Greenway</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58738EB3"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7269F8">
        <w:rPr>
          <w:rFonts w:ascii="Arial" w:hAnsi="Arial" w:cs="Arial"/>
          <w:i/>
        </w:rPr>
        <w:t>David Greenway</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220C04EA"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w:t>
      </w:r>
      <w:r w:rsidR="003876CC">
        <w:rPr>
          <w:rFonts w:ascii="Arial" w:hAnsi="Arial" w:cs="Arial"/>
        </w:rPr>
        <w:t>E</w:t>
      </w:r>
      <w:r w:rsidRPr="007F4B88">
        <w:rPr>
          <w:rFonts w:ascii="Arial" w:hAnsi="Arial" w:cs="Arial"/>
        </w:rPr>
        <w:t>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318FB049" w:rsidR="00B857A7" w:rsidRPr="005877D5" w:rsidRDefault="003876CC" w:rsidP="00251C21">
            <w:pPr>
              <w:pStyle w:val="BodyText"/>
              <w:spacing w:before="0"/>
              <w:jc w:val="both"/>
              <w:rPr>
                <w:rFonts w:ascii="Arial" w:hAnsi="Arial" w:cs="Arial"/>
              </w:rPr>
            </w:pPr>
            <w:r>
              <w:rPr>
                <w:rFonts w:ascii="Arial" w:hAnsi="Arial" w:cs="Arial"/>
              </w:rPr>
              <w:t>Blok Technologies Inc.</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3D2B3B6D" w:rsidR="00B857A7" w:rsidRPr="005877D5" w:rsidRDefault="009971BB" w:rsidP="00251C21">
            <w:pPr>
              <w:pStyle w:val="BodyText"/>
              <w:spacing w:before="0"/>
              <w:jc w:val="both"/>
              <w:rPr>
                <w:rFonts w:ascii="Arial" w:hAnsi="Arial" w:cs="Arial"/>
              </w:rPr>
            </w:pPr>
            <w:r>
              <w:rPr>
                <w:rFonts w:ascii="Arial" w:hAnsi="Arial" w:cs="Arial"/>
              </w:rPr>
              <w:t>Apr</w:t>
            </w:r>
            <w:r w:rsidR="000E4573">
              <w:rPr>
                <w:rFonts w:ascii="Arial" w:hAnsi="Arial" w:cs="Arial"/>
              </w:rPr>
              <w:t xml:space="preserve"> 2020</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68EC780D" w:rsidR="00B857A7" w:rsidRPr="005877D5" w:rsidRDefault="00B958E5" w:rsidP="00251C21">
            <w:pPr>
              <w:pStyle w:val="BodyText"/>
              <w:spacing w:before="0"/>
              <w:jc w:val="both"/>
              <w:rPr>
                <w:rFonts w:ascii="Arial" w:hAnsi="Arial" w:cs="Arial"/>
              </w:rPr>
            </w:pPr>
            <w:r>
              <w:rPr>
                <w:rFonts w:ascii="Arial" w:hAnsi="Arial" w:cs="Arial"/>
              </w:rPr>
              <w:t>20</w:t>
            </w:r>
            <w:r w:rsidR="00B857A7">
              <w:rPr>
                <w:rFonts w:ascii="Arial" w:hAnsi="Arial" w:cs="Arial"/>
              </w:rPr>
              <w:t>/</w:t>
            </w:r>
            <w:r>
              <w:rPr>
                <w:rFonts w:ascii="Arial" w:hAnsi="Arial" w:cs="Arial"/>
              </w:rPr>
              <w:t>0</w:t>
            </w:r>
            <w:r w:rsidR="009971BB">
              <w:rPr>
                <w:rFonts w:ascii="Arial" w:hAnsi="Arial" w:cs="Arial"/>
              </w:rPr>
              <w:t>5</w:t>
            </w:r>
            <w:r w:rsidR="00AA45CF">
              <w:rPr>
                <w:rFonts w:ascii="Arial" w:hAnsi="Arial" w:cs="Arial"/>
              </w:rPr>
              <w:t>/0</w:t>
            </w:r>
            <w:r w:rsidR="007269F8">
              <w:rPr>
                <w:rFonts w:ascii="Arial" w:hAnsi="Arial" w:cs="Arial"/>
              </w:rPr>
              <w:t>7</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432056C5" w:rsidR="00B857A7" w:rsidRPr="005877D5" w:rsidRDefault="007269F8" w:rsidP="003876CC">
            <w:pPr>
              <w:pStyle w:val="BodyText"/>
              <w:jc w:val="both"/>
              <w:rPr>
                <w:rFonts w:ascii="Arial" w:hAnsi="Arial" w:cs="Arial"/>
              </w:rPr>
            </w:pPr>
            <w:r w:rsidRPr="007269F8">
              <w:rPr>
                <w:rFonts w:ascii="Arial" w:hAnsi="Arial" w:cs="Arial"/>
              </w:rPr>
              <w:t>2831 Wembley Drive</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DDD2587" w:rsidR="00B857A7" w:rsidRPr="003F2DAE" w:rsidRDefault="00915FA8" w:rsidP="00251C21">
            <w:pPr>
              <w:pStyle w:val="BodyText"/>
              <w:spacing w:before="0"/>
              <w:jc w:val="both"/>
              <w:rPr>
                <w:rFonts w:ascii="Arial" w:hAnsi="Arial" w:cs="Arial"/>
                <w:lang w:val="fr-FR"/>
              </w:rPr>
            </w:pPr>
            <w:r w:rsidRPr="003876CC">
              <w:rPr>
                <w:rFonts w:ascii="Arial" w:hAnsi="Arial" w:cs="Arial"/>
              </w:rPr>
              <w:t>North Vancouver, BC</w:t>
            </w:r>
            <w:r>
              <w:rPr>
                <w:rFonts w:ascii="Arial" w:hAnsi="Arial" w:cs="Arial"/>
              </w:rPr>
              <w:t xml:space="preserve"> </w:t>
            </w:r>
            <w:r w:rsidR="007269F8" w:rsidRPr="007269F8">
              <w:rPr>
                <w:rFonts w:ascii="Arial" w:hAnsi="Arial" w:cs="Arial"/>
              </w:rPr>
              <w:t>V7J 3B8</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31F2EEA3" w:rsidR="00B857A7" w:rsidRPr="005877D5" w:rsidRDefault="00B857A7" w:rsidP="00251C21">
            <w:pPr>
              <w:pStyle w:val="BodyText"/>
              <w:spacing w:before="0"/>
              <w:jc w:val="both"/>
              <w:rPr>
                <w:rFonts w:ascii="Arial" w:hAnsi="Arial" w:cs="Arial"/>
              </w:rPr>
            </w:pP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6F1A8566"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 xml:space="preserve">604) </w:t>
            </w:r>
            <w:r w:rsidR="009315C2">
              <w:rPr>
                <w:rFonts w:ascii="Arial" w:hAnsi="Arial" w:cs="Arial"/>
              </w:rPr>
              <w:t>318-0114</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1C1CB413" w:rsidR="00B857A7" w:rsidRPr="005877D5" w:rsidRDefault="00915FA8" w:rsidP="00251C21">
            <w:pPr>
              <w:pStyle w:val="BodyText"/>
              <w:spacing w:before="0"/>
              <w:jc w:val="both"/>
              <w:rPr>
                <w:rFonts w:ascii="Arial" w:hAnsi="Arial" w:cs="Arial"/>
              </w:rPr>
            </w:pPr>
            <w:r>
              <w:rPr>
                <w:rFonts w:ascii="Arial" w:hAnsi="Arial" w:cs="Arial"/>
              </w:rPr>
              <w:t>David Greenway</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721F3B04" w:rsidR="00B857A7" w:rsidRPr="005877D5" w:rsidRDefault="00B857A7" w:rsidP="00251C21">
            <w:pPr>
              <w:pStyle w:val="BodyText"/>
              <w:spacing w:before="0"/>
              <w:jc w:val="both"/>
              <w:rPr>
                <w:rFonts w:ascii="Arial" w:hAnsi="Arial" w:cs="Arial"/>
              </w:rPr>
            </w:pPr>
            <w:r w:rsidRPr="005877D5">
              <w:rPr>
                <w:rFonts w:ascii="Arial" w:hAnsi="Arial" w:cs="Arial"/>
              </w:rPr>
              <w:t>C</w:t>
            </w:r>
            <w:r w:rsidR="003876CC">
              <w:rPr>
                <w:rFonts w:ascii="Arial" w:hAnsi="Arial" w:cs="Arial"/>
              </w:rPr>
              <w:t>E</w:t>
            </w:r>
            <w:r w:rsidRPr="005877D5">
              <w:rPr>
                <w:rFonts w:ascii="Arial" w:hAnsi="Arial" w:cs="Arial"/>
              </w:rPr>
              <w:t>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5B3A8CB7" w:rsidR="00B857A7" w:rsidRPr="005877D5" w:rsidRDefault="009315C2" w:rsidP="00251C21">
            <w:pPr>
              <w:pStyle w:val="BodyText"/>
              <w:spacing w:before="0"/>
              <w:jc w:val="both"/>
              <w:rPr>
                <w:rFonts w:ascii="Arial" w:hAnsi="Arial" w:cs="Arial"/>
              </w:rPr>
            </w:pPr>
            <w:r w:rsidRPr="005877D5">
              <w:rPr>
                <w:rFonts w:ascii="Arial" w:hAnsi="Arial" w:cs="Arial"/>
              </w:rPr>
              <w:t>(</w:t>
            </w:r>
            <w:r>
              <w:rPr>
                <w:rFonts w:ascii="Arial" w:hAnsi="Arial" w:cs="Arial"/>
              </w:rPr>
              <w:t>604) 318-0114</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3778E3BF" w:rsidR="00B857A7" w:rsidRPr="005877D5" w:rsidRDefault="00915FA8" w:rsidP="00251C21">
            <w:pPr>
              <w:pStyle w:val="BodyText"/>
              <w:spacing w:before="0"/>
              <w:jc w:val="both"/>
              <w:rPr>
                <w:rFonts w:ascii="Arial" w:hAnsi="Arial" w:cs="Arial"/>
              </w:rPr>
            </w:pPr>
            <w:r w:rsidRPr="00915FA8">
              <w:rPr>
                <w:rFonts w:ascii="Arial" w:hAnsi="Arial" w:cs="Arial"/>
              </w:rPr>
              <w:t>David Greenway &lt;dg@ontherocks1.com&gt;</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DE6B24"/>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7721"/>
    <w:multiLevelType w:val="multilevel"/>
    <w:tmpl w:val="1B1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2" w15:restartNumberingAfterBreak="0">
    <w:nsid w:val="2EB80FDA"/>
    <w:multiLevelType w:val="hybridMultilevel"/>
    <w:tmpl w:val="89921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596A03"/>
    <w:multiLevelType w:val="hybridMultilevel"/>
    <w:tmpl w:val="A1408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5" w15:restartNumberingAfterBreak="0">
    <w:nsid w:val="60A30603"/>
    <w:multiLevelType w:val="multilevel"/>
    <w:tmpl w:val="9602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54991"/>
    <w:rsid w:val="00075C5A"/>
    <w:rsid w:val="000E4573"/>
    <w:rsid w:val="00105F5D"/>
    <w:rsid w:val="001C2C6F"/>
    <w:rsid w:val="001D5DE4"/>
    <w:rsid w:val="002040A7"/>
    <w:rsid w:val="002143BE"/>
    <w:rsid w:val="00274031"/>
    <w:rsid w:val="00280447"/>
    <w:rsid w:val="002E10DB"/>
    <w:rsid w:val="00300A9E"/>
    <w:rsid w:val="0030330B"/>
    <w:rsid w:val="003216C2"/>
    <w:rsid w:val="003514E4"/>
    <w:rsid w:val="003549A4"/>
    <w:rsid w:val="0037729A"/>
    <w:rsid w:val="003876CC"/>
    <w:rsid w:val="00396EC4"/>
    <w:rsid w:val="003C2EFB"/>
    <w:rsid w:val="003D3280"/>
    <w:rsid w:val="003D7945"/>
    <w:rsid w:val="003F0AD2"/>
    <w:rsid w:val="003F2DAE"/>
    <w:rsid w:val="0040096B"/>
    <w:rsid w:val="004242CB"/>
    <w:rsid w:val="00487D7E"/>
    <w:rsid w:val="004D1338"/>
    <w:rsid w:val="004D659E"/>
    <w:rsid w:val="00521B4E"/>
    <w:rsid w:val="00535A86"/>
    <w:rsid w:val="00536DE8"/>
    <w:rsid w:val="00571D1D"/>
    <w:rsid w:val="005721A0"/>
    <w:rsid w:val="005841D3"/>
    <w:rsid w:val="00597B02"/>
    <w:rsid w:val="005A6FA8"/>
    <w:rsid w:val="00686754"/>
    <w:rsid w:val="006D7067"/>
    <w:rsid w:val="006E6776"/>
    <w:rsid w:val="007269F8"/>
    <w:rsid w:val="007621E2"/>
    <w:rsid w:val="00764E38"/>
    <w:rsid w:val="00792899"/>
    <w:rsid w:val="007C7FCC"/>
    <w:rsid w:val="007F4B88"/>
    <w:rsid w:val="00815667"/>
    <w:rsid w:val="0089056A"/>
    <w:rsid w:val="008D4F91"/>
    <w:rsid w:val="00910153"/>
    <w:rsid w:val="00915FA8"/>
    <w:rsid w:val="009315C2"/>
    <w:rsid w:val="009656E6"/>
    <w:rsid w:val="009908CB"/>
    <w:rsid w:val="009971BB"/>
    <w:rsid w:val="00A2175C"/>
    <w:rsid w:val="00A43BD1"/>
    <w:rsid w:val="00A46C98"/>
    <w:rsid w:val="00A70DDC"/>
    <w:rsid w:val="00AA45CF"/>
    <w:rsid w:val="00AC4708"/>
    <w:rsid w:val="00B16AC8"/>
    <w:rsid w:val="00B857A7"/>
    <w:rsid w:val="00B958E5"/>
    <w:rsid w:val="00BA7DC3"/>
    <w:rsid w:val="00BD1F83"/>
    <w:rsid w:val="00BF1BAF"/>
    <w:rsid w:val="00BF1C1F"/>
    <w:rsid w:val="00C21D12"/>
    <w:rsid w:val="00C63FF5"/>
    <w:rsid w:val="00CB78EB"/>
    <w:rsid w:val="00CC7506"/>
    <w:rsid w:val="00CD5285"/>
    <w:rsid w:val="00D47377"/>
    <w:rsid w:val="00DE6B24"/>
    <w:rsid w:val="00E26B25"/>
    <w:rsid w:val="00E6191B"/>
    <w:rsid w:val="00EA1D85"/>
    <w:rsid w:val="00F01FE3"/>
    <w:rsid w:val="00F12361"/>
    <w:rsid w:val="00F27612"/>
    <w:rsid w:val="00F5293C"/>
    <w:rsid w:val="00F647AC"/>
    <w:rsid w:val="00FC2E64"/>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24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B"/>
    <w:rPr>
      <w:rFonts w:ascii="Segoe UI" w:eastAsia="Times New Roman" w:hAnsi="Segoe UI" w:cs="Segoe UI"/>
      <w:sz w:val="18"/>
      <w:szCs w:val="18"/>
      <w:lang w:val="en-US"/>
    </w:rPr>
  </w:style>
  <w:style w:type="paragraph" w:styleId="ListParagraph">
    <w:name w:val="List Paragraph"/>
    <w:basedOn w:val="Normal"/>
    <w:uiPriority w:val="34"/>
    <w:qFormat/>
    <w:rsid w:val="00DE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158424427">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397364692">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784882868">
      <w:bodyDiv w:val="1"/>
      <w:marLeft w:val="0"/>
      <w:marRight w:val="0"/>
      <w:marTop w:val="0"/>
      <w:marBottom w:val="0"/>
      <w:divBdr>
        <w:top w:val="none" w:sz="0" w:space="0" w:color="auto"/>
        <w:left w:val="none" w:sz="0" w:space="0" w:color="auto"/>
        <w:bottom w:val="none" w:sz="0" w:space="0" w:color="auto"/>
        <w:right w:val="none" w:sz="0" w:space="0" w:color="auto"/>
      </w:divBdr>
    </w:div>
    <w:div w:id="822115657">
      <w:bodyDiv w:val="1"/>
      <w:marLeft w:val="0"/>
      <w:marRight w:val="0"/>
      <w:marTop w:val="0"/>
      <w:marBottom w:val="0"/>
      <w:divBdr>
        <w:top w:val="none" w:sz="0" w:space="0" w:color="auto"/>
        <w:left w:val="none" w:sz="0" w:space="0" w:color="auto"/>
        <w:bottom w:val="none" w:sz="0" w:space="0" w:color="auto"/>
        <w:right w:val="none" w:sz="0" w:space="0" w:color="auto"/>
      </w:divBdr>
    </w:div>
    <w:div w:id="900167395">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11039890">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435976363">
      <w:bodyDiv w:val="1"/>
      <w:marLeft w:val="0"/>
      <w:marRight w:val="0"/>
      <w:marTop w:val="0"/>
      <w:marBottom w:val="0"/>
      <w:divBdr>
        <w:top w:val="none" w:sz="0" w:space="0" w:color="auto"/>
        <w:left w:val="none" w:sz="0" w:space="0" w:color="auto"/>
        <w:bottom w:val="none" w:sz="0" w:space="0" w:color="auto"/>
        <w:right w:val="none" w:sz="0" w:space="0" w:color="auto"/>
      </w:divBdr>
    </w:div>
    <w:div w:id="168906561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 w:id="1765032489">
      <w:bodyDiv w:val="1"/>
      <w:marLeft w:val="0"/>
      <w:marRight w:val="0"/>
      <w:marTop w:val="0"/>
      <w:marBottom w:val="0"/>
      <w:divBdr>
        <w:top w:val="none" w:sz="0" w:space="0" w:color="auto"/>
        <w:left w:val="none" w:sz="0" w:space="0" w:color="auto"/>
        <w:bottom w:val="none" w:sz="0" w:space="0" w:color="auto"/>
        <w:right w:val="none" w:sz="0" w:space="0" w:color="auto"/>
      </w:divBdr>
    </w:div>
    <w:div w:id="21088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24</cp:revision>
  <cp:lastPrinted>2018-04-06T16:50:00Z</cp:lastPrinted>
  <dcterms:created xsi:type="dcterms:W3CDTF">2019-03-18T20:35:00Z</dcterms:created>
  <dcterms:modified xsi:type="dcterms:W3CDTF">2020-05-08T00:23:00Z</dcterms:modified>
</cp:coreProperties>
</file>