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72DE" w14:textId="77777777" w:rsidR="00122C9D" w:rsidRPr="00631B94" w:rsidRDefault="004E7800" w:rsidP="00465E5C">
      <w:pPr>
        <w:pStyle w:val="Heading1"/>
        <w:spacing w:before="179"/>
        <w:ind w:left="3117" w:right="311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Form_51–102F3_MATERIAL_CHANGE_REPORT"/>
      <w:bookmarkEnd w:id="0"/>
      <w:r w:rsidRPr="00631B94">
        <w:rPr>
          <w:rFonts w:asciiTheme="minorHAnsi" w:hAnsiTheme="minorHAnsi" w:cstheme="minorHAnsi"/>
          <w:sz w:val="22"/>
          <w:szCs w:val="22"/>
        </w:rPr>
        <w:t>Form 51–102F3</w:t>
      </w:r>
    </w:p>
    <w:p w14:paraId="065D8BB7" w14:textId="77777777" w:rsidR="00122C9D" w:rsidRPr="00631B94" w:rsidRDefault="004E7800" w:rsidP="00465E5C">
      <w:pPr>
        <w:ind w:left="3119" w:right="3119"/>
        <w:jc w:val="center"/>
        <w:rPr>
          <w:rFonts w:asciiTheme="minorHAnsi" w:hAnsiTheme="minorHAnsi" w:cstheme="minorHAnsi"/>
          <w:b/>
          <w:i/>
        </w:rPr>
      </w:pPr>
      <w:r w:rsidRPr="00631B94">
        <w:rPr>
          <w:rFonts w:asciiTheme="minorHAnsi" w:hAnsiTheme="minorHAnsi" w:cstheme="minorHAnsi"/>
          <w:b/>
          <w:i/>
        </w:rPr>
        <w:t>MATERIAL CHANGE REPORT</w:t>
      </w:r>
    </w:p>
    <w:p w14:paraId="4DC58F85" w14:textId="77777777" w:rsidR="00122C9D" w:rsidRPr="00631B94" w:rsidRDefault="00122C9D" w:rsidP="003B59C5">
      <w:pPr>
        <w:pStyle w:val="BodyText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F1FC951" w14:textId="77777777" w:rsidR="00122C9D" w:rsidRPr="007F50C1" w:rsidRDefault="004E7800" w:rsidP="003B59C5">
      <w:pPr>
        <w:pStyle w:val="Heading1"/>
        <w:tabs>
          <w:tab w:val="left" w:pos="1559"/>
        </w:tabs>
        <w:spacing w:before="181"/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>Item</w:t>
      </w:r>
      <w:r w:rsidRPr="007F50C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1.</w:t>
      </w:r>
      <w:r w:rsidRPr="007F50C1">
        <w:rPr>
          <w:rFonts w:asciiTheme="minorHAnsi" w:hAnsiTheme="minorHAnsi" w:cstheme="minorHAnsi"/>
          <w:sz w:val="22"/>
          <w:szCs w:val="22"/>
        </w:rPr>
        <w:tab/>
        <w:t>Name and Address of</w:t>
      </w:r>
      <w:r w:rsidRPr="007F50C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Company</w:t>
      </w:r>
    </w:p>
    <w:p w14:paraId="717B06C2" w14:textId="77777777" w:rsidR="00122C9D" w:rsidRPr="007F50C1" w:rsidRDefault="00122C9D" w:rsidP="003B59C5">
      <w:pPr>
        <w:pStyle w:val="BodyText"/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3D4427" w14:textId="77777777" w:rsidR="00631B94" w:rsidRPr="007F50C1" w:rsidRDefault="004E7800" w:rsidP="003B59C5">
      <w:pPr>
        <w:pStyle w:val="BodyText"/>
        <w:ind w:left="1560" w:right="1168"/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>Heritage Cannabis Holdings Corp. (“</w:t>
      </w:r>
      <w:r w:rsidRPr="007F50C1">
        <w:rPr>
          <w:rFonts w:asciiTheme="minorHAnsi" w:hAnsiTheme="minorHAnsi" w:cstheme="minorHAnsi"/>
          <w:b/>
          <w:sz w:val="22"/>
          <w:szCs w:val="22"/>
        </w:rPr>
        <w:t>Heritage</w:t>
      </w:r>
      <w:r w:rsidRPr="007F50C1">
        <w:rPr>
          <w:rFonts w:asciiTheme="minorHAnsi" w:hAnsiTheme="minorHAnsi" w:cstheme="minorHAnsi"/>
          <w:sz w:val="22"/>
          <w:szCs w:val="22"/>
        </w:rPr>
        <w:t>” or the “</w:t>
      </w:r>
      <w:r w:rsidRPr="007F50C1">
        <w:rPr>
          <w:rFonts w:asciiTheme="minorHAnsi" w:hAnsiTheme="minorHAnsi" w:cstheme="minorHAnsi"/>
          <w:b/>
          <w:sz w:val="22"/>
          <w:szCs w:val="22"/>
        </w:rPr>
        <w:t>Company</w:t>
      </w:r>
      <w:r w:rsidRPr="007F50C1">
        <w:rPr>
          <w:rFonts w:asciiTheme="minorHAnsi" w:hAnsiTheme="minorHAnsi" w:cstheme="minorHAnsi"/>
          <w:sz w:val="22"/>
          <w:szCs w:val="22"/>
        </w:rPr>
        <w:t xml:space="preserve">”) </w:t>
      </w:r>
    </w:p>
    <w:p w14:paraId="1D5259DB" w14:textId="29C01E27" w:rsidR="00122C9D" w:rsidRPr="007F50C1" w:rsidRDefault="00631B94" w:rsidP="003B59C5">
      <w:pPr>
        <w:pStyle w:val="BodyText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>77 Bloor Street</w:t>
      </w:r>
      <w:r w:rsidR="00FF7E9F">
        <w:rPr>
          <w:rFonts w:asciiTheme="minorHAnsi" w:hAnsiTheme="minorHAnsi" w:cstheme="minorHAnsi"/>
          <w:sz w:val="22"/>
          <w:szCs w:val="22"/>
        </w:rPr>
        <w:t xml:space="preserve"> West</w:t>
      </w:r>
      <w:r w:rsidR="007F50C1">
        <w:rPr>
          <w:rFonts w:asciiTheme="minorHAnsi" w:hAnsiTheme="minorHAnsi" w:cstheme="minorHAnsi"/>
          <w:sz w:val="22"/>
          <w:szCs w:val="22"/>
        </w:rPr>
        <w:t xml:space="preserve">, </w:t>
      </w:r>
      <w:r w:rsidRPr="007F50C1">
        <w:rPr>
          <w:rFonts w:asciiTheme="minorHAnsi" w:hAnsiTheme="minorHAnsi" w:cstheme="minorHAnsi"/>
          <w:sz w:val="22"/>
          <w:szCs w:val="22"/>
        </w:rPr>
        <w:t>Suite 600</w:t>
      </w:r>
    </w:p>
    <w:p w14:paraId="198AE9E7" w14:textId="77777777" w:rsidR="003E0B19" w:rsidRPr="007F50C1" w:rsidRDefault="00631B94" w:rsidP="003B59C5">
      <w:pPr>
        <w:pStyle w:val="BodyText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>Toronto, ON</w:t>
      </w:r>
    </w:p>
    <w:p w14:paraId="26D14796" w14:textId="32A833A2" w:rsidR="00631B94" w:rsidRPr="007F50C1" w:rsidRDefault="00631B94" w:rsidP="003B59C5">
      <w:pPr>
        <w:pStyle w:val="BodyText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 xml:space="preserve"> </w:t>
      </w:r>
      <w:r w:rsidR="003E0B19" w:rsidRPr="007F50C1">
        <w:rPr>
          <w:rFonts w:asciiTheme="minorHAnsi" w:hAnsiTheme="minorHAnsi" w:cstheme="minorHAnsi"/>
          <w:sz w:val="22"/>
          <w:szCs w:val="22"/>
        </w:rPr>
        <w:t>M5S 1M2</w:t>
      </w:r>
    </w:p>
    <w:p w14:paraId="3145133E" w14:textId="77777777" w:rsidR="00631B94" w:rsidRPr="007F50C1" w:rsidRDefault="00631B94" w:rsidP="003B59C5">
      <w:pPr>
        <w:pStyle w:val="BodyText"/>
        <w:ind w:left="1560"/>
        <w:jc w:val="both"/>
        <w:rPr>
          <w:rFonts w:asciiTheme="minorHAnsi" w:hAnsiTheme="minorHAnsi" w:cstheme="minorHAnsi"/>
          <w:sz w:val="22"/>
          <w:szCs w:val="22"/>
        </w:rPr>
      </w:pPr>
    </w:p>
    <w:p w14:paraId="7B4DF2D5" w14:textId="77777777" w:rsidR="00122C9D" w:rsidRPr="007F50C1" w:rsidRDefault="00122C9D" w:rsidP="003B59C5">
      <w:pPr>
        <w:pStyle w:val="BodyText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14:paraId="7869D222" w14:textId="77777777" w:rsidR="00122C9D" w:rsidRPr="007F50C1" w:rsidRDefault="004E7800" w:rsidP="003B59C5">
      <w:pPr>
        <w:pStyle w:val="Heading1"/>
        <w:tabs>
          <w:tab w:val="left" w:pos="1559"/>
        </w:tabs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>Item</w:t>
      </w:r>
      <w:r w:rsidRPr="007F50C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2.</w:t>
      </w:r>
      <w:r w:rsidRPr="007F50C1">
        <w:rPr>
          <w:rFonts w:asciiTheme="minorHAnsi" w:hAnsiTheme="minorHAnsi" w:cstheme="minorHAnsi"/>
          <w:sz w:val="22"/>
          <w:szCs w:val="22"/>
        </w:rPr>
        <w:tab/>
        <w:t>Date of Material</w:t>
      </w:r>
      <w:r w:rsidRPr="007F50C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Change</w:t>
      </w:r>
    </w:p>
    <w:p w14:paraId="0EAF4CD4" w14:textId="77777777" w:rsidR="00122C9D" w:rsidRPr="007F50C1" w:rsidRDefault="00122C9D" w:rsidP="003B59C5">
      <w:pPr>
        <w:pStyle w:val="BodyText"/>
        <w:spacing w:before="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2318D6" w14:textId="7DACD307" w:rsidR="00122C9D" w:rsidRPr="007F50C1" w:rsidRDefault="00243DEA" w:rsidP="003B59C5">
      <w:pPr>
        <w:pStyle w:val="BodyText"/>
        <w:spacing w:before="1"/>
        <w:ind w:left="15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 29, 2022</w:t>
      </w:r>
    </w:p>
    <w:p w14:paraId="3B7CAFF2" w14:textId="77777777" w:rsidR="00122C9D" w:rsidRPr="007F50C1" w:rsidRDefault="00122C9D" w:rsidP="003B59C5">
      <w:pPr>
        <w:pStyle w:val="BodyText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14:paraId="3976A776" w14:textId="77777777" w:rsidR="00122C9D" w:rsidRPr="007F50C1" w:rsidRDefault="004E7800" w:rsidP="003B59C5">
      <w:pPr>
        <w:pStyle w:val="Heading1"/>
        <w:tabs>
          <w:tab w:val="left" w:pos="155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>Item</w:t>
      </w:r>
      <w:r w:rsidRPr="007F50C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3.</w:t>
      </w:r>
      <w:r w:rsidRPr="007F50C1">
        <w:rPr>
          <w:rFonts w:asciiTheme="minorHAnsi" w:hAnsiTheme="minorHAnsi" w:cstheme="minorHAnsi"/>
          <w:sz w:val="22"/>
          <w:szCs w:val="22"/>
        </w:rPr>
        <w:tab/>
        <w:t>News</w:t>
      </w:r>
      <w:r w:rsidRPr="007F50C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Release</w:t>
      </w:r>
    </w:p>
    <w:p w14:paraId="18033DD3" w14:textId="77777777" w:rsidR="00122C9D" w:rsidRPr="007F50C1" w:rsidRDefault="00122C9D" w:rsidP="003B59C5">
      <w:pPr>
        <w:pStyle w:val="BodyText"/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14:paraId="4F6786F7" w14:textId="6A960CF1" w:rsidR="00122C9D" w:rsidRPr="007F50C1" w:rsidRDefault="00151CD5" w:rsidP="00514E71">
      <w:pPr>
        <w:pStyle w:val="BodyText"/>
        <w:ind w:left="1559" w:right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</w:t>
      </w:r>
      <w:r w:rsidR="004E7800" w:rsidRPr="007F50C1">
        <w:rPr>
          <w:rFonts w:asciiTheme="minorHAnsi" w:hAnsiTheme="minorHAnsi" w:cstheme="minorHAnsi"/>
          <w:sz w:val="22"/>
          <w:szCs w:val="22"/>
        </w:rPr>
        <w:t xml:space="preserve">ews Release </w:t>
      </w:r>
      <w:r w:rsidR="00C22A66">
        <w:rPr>
          <w:rFonts w:asciiTheme="minorHAnsi" w:hAnsiTheme="minorHAnsi" w:cstheme="minorHAnsi"/>
          <w:sz w:val="22"/>
          <w:szCs w:val="22"/>
        </w:rPr>
        <w:t>was</w:t>
      </w:r>
      <w:r>
        <w:rPr>
          <w:rFonts w:asciiTheme="minorHAnsi" w:hAnsiTheme="minorHAnsi" w:cstheme="minorHAnsi"/>
          <w:sz w:val="22"/>
          <w:szCs w:val="22"/>
        </w:rPr>
        <w:t xml:space="preserve"> issued and disseminated on </w:t>
      </w:r>
      <w:r w:rsidR="00243DEA">
        <w:rPr>
          <w:rFonts w:asciiTheme="minorHAnsi" w:hAnsiTheme="minorHAnsi" w:cstheme="minorHAnsi"/>
          <w:sz w:val="22"/>
          <w:szCs w:val="22"/>
        </w:rPr>
        <w:t xml:space="preserve">September </w:t>
      </w:r>
      <w:r w:rsidR="00270092">
        <w:rPr>
          <w:rFonts w:asciiTheme="minorHAnsi" w:hAnsiTheme="minorHAnsi" w:cstheme="minorHAnsi"/>
          <w:sz w:val="22"/>
          <w:szCs w:val="22"/>
        </w:rPr>
        <w:t>29</w:t>
      </w:r>
      <w:r w:rsidR="00243DEA">
        <w:rPr>
          <w:rFonts w:asciiTheme="minorHAnsi" w:hAnsiTheme="minorHAnsi" w:cstheme="minorHAnsi"/>
          <w:sz w:val="22"/>
          <w:szCs w:val="22"/>
        </w:rPr>
        <w:t>, 2022</w:t>
      </w:r>
      <w:r w:rsidR="004E7800" w:rsidRPr="007F50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subsequently filed on SEDAR. </w:t>
      </w:r>
      <w:r w:rsidR="003D43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B19E3A" w14:textId="77777777" w:rsidR="00122C9D" w:rsidRPr="007F50C1" w:rsidRDefault="00122C9D" w:rsidP="003B59C5">
      <w:pPr>
        <w:pStyle w:val="BodyText"/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260FF183" w14:textId="77777777" w:rsidR="00122C9D" w:rsidRPr="007F50C1" w:rsidRDefault="004E7800" w:rsidP="003B59C5">
      <w:pPr>
        <w:pStyle w:val="Heading1"/>
        <w:tabs>
          <w:tab w:val="left" w:pos="155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>Item</w:t>
      </w:r>
      <w:r w:rsidRPr="007F50C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4.</w:t>
      </w:r>
      <w:r w:rsidRPr="007F50C1">
        <w:rPr>
          <w:rFonts w:asciiTheme="minorHAnsi" w:hAnsiTheme="minorHAnsi" w:cstheme="minorHAnsi"/>
          <w:sz w:val="22"/>
          <w:szCs w:val="22"/>
        </w:rPr>
        <w:tab/>
        <w:t>Summary of Material</w:t>
      </w:r>
      <w:r w:rsidRPr="007F50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Change</w:t>
      </w:r>
    </w:p>
    <w:p w14:paraId="4CB0EB48" w14:textId="77777777" w:rsidR="00122C9D" w:rsidRPr="007F50C1" w:rsidRDefault="00122C9D" w:rsidP="003B59C5">
      <w:pPr>
        <w:pStyle w:val="BodyText"/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3F07F1" w14:textId="5181EFBE" w:rsidR="00122C9D" w:rsidRPr="007F50C1" w:rsidRDefault="00054B8C" w:rsidP="003B59C5">
      <w:pPr>
        <w:pStyle w:val="BodyText"/>
        <w:ind w:left="1559"/>
        <w:jc w:val="both"/>
        <w:rPr>
          <w:rFonts w:asciiTheme="minorHAnsi" w:hAnsiTheme="minorHAnsi" w:cstheme="minorHAnsi"/>
          <w:sz w:val="22"/>
          <w:szCs w:val="22"/>
        </w:rPr>
      </w:pPr>
      <w:r w:rsidRPr="00054B8C">
        <w:rPr>
          <w:rFonts w:asciiTheme="minorHAnsi" w:hAnsiTheme="minorHAnsi" w:cstheme="minorHAnsi"/>
          <w:sz w:val="22"/>
          <w:szCs w:val="22"/>
        </w:rPr>
        <w:t xml:space="preserve">The Company entered into a </w:t>
      </w:r>
      <w:r w:rsidR="00243DEA">
        <w:rPr>
          <w:rFonts w:asciiTheme="minorHAnsi" w:hAnsiTheme="minorHAnsi" w:cstheme="minorHAnsi"/>
          <w:sz w:val="22"/>
          <w:szCs w:val="22"/>
        </w:rPr>
        <w:t>second loan amending agreement</w:t>
      </w:r>
      <w:r w:rsidRPr="00054B8C">
        <w:rPr>
          <w:rFonts w:asciiTheme="minorHAnsi" w:hAnsiTheme="minorHAnsi" w:cstheme="minorHAnsi"/>
          <w:sz w:val="22"/>
          <w:szCs w:val="22"/>
        </w:rPr>
        <w:t xml:space="preserve"> (the “</w:t>
      </w:r>
      <w:r w:rsidR="00243DEA">
        <w:rPr>
          <w:rFonts w:asciiTheme="minorHAnsi" w:hAnsiTheme="minorHAnsi" w:cstheme="minorHAnsi"/>
          <w:sz w:val="22"/>
          <w:szCs w:val="22"/>
        </w:rPr>
        <w:t>Second Loan Amendment</w:t>
      </w:r>
      <w:r w:rsidRPr="00054B8C">
        <w:rPr>
          <w:rFonts w:asciiTheme="minorHAnsi" w:hAnsiTheme="minorHAnsi" w:cstheme="minorHAnsi"/>
          <w:sz w:val="22"/>
          <w:szCs w:val="22"/>
        </w:rPr>
        <w:t xml:space="preserve">”) with </w:t>
      </w:r>
      <w:r w:rsidR="00243DEA">
        <w:rPr>
          <w:rFonts w:asciiTheme="minorHAnsi" w:hAnsiTheme="minorHAnsi" w:cstheme="minorHAnsi"/>
          <w:sz w:val="22"/>
          <w:szCs w:val="22"/>
        </w:rPr>
        <w:t>BJK Holdings Ltd.</w:t>
      </w:r>
      <w:r w:rsidRPr="00054B8C">
        <w:rPr>
          <w:rFonts w:asciiTheme="minorHAnsi" w:hAnsiTheme="minorHAnsi" w:cstheme="minorHAnsi"/>
          <w:sz w:val="22"/>
          <w:szCs w:val="22"/>
        </w:rPr>
        <w:t xml:space="preserve"> (</w:t>
      </w:r>
      <w:r w:rsidR="00243DEA">
        <w:rPr>
          <w:rFonts w:asciiTheme="minorHAnsi" w:hAnsiTheme="minorHAnsi" w:cstheme="minorHAnsi"/>
          <w:sz w:val="22"/>
          <w:szCs w:val="22"/>
        </w:rPr>
        <w:t xml:space="preserve">the “Lender”) </w:t>
      </w:r>
      <w:r w:rsidRPr="00054B8C">
        <w:rPr>
          <w:rFonts w:asciiTheme="minorHAnsi" w:hAnsiTheme="minorHAnsi" w:cstheme="minorHAnsi"/>
          <w:sz w:val="22"/>
          <w:szCs w:val="22"/>
        </w:rPr>
        <w:t>for total proceeds of $</w:t>
      </w:r>
      <w:r w:rsidR="00243DEA">
        <w:rPr>
          <w:rFonts w:asciiTheme="minorHAnsi" w:hAnsiTheme="minorHAnsi" w:cstheme="minorHAnsi"/>
          <w:sz w:val="22"/>
          <w:szCs w:val="22"/>
        </w:rPr>
        <w:t>19,775,000</w:t>
      </w:r>
      <w:r w:rsidR="004D780C">
        <w:rPr>
          <w:rFonts w:asciiTheme="minorHAnsi" w:hAnsiTheme="minorHAnsi" w:cstheme="minorHAnsi"/>
          <w:sz w:val="22"/>
          <w:szCs w:val="22"/>
        </w:rPr>
        <w:t xml:space="preserve"> on September 29</w:t>
      </w:r>
      <w:r w:rsidR="004D780C" w:rsidRPr="004D780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D780C">
        <w:rPr>
          <w:rFonts w:asciiTheme="minorHAnsi" w:hAnsiTheme="minorHAnsi" w:cstheme="minorHAnsi"/>
          <w:sz w:val="22"/>
          <w:szCs w:val="22"/>
        </w:rPr>
        <w:t>, 2022 (the “Closing Date”)</w:t>
      </w:r>
      <w:r w:rsidR="007E5B4C">
        <w:rPr>
          <w:rFonts w:asciiTheme="minorHAnsi" w:hAnsiTheme="minorHAnsi" w:cstheme="minorHAnsi"/>
          <w:sz w:val="22"/>
          <w:szCs w:val="22"/>
        </w:rPr>
        <w:t>.</w:t>
      </w:r>
    </w:p>
    <w:p w14:paraId="1F2079C6" w14:textId="77777777" w:rsidR="00122C9D" w:rsidRPr="007F50C1" w:rsidRDefault="00122C9D" w:rsidP="003B59C5">
      <w:pPr>
        <w:pStyle w:val="BodyText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14:paraId="3BEC76DF" w14:textId="77777777" w:rsidR="00122C9D" w:rsidRPr="007F50C1" w:rsidRDefault="004E7800" w:rsidP="003B59C5">
      <w:pPr>
        <w:pStyle w:val="Heading1"/>
        <w:tabs>
          <w:tab w:val="left" w:pos="155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>Item</w:t>
      </w:r>
      <w:r w:rsidRPr="007F50C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5.</w:t>
      </w:r>
      <w:r w:rsidRPr="007F50C1">
        <w:rPr>
          <w:rFonts w:asciiTheme="minorHAnsi" w:hAnsiTheme="minorHAnsi" w:cstheme="minorHAnsi"/>
          <w:sz w:val="22"/>
          <w:szCs w:val="22"/>
        </w:rPr>
        <w:tab/>
        <w:t>Full Description of Material Change</w:t>
      </w:r>
    </w:p>
    <w:p w14:paraId="79992FF6" w14:textId="77777777" w:rsidR="00122C9D" w:rsidRPr="007F50C1" w:rsidRDefault="00122C9D" w:rsidP="003B59C5">
      <w:pPr>
        <w:pStyle w:val="BodyText"/>
        <w:spacing w:before="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D1E03D" w14:textId="3EBED637" w:rsidR="00122C9D" w:rsidRDefault="004E7800" w:rsidP="003B59C5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1441"/>
        <w:jc w:val="both"/>
        <w:rPr>
          <w:rFonts w:asciiTheme="minorHAnsi" w:hAnsiTheme="minorHAnsi" w:cstheme="minorHAnsi"/>
          <w:b/>
        </w:rPr>
      </w:pPr>
      <w:r w:rsidRPr="007F50C1">
        <w:rPr>
          <w:rFonts w:asciiTheme="minorHAnsi" w:hAnsiTheme="minorHAnsi" w:cstheme="minorHAnsi"/>
          <w:b/>
        </w:rPr>
        <w:t>Full Description of Material Change</w:t>
      </w:r>
    </w:p>
    <w:p w14:paraId="3A2CE029" w14:textId="77777777" w:rsidR="00243DEA" w:rsidRPr="007F50C1" w:rsidRDefault="00243DEA" w:rsidP="00243DEA">
      <w:pPr>
        <w:pStyle w:val="ListParagraph"/>
        <w:tabs>
          <w:tab w:val="left" w:pos="1559"/>
          <w:tab w:val="left" w:pos="1560"/>
        </w:tabs>
        <w:ind w:left="1440" w:firstLine="0"/>
        <w:jc w:val="both"/>
        <w:rPr>
          <w:rFonts w:asciiTheme="minorHAnsi" w:hAnsiTheme="minorHAnsi" w:cstheme="minorHAnsi"/>
          <w:b/>
        </w:rPr>
      </w:pPr>
    </w:p>
    <w:p w14:paraId="1034DC80" w14:textId="77777777" w:rsidR="00FE6BC9" w:rsidRDefault="00243DEA" w:rsidP="00243DEA">
      <w:pPr>
        <w:pStyle w:val="BodyText"/>
        <w:spacing w:before="3"/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3DEA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F8110C">
        <w:rPr>
          <w:rFonts w:asciiTheme="minorHAnsi" w:hAnsiTheme="minorHAnsi" w:cstheme="minorHAnsi"/>
          <w:bCs/>
          <w:sz w:val="22"/>
          <w:szCs w:val="22"/>
        </w:rPr>
        <w:t>Company</w:t>
      </w:r>
      <w:r w:rsidRPr="00243DEA">
        <w:rPr>
          <w:rFonts w:asciiTheme="minorHAnsi" w:hAnsiTheme="minorHAnsi" w:cstheme="minorHAnsi"/>
          <w:bCs/>
          <w:sz w:val="22"/>
          <w:szCs w:val="22"/>
        </w:rPr>
        <w:t xml:space="preserve"> entered into </w:t>
      </w:r>
      <w:r>
        <w:rPr>
          <w:rFonts w:asciiTheme="minorHAnsi" w:hAnsiTheme="minorHAnsi" w:cstheme="minorHAnsi"/>
          <w:bCs/>
          <w:sz w:val="22"/>
          <w:szCs w:val="22"/>
        </w:rPr>
        <w:t xml:space="preserve">a Second Loan Amendment </w:t>
      </w:r>
      <w:r w:rsidRPr="00243DEA">
        <w:rPr>
          <w:rFonts w:asciiTheme="minorHAnsi" w:hAnsiTheme="minorHAnsi" w:cstheme="minorHAnsi"/>
          <w:bCs/>
          <w:sz w:val="22"/>
          <w:szCs w:val="22"/>
        </w:rPr>
        <w:t xml:space="preserve">with </w:t>
      </w:r>
      <w:r>
        <w:rPr>
          <w:rFonts w:asciiTheme="minorHAnsi" w:hAnsiTheme="minorHAnsi" w:cstheme="minorHAnsi"/>
          <w:bCs/>
          <w:sz w:val="22"/>
          <w:szCs w:val="22"/>
        </w:rPr>
        <w:t>the Lender</w:t>
      </w:r>
      <w:r w:rsidRPr="00243DEA">
        <w:rPr>
          <w:rFonts w:asciiTheme="minorHAnsi" w:hAnsiTheme="minorHAnsi" w:cstheme="minorHAnsi"/>
          <w:bCs/>
          <w:sz w:val="22"/>
          <w:szCs w:val="22"/>
        </w:rPr>
        <w:t xml:space="preserve"> dated September 29, 2022, pursuant to which </w:t>
      </w:r>
      <w:r w:rsidR="00F8110C">
        <w:rPr>
          <w:rFonts w:asciiTheme="minorHAnsi" w:hAnsiTheme="minorHAnsi" w:cstheme="minorHAnsi"/>
          <w:bCs/>
          <w:sz w:val="22"/>
          <w:szCs w:val="22"/>
        </w:rPr>
        <w:t xml:space="preserve">the Lender </w:t>
      </w:r>
      <w:r w:rsidRPr="00243DEA">
        <w:rPr>
          <w:rFonts w:asciiTheme="minorHAnsi" w:hAnsiTheme="minorHAnsi" w:cstheme="minorHAnsi"/>
          <w:bCs/>
          <w:sz w:val="22"/>
          <w:szCs w:val="22"/>
        </w:rPr>
        <w:t xml:space="preserve">granted to the </w:t>
      </w:r>
      <w:r w:rsidR="00F8110C">
        <w:rPr>
          <w:rFonts w:asciiTheme="minorHAnsi" w:hAnsiTheme="minorHAnsi" w:cstheme="minorHAnsi"/>
          <w:bCs/>
          <w:sz w:val="22"/>
          <w:szCs w:val="22"/>
        </w:rPr>
        <w:t>Company</w:t>
      </w:r>
      <w:r w:rsidRPr="00243DEA">
        <w:rPr>
          <w:rFonts w:asciiTheme="minorHAnsi" w:hAnsiTheme="minorHAnsi" w:cstheme="minorHAnsi"/>
          <w:bCs/>
          <w:sz w:val="22"/>
          <w:szCs w:val="22"/>
        </w:rPr>
        <w:t xml:space="preserve"> the following: (</w:t>
      </w:r>
      <w:proofErr w:type="spellStart"/>
      <w:r w:rsidRPr="00243DEA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243DEA">
        <w:rPr>
          <w:rFonts w:asciiTheme="minorHAnsi" w:hAnsiTheme="minorHAnsi" w:cstheme="minorHAnsi"/>
          <w:bCs/>
          <w:sz w:val="22"/>
          <w:szCs w:val="22"/>
        </w:rPr>
        <w:t xml:space="preserve">) an extension on the maturity date of the initial loan granted to the </w:t>
      </w:r>
      <w:r w:rsidR="00A438C9">
        <w:rPr>
          <w:rFonts w:asciiTheme="minorHAnsi" w:hAnsiTheme="minorHAnsi" w:cstheme="minorHAnsi"/>
          <w:bCs/>
          <w:sz w:val="22"/>
          <w:szCs w:val="22"/>
        </w:rPr>
        <w:t>Company</w:t>
      </w:r>
      <w:r w:rsidRPr="00243DEA">
        <w:rPr>
          <w:rFonts w:asciiTheme="minorHAnsi" w:hAnsiTheme="minorHAnsi" w:cstheme="minorHAnsi"/>
          <w:bCs/>
          <w:sz w:val="22"/>
          <w:szCs w:val="22"/>
        </w:rPr>
        <w:t xml:space="preserve"> on March 29, 2021 to November 30th, 2024 (the “Extended Initial Loan”); (ii) an extension on the maturity date of the additional loan granted to the </w:t>
      </w:r>
      <w:r w:rsidR="00A438C9">
        <w:rPr>
          <w:rFonts w:asciiTheme="minorHAnsi" w:hAnsiTheme="minorHAnsi" w:cstheme="minorHAnsi"/>
          <w:bCs/>
          <w:sz w:val="22"/>
          <w:szCs w:val="22"/>
        </w:rPr>
        <w:t>Company</w:t>
      </w:r>
      <w:r w:rsidRPr="00243DEA">
        <w:rPr>
          <w:rFonts w:asciiTheme="minorHAnsi" w:hAnsiTheme="minorHAnsi" w:cstheme="minorHAnsi"/>
          <w:bCs/>
          <w:sz w:val="22"/>
          <w:szCs w:val="22"/>
        </w:rPr>
        <w:t xml:space="preserve"> on October 4, 2021 to November 30th, 2024 (the “Extended Additional Loan”); (iii) an extension to the maturity date of the revolving line of credit of $5 million granted to the </w:t>
      </w:r>
      <w:r w:rsidR="00A438C9">
        <w:rPr>
          <w:rFonts w:asciiTheme="minorHAnsi" w:hAnsiTheme="minorHAnsi" w:cstheme="minorHAnsi"/>
          <w:bCs/>
          <w:sz w:val="22"/>
          <w:szCs w:val="22"/>
        </w:rPr>
        <w:t xml:space="preserve">Company </w:t>
      </w:r>
      <w:r w:rsidRPr="00243DEA">
        <w:rPr>
          <w:rFonts w:asciiTheme="minorHAnsi" w:hAnsiTheme="minorHAnsi" w:cstheme="minorHAnsi"/>
          <w:bCs/>
          <w:sz w:val="22"/>
          <w:szCs w:val="22"/>
        </w:rPr>
        <w:t xml:space="preserve">on October 4, 2021 to November 30th, 2024 (the “Extended Line of Credit”); and (iv) a further loan in the amount of $4,985,000 (the “Facility 4 Loan”). </w:t>
      </w:r>
    </w:p>
    <w:p w14:paraId="16BA8EBE" w14:textId="77777777" w:rsidR="00FE6BC9" w:rsidRDefault="00FE6BC9" w:rsidP="00243DEA">
      <w:pPr>
        <w:pStyle w:val="BodyText"/>
        <w:spacing w:before="3"/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D1FF1B" w14:textId="0DE3257A" w:rsidR="00FE6BC9" w:rsidRDefault="00FE6BC9" w:rsidP="00243DEA">
      <w:pPr>
        <w:pStyle w:val="BodyText"/>
        <w:spacing w:before="3"/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interest rate on the Extended Initial Loan for the period October 1, 2022 until July 31</w:t>
      </w:r>
      <w:r w:rsidRPr="00FE6BC9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Cs/>
          <w:sz w:val="22"/>
          <w:szCs w:val="22"/>
        </w:rPr>
        <w:t>, 2023 is RBC Prime minus 1.75%; for the period August 1</w:t>
      </w:r>
      <w:r w:rsidRPr="00FE6BC9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Cs/>
          <w:sz w:val="22"/>
          <w:szCs w:val="22"/>
        </w:rPr>
        <w:t>, 2023, up to November 30</w:t>
      </w:r>
      <w:r w:rsidRPr="00FE6BC9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>, 2024 is RBC Prime plus 10% but in no case less than 14% and no greater than 18%; and if extended to November 30</w:t>
      </w:r>
      <w:r w:rsidRPr="00FE6BC9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, 2025 is RBC Prime plus 10% but in no case less than 15%. The interest rate on the Extended Additional Loan </w:t>
      </w:r>
      <w:r w:rsidR="008001EB">
        <w:rPr>
          <w:rFonts w:asciiTheme="minorHAnsi" w:hAnsiTheme="minorHAnsi" w:cstheme="minorHAnsi"/>
          <w:bCs/>
          <w:sz w:val="22"/>
          <w:szCs w:val="22"/>
        </w:rPr>
        <w:t>for the period October 1</w:t>
      </w:r>
      <w:r w:rsidR="008001EB" w:rsidRPr="008001EB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8001EB">
        <w:rPr>
          <w:rFonts w:asciiTheme="minorHAnsi" w:hAnsiTheme="minorHAnsi" w:cstheme="minorHAnsi"/>
          <w:bCs/>
          <w:sz w:val="22"/>
          <w:szCs w:val="22"/>
        </w:rPr>
        <w:t>, 2022 up to July 31, 2023 is RBC Prime minus 1.75%; for the period August 1</w:t>
      </w:r>
      <w:r w:rsidR="008001EB" w:rsidRPr="008001EB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8001EB">
        <w:rPr>
          <w:rFonts w:asciiTheme="minorHAnsi" w:hAnsiTheme="minorHAnsi" w:cstheme="minorHAnsi"/>
          <w:bCs/>
          <w:sz w:val="22"/>
          <w:szCs w:val="22"/>
        </w:rPr>
        <w:t>, 2023, up to November 30</w:t>
      </w:r>
      <w:r w:rsidR="008001EB" w:rsidRPr="008001EB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8001EB">
        <w:rPr>
          <w:rFonts w:asciiTheme="minorHAnsi" w:hAnsiTheme="minorHAnsi" w:cstheme="minorHAnsi"/>
          <w:bCs/>
          <w:sz w:val="22"/>
          <w:szCs w:val="22"/>
        </w:rPr>
        <w:t>, 2024 is RBC Prime plus 10% but in no case less than 14% and no greater than 18%; and if extended to November 30</w:t>
      </w:r>
      <w:r w:rsidR="008001EB" w:rsidRPr="008001EB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8001EB">
        <w:rPr>
          <w:rFonts w:asciiTheme="minorHAnsi" w:hAnsiTheme="minorHAnsi" w:cstheme="minorHAnsi"/>
          <w:bCs/>
          <w:sz w:val="22"/>
          <w:szCs w:val="22"/>
        </w:rPr>
        <w:t xml:space="preserve">, 2025 is RBC Prime plus 10% but in no case less than 15%. </w:t>
      </w:r>
      <w:r w:rsidR="00C65B66">
        <w:rPr>
          <w:rFonts w:asciiTheme="minorHAnsi" w:hAnsiTheme="minorHAnsi" w:cstheme="minorHAnsi"/>
          <w:bCs/>
          <w:sz w:val="22"/>
          <w:szCs w:val="22"/>
        </w:rPr>
        <w:t>The interest rate on the Extended Line of Credit for the period October 1</w:t>
      </w:r>
      <w:r w:rsidR="00C65B66" w:rsidRPr="00C65B66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C65B66">
        <w:rPr>
          <w:rFonts w:asciiTheme="minorHAnsi" w:hAnsiTheme="minorHAnsi" w:cstheme="minorHAnsi"/>
          <w:bCs/>
          <w:sz w:val="22"/>
          <w:szCs w:val="22"/>
        </w:rPr>
        <w:t>, 2022 to July 31</w:t>
      </w:r>
      <w:r w:rsidR="00C65B66" w:rsidRPr="00C65B66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C65B66">
        <w:rPr>
          <w:rFonts w:asciiTheme="minorHAnsi" w:hAnsiTheme="minorHAnsi" w:cstheme="minorHAnsi"/>
          <w:bCs/>
          <w:sz w:val="22"/>
          <w:szCs w:val="22"/>
        </w:rPr>
        <w:t>, 2023 is 15% per annum; for the period August 1</w:t>
      </w:r>
      <w:r w:rsidR="00C65B66" w:rsidRPr="00C65B66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C65B66">
        <w:rPr>
          <w:rFonts w:asciiTheme="minorHAnsi" w:hAnsiTheme="minorHAnsi" w:cstheme="minorHAnsi"/>
          <w:bCs/>
          <w:sz w:val="22"/>
          <w:szCs w:val="22"/>
        </w:rPr>
        <w:t>, 2023, up to November 30</w:t>
      </w:r>
      <w:r w:rsidR="00C65B66" w:rsidRPr="00C65B66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C65B66">
        <w:rPr>
          <w:rFonts w:asciiTheme="minorHAnsi" w:hAnsiTheme="minorHAnsi" w:cstheme="minorHAnsi"/>
          <w:bCs/>
          <w:sz w:val="22"/>
          <w:szCs w:val="22"/>
        </w:rPr>
        <w:t>, 2024 is RBC Prime plus 10% but in no case less than 15% per annum; if extended to November 30</w:t>
      </w:r>
      <w:r w:rsidR="00C65B66" w:rsidRPr="00C65B66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C65B66">
        <w:rPr>
          <w:rFonts w:asciiTheme="minorHAnsi" w:hAnsiTheme="minorHAnsi" w:cstheme="minorHAnsi"/>
          <w:bCs/>
          <w:sz w:val="22"/>
          <w:szCs w:val="22"/>
        </w:rPr>
        <w:t xml:space="preserve">, 2025 is RBC Prime plus 10% but in no case less than 15%. </w:t>
      </w:r>
      <w:r w:rsidR="007725ED">
        <w:rPr>
          <w:rFonts w:asciiTheme="minorHAnsi" w:hAnsiTheme="minorHAnsi" w:cstheme="minorHAnsi"/>
          <w:bCs/>
          <w:sz w:val="22"/>
          <w:szCs w:val="22"/>
        </w:rPr>
        <w:t xml:space="preserve">The interest rate on the Facility 4 Loan for the period </w:t>
      </w:r>
      <w:r w:rsidR="007725ED">
        <w:rPr>
          <w:rFonts w:asciiTheme="minorHAnsi" w:hAnsiTheme="minorHAnsi" w:cstheme="minorHAnsi"/>
          <w:bCs/>
          <w:sz w:val="22"/>
          <w:szCs w:val="22"/>
        </w:rPr>
        <w:lastRenderedPageBreak/>
        <w:t>October 1</w:t>
      </w:r>
      <w:r w:rsidR="007725ED" w:rsidRPr="00FB78E5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7725ED">
        <w:rPr>
          <w:rFonts w:asciiTheme="minorHAnsi" w:hAnsiTheme="minorHAnsi" w:cstheme="minorHAnsi"/>
          <w:bCs/>
          <w:sz w:val="22"/>
          <w:szCs w:val="22"/>
        </w:rPr>
        <w:t>, 2022 up to July 31</w:t>
      </w:r>
      <w:r w:rsidR="007725ED" w:rsidRPr="00FB78E5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C53A2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725ED">
        <w:rPr>
          <w:rFonts w:asciiTheme="minorHAnsi" w:hAnsiTheme="minorHAnsi" w:cstheme="minorHAnsi"/>
          <w:bCs/>
          <w:sz w:val="22"/>
          <w:szCs w:val="22"/>
        </w:rPr>
        <w:t xml:space="preserve">2023 is RBC Prime minus 1.75%; for the period </w:t>
      </w:r>
      <w:r w:rsidR="00C85202">
        <w:rPr>
          <w:rFonts w:asciiTheme="minorHAnsi" w:hAnsiTheme="minorHAnsi" w:cstheme="minorHAnsi"/>
          <w:bCs/>
          <w:sz w:val="22"/>
          <w:szCs w:val="22"/>
        </w:rPr>
        <w:t>August 1</w:t>
      </w:r>
      <w:r w:rsidR="00C85202" w:rsidRPr="00FB78E5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C85202">
        <w:rPr>
          <w:rFonts w:asciiTheme="minorHAnsi" w:hAnsiTheme="minorHAnsi" w:cstheme="minorHAnsi"/>
          <w:bCs/>
          <w:sz w:val="22"/>
          <w:szCs w:val="22"/>
        </w:rPr>
        <w:t>, 2022,</w:t>
      </w:r>
      <w:r w:rsidR="007725ED">
        <w:rPr>
          <w:rFonts w:asciiTheme="minorHAnsi" w:hAnsiTheme="minorHAnsi" w:cstheme="minorHAnsi"/>
          <w:bCs/>
          <w:sz w:val="22"/>
          <w:szCs w:val="22"/>
        </w:rPr>
        <w:t xml:space="preserve"> up to November 30</w:t>
      </w:r>
      <w:r w:rsidR="007725ED" w:rsidRPr="00FB78E5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7725ED">
        <w:rPr>
          <w:rFonts w:asciiTheme="minorHAnsi" w:hAnsiTheme="minorHAnsi" w:cstheme="minorHAnsi"/>
          <w:bCs/>
          <w:sz w:val="22"/>
          <w:szCs w:val="22"/>
        </w:rPr>
        <w:t xml:space="preserve">, 2024 is RBC Prime plus 10% but in no case less than 14% and no greater than 18%; </w:t>
      </w:r>
      <w:r w:rsidR="00C53A2B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7725ED">
        <w:rPr>
          <w:rFonts w:asciiTheme="minorHAnsi" w:hAnsiTheme="minorHAnsi" w:cstheme="minorHAnsi"/>
          <w:bCs/>
          <w:sz w:val="22"/>
          <w:szCs w:val="22"/>
        </w:rPr>
        <w:t>if extended to November 30</w:t>
      </w:r>
      <w:r w:rsidR="007725ED" w:rsidRPr="00FB78E5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7725ED">
        <w:rPr>
          <w:rFonts w:asciiTheme="minorHAnsi" w:hAnsiTheme="minorHAnsi" w:cstheme="minorHAnsi"/>
          <w:bCs/>
          <w:sz w:val="22"/>
          <w:szCs w:val="22"/>
        </w:rPr>
        <w:t>, 2025 is RBC Prime plus 10% but in no case less than 15%.</w:t>
      </w:r>
    </w:p>
    <w:p w14:paraId="221534E1" w14:textId="77777777" w:rsidR="00FE6BC9" w:rsidRDefault="00FE6BC9" w:rsidP="00243DEA">
      <w:pPr>
        <w:pStyle w:val="BodyText"/>
        <w:spacing w:before="3"/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8C05C2" w14:textId="694C7E5E" w:rsidR="00FE6BC9" w:rsidRDefault="00243DEA" w:rsidP="00243DEA">
      <w:pPr>
        <w:pStyle w:val="BodyText"/>
        <w:spacing w:before="3"/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3DEA">
        <w:rPr>
          <w:rFonts w:asciiTheme="minorHAnsi" w:hAnsiTheme="minorHAnsi" w:cstheme="minorHAnsi"/>
          <w:bCs/>
          <w:sz w:val="22"/>
          <w:szCs w:val="22"/>
        </w:rPr>
        <w:t>In total, through the Extended Initial Loan, the Extended Additional Loan, the Extended Line of Credit and the Facility 4 Loan (collectively, the “Loan”) the</w:t>
      </w:r>
      <w:r w:rsidR="00A438C9">
        <w:rPr>
          <w:rFonts w:asciiTheme="minorHAnsi" w:hAnsiTheme="minorHAnsi" w:cstheme="minorHAnsi"/>
          <w:bCs/>
          <w:sz w:val="22"/>
          <w:szCs w:val="22"/>
        </w:rPr>
        <w:t xml:space="preserve"> Company</w:t>
      </w:r>
      <w:r w:rsidRPr="00243DEA">
        <w:rPr>
          <w:rFonts w:asciiTheme="minorHAnsi" w:hAnsiTheme="minorHAnsi" w:cstheme="minorHAnsi"/>
          <w:bCs/>
          <w:sz w:val="22"/>
          <w:szCs w:val="22"/>
        </w:rPr>
        <w:t xml:space="preserve"> has access to a total of $19.775 million through its Second Amended Loan Agreement with </w:t>
      </w:r>
      <w:r w:rsidR="00844DE4">
        <w:rPr>
          <w:rFonts w:asciiTheme="minorHAnsi" w:hAnsiTheme="minorHAnsi" w:cstheme="minorHAnsi"/>
          <w:bCs/>
          <w:sz w:val="22"/>
          <w:szCs w:val="22"/>
        </w:rPr>
        <w:t>the Lender.</w:t>
      </w:r>
      <w:r w:rsidRPr="00243DEA">
        <w:rPr>
          <w:rFonts w:asciiTheme="minorHAnsi" w:hAnsiTheme="minorHAnsi" w:cstheme="minorHAnsi"/>
          <w:bCs/>
          <w:sz w:val="22"/>
          <w:szCs w:val="22"/>
        </w:rPr>
        <w:t xml:space="preserve"> Accordingly, on the Closing Date, the</w:t>
      </w:r>
      <w:r w:rsidR="00A438C9">
        <w:rPr>
          <w:rFonts w:asciiTheme="minorHAnsi" w:hAnsiTheme="minorHAnsi" w:cstheme="minorHAnsi"/>
          <w:bCs/>
          <w:sz w:val="22"/>
          <w:szCs w:val="22"/>
        </w:rPr>
        <w:t xml:space="preserve"> Company</w:t>
      </w:r>
      <w:r w:rsidRPr="00243DEA">
        <w:rPr>
          <w:rFonts w:asciiTheme="minorHAnsi" w:hAnsiTheme="minorHAnsi" w:cstheme="minorHAnsi"/>
          <w:bCs/>
          <w:sz w:val="22"/>
          <w:szCs w:val="22"/>
        </w:rPr>
        <w:t xml:space="preserve"> granted to </w:t>
      </w:r>
      <w:r w:rsidR="00844DE4">
        <w:rPr>
          <w:rFonts w:asciiTheme="minorHAnsi" w:hAnsiTheme="minorHAnsi" w:cstheme="minorHAnsi"/>
          <w:bCs/>
          <w:sz w:val="22"/>
          <w:szCs w:val="22"/>
        </w:rPr>
        <w:t>the Lender</w:t>
      </w:r>
      <w:r w:rsidRPr="00243DEA">
        <w:rPr>
          <w:rFonts w:asciiTheme="minorHAnsi" w:hAnsiTheme="minorHAnsi" w:cstheme="minorHAnsi"/>
          <w:bCs/>
          <w:sz w:val="22"/>
          <w:szCs w:val="22"/>
        </w:rPr>
        <w:t xml:space="preserve"> a promissory note in the principal amount of $19.775 million together with interest, to represent the amount to be repaid on or before November 30, 2024.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780C">
        <w:rPr>
          <w:rFonts w:asciiTheme="minorHAnsi" w:hAnsiTheme="minorHAnsi" w:cstheme="minorHAnsi"/>
          <w:bCs/>
          <w:sz w:val="22"/>
          <w:szCs w:val="22"/>
        </w:rPr>
        <w:t xml:space="preserve">A one-time loan amendment fee of $985,000 is due to BJK on the Closing Date. </w:t>
      </w:r>
    </w:p>
    <w:p w14:paraId="347B1869" w14:textId="77777777" w:rsidR="00FE6BC9" w:rsidRDefault="00FE6BC9" w:rsidP="00243DEA">
      <w:pPr>
        <w:pStyle w:val="BodyText"/>
        <w:spacing w:before="3"/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F44BFD" w14:textId="63C5C09C" w:rsidR="00243DEA" w:rsidRDefault="00F8110C" w:rsidP="00243DEA">
      <w:pPr>
        <w:pStyle w:val="BodyText"/>
        <w:spacing w:before="3"/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 connection with the Second Loan Amendment</w:t>
      </w:r>
      <w:r w:rsidR="00243DE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32D77">
        <w:rPr>
          <w:rFonts w:asciiTheme="minorHAnsi" w:hAnsiTheme="minorHAnsi" w:cstheme="minorHAnsi"/>
          <w:bCs/>
          <w:sz w:val="22"/>
          <w:szCs w:val="22"/>
        </w:rPr>
        <w:t xml:space="preserve">the expiry date of </w:t>
      </w:r>
      <w:r w:rsidR="00EF3E21">
        <w:rPr>
          <w:rFonts w:asciiTheme="minorHAnsi" w:hAnsiTheme="minorHAnsi" w:cstheme="minorHAnsi"/>
          <w:bCs/>
          <w:sz w:val="22"/>
          <w:szCs w:val="22"/>
        </w:rPr>
        <w:t>an existing warrant certificate</w:t>
      </w:r>
      <w:r w:rsidR="00243DEA" w:rsidRPr="00243DEA">
        <w:rPr>
          <w:rFonts w:asciiTheme="minorHAnsi" w:hAnsiTheme="minorHAnsi" w:cstheme="minorHAnsi"/>
          <w:bCs/>
          <w:sz w:val="22"/>
          <w:szCs w:val="22"/>
        </w:rPr>
        <w:t xml:space="preserve"> granted by the</w:t>
      </w:r>
      <w:r w:rsidR="00A438C9">
        <w:rPr>
          <w:rFonts w:asciiTheme="minorHAnsi" w:hAnsiTheme="minorHAnsi" w:cstheme="minorHAnsi"/>
          <w:bCs/>
          <w:sz w:val="22"/>
          <w:szCs w:val="22"/>
        </w:rPr>
        <w:t xml:space="preserve"> Company</w:t>
      </w:r>
      <w:r w:rsidR="00243DEA" w:rsidRPr="00243DEA">
        <w:rPr>
          <w:rFonts w:asciiTheme="minorHAnsi" w:hAnsiTheme="minorHAnsi" w:cstheme="minorHAnsi"/>
          <w:bCs/>
          <w:sz w:val="22"/>
          <w:szCs w:val="22"/>
        </w:rPr>
        <w:t xml:space="preserve"> to the Lender to acquire up to 10,000,000 shares in the capital of the </w:t>
      </w:r>
      <w:r w:rsidR="00A438C9">
        <w:rPr>
          <w:rFonts w:asciiTheme="minorHAnsi" w:hAnsiTheme="minorHAnsi" w:cstheme="minorHAnsi"/>
          <w:bCs/>
          <w:sz w:val="22"/>
          <w:szCs w:val="22"/>
        </w:rPr>
        <w:t>Company</w:t>
      </w:r>
      <w:r w:rsidR="00243DEA" w:rsidRPr="00243DEA">
        <w:rPr>
          <w:rFonts w:asciiTheme="minorHAnsi" w:hAnsiTheme="minorHAnsi" w:cstheme="minorHAnsi"/>
          <w:bCs/>
          <w:sz w:val="22"/>
          <w:szCs w:val="22"/>
        </w:rPr>
        <w:t xml:space="preserve"> at an exercise price of $0.25 per share </w:t>
      </w:r>
      <w:r w:rsidR="00B32D77">
        <w:rPr>
          <w:rFonts w:asciiTheme="minorHAnsi" w:hAnsiTheme="minorHAnsi" w:cstheme="minorHAnsi"/>
          <w:bCs/>
          <w:sz w:val="22"/>
          <w:szCs w:val="22"/>
        </w:rPr>
        <w:t>was</w:t>
      </w:r>
      <w:r w:rsidR="00243DEA" w:rsidRPr="00243DEA">
        <w:rPr>
          <w:rFonts w:asciiTheme="minorHAnsi" w:hAnsiTheme="minorHAnsi" w:cstheme="minorHAnsi"/>
          <w:bCs/>
          <w:sz w:val="22"/>
          <w:szCs w:val="22"/>
        </w:rPr>
        <w:t xml:space="preserve"> extended to February 28th, 2025</w:t>
      </w:r>
      <w:r w:rsidR="00B32D77">
        <w:rPr>
          <w:rFonts w:asciiTheme="minorHAnsi" w:hAnsiTheme="minorHAnsi" w:cstheme="minorHAnsi"/>
          <w:bCs/>
          <w:sz w:val="22"/>
          <w:szCs w:val="22"/>
        </w:rPr>
        <w:t>.</w:t>
      </w:r>
      <w:r w:rsidR="00243DEA" w:rsidRPr="00243DE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2D77">
        <w:rPr>
          <w:rFonts w:asciiTheme="minorHAnsi" w:hAnsiTheme="minorHAnsi" w:cstheme="minorHAnsi"/>
          <w:bCs/>
          <w:sz w:val="22"/>
          <w:szCs w:val="22"/>
        </w:rPr>
        <w:t>T</w:t>
      </w:r>
      <w:r w:rsidR="00243DEA" w:rsidRPr="00243DEA">
        <w:rPr>
          <w:rFonts w:asciiTheme="minorHAnsi" w:hAnsiTheme="minorHAnsi" w:cstheme="minorHAnsi"/>
          <w:bCs/>
          <w:sz w:val="22"/>
          <w:szCs w:val="22"/>
        </w:rPr>
        <w:t xml:space="preserve">he </w:t>
      </w:r>
      <w:r>
        <w:rPr>
          <w:rFonts w:asciiTheme="minorHAnsi" w:hAnsiTheme="minorHAnsi" w:cstheme="minorHAnsi"/>
          <w:bCs/>
          <w:sz w:val="22"/>
          <w:szCs w:val="22"/>
        </w:rPr>
        <w:t>Company</w:t>
      </w:r>
      <w:r w:rsidR="00B32D77">
        <w:rPr>
          <w:rFonts w:asciiTheme="minorHAnsi" w:hAnsiTheme="minorHAnsi" w:cstheme="minorHAnsi"/>
          <w:bCs/>
          <w:sz w:val="22"/>
          <w:szCs w:val="22"/>
        </w:rPr>
        <w:t xml:space="preserve"> also</w:t>
      </w:r>
      <w:r>
        <w:rPr>
          <w:rFonts w:asciiTheme="minorHAnsi" w:hAnsiTheme="minorHAnsi" w:cstheme="minorHAnsi"/>
          <w:bCs/>
          <w:sz w:val="22"/>
          <w:szCs w:val="22"/>
        </w:rPr>
        <w:t xml:space="preserve"> granted an additional warrant certificat</w:t>
      </w:r>
      <w:r w:rsidR="00B32D77">
        <w:rPr>
          <w:rFonts w:asciiTheme="minorHAnsi" w:hAnsiTheme="minorHAnsi" w:cstheme="minorHAnsi"/>
          <w:bCs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sz w:val="22"/>
          <w:szCs w:val="22"/>
        </w:rPr>
        <w:t>to the</w:t>
      </w:r>
      <w:r w:rsidR="00243DEA" w:rsidRPr="00243DEA">
        <w:rPr>
          <w:rFonts w:asciiTheme="minorHAnsi" w:hAnsiTheme="minorHAnsi" w:cstheme="minorHAnsi"/>
          <w:bCs/>
          <w:sz w:val="22"/>
          <w:szCs w:val="22"/>
        </w:rPr>
        <w:t xml:space="preserve"> Lender</w:t>
      </w:r>
      <w:r w:rsidR="00095193">
        <w:rPr>
          <w:rFonts w:asciiTheme="minorHAnsi" w:hAnsiTheme="minorHAnsi" w:cstheme="minorHAnsi"/>
          <w:bCs/>
          <w:sz w:val="22"/>
          <w:szCs w:val="22"/>
        </w:rPr>
        <w:t xml:space="preserve"> on September 29, </w:t>
      </w:r>
      <w:r w:rsidR="00F9524C">
        <w:rPr>
          <w:rFonts w:asciiTheme="minorHAnsi" w:hAnsiTheme="minorHAnsi" w:cstheme="minorHAnsi"/>
          <w:bCs/>
          <w:sz w:val="22"/>
          <w:szCs w:val="22"/>
        </w:rPr>
        <w:t xml:space="preserve">2022 </w:t>
      </w:r>
      <w:r w:rsidR="00F9524C" w:rsidRPr="00243DEA">
        <w:rPr>
          <w:rFonts w:asciiTheme="minorHAnsi" w:hAnsiTheme="minorHAnsi" w:cstheme="minorHAnsi"/>
          <w:bCs/>
          <w:sz w:val="22"/>
          <w:szCs w:val="22"/>
        </w:rPr>
        <w:t>to</w:t>
      </w:r>
      <w:r w:rsidR="00243DEA" w:rsidRPr="00243DEA">
        <w:rPr>
          <w:rFonts w:asciiTheme="minorHAnsi" w:hAnsiTheme="minorHAnsi" w:cstheme="minorHAnsi"/>
          <w:bCs/>
          <w:sz w:val="22"/>
          <w:szCs w:val="22"/>
        </w:rPr>
        <w:t xml:space="preserve"> acquire up to 50,000,000 shares in the capital of the </w:t>
      </w:r>
      <w:r>
        <w:rPr>
          <w:rFonts w:asciiTheme="minorHAnsi" w:hAnsiTheme="minorHAnsi" w:cstheme="minorHAnsi"/>
          <w:bCs/>
          <w:sz w:val="22"/>
          <w:szCs w:val="22"/>
        </w:rPr>
        <w:t>Company</w:t>
      </w:r>
      <w:r w:rsidR="00243DEA" w:rsidRPr="00243DEA">
        <w:rPr>
          <w:rFonts w:asciiTheme="minorHAnsi" w:hAnsiTheme="minorHAnsi" w:cstheme="minorHAnsi"/>
          <w:bCs/>
          <w:sz w:val="22"/>
          <w:szCs w:val="22"/>
        </w:rPr>
        <w:t xml:space="preserve"> at an exercise price of $0.10 per share with an expiry date of February 28th, 2025.</w:t>
      </w:r>
    </w:p>
    <w:p w14:paraId="2E0CDE74" w14:textId="77777777" w:rsidR="00243DEA" w:rsidRPr="00243DEA" w:rsidRDefault="00243DEA" w:rsidP="003B59C5">
      <w:pPr>
        <w:pStyle w:val="BodyText"/>
        <w:spacing w:before="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52E840" w14:textId="77777777" w:rsidR="00122C9D" w:rsidRPr="007F50C1" w:rsidRDefault="004E7800" w:rsidP="003B59C5">
      <w:pPr>
        <w:pStyle w:val="Heading1"/>
        <w:numPr>
          <w:ilvl w:val="1"/>
          <w:numId w:val="1"/>
        </w:numPr>
        <w:tabs>
          <w:tab w:val="left" w:pos="1559"/>
          <w:tab w:val="left" w:pos="1560"/>
        </w:tabs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>Disclosure for Restructuring</w:t>
      </w:r>
      <w:r w:rsidRPr="007F50C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Transactions</w:t>
      </w:r>
    </w:p>
    <w:p w14:paraId="33A4A3A9" w14:textId="77777777" w:rsidR="00122C9D" w:rsidRPr="007F50C1" w:rsidRDefault="00122C9D" w:rsidP="003B59C5">
      <w:pPr>
        <w:pStyle w:val="BodyText"/>
        <w:spacing w:before="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275E04" w14:textId="77777777" w:rsidR="00122C9D" w:rsidRPr="007F50C1" w:rsidRDefault="004E7800" w:rsidP="003B59C5">
      <w:pPr>
        <w:pStyle w:val="BodyText"/>
        <w:spacing w:before="1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>Not applicable.</w:t>
      </w:r>
    </w:p>
    <w:p w14:paraId="574E8E34" w14:textId="77777777" w:rsidR="00122C9D" w:rsidRPr="007F50C1" w:rsidRDefault="00122C9D" w:rsidP="003B59C5">
      <w:pPr>
        <w:pStyle w:val="BodyText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14:paraId="7BB2370E" w14:textId="77777777" w:rsidR="00122C9D" w:rsidRPr="007F50C1" w:rsidRDefault="004E7800" w:rsidP="003B59C5">
      <w:pPr>
        <w:pStyle w:val="Heading1"/>
        <w:tabs>
          <w:tab w:val="left" w:pos="1559"/>
        </w:tabs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>Item</w:t>
      </w:r>
      <w:r w:rsidRPr="007F50C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6.</w:t>
      </w:r>
      <w:r w:rsidRPr="007F50C1">
        <w:rPr>
          <w:rFonts w:asciiTheme="minorHAnsi" w:hAnsiTheme="minorHAnsi" w:cstheme="minorHAnsi"/>
          <w:sz w:val="22"/>
          <w:szCs w:val="22"/>
        </w:rPr>
        <w:tab/>
        <w:t>Reliance on subsection 7.1(2) of National Instrument</w:t>
      </w:r>
      <w:r w:rsidRPr="007F50C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51–102</w:t>
      </w:r>
    </w:p>
    <w:p w14:paraId="7EF70FF0" w14:textId="77777777" w:rsidR="00122C9D" w:rsidRPr="007F50C1" w:rsidRDefault="00122C9D" w:rsidP="003B59C5">
      <w:pPr>
        <w:pStyle w:val="BodyText"/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2B7421" w14:textId="77777777" w:rsidR="00122C9D" w:rsidRPr="007F50C1" w:rsidRDefault="004E7800" w:rsidP="003B59C5">
      <w:pPr>
        <w:pStyle w:val="BodyText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>Not applicable.</w:t>
      </w:r>
    </w:p>
    <w:p w14:paraId="0912FF44" w14:textId="77777777" w:rsidR="00122C9D" w:rsidRPr="007F50C1" w:rsidRDefault="00122C9D" w:rsidP="003B59C5">
      <w:pPr>
        <w:pStyle w:val="BodyText"/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8D78F0C" w14:textId="77777777" w:rsidR="00122C9D" w:rsidRPr="007F50C1" w:rsidRDefault="004E7800" w:rsidP="003B59C5">
      <w:pPr>
        <w:pStyle w:val="Heading1"/>
        <w:tabs>
          <w:tab w:val="left" w:pos="1559"/>
        </w:tabs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>Item</w:t>
      </w:r>
      <w:r w:rsidRPr="007F50C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7.</w:t>
      </w:r>
      <w:r w:rsidRPr="007F50C1">
        <w:rPr>
          <w:rFonts w:asciiTheme="minorHAnsi" w:hAnsiTheme="minorHAnsi" w:cstheme="minorHAnsi"/>
          <w:sz w:val="22"/>
          <w:szCs w:val="22"/>
        </w:rPr>
        <w:tab/>
        <w:t>Omitted</w:t>
      </w:r>
      <w:r w:rsidRPr="007F50C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Information</w:t>
      </w:r>
    </w:p>
    <w:p w14:paraId="409793CE" w14:textId="77777777" w:rsidR="00122C9D" w:rsidRPr="007F50C1" w:rsidRDefault="00122C9D" w:rsidP="003B59C5">
      <w:pPr>
        <w:pStyle w:val="BodyText"/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9BB29F" w14:textId="1150129E" w:rsidR="00973934" w:rsidRPr="007F50C1" w:rsidRDefault="004E7800" w:rsidP="003E0791">
      <w:pPr>
        <w:pStyle w:val="BodyText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>None.</w:t>
      </w:r>
    </w:p>
    <w:p w14:paraId="4135B4CA" w14:textId="77777777" w:rsidR="00122C9D" w:rsidRPr="007F50C1" w:rsidRDefault="00122C9D" w:rsidP="003B59C5">
      <w:pPr>
        <w:pStyle w:val="BodyText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446582FF" w14:textId="77777777" w:rsidR="00122C9D" w:rsidRPr="007F50C1" w:rsidRDefault="004E7800" w:rsidP="003B59C5">
      <w:pPr>
        <w:pStyle w:val="Heading1"/>
        <w:tabs>
          <w:tab w:val="left" w:pos="1559"/>
        </w:tabs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>Item</w:t>
      </w:r>
      <w:r w:rsidRPr="007F50C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8.</w:t>
      </w:r>
      <w:r w:rsidRPr="007F50C1">
        <w:rPr>
          <w:rFonts w:asciiTheme="minorHAnsi" w:hAnsiTheme="minorHAnsi" w:cstheme="minorHAnsi"/>
          <w:sz w:val="22"/>
          <w:szCs w:val="22"/>
        </w:rPr>
        <w:tab/>
        <w:t>Executive</w:t>
      </w:r>
      <w:r w:rsidRPr="007F50C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Officers</w:t>
      </w:r>
    </w:p>
    <w:p w14:paraId="055F53C5" w14:textId="77777777" w:rsidR="00122C9D" w:rsidRPr="007F50C1" w:rsidRDefault="00122C9D" w:rsidP="003B59C5">
      <w:pPr>
        <w:pStyle w:val="BodyText"/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1D6BF5" w14:textId="0F9D6D80" w:rsidR="00122C9D" w:rsidRPr="007F50C1" w:rsidRDefault="004E7800" w:rsidP="00514E71">
      <w:pPr>
        <w:pStyle w:val="BodyText"/>
        <w:ind w:left="1560" w:right="119"/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 xml:space="preserve">The following senior </w:t>
      </w:r>
      <w:r w:rsidR="00973934" w:rsidRPr="007F50C1">
        <w:rPr>
          <w:rFonts w:asciiTheme="minorHAnsi" w:hAnsiTheme="minorHAnsi" w:cstheme="minorHAnsi"/>
          <w:sz w:val="22"/>
          <w:szCs w:val="22"/>
        </w:rPr>
        <w:t>O</w:t>
      </w:r>
      <w:r w:rsidRPr="007F50C1">
        <w:rPr>
          <w:rFonts w:asciiTheme="minorHAnsi" w:hAnsiTheme="minorHAnsi" w:cstheme="minorHAnsi"/>
          <w:sz w:val="22"/>
          <w:szCs w:val="22"/>
        </w:rPr>
        <w:t>fficer of the Company is knowledgeable about the material change and this Material Change Report and may be contacted:</w:t>
      </w:r>
    </w:p>
    <w:p w14:paraId="44C3631B" w14:textId="77777777" w:rsidR="00122C9D" w:rsidRPr="007F50C1" w:rsidRDefault="00122C9D" w:rsidP="003B59C5">
      <w:pPr>
        <w:pStyle w:val="BodyText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7E884CE6" w14:textId="72A0255C" w:rsidR="00631B94" w:rsidRPr="007F50C1" w:rsidRDefault="00243DEA" w:rsidP="003B59C5">
      <w:pPr>
        <w:pStyle w:val="BodyText"/>
        <w:ind w:left="1560" w:right="15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Schwede</w:t>
      </w:r>
      <w:r w:rsidR="004E7800" w:rsidRPr="007F50C1">
        <w:rPr>
          <w:rFonts w:asciiTheme="minorHAnsi" w:hAnsiTheme="minorHAnsi" w:cstheme="minorHAnsi"/>
          <w:sz w:val="22"/>
          <w:szCs w:val="22"/>
        </w:rPr>
        <w:t xml:space="preserve">, President and Chief Executive Officer </w:t>
      </w:r>
    </w:p>
    <w:p w14:paraId="16BDD921" w14:textId="01502607" w:rsidR="00122C9D" w:rsidRPr="007F50C1" w:rsidRDefault="004E7800" w:rsidP="003B59C5">
      <w:pPr>
        <w:pStyle w:val="BodyText"/>
        <w:ind w:left="1560" w:right="1588"/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>Telephone</w:t>
      </w:r>
      <w:r w:rsidR="001E2B4B">
        <w:rPr>
          <w:rFonts w:asciiTheme="minorHAnsi" w:hAnsiTheme="minorHAnsi" w:cstheme="minorHAnsi"/>
          <w:sz w:val="22"/>
          <w:szCs w:val="22"/>
        </w:rPr>
        <w:t>: 1-888-940-5925</w:t>
      </w:r>
    </w:p>
    <w:p w14:paraId="0C3F840F" w14:textId="77777777" w:rsidR="00122C9D" w:rsidRPr="007F50C1" w:rsidRDefault="00122C9D" w:rsidP="003B59C5">
      <w:pPr>
        <w:pStyle w:val="BodyText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7BB9E858" w14:textId="77777777" w:rsidR="00122C9D" w:rsidRPr="007F50C1" w:rsidRDefault="004E7800" w:rsidP="003B59C5">
      <w:pPr>
        <w:pStyle w:val="Heading1"/>
        <w:tabs>
          <w:tab w:val="left" w:pos="1559"/>
        </w:tabs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>Item</w:t>
      </w:r>
      <w:r w:rsidRPr="007F50C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9.</w:t>
      </w:r>
      <w:r w:rsidRPr="007F50C1">
        <w:rPr>
          <w:rFonts w:asciiTheme="minorHAnsi" w:hAnsiTheme="minorHAnsi" w:cstheme="minorHAnsi"/>
          <w:sz w:val="22"/>
          <w:szCs w:val="22"/>
        </w:rPr>
        <w:tab/>
        <w:t>Date of</w:t>
      </w:r>
      <w:r w:rsidRPr="007F50C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F50C1">
        <w:rPr>
          <w:rFonts w:asciiTheme="minorHAnsi" w:hAnsiTheme="minorHAnsi" w:cstheme="minorHAnsi"/>
          <w:sz w:val="22"/>
          <w:szCs w:val="22"/>
        </w:rPr>
        <w:t>Report</w:t>
      </w:r>
    </w:p>
    <w:p w14:paraId="26138150" w14:textId="14FB1B1A" w:rsidR="00122C9D" w:rsidRPr="00631B94" w:rsidRDefault="004E7800" w:rsidP="003B59C5">
      <w:pPr>
        <w:pStyle w:val="BodyText"/>
        <w:spacing w:before="225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7F50C1">
        <w:rPr>
          <w:rFonts w:asciiTheme="minorHAnsi" w:hAnsiTheme="minorHAnsi" w:cstheme="minorHAnsi"/>
          <w:sz w:val="22"/>
          <w:szCs w:val="22"/>
        </w:rPr>
        <w:t xml:space="preserve">DATED at </w:t>
      </w:r>
      <w:r w:rsidR="00631B94" w:rsidRPr="007F50C1">
        <w:rPr>
          <w:rFonts w:asciiTheme="minorHAnsi" w:hAnsiTheme="minorHAnsi" w:cstheme="minorHAnsi"/>
          <w:sz w:val="22"/>
          <w:szCs w:val="22"/>
        </w:rPr>
        <w:t>Toronto</w:t>
      </w:r>
      <w:r w:rsidRPr="007F50C1">
        <w:rPr>
          <w:rFonts w:asciiTheme="minorHAnsi" w:hAnsiTheme="minorHAnsi" w:cstheme="minorHAnsi"/>
          <w:sz w:val="22"/>
          <w:szCs w:val="22"/>
        </w:rPr>
        <w:t xml:space="preserve">, </w:t>
      </w:r>
      <w:r w:rsidR="00631B94" w:rsidRPr="007F50C1">
        <w:rPr>
          <w:rFonts w:asciiTheme="minorHAnsi" w:hAnsiTheme="minorHAnsi" w:cstheme="minorHAnsi"/>
          <w:sz w:val="22"/>
          <w:szCs w:val="22"/>
        </w:rPr>
        <w:t>ON</w:t>
      </w:r>
      <w:r w:rsidRPr="007F50C1">
        <w:rPr>
          <w:rFonts w:asciiTheme="minorHAnsi" w:hAnsiTheme="minorHAnsi" w:cstheme="minorHAnsi"/>
          <w:sz w:val="22"/>
          <w:szCs w:val="22"/>
        </w:rPr>
        <w:t xml:space="preserve">, this </w:t>
      </w:r>
      <w:r w:rsidR="00243DEA">
        <w:rPr>
          <w:rFonts w:asciiTheme="minorHAnsi" w:hAnsiTheme="minorHAnsi" w:cstheme="minorHAnsi"/>
          <w:sz w:val="22"/>
          <w:szCs w:val="22"/>
        </w:rPr>
        <w:t>29</w:t>
      </w:r>
      <w:r w:rsidR="00243DEA" w:rsidRPr="00243DE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43DEA">
        <w:rPr>
          <w:rFonts w:asciiTheme="minorHAnsi" w:hAnsiTheme="minorHAnsi" w:cstheme="minorHAnsi"/>
          <w:sz w:val="22"/>
          <w:szCs w:val="22"/>
        </w:rPr>
        <w:t xml:space="preserve"> of September, 2022. </w:t>
      </w:r>
    </w:p>
    <w:sectPr w:rsidR="00122C9D" w:rsidRPr="00631B94">
      <w:footerReference w:type="default" r:id="rId10"/>
      <w:pgSz w:w="12240" w:h="15840"/>
      <w:pgMar w:top="640" w:right="1320" w:bottom="660" w:left="1320" w:header="0" w:footer="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AB78A" w14:textId="77777777" w:rsidR="00CD6CC0" w:rsidRDefault="00CD6CC0">
      <w:r>
        <w:separator/>
      </w:r>
    </w:p>
  </w:endnote>
  <w:endnote w:type="continuationSeparator" w:id="0">
    <w:p w14:paraId="47218616" w14:textId="77777777" w:rsidR="00CD6CC0" w:rsidRDefault="00CD6CC0">
      <w:r>
        <w:continuationSeparator/>
      </w:r>
    </w:p>
  </w:endnote>
  <w:endnote w:type="continuationNotice" w:id="1">
    <w:p w14:paraId="45129AFE" w14:textId="77777777" w:rsidR="00E5341A" w:rsidRDefault="00E53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CA2A" w14:textId="6D7D72D3" w:rsidR="00122C9D" w:rsidRPr="00514E71" w:rsidRDefault="00507C72" w:rsidP="00514E71">
    <w:pPr>
      <w:pStyle w:val="BodyText"/>
      <w:spacing w:line="14" w:lineRule="auto"/>
      <w:rPr>
        <w:sz w:val="20"/>
      </w:rPr>
    </w:pPr>
    <w:r>
      <w:rPr>
        <w:noProof/>
        <w:vanish/>
        <w:sz w:val="16"/>
      </w:rPr>
      <w:t>{}</w:t>
    </w:r>
    <w:r w:rsidR="00514E71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1CB48" w14:textId="77777777" w:rsidR="00CD6CC0" w:rsidRDefault="00CD6CC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C97FC61" w14:textId="77777777" w:rsidR="00CD6CC0" w:rsidRDefault="00CD6CC0">
      <w:r>
        <w:continuationSeparator/>
      </w:r>
    </w:p>
  </w:footnote>
  <w:footnote w:type="continuationNotice" w:id="1">
    <w:p w14:paraId="74567CD1" w14:textId="77777777" w:rsidR="00E5341A" w:rsidRDefault="00E534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94C"/>
    <w:multiLevelType w:val="multilevel"/>
    <w:tmpl w:val="7B74A702"/>
    <w:lvl w:ilvl="0">
      <w:start w:val="5"/>
      <w:numFmt w:val="decimal"/>
      <w:lvlText w:val="%1"/>
      <w:lvlJc w:val="left"/>
      <w:pPr>
        <w:ind w:left="1560" w:hanging="1440"/>
      </w:pPr>
      <w:rPr>
        <w:rFonts w:hint="default"/>
        <w:lang w:val="en-CA" w:eastAsia="en-CA" w:bidi="en-CA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asciiTheme="minorHAnsi" w:eastAsia="Times New Roman" w:hAnsiTheme="minorHAnsi" w:cstheme="minorHAnsi" w:hint="default"/>
        <w:b/>
        <w:bCs/>
        <w:spacing w:val="-3"/>
        <w:w w:val="100"/>
        <w:sz w:val="22"/>
        <w:szCs w:val="22"/>
        <w:lang w:val="en-CA" w:eastAsia="en-CA" w:bidi="en-CA"/>
      </w:rPr>
    </w:lvl>
    <w:lvl w:ilvl="2">
      <w:numFmt w:val="bullet"/>
      <w:lvlText w:val="•"/>
      <w:lvlJc w:val="left"/>
      <w:pPr>
        <w:ind w:left="3168" w:hanging="1440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972" w:hanging="144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776" w:hanging="144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580" w:hanging="144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384" w:hanging="144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188" w:hanging="144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92" w:hanging="1440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9D"/>
    <w:rsid w:val="00041DE2"/>
    <w:rsid w:val="00054B8C"/>
    <w:rsid w:val="00062919"/>
    <w:rsid w:val="00095193"/>
    <w:rsid w:val="00122C9D"/>
    <w:rsid w:val="001238F9"/>
    <w:rsid w:val="00151CD5"/>
    <w:rsid w:val="001E2B4B"/>
    <w:rsid w:val="00200C5D"/>
    <w:rsid w:val="002100A5"/>
    <w:rsid w:val="00243DEA"/>
    <w:rsid w:val="00270092"/>
    <w:rsid w:val="002D0B59"/>
    <w:rsid w:val="003B59C5"/>
    <w:rsid w:val="003D43A4"/>
    <w:rsid w:val="003E0791"/>
    <w:rsid w:val="003E0B19"/>
    <w:rsid w:val="00460FD0"/>
    <w:rsid w:val="00465E5C"/>
    <w:rsid w:val="00490894"/>
    <w:rsid w:val="004D780C"/>
    <w:rsid w:val="004E5B27"/>
    <w:rsid w:val="004E7800"/>
    <w:rsid w:val="00507C72"/>
    <w:rsid w:val="00514E71"/>
    <w:rsid w:val="00577CCF"/>
    <w:rsid w:val="00631B94"/>
    <w:rsid w:val="00690F5C"/>
    <w:rsid w:val="00693515"/>
    <w:rsid w:val="007439A7"/>
    <w:rsid w:val="007725ED"/>
    <w:rsid w:val="007E5B4C"/>
    <w:rsid w:val="007F50C1"/>
    <w:rsid w:val="008001EB"/>
    <w:rsid w:val="00844DE4"/>
    <w:rsid w:val="00851A56"/>
    <w:rsid w:val="009247F5"/>
    <w:rsid w:val="00950893"/>
    <w:rsid w:val="00973934"/>
    <w:rsid w:val="00A11E63"/>
    <w:rsid w:val="00A438C9"/>
    <w:rsid w:val="00A677E0"/>
    <w:rsid w:val="00A82AB0"/>
    <w:rsid w:val="00A930D2"/>
    <w:rsid w:val="00AA1506"/>
    <w:rsid w:val="00AC1298"/>
    <w:rsid w:val="00AF0D24"/>
    <w:rsid w:val="00B32D77"/>
    <w:rsid w:val="00B81264"/>
    <w:rsid w:val="00BF0ED6"/>
    <w:rsid w:val="00C22A66"/>
    <w:rsid w:val="00C4530E"/>
    <w:rsid w:val="00C53A2B"/>
    <w:rsid w:val="00C65B66"/>
    <w:rsid w:val="00C85202"/>
    <w:rsid w:val="00CD6CC0"/>
    <w:rsid w:val="00CF6828"/>
    <w:rsid w:val="00D57597"/>
    <w:rsid w:val="00DE103B"/>
    <w:rsid w:val="00E5341A"/>
    <w:rsid w:val="00EF3E21"/>
    <w:rsid w:val="00F8110C"/>
    <w:rsid w:val="00F9524C"/>
    <w:rsid w:val="00FA327F"/>
    <w:rsid w:val="00FB78E5"/>
    <w:rsid w:val="00FE6BC9"/>
    <w:rsid w:val="00FF1C55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F811D7"/>
  <w15:docId w15:val="{41A47DE8-A4B1-4855-A139-99BE036E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14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4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71"/>
    <w:rPr>
      <w:rFonts w:ascii="Segoe UI" w:eastAsia="Times New Roman" w:hAnsi="Segoe UI" w:cs="Segoe UI"/>
      <w:sz w:val="18"/>
      <w:szCs w:val="1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51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E71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51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E71"/>
    <w:rPr>
      <w:rFonts w:ascii="Times New Roman" w:eastAsia="Times New Roman" w:hAnsi="Times New Roman" w:cs="Times New Roman"/>
      <w:lang w:val="en-CA" w:eastAsia="en-CA" w:bidi="en-CA"/>
    </w:rPr>
  </w:style>
  <w:style w:type="character" w:styleId="Hyperlink">
    <w:name w:val="Hyperlink"/>
    <w:basedOn w:val="DefaultParagraphFont"/>
    <w:uiPriority w:val="99"/>
    <w:semiHidden/>
    <w:unhideWhenUsed/>
    <w:rsid w:val="001E2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57F7368A8EA479DC661DEB5A64644" ma:contentTypeVersion="12" ma:contentTypeDescription="Create a new document." ma:contentTypeScope="" ma:versionID="986055d0542184f6885187e24dac6214">
  <xsd:schema xmlns:xsd="http://www.w3.org/2001/XMLSchema" xmlns:xs="http://www.w3.org/2001/XMLSchema" xmlns:p="http://schemas.microsoft.com/office/2006/metadata/properties" xmlns:ns2="7018da47-a432-4992-a0ed-4647136ebbb7" xmlns:ns3="e53773bc-1d6b-470d-bc05-d3e65aa29ccf" targetNamespace="http://schemas.microsoft.com/office/2006/metadata/properties" ma:root="true" ma:fieldsID="32d3b9457618d6ad102ef8dcc196ce03" ns2:_="" ns3:_="">
    <xsd:import namespace="7018da47-a432-4992-a0ed-4647136ebbb7"/>
    <xsd:import namespace="e53773bc-1d6b-470d-bc05-d3e65aa29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8da47-a432-4992-a0ed-4647136eb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773bc-1d6b-470d-bc05-d3e65aa29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39153-A59B-48C6-9629-0AC0E2C4D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8da47-a432-4992-a0ed-4647136ebbb7"/>
    <ds:schemaRef ds:uri="e53773bc-1d6b-470d-bc05-d3e65aa29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4ADB3-E3FB-4258-9078-D868D1A6F653}">
  <ds:schemaRefs>
    <ds:schemaRef ds:uri="http://schemas.microsoft.com/office/2006/documentManagement/types"/>
    <ds:schemaRef ds:uri="7018da47-a432-4992-a0ed-4647136ebbb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3773bc-1d6b-470d-bc05-d3e65aa29cc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5C54E5-9E3A-42F1-9444-218457CDF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775</Words>
  <Characters>3614</Characters>
  <Application>Microsoft Office Word</Application>
  <DocSecurity>0</DocSecurity>
  <PresentationFormat>15|.DOCX</PresentationFormat>
  <Lines>94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BJK 2nd Amendment - Material Change Report  (00953772.DOCX;1)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BJK 2nd Amendment - Material Change Report  (00953772.DOCX;2)</dc:title>
  <dc:subject>wdNOSTAMP</dc:subject>
  <dc:creator>Elizabeth Thomas</dc:creator>
  <cp:lastModifiedBy>Erin Duncan</cp:lastModifiedBy>
  <cp:revision>46</cp:revision>
  <cp:lastPrinted>2020-02-09T19:58:00Z</cp:lastPrinted>
  <dcterms:created xsi:type="dcterms:W3CDTF">2022-09-28T14:24:00Z</dcterms:created>
  <dcterms:modified xsi:type="dcterms:W3CDTF">2022-09-29T19:32:00Z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0x010100E7457F7368A8EA479DC661DEB5A64644</vt:lpwstr>
  </property>
</Properties>
</file>