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17807AE2"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511994" w:rsidRPr="00511994">
        <w:rPr>
          <w:rFonts w:ascii="Arial" w:eastAsia="Times New Roman" w:hAnsi="Arial" w:cs="Arial"/>
          <w:b/>
          <w:bCs/>
          <w:szCs w:val="24"/>
          <w:u w:val="single"/>
          <w:shd w:val="clear" w:color="auto" w:fill="FFFFFF"/>
          <w:lang w:val="en-CA"/>
        </w:rPr>
        <w:t>Craftport Cannabis Corp</w:t>
      </w:r>
      <w:r w:rsidR="00212929" w:rsidRPr="00511994">
        <w:rPr>
          <w:rFonts w:ascii="Arial" w:hAnsi="Arial" w:cs="Arial"/>
          <w:b/>
          <w:bCs/>
          <w:color w:val="000000"/>
          <w:szCs w:val="24"/>
          <w:u w:val="single"/>
        </w:rPr>
        <w:t>.</w:t>
      </w:r>
      <w:r w:rsidR="00212929" w:rsidRPr="00511994">
        <w:rPr>
          <w:rFonts w:ascii="Arial" w:hAnsi="Arial" w:cs="Arial"/>
          <w:color w:val="000000"/>
          <w:szCs w:val="24"/>
          <w:u w:val="single"/>
        </w:rPr>
        <w:tab/>
      </w:r>
      <w:r w:rsidRPr="003039E0">
        <w:rPr>
          <w:rFonts w:ascii="Arial" w:hAnsi="Arial" w:cs="Arial"/>
          <w:color w:val="000000"/>
          <w:szCs w:val="24"/>
        </w:rPr>
        <w:t>(the “Issuer”).</w:t>
      </w:r>
    </w:p>
    <w:p w14:paraId="74CC463F" w14:textId="6DACFEFB"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30E37">
        <w:rPr>
          <w:rFonts w:ascii="Arial" w:hAnsi="Arial" w:cs="Arial"/>
          <w:b/>
          <w:color w:val="000000"/>
          <w:szCs w:val="24"/>
          <w:u w:val="single"/>
        </w:rPr>
        <w:t>CFT</w:t>
      </w:r>
      <w:r w:rsidR="00212929" w:rsidRPr="003039E0">
        <w:rPr>
          <w:rFonts w:ascii="Arial" w:hAnsi="Arial" w:cs="Arial"/>
          <w:color w:val="000000"/>
          <w:szCs w:val="24"/>
          <w:u w:val="single"/>
        </w:rPr>
        <w:tab/>
      </w:r>
    </w:p>
    <w:p w14:paraId="5BAFE47C" w14:textId="7529C79B"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w:t>
      </w:r>
      <w:r w:rsidR="00511994">
        <w:rPr>
          <w:rFonts w:ascii="Arial" w:hAnsi="Arial" w:cs="Arial"/>
          <w:color w:val="000000"/>
          <w:u w:val="single"/>
        </w:rPr>
        <w:t>,3</w:t>
      </w:r>
      <w:r w:rsidR="00EA7BA5">
        <w:rPr>
          <w:rFonts w:ascii="Arial" w:hAnsi="Arial" w:cs="Arial"/>
          <w:color w:val="000000"/>
          <w:u w:val="single"/>
        </w:rPr>
        <w:t>61</w:t>
      </w:r>
      <w:r w:rsidR="00511994">
        <w:rPr>
          <w:rFonts w:ascii="Arial" w:hAnsi="Arial" w:cs="Arial"/>
          <w:color w:val="000000"/>
          <w:u w:val="single"/>
        </w:rPr>
        <w:t>,</w:t>
      </w:r>
      <w:r w:rsidR="00EA7BA5">
        <w:rPr>
          <w:rFonts w:ascii="Arial" w:hAnsi="Arial" w:cs="Arial"/>
          <w:color w:val="000000"/>
          <w:u w:val="single"/>
        </w:rPr>
        <w:t>2</w:t>
      </w:r>
      <w:r w:rsidR="00511994">
        <w:rPr>
          <w:rFonts w:ascii="Arial" w:hAnsi="Arial" w:cs="Arial"/>
          <w:color w:val="000000"/>
          <w:u w:val="single"/>
        </w:rPr>
        <w:t>02</w:t>
      </w:r>
      <w:r w:rsidR="00212929" w:rsidRPr="0057223E">
        <w:rPr>
          <w:rFonts w:ascii="Arial" w:hAnsi="Arial" w:cs="Arial"/>
          <w:color w:val="000000"/>
          <w:szCs w:val="24"/>
          <w:u w:val="single"/>
        </w:rPr>
        <w:tab/>
      </w:r>
    </w:p>
    <w:p w14:paraId="05DD3DCB" w14:textId="00A7F013"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511994">
        <w:rPr>
          <w:rFonts w:ascii="Arial" w:hAnsi="Arial" w:cs="Arial"/>
          <w:b/>
          <w:color w:val="000000"/>
          <w:szCs w:val="24"/>
          <w:u w:val="single"/>
        </w:rPr>
        <w:t>December</w:t>
      </w:r>
      <w:r w:rsidR="003A4E43">
        <w:rPr>
          <w:rFonts w:ascii="Arial" w:hAnsi="Arial" w:cs="Arial"/>
          <w:b/>
          <w:color w:val="000000"/>
          <w:szCs w:val="24"/>
          <w:u w:val="single"/>
        </w:rPr>
        <w:t xml:space="preserve"> </w:t>
      </w:r>
      <w:r w:rsidR="008B0114">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w:t>
      </w:r>
      <w:r w:rsidR="00FB2A8E">
        <w:rPr>
          <w:rFonts w:ascii="Arial" w:hAnsi="Arial" w:cs="Arial"/>
          <w:b/>
          <w:color w:val="000000"/>
          <w:szCs w:val="24"/>
          <w:u w:val="single"/>
        </w:rPr>
        <w:t>1</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1C88FFC3"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r w:rsidR="002B1641" w:rsidRPr="003039E0">
        <w:rPr>
          <w:rFonts w:ascii="Arial" w:hAnsi="Arial" w:cs="Arial"/>
          <w:color w:val="000000"/>
          <w:szCs w:val="24"/>
        </w:rPr>
        <w:t>future</w:t>
      </w:r>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r w:rsidR="002B1641" w:rsidRPr="003039E0">
        <w:rPr>
          <w:rFonts w:ascii="Arial" w:hAnsi="Arial" w:cs="Arial"/>
          <w:color w:val="000000"/>
          <w:szCs w:val="24"/>
        </w:rPr>
        <w:t>balanced,</w:t>
      </w:r>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622960C1" w:rsidR="00DD691A" w:rsidRDefault="00DD691A" w:rsidP="00DD691A">
      <w:pPr>
        <w:ind w:left="709"/>
        <w:jc w:val="both"/>
        <w:rPr>
          <w:rFonts w:ascii="Arial" w:hAnsi="Arial" w:cs="Arial"/>
          <w:sz w:val="24"/>
          <w:szCs w:val="24"/>
        </w:rPr>
      </w:pPr>
    </w:p>
    <w:p w14:paraId="5817F018" w14:textId="79D205F7" w:rsidR="00511994" w:rsidRPr="00511994" w:rsidRDefault="00511994" w:rsidP="00511994">
      <w:pPr>
        <w:ind w:left="720"/>
        <w:jc w:val="both"/>
        <w:rPr>
          <w:rFonts w:ascii="Arial" w:eastAsia="Times New Roman" w:hAnsi="Arial" w:cs="Arial"/>
          <w:b/>
          <w:bCs/>
          <w:sz w:val="24"/>
          <w:szCs w:val="24"/>
          <w:shd w:val="clear" w:color="auto" w:fill="FFFFFF"/>
          <w:lang w:val="en-CA"/>
        </w:rPr>
      </w:pPr>
      <w:r w:rsidRPr="00511994">
        <w:rPr>
          <w:rFonts w:ascii="Arial" w:eastAsia="Times New Roman" w:hAnsi="Arial" w:cs="Arial"/>
          <w:b/>
          <w:bCs/>
          <w:sz w:val="24"/>
          <w:szCs w:val="24"/>
          <w:shd w:val="clear" w:color="auto" w:fill="FFFFFF"/>
          <w:lang w:val="en-CA"/>
        </w:rPr>
        <w:t>Effective November 1, 2021, the Company changed its name to “</w:t>
      </w:r>
      <w:r w:rsidRPr="00511994">
        <w:rPr>
          <w:rFonts w:ascii="Arial" w:eastAsia="Times New Roman" w:hAnsi="Arial" w:cs="Arial"/>
          <w:b/>
          <w:bCs/>
          <w:i/>
          <w:iCs/>
          <w:sz w:val="24"/>
          <w:szCs w:val="24"/>
          <w:shd w:val="clear" w:color="auto" w:fill="FFFFFF"/>
          <w:lang w:val="en-CA"/>
        </w:rPr>
        <w:t>Craftport Cannabis Corp.</w:t>
      </w:r>
      <w:r w:rsidRPr="00511994">
        <w:rPr>
          <w:rFonts w:ascii="Arial" w:eastAsia="Times New Roman" w:hAnsi="Arial" w:cs="Arial"/>
          <w:b/>
          <w:bCs/>
          <w:sz w:val="24"/>
          <w:szCs w:val="24"/>
          <w:shd w:val="clear" w:color="auto" w:fill="FFFFFF"/>
          <w:lang w:val="en-CA"/>
        </w:rPr>
        <w:t>” and its stock ticker symbol from “BBT” to “CFT”. This name change allow</w:t>
      </w:r>
      <w:r>
        <w:rPr>
          <w:rFonts w:ascii="Arial" w:eastAsia="Times New Roman" w:hAnsi="Arial" w:cs="Arial"/>
          <w:b/>
          <w:bCs/>
          <w:sz w:val="24"/>
          <w:szCs w:val="24"/>
          <w:shd w:val="clear" w:color="auto" w:fill="FFFFFF"/>
          <w:lang w:val="en-CA"/>
        </w:rPr>
        <w:t>s</w:t>
      </w:r>
      <w:r w:rsidRPr="00511994">
        <w:rPr>
          <w:rFonts w:ascii="Arial" w:eastAsia="Times New Roman" w:hAnsi="Arial" w:cs="Arial"/>
          <w:b/>
          <w:bCs/>
          <w:sz w:val="24"/>
          <w:szCs w:val="24"/>
          <w:shd w:val="clear" w:color="auto" w:fill="FFFFFF"/>
          <w:lang w:val="en-CA"/>
        </w:rPr>
        <w:t xml:space="preserve"> the name to better represent to all stakeholders the business affairs of the Company, and for the Company to be able to build an identity and brand awareness as it enters the premium craft cannabis market.  </w:t>
      </w:r>
    </w:p>
    <w:p w14:paraId="2962A661" w14:textId="77777777" w:rsidR="00511994" w:rsidRPr="00511994" w:rsidRDefault="00511994" w:rsidP="00511994">
      <w:pPr>
        <w:ind w:left="720"/>
        <w:jc w:val="both"/>
        <w:rPr>
          <w:rFonts w:ascii="Arial" w:eastAsia="Times New Roman" w:hAnsi="Arial" w:cs="Arial"/>
          <w:b/>
          <w:bCs/>
          <w:sz w:val="24"/>
          <w:szCs w:val="24"/>
          <w:shd w:val="clear" w:color="auto" w:fill="FFFFFF"/>
          <w:lang w:val="en-CA"/>
        </w:rPr>
      </w:pPr>
    </w:p>
    <w:p w14:paraId="4895B306" w14:textId="628152C8" w:rsidR="00511994" w:rsidRPr="00511994" w:rsidRDefault="00511994" w:rsidP="00511994">
      <w:pPr>
        <w:ind w:left="720"/>
        <w:jc w:val="both"/>
        <w:rPr>
          <w:rFonts w:ascii="Arial" w:eastAsia="Times New Roman" w:hAnsi="Arial" w:cs="Arial"/>
          <w:b/>
          <w:bCs/>
          <w:sz w:val="24"/>
          <w:szCs w:val="24"/>
          <w:shd w:val="clear" w:color="auto" w:fill="FFFFFF"/>
          <w:lang w:val="en-CA"/>
        </w:rPr>
      </w:pPr>
      <w:r w:rsidRPr="00511994">
        <w:rPr>
          <w:rFonts w:ascii="Arial" w:eastAsia="Times New Roman" w:hAnsi="Arial" w:cs="Arial"/>
          <w:b/>
          <w:bCs/>
          <w:sz w:val="24"/>
          <w:szCs w:val="24"/>
          <w:shd w:val="clear" w:color="auto" w:fill="FFFFFF"/>
          <w:lang w:val="en-CA"/>
        </w:rPr>
        <w:lastRenderedPageBreak/>
        <w:t xml:space="preserve">On November 1, 2021, the common shares of the Company (the “Common Shares”) </w:t>
      </w:r>
      <w:r>
        <w:rPr>
          <w:rFonts w:ascii="Arial" w:eastAsia="Times New Roman" w:hAnsi="Arial" w:cs="Arial"/>
          <w:b/>
          <w:bCs/>
          <w:sz w:val="24"/>
          <w:szCs w:val="24"/>
          <w:shd w:val="clear" w:color="auto" w:fill="FFFFFF"/>
          <w:lang w:val="en-CA"/>
        </w:rPr>
        <w:t>started to</w:t>
      </w:r>
      <w:r w:rsidRPr="00511994">
        <w:rPr>
          <w:rFonts w:ascii="Arial" w:eastAsia="Times New Roman" w:hAnsi="Arial" w:cs="Arial"/>
          <w:b/>
          <w:bCs/>
          <w:sz w:val="24"/>
          <w:szCs w:val="24"/>
          <w:shd w:val="clear" w:color="auto" w:fill="FFFFFF"/>
          <w:lang w:val="en-CA"/>
        </w:rPr>
        <w:t xml:space="preserve"> trade on the Canadian Securities Exchange under the new name “</w:t>
      </w:r>
      <w:r w:rsidRPr="00511994">
        <w:rPr>
          <w:rFonts w:ascii="Arial" w:eastAsia="Times New Roman" w:hAnsi="Arial" w:cs="Arial"/>
          <w:b/>
          <w:bCs/>
          <w:i/>
          <w:iCs/>
          <w:sz w:val="24"/>
          <w:szCs w:val="24"/>
          <w:shd w:val="clear" w:color="auto" w:fill="FFFFFF"/>
          <w:lang w:val="en-CA"/>
        </w:rPr>
        <w:t>Craftport Cannabis Corp.</w:t>
      </w:r>
      <w:r w:rsidRPr="00511994">
        <w:rPr>
          <w:rFonts w:ascii="Arial" w:eastAsia="Times New Roman" w:hAnsi="Arial" w:cs="Arial"/>
          <w:b/>
          <w:bCs/>
          <w:sz w:val="24"/>
          <w:szCs w:val="24"/>
          <w:shd w:val="clear" w:color="auto" w:fill="FFFFFF"/>
          <w:lang w:val="en-CA"/>
        </w:rPr>
        <w:t xml:space="preserve">” and under the new ticker trading symbol, “CFT”. </w:t>
      </w:r>
    </w:p>
    <w:p w14:paraId="3201DA93" w14:textId="77777777" w:rsidR="00511994" w:rsidRPr="00511994" w:rsidRDefault="00511994" w:rsidP="00511994">
      <w:pPr>
        <w:jc w:val="both"/>
        <w:rPr>
          <w:rFonts w:ascii="Arial" w:eastAsia="Times New Roman" w:hAnsi="Arial" w:cs="Arial"/>
          <w:b/>
          <w:bCs/>
          <w:sz w:val="24"/>
          <w:szCs w:val="24"/>
          <w:shd w:val="clear" w:color="auto" w:fill="FFFFFF"/>
          <w:lang w:val="en-CA"/>
        </w:rPr>
      </w:pPr>
    </w:p>
    <w:p w14:paraId="6871B443" w14:textId="559F61AE" w:rsidR="00511994" w:rsidRPr="00511994" w:rsidRDefault="00511994" w:rsidP="00511994">
      <w:pPr>
        <w:ind w:left="709"/>
        <w:jc w:val="both"/>
        <w:rPr>
          <w:rFonts w:ascii="Arial" w:eastAsia="Times New Roman" w:hAnsi="Arial" w:cs="Arial"/>
          <w:b/>
          <w:bCs/>
          <w:sz w:val="24"/>
          <w:szCs w:val="24"/>
          <w:shd w:val="clear" w:color="auto" w:fill="FFFFFF"/>
          <w:lang w:val="en-CA"/>
        </w:rPr>
      </w:pPr>
      <w:r w:rsidRPr="00511994">
        <w:rPr>
          <w:rFonts w:ascii="Arial" w:eastAsia="Times New Roman" w:hAnsi="Arial" w:cs="Arial"/>
          <w:b/>
          <w:bCs/>
          <w:sz w:val="24"/>
          <w:szCs w:val="24"/>
          <w:shd w:val="clear" w:color="auto" w:fill="FFFFFF"/>
          <w:lang w:val="en-CA"/>
        </w:rPr>
        <w:t>The Company announce</w:t>
      </w:r>
      <w:r w:rsidR="00597538">
        <w:rPr>
          <w:rFonts w:ascii="Arial" w:eastAsia="Times New Roman" w:hAnsi="Arial" w:cs="Arial"/>
          <w:b/>
          <w:bCs/>
          <w:sz w:val="24"/>
          <w:szCs w:val="24"/>
          <w:shd w:val="clear" w:color="auto" w:fill="FFFFFF"/>
          <w:lang w:val="en-CA"/>
        </w:rPr>
        <w:t>d</w:t>
      </w:r>
      <w:r w:rsidRPr="00511994">
        <w:rPr>
          <w:rFonts w:ascii="Arial" w:eastAsia="Times New Roman" w:hAnsi="Arial" w:cs="Arial"/>
          <w:b/>
          <w:bCs/>
          <w:sz w:val="24"/>
          <w:szCs w:val="24"/>
          <w:shd w:val="clear" w:color="auto" w:fill="FFFFFF"/>
          <w:lang w:val="en-CA"/>
        </w:rPr>
        <w:t xml:space="preserve"> that it consolidate</w:t>
      </w:r>
      <w:r w:rsidR="00597538">
        <w:rPr>
          <w:rFonts w:ascii="Arial" w:eastAsia="Times New Roman" w:hAnsi="Arial" w:cs="Arial"/>
          <w:b/>
          <w:bCs/>
          <w:sz w:val="24"/>
          <w:szCs w:val="24"/>
          <w:shd w:val="clear" w:color="auto" w:fill="FFFFFF"/>
          <w:lang w:val="en-CA"/>
        </w:rPr>
        <w:t>d</w:t>
      </w:r>
      <w:r w:rsidRPr="00511994">
        <w:rPr>
          <w:rFonts w:ascii="Arial" w:eastAsia="Times New Roman" w:hAnsi="Arial" w:cs="Arial"/>
          <w:b/>
          <w:bCs/>
          <w:sz w:val="24"/>
          <w:szCs w:val="24"/>
          <w:shd w:val="clear" w:color="auto" w:fill="FFFFFF"/>
          <w:lang w:val="en-CA"/>
        </w:rPr>
        <w:t xml:space="preserve"> the Common Shares of the Company on the basis of ten (10) pre-consolidation Common Shares for one (1) post-consolidation Share (the “Consolidation”). The Consolidation bec</w:t>
      </w:r>
      <w:r w:rsidR="00597538">
        <w:rPr>
          <w:rFonts w:ascii="Arial" w:eastAsia="Times New Roman" w:hAnsi="Arial" w:cs="Arial"/>
          <w:b/>
          <w:bCs/>
          <w:sz w:val="24"/>
          <w:szCs w:val="24"/>
          <w:shd w:val="clear" w:color="auto" w:fill="FFFFFF"/>
          <w:lang w:val="en-CA"/>
        </w:rPr>
        <w:t>a</w:t>
      </w:r>
      <w:r w:rsidRPr="00511994">
        <w:rPr>
          <w:rFonts w:ascii="Arial" w:eastAsia="Times New Roman" w:hAnsi="Arial" w:cs="Arial"/>
          <w:b/>
          <w:bCs/>
          <w:sz w:val="24"/>
          <w:szCs w:val="24"/>
          <w:shd w:val="clear" w:color="auto" w:fill="FFFFFF"/>
          <w:lang w:val="en-CA"/>
        </w:rPr>
        <w:t>me effective at the opening of the market on November 1, 2021. Upon the Consolidation bec</w:t>
      </w:r>
      <w:r w:rsidR="00597538">
        <w:rPr>
          <w:rFonts w:ascii="Arial" w:eastAsia="Times New Roman" w:hAnsi="Arial" w:cs="Arial"/>
          <w:b/>
          <w:bCs/>
          <w:sz w:val="24"/>
          <w:szCs w:val="24"/>
          <w:shd w:val="clear" w:color="auto" w:fill="FFFFFF"/>
          <w:lang w:val="en-CA"/>
        </w:rPr>
        <w:t>a</w:t>
      </w:r>
      <w:r w:rsidRPr="00511994">
        <w:rPr>
          <w:rFonts w:ascii="Arial" w:eastAsia="Times New Roman" w:hAnsi="Arial" w:cs="Arial"/>
          <w:b/>
          <w:bCs/>
          <w:sz w:val="24"/>
          <w:szCs w:val="24"/>
          <w:shd w:val="clear" w:color="auto" w:fill="FFFFFF"/>
          <w:lang w:val="en-CA"/>
        </w:rPr>
        <w:t>m</w:t>
      </w:r>
      <w:r w:rsidR="00597538">
        <w:rPr>
          <w:rFonts w:ascii="Arial" w:eastAsia="Times New Roman" w:hAnsi="Arial" w:cs="Arial"/>
          <w:b/>
          <w:bCs/>
          <w:sz w:val="24"/>
          <w:szCs w:val="24"/>
          <w:shd w:val="clear" w:color="auto" w:fill="FFFFFF"/>
          <w:lang w:val="en-CA"/>
        </w:rPr>
        <w:t xml:space="preserve">e </w:t>
      </w:r>
      <w:r w:rsidRPr="00511994">
        <w:rPr>
          <w:rFonts w:ascii="Arial" w:eastAsia="Times New Roman" w:hAnsi="Arial" w:cs="Arial"/>
          <w:b/>
          <w:bCs/>
          <w:sz w:val="24"/>
          <w:szCs w:val="24"/>
          <w:shd w:val="clear" w:color="auto" w:fill="FFFFFF"/>
          <w:lang w:val="en-CA"/>
        </w:rPr>
        <w:t>effective, a total of 20,361,2</w:t>
      </w:r>
      <w:r w:rsidR="00597538">
        <w:rPr>
          <w:rFonts w:ascii="Arial" w:eastAsia="Times New Roman" w:hAnsi="Arial" w:cs="Arial"/>
          <w:b/>
          <w:bCs/>
          <w:sz w:val="24"/>
          <w:szCs w:val="24"/>
          <w:shd w:val="clear" w:color="auto" w:fill="FFFFFF"/>
          <w:lang w:val="en-CA"/>
        </w:rPr>
        <w:t>02</w:t>
      </w:r>
      <w:r w:rsidRPr="00511994">
        <w:rPr>
          <w:rFonts w:ascii="Arial" w:eastAsia="Times New Roman" w:hAnsi="Arial" w:cs="Arial"/>
          <w:b/>
          <w:bCs/>
          <w:sz w:val="24"/>
          <w:szCs w:val="24"/>
          <w:shd w:val="clear" w:color="auto" w:fill="FFFFFF"/>
          <w:lang w:val="en-CA"/>
        </w:rPr>
        <w:t xml:space="preserve"> Common Shares, </w:t>
      </w:r>
      <w:r w:rsidR="00597538">
        <w:rPr>
          <w:rFonts w:ascii="Arial" w:eastAsia="Times New Roman" w:hAnsi="Arial" w:cs="Arial"/>
          <w:b/>
          <w:bCs/>
          <w:sz w:val="24"/>
          <w:szCs w:val="24"/>
          <w:shd w:val="clear" w:color="auto" w:fill="FFFFFF"/>
          <w:lang w:val="en-CA"/>
        </w:rPr>
        <w:t>was</w:t>
      </w:r>
      <w:r w:rsidRPr="00511994">
        <w:rPr>
          <w:rFonts w:ascii="Arial" w:eastAsia="Times New Roman" w:hAnsi="Arial" w:cs="Arial"/>
          <w:b/>
          <w:bCs/>
          <w:sz w:val="24"/>
          <w:szCs w:val="24"/>
          <w:shd w:val="clear" w:color="auto" w:fill="FFFFFF"/>
          <w:lang w:val="en-CA"/>
        </w:rPr>
        <w:t xml:space="preserve"> issued and outstanding. There is no maximum number of authorized Common Shares that the Company may issue. </w:t>
      </w:r>
    </w:p>
    <w:p w14:paraId="0665C686" w14:textId="77777777" w:rsidR="00511994" w:rsidRPr="00511994" w:rsidRDefault="00511994" w:rsidP="00511994">
      <w:pPr>
        <w:ind w:left="709"/>
        <w:jc w:val="both"/>
        <w:rPr>
          <w:rFonts w:ascii="Arial" w:hAnsi="Arial" w:cs="Arial"/>
          <w:b/>
          <w:bCs/>
          <w:sz w:val="24"/>
          <w:szCs w:val="24"/>
        </w:rPr>
      </w:pPr>
    </w:p>
    <w:p w14:paraId="22AD5D6B" w14:textId="18751761" w:rsidR="00C56F15" w:rsidRPr="00511994" w:rsidRDefault="00C56F15" w:rsidP="00C56F15">
      <w:pPr>
        <w:pStyle w:val="NormalWeb"/>
        <w:shd w:val="clear" w:color="auto" w:fill="FFFFFF"/>
        <w:spacing w:before="0" w:beforeAutospacing="0" w:after="0" w:afterAutospacing="0"/>
        <w:ind w:left="709"/>
        <w:jc w:val="both"/>
        <w:rPr>
          <w:rFonts w:ascii="Arial" w:hAnsi="Arial" w:cs="Arial"/>
          <w:b/>
          <w:bCs/>
          <w:color w:val="000000"/>
          <w:lang w:val="en-US"/>
        </w:rPr>
      </w:pPr>
      <w:r w:rsidRPr="00511994">
        <w:rPr>
          <w:rFonts w:ascii="Arial" w:hAnsi="Arial" w:cs="Arial"/>
          <w:b/>
          <w:bCs/>
          <w:color w:val="000000"/>
          <w:lang w:val="en-US"/>
        </w:rPr>
        <w:t xml:space="preserve">The Company, through its wholly owned subsidiary Potanicals Green Growers Inc. (“Potenicals”), cultivates and harvests cannabis at its indoor </w:t>
      </w:r>
      <w:bookmarkStart w:id="5" w:name="_Hlk531797755"/>
      <w:r w:rsidRPr="00511994">
        <w:rPr>
          <w:rFonts w:ascii="Arial" w:hAnsi="Arial" w:cs="Arial"/>
          <w:b/>
          <w:bCs/>
          <w:color w:val="000000"/>
          <w:lang w:val="en-US"/>
        </w:rPr>
        <w:t xml:space="preserve">Peachland </w:t>
      </w:r>
      <w:r w:rsidR="009531C4" w:rsidRPr="00511994">
        <w:rPr>
          <w:rFonts w:ascii="Arial" w:hAnsi="Arial" w:cs="Arial"/>
          <w:b/>
          <w:bCs/>
          <w:color w:val="000000"/>
          <w:lang w:val="en-US"/>
        </w:rPr>
        <w:t>facility</w:t>
      </w:r>
      <w:r w:rsidRPr="00511994">
        <w:rPr>
          <w:rFonts w:ascii="Arial" w:hAnsi="Arial" w:cs="Arial"/>
          <w:b/>
          <w:bCs/>
          <w:color w:val="000000"/>
          <w:lang w:val="en-US"/>
        </w:rPr>
        <w:t>.</w:t>
      </w:r>
      <w:bookmarkEnd w:id="5"/>
    </w:p>
    <w:p w14:paraId="5F0E91F1" w14:textId="4D01C31C" w:rsidR="009531C4" w:rsidRDefault="009531C4"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57A6ECFA" w14:textId="19E87829" w:rsidR="009531C4" w:rsidRDefault="009531C4" w:rsidP="00C56F15">
      <w:pPr>
        <w:pStyle w:val="NormalWeb"/>
        <w:shd w:val="clear" w:color="auto" w:fill="FFFFFF"/>
        <w:spacing w:before="0" w:beforeAutospacing="0" w:after="0" w:afterAutospacing="0"/>
        <w:ind w:left="709"/>
        <w:jc w:val="both"/>
        <w:rPr>
          <w:rFonts w:ascii="Arial" w:hAnsi="Arial" w:cs="Arial"/>
          <w:b/>
          <w:color w:val="000000"/>
          <w:lang w:val="en-US"/>
        </w:rPr>
      </w:pPr>
      <w:r w:rsidRPr="001F59C7">
        <w:rPr>
          <w:rFonts w:ascii="Arial" w:eastAsia="Times New Roman" w:hAnsi="Arial" w:cs="Arial"/>
          <w:b/>
          <w:bCs/>
          <w:shd w:val="clear" w:color="auto" w:fill="FFFFFF"/>
        </w:rPr>
        <w:t>Peachland temporarily cease</w:t>
      </w:r>
      <w:r>
        <w:rPr>
          <w:rFonts w:ascii="Arial" w:eastAsia="Times New Roman" w:hAnsi="Arial" w:cs="Arial"/>
          <w:b/>
          <w:bCs/>
          <w:shd w:val="clear" w:color="auto" w:fill="FFFFFF"/>
        </w:rPr>
        <w:t>s</w:t>
      </w:r>
      <w:r w:rsidRPr="001F59C7">
        <w:rPr>
          <w:rFonts w:ascii="Arial" w:eastAsia="Times New Roman" w:hAnsi="Arial" w:cs="Arial"/>
          <w:b/>
          <w:bCs/>
          <w:shd w:val="clear" w:color="auto" w:fill="FFFFFF"/>
        </w:rPr>
        <w:t xml:space="preserve"> all cultivation and harvesting activities and seek</w:t>
      </w:r>
      <w:r>
        <w:rPr>
          <w:rFonts w:ascii="Arial" w:eastAsia="Times New Roman" w:hAnsi="Arial" w:cs="Arial"/>
          <w:b/>
          <w:bCs/>
          <w:shd w:val="clear" w:color="auto" w:fill="FFFFFF"/>
        </w:rPr>
        <w:t>s</w:t>
      </w:r>
      <w:r w:rsidRPr="001F59C7">
        <w:rPr>
          <w:rFonts w:ascii="Arial" w:eastAsia="Times New Roman" w:hAnsi="Arial" w:cs="Arial"/>
          <w:b/>
          <w:bCs/>
          <w:shd w:val="clear" w:color="auto" w:fill="FFFFFF"/>
        </w:rPr>
        <w:t xml:space="preserve"> to generate revenue by processing and selling cannabis purchased from other licensed cannabis producers. Restarting cultivation and harvesting activities in Peachland will be contingent, in part, on the Company obtaining the necessary financing to be able to fund the Peachland operations</w:t>
      </w:r>
      <w:r>
        <w:rPr>
          <w:rFonts w:ascii="Arial" w:eastAsia="Times New Roman" w:hAnsi="Arial" w:cs="Arial"/>
          <w:b/>
          <w:bCs/>
          <w:shd w:val="clear" w:color="auto" w:fill="FFFFFF"/>
        </w:rPr>
        <w:t>.</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65D47E6A" w14:textId="681691F0" w:rsidR="00BC21C5" w:rsidRPr="001F59C7" w:rsidRDefault="00BC21C5" w:rsidP="00DF17C5">
      <w:pPr>
        <w:shd w:val="clear" w:color="auto" w:fill="FFFFFF"/>
        <w:ind w:left="706"/>
        <w:jc w:val="both"/>
        <w:rPr>
          <w:rFonts w:ascii="Arial" w:eastAsia="Times New Roman" w:hAnsi="Arial" w:cs="Arial"/>
          <w:b/>
          <w:sz w:val="24"/>
          <w:szCs w:val="24"/>
          <w:lang w:eastAsia="zh-CN"/>
        </w:rPr>
      </w:pPr>
      <w:r w:rsidRPr="001F59C7">
        <w:rPr>
          <w:rFonts w:ascii="Arial" w:eastAsia="Times New Roman" w:hAnsi="Arial" w:cs="Arial"/>
          <w:b/>
          <w:sz w:val="24"/>
          <w:szCs w:val="24"/>
          <w:lang w:val="en-CA" w:eastAsia="zh-CN"/>
        </w:rPr>
        <w:t xml:space="preserve">The Company </w:t>
      </w:r>
      <w:r w:rsidRPr="001F59C7">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51662967" w:rsidR="00BC21C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574F3633" w14:textId="14DF1DF1" w:rsidR="000C5178" w:rsidRDefault="000C5178" w:rsidP="00DF17C5">
      <w:pPr>
        <w:shd w:val="clear" w:color="auto" w:fill="FFFFFF"/>
        <w:ind w:left="706"/>
        <w:jc w:val="both"/>
        <w:rPr>
          <w:rFonts w:ascii="Arial" w:eastAsia="Times New Roman" w:hAnsi="Arial" w:cs="Arial"/>
          <w:b/>
          <w:sz w:val="24"/>
          <w:szCs w:val="24"/>
          <w:lang w:eastAsia="zh-CN"/>
        </w:rPr>
      </w:pPr>
    </w:p>
    <w:p w14:paraId="04D5F445" w14:textId="5246D216" w:rsidR="000C5178" w:rsidRPr="000C5178" w:rsidRDefault="000C5178" w:rsidP="000C5178">
      <w:pPr>
        <w:autoSpaceDE w:val="0"/>
        <w:autoSpaceDN w:val="0"/>
        <w:adjustRightInd w:val="0"/>
        <w:ind w:left="720"/>
        <w:jc w:val="both"/>
        <w:rPr>
          <w:rFonts w:ascii="Arial" w:hAnsi="Arial" w:cs="Arial"/>
          <w:b/>
          <w:bCs/>
          <w:sz w:val="24"/>
          <w:szCs w:val="24"/>
        </w:rPr>
      </w:pPr>
      <w:r w:rsidRPr="000C5178">
        <w:rPr>
          <w:rFonts w:ascii="Arial" w:hAnsi="Arial" w:cs="Arial"/>
          <w:b/>
          <w:bCs/>
          <w:sz w:val="24"/>
          <w:szCs w:val="24"/>
        </w:rPr>
        <w:t xml:space="preserve">On August 17, 2020, the Company entered into an </w:t>
      </w:r>
      <w:bookmarkStart w:id="6" w:name="_Hlk70611760"/>
      <w:r w:rsidRPr="000C5178">
        <w:rPr>
          <w:rFonts w:ascii="Arial" w:hAnsi="Arial" w:cs="Arial"/>
          <w:b/>
          <w:bCs/>
          <w:sz w:val="24"/>
          <w:szCs w:val="24"/>
        </w:rPr>
        <w:t xml:space="preserve">agreement with a third party to assist with the cultivation activities associated with an estimated 12,000 sq ft of space within the Pitt Meadows greenhouse (“Area 4”).  </w:t>
      </w:r>
      <w:bookmarkEnd w:id="6"/>
      <w:r w:rsidRPr="000C5178">
        <w:rPr>
          <w:rFonts w:ascii="Arial" w:hAnsi="Arial" w:cs="Arial"/>
          <w:b/>
          <w:bCs/>
          <w:sz w:val="24"/>
          <w:szCs w:val="24"/>
        </w:rPr>
        <w:t xml:space="preserve">The term of this agreement shall continue for a period of 4 years and can be extended for consecutive 2-year periods. </w:t>
      </w:r>
    </w:p>
    <w:p w14:paraId="1F089CF0" w14:textId="77777777" w:rsidR="000C5178" w:rsidRPr="000C5178" w:rsidRDefault="000C5178" w:rsidP="000C5178">
      <w:pPr>
        <w:autoSpaceDE w:val="0"/>
        <w:autoSpaceDN w:val="0"/>
        <w:adjustRightInd w:val="0"/>
        <w:jc w:val="both"/>
        <w:rPr>
          <w:rFonts w:ascii="Arial" w:hAnsi="Arial" w:cs="Arial"/>
          <w:b/>
          <w:bCs/>
          <w:sz w:val="24"/>
          <w:szCs w:val="24"/>
        </w:rPr>
      </w:pPr>
    </w:p>
    <w:p w14:paraId="53F30421" w14:textId="5DCDBC5F" w:rsidR="000C5178" w:rsidRDefault="000C5178" w:rsidP="000C5178">
      <w:pPr>
        <w:autoSpaceDE w:val="0"/>
        <w:autoSpaceDN w:val="0"/>
        <w:adjustRightInd w:val="0"/>
        <w:ind w:left="720"/>
        <w:jc w:val="both"/>
        <w:rPr>
          <w:rFonts w:ascii="Arial" w:hAnsi="Arial" w:cs="Arial"/>
          <w:b/>
          <w:bCs/>
          <w:sz w:val="24"/>
          <w:szCs w:val="24"/>
        </w:rPr>
      </w:pPr>
      <w:bookmarkStart w:id="7" w:name="_Hlk80568890"/>
      <w:r w:rsidRPr="000C5178">
        <w:rPr>
          <w:rFonts w:ascii="Arial" w:hAnsi="Arial" w:cs="Arial"/>
          <w:b/>
          <w:bCs/>
          <w:sz w:val="24"/>
          <w:szCs w:val="24"/>
        </w:rPr>
        <w:t>Except for the above agreement</w:t>
      </w:r>
      <w:r w:rsidR="00511994">
        <w:rPr>
          <w:rFonts w:ascii="Arial" w:hAnsi="Arial" w:cs="Arial"/>
          <w:b/>
          <w:bCs/>
          <w:sz w:val="24"/>
          <w:szCs w:val="24"/>
        </w:rPr>
        <w:t xml:space="preserve"> regarding</w:t>
      </w:r>
      <w:r w:rsidRPr="000C5178">
        <w:rPr>
          <w:rFonts w:ascii="Arial" w:hAnsi="Arial" w:cs="Arial"/>
          <w:b/>
          <w:bCs/>
          <w:sz w:val="24"/>
          <w:szCs w:val="24"/>
        </w:rPr>
        <w:t xml:space="preserve"> Area 4</w:t>
      </w:r>
      <w:bookmarkEnd w:id="7"/>
      <w:r w:rsidRPr="000C5178">
        <w:rPr>
          <w:rFonts w:ascii="Arial" w:hAnsi="Arial" w:cs="Arial"/>
          <w:b/>
          <w:bCs/>
          <w:sz w:val="24"/>
          <w:szCs w:val="24"/>
        </w:rPr>
        <w:t xml:space="preserve">, the Company has suspended </w:t>
      </w:r>
      <w:bookmarkStart w:id="8" w:name="_Hlk80568804"/>
      <w:r w:rsidRPr="000C5178">
        <w:rPr>
          <w:rFonts w:ascii="Arial" w:hAnsi="Arial" w:cs="Arial"/>
          <w:b/>
          <w:bCs/>
          <w:sz w:val="24"/>
          <w:szCs w:val="24"/>
        </w:rPr>
        <w:t>operations at the Pitt Meadows facility while management reviews strategic options for this facility.</w:t>
      </w:r>
      <w:bookmarkEnd w:id="8"/>
    </w:p>
    <w:p w14:paraId="30DB6DE3" w14:textId="6D137E0C" w:rsidR="009531C4" w:rsidRDefault="009531C4" w:rsidP="000C5178">
      <w:pPr>
        <w:autoSpaceDE w:val="0"/>
        <w:autoSpaceDN w:val="0"/>
        <w:adjustRightInd w:val="0"/>
        <w:ind w:left="720"/>
        <w:jc w:val="both"/>
        <w:rPr>
          <w:rFonts w:ascii="Arial" w:hAnsi="Arial" w:cs="Arial"/>
          <w:b/>
          <w:bCs/>
          <w:sz w:val="24"/>
          <w:szCs w:val="24"/>
        </w:rPr>
      </w:pPr>
    </w:p>
    <w:p w14:paraId="3784CE97" w14:textId="77777777" w:rsidR="009531C4" w:rsidRDefault="009531C4" w:rsidP="009531C4">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Pr="004C5180">
        <w:rPr>
          <w:rFonts w:ascii="Arial" w:eastAsiaTheme="minorEastAsia" w:hAnsi="Arial" w:cs="Arial"/>
          <w:b/>
          <w:spacing w:val="-3"/>
          <w:sz w:val="24"/>
          <w:szCs w:val="24"/>
          <w:lang w:eastAsia="zh-CN"/>
        </w:rPr>
        <w:t>has received a sales license from Health Canada, effective July 26, 2019</w:t>
      </w:r>
      <w:r>
        <w:rPr>
          <w:rFonts w:ascii="Arial" w:eastAsiaTheme="minorEastAsia" w:hAnsi="Arial" w:cs="Arial"/>
          <w:b/>
          <w:spacing w:val="-3"/>
          <w:sz w:val="24"/>
          <w:szCs w:val="24"/>
          <w:lang w:eastAsia="zh-CN"/>
        </w:rPr>
        <w:t xml:space="preserve">. </w:t>
      </w:r>
      <w:r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w:t>
      </w:r>
      <w:r w:rsidRPr="004C5180">
        <w:rPr>
          <w:rFonts w:ascii="Arial" w:eastAsiaTheme="minorEastAsia" w:hAnsi="Arial" w:cs="Arial"/>
          <w:b/>
          <w:spacing w:val="-3"/>
          <w:sz w:val="24"/>
          <w:szCs w:val="24"/>
          <w:lang w:eastAsia="zh-CN"/>
        </w:rPr>
        <w:lastRenderedPageBreak/>
        <w:t>distribution and retail supply chain. Benchmark will be providing recreational and medical dried cannabis</w:t>
      </w:r>
      <w:r w:rsidRPr="00833EBF">
        <w:rPr>
          <w:rFonts w:ascii="Arial" w:eastAsiaTheme="minorEastAsia" w:hAnsi="Arial" w:cs="Arial"/>
          <w:b/>
          <w:spacing w:val="-3"/>
          <w:sz w:val="24"/>
          <w:szCs w:val="24"/>
          <w:lang w:eastAsia="zh-CN"/>
        </w:rPr>
        <w:t>.</w:t>
      </w:r>
    </w:p>
    <w:p w14:paraId="7CF635CB" w14:textId="77777777" w:rsidR="009531C4" w:rsidRPr="001F59C7" w:rsidRDefault="009531C4" w:rsidP="009531C4">
      <w:pPr>
        <w:ind w:left="709"/>
        <w:jc w:val="both"/>
        <w:rPr>
          <w:rFonts w:ascii="Arial" w:eastAsiaTheme="minorEastAsia" w:hAnsi="Arial" w:cs="Arial"/>
          <w:b/>
          <w:spacing w:val="-3"/>
          <w:sz w:val="24"/>
          <w:szCs w:val="24"/>
          <w:lang w:val="en-CA" w:eastAsia="zh-CN"/>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5175EAA6" w14:textId="77777777" w:rsidR="00210554" w:rsidRPr="00210554" w:rsidRDefault="00210554" w:rsidP="00210554">
      <w:pPr>
        <w:pStyle w:val="List"/>
        <w:ind w:left="720" w:firstLine="0"/>
        <w:jc w:val="both"/>
        <w:rPr>
          <w:rFonts w:ascii="Arial" w:hAnsi="Arial" w:cs="Arial"/>
          <w:b/>
          <w:szCs w:val="24"/>
        </w:rPr>
      </w:pPr>
      <w:bookmarkStart w:id="9" w:name="_Hlk34743774"/>
      <w:r w:rsidRPr="00210554">
        <w:rPr>
          <w:rFonts w:ascii="Arial" w:hAnsi="Arial" w:cs="Arial"/>
          <w:b/>
          <w:szCs w:val="24"/>
        </w:rPr>
        <w:t>On May 3, 2021, the Company announced the appointment of a new Chief Executive Officer.  Since that time, the Company has been assessing its operations and strategic options in the context of the Canadian cannabis industry, has been identifying and implementing cost saving measures, and has been engaged in financing discussions with various parties.</w:t>
      </w:r>
    </w:p>
    <w:p w14:paraId="33B7B9AC" w14:textId="77777777" w:rsidR="00210554" w:rsidRPr="00210554" w:rsidRDefault="00210554" w:rsidP="00210554">
      <w:pPr>
        <w:pStyle w:val="List"/>
        <w:spacing w:before="0"/>
        <w:ind w:left="720"/>
        <w:jc w:val="both"/>
        <w:rPr>
          <w:rFonts w:ascii="Arial" w:hAnsi="Arial" w:cs="Arial"/>
          <w:b/>
          <w:szCs w:val="24"/>
        </w:rPr>
      </w:pPr>
    </w:p>
    <w:p w14:paraId="11D79250" w14:textId="1E468AB4" w:rsidR="00230D51" w:rsidRDefault="00210554" w:rsidP="00210554">
      <w:pPr>
        <w:pStyle w:val="List"/>
        <w:spacing w:before="0"/>
        <w:ind w:left="720" w:firstLine="0"/>
        <w:jc w:val="both"/>
        <w:rPr>
          <w:rFonts w:ascii="Arial" w:hAnsi="Arial" w:cs="Arial"/>
          <w:b/>
          <w:szCs w:val="24"/>
        </w:rPr>
      </w:pPr>
      <w:r w:rsidRPr="00210554">
        <w:rPr>
          <w:rFonts w:ascii="Arial" w:hAnsi="Arial" w:cs="Arial"/>
          <w:b/>
          <w:szCs w:val="24"/>
        </w:rPr>
        <w:t>Based on the completion of its internal strategic review, the Company believes that it’s in its best interest to focus on the premium craft cannabis recreational market in Canada, initially by incorporating an asset-light approach.  In order to fully execute on this business plan, the Company will be required to secure long-term financing.  In the meantime, the Company continues to borrow necessary funds from current shareholders who have expressed an interest in working with the Company in order to achieve its long-term goal of becoming a prominent player in the premium craft market.</w:t>
      </w:r>
      <w:bookmarkEnd w:id="9"/>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bookmarkStart w:id="10" w:name="_Hlk73611493"/>
      <w:r w:rsidRPr="008C3A21">
        <w:rPr>
          <w:rFonts w:ascii="Arial" w:hAnsi="Arial" w:cs="Arial"/>
          <w:b/>
          <w:bCs/>
          <w:szCs w:val="24"/>
        </w:rPr>
        <w:t>None</w:t>
      </w:r>
      <w:r w:rsidR="00050A8D" w:rsidRPr="003039E0">
        <w:rPr>
          <w:rFonts w:ascii="Arial" w:hAnsi="Arial" w:cs="Arial"/>
          <w:b/>
          <w:szCs w:val="24"/>
        </w:rPr>
        <w:t>.</w:t>
      </w:r>
      <w:bookmarkEnd w:id="10"/>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2651A75E" w14:textId="4155F7E7" w:rsidR="001010D7" w:rsidRDefault="001F59C7" w:rsidP="001010D7">
      <w:pPr>
        <w:pStyle w:val="List"/>
        <w:spacing w:before="0"/>
        <w:ind w:left="720" w:firstLine="0"/>
        <w:jc w:val="both"/>
        <w:rPr>
          <w:rFonts w:ascii="Arial" w:hAnsi="Arial" w:cs="Arial"/>
          <w:b/>
          <w:szCs w:val="24"/>
        </w:rPr>
      </w:pPr>
      <w:r w:rsidRPr="003039E0">
        <w:rPr>
          <w:rFonts w:ascii="Arial" w:hAnsi="Arial" w:cs="Arial"/>
          <w:b/>
          <w:szCs w:val="24"/>
        </w:rPr>
        <w:t>See Item 1 above</w:t>
      </w:r>
      <w:r>
        <w:rPr>
          <w:rFonts w:ascii="Arial" w:hAnsi="Arial" w:cs="Arial"/>
          <w:b/>
          <w:szCs w:val="24"/>
        </w:rPr>
        <w:t>.</w:t>
      </w:r>
    </w:p>
    <w:p w14:paraId="1A143AED" w14:textId="77777777" w:rsidR="001F59C7" w:rsidRPr="003039E0" w:rsidRDefault="001F59C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11" w:name="_Hlk54811610"/>
      <w:r w:rsidRPr="003039E0">
        <w:rPr>
          <w:rFonts w:ascii="Arial" w:hAnsi="Arial" w:cs="Arial"/>
          <w:b/>
          <w:szCs w:val="24"/>
        </w:rPr>
        <w:t>See Item 1 above.</w:t>
      </w:r>
    </w:p>
    <w:bookmarkEnd w:id="11"/>
    <w:p w14:paraId="166B2B35" w14:textId="4BD3CBE9" w:rsidR="00640E94" w:rsidRDefault="00640E94" w:rsidP="003A4E43">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785C09ED" w14:textId="43935FE1" w:rsidR="009D52AE" w:rsidRDefault="003A4E43" w:rsidP="003A4E43">
      <w:pPr>
        <w:pStyle w:val="List"/>
        <w:spacing w:before="120"/>
        <w:ind w:left="720" w:firstLine="0"/>
        <w:jc w:val="both"/>
        <w:rPr>
          <w:rFonts w:ascii="Arial" w:eastAsia="Times New Roman" w:hAnsi="Arial" w:cs="Arial"/>
          <w:b/>
          <w:bCs/>
          <w:szCs w:val="24"/>
          <w:shd w:val="clear" w:color="auto" w:fill="FFFFFF"/>
          <w:lang w:val="en-CA"/>
        </w:rPr>
      </w:pPr>
      <w:bookmarkStart w:id="12" w:name="_Hlk26545824"/>
      <w:r w:rsidRPr="008C3A21">
        <w:rPr>
          <w:rFonts w:ascii="Arial" w:hAnsi="Arial" w:cs="Arial"/>
          <w:b/>
          <w:bCs/>
          <w:szCs w:val="24"/>
        </w:rPr>
        <w:t>None</w:t>
      </w:r>
      <w:r w:rsidRPr="003039E0">
        <w:rPr>
          <w:rFonts w:ascii="Arial" w:hAnsi="Arial" w:cs="Arial"/>
          <w:b/>
          <w:szCs w:val="24"/>
        </w:rPr>
        <w:t>.</w:t>
      </w:r>
    </w:p>
    <w:bookmarkEnd w:id="12"/>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bookmarkStart w:id="13" w:name="_Hlk100135795"/>
      <w:bookmarkStart w:id="14" w:name="_Hlk83586389"/>
      <w:bookmarkStart w:id="15" w:name="_Hlk73611569"/>
      <w:r w:rsidRPr="0030258F">
        <w:rPr>
          <w:rFonts w:ascii="Arial" w:eastAsia="Times New Roman" w:hAnsi="Arial" w:cs="Arial"/>
          <w:b/>
          <w:bCs/>
          <w:szCs w:val="24"/>
          <w:shd w:val="clear" w:color="auto" w:fill="FFFFFF"/>
          <w:lang w:val="en-CA"/>
        </w:rPr>
        <w:t>None</w:t>
      </w:r>
      <w:bookmarkEnd w:id="13"/>
      <w:r w:rsidRPr="0030258F">
        <w:rPr>
          <w:rFonts w:ascii="Arial" w:eastAsia="Times New Roman" w:hAnsi="Arial" w:cs="Arial"/>
          <w:b/>
          <w:bCs/>
          <w:szCs w:val="24"/>
          <w:shd w:val="clear" w:color="auto" w:fill="FFFFFF"/>
          <w:lang w:val="en-CA"/>
        </w:rPr>
        <w:t>.</w:t>
      </w:r>
      <w:bookmarkEnd w:id="14"/>
    </w:p>
    <w:bookmarkEnd w:id="15"/>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6" w:name="_Hlk83588941"/>
      <w:bookmarkStart w:id="17" w:name="_Hlk23771402"/>
      <w:r w:rsidRPr="003039E0">
        <w:rPr>
          <w:rFonts w:ascii="Arial" w:hAnsi="Arial" w:cs="Arial"/>
          <w:b/>
          <w:szCs w:val="24"/>
        </w:rPr>
        <w:t>See Item 1 above</w:t>
      </w:r>
      <w:bookmarkEnd w:id="16"/>
      <w:r w:rsidR="00C56F15" w:rsidRPr="003039E0">
        <w:rPr>
          <w:rFonts w:ascii="Arial" w:hAnsi="Arial" w:cs="Arial"/>
          <w:b/>
          <w:szCs w:val="24"/>
        </w:rPr>
        <w:t>.</w:t>
      </w:r>
    </w:p>
    <w:bookmarkEnd w:id="17"/>
    <w:p w14:paraId="45E599C5" w14:textId="42A1419F"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66DE9C8F" w:rsidR="00A71247" w:rsidRPr="000C5178" w:rsidRDefault="00856D25" w:rsidP="00A71247">
      <w:pPr>
        <w:pStyle w:val="List"/>
        <w:spacing w:before="120"/>
        <w:ind w:left="720" w:firstLine="0"/>
        <w:jc w:val="both"/>
        <w:rPr>
          <w:rFonts w:ascii="Arial" w:hAnsi="Arial" w:cs="Arial"/>
          <w:b/>
          <w:bCs/>
          <w:szCs w:val="24"/>
        </w:rPr>
      </w:pPr>
      <w:r w:rsidRPr="0030258F">
        <w:rPr>
          <w:rFonts w:ascii="Arial" w:eastAsia="Times New Roman" w:hAnsi="Arial" w:cs="Arial"/>
          <w:b/>
          <w:bCs/>
          <w:szCs w:val="24"/>
          <w:shd w:val="clear" w:color="auto" w:fill="FFFFFF"/>
          <w:lang w:val="en-CA"/>
        </w:rPr>
        <w:t>None</w:t>
      </w:r>
      <w:r w:rsidR="00F005C3" w:rsidRPr="0030258F">
        <w:rPr>
          <w:rFonts w:ascii="Arial" w:eastAsia="Times New Roman" w:hAnsi="Arial" w:cs="Arial"/>
          <w:b/>
          <w:bCs/>
          <w:szCs w:val="24"/>
          <w:shd w:val="clear" w:color="auto" w:fill="FFFFFF"/>
          <w:lang w:val="en-CA"/>
        </w:rPr>
        <w:t>.</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5D028B0F" w14:textId="3B717616" w:rsidR="00C13119" w:rsidRPr="00C13119" w:rsidRDefault="003A4E43" w:rsidP="00C13119">
      <w:pPr>
        <w:ind w:left="900" w:hanging="180"/>
        <w:jc w:val="both"/>
        <w:rPr>
          <w:rFonts w:ascii="Arial" w:eastAsia="Times New Roman" w:hAnsi="Arial" w:cs="Arial"/>
          <w:b/>
          <w:bCs/>
          <w:sz w:val="24"/>
          <w:szCs w:val="24"/>
          <w:lang w:val="en-CA"/>
        </w:rPr>
      </w:pPr>
      <w:r w:rsidRPr="003A4E43">
        <w:rPr>
          <w:rFonts w:ascii="Arial" w:hAnsi="Arial" w:cs="Arial"/>
          <w:b/>
          <w:bCs/>
          <w:sz w:val="24"/>
          <w:szCs w:val="24"/>
          <w:lang w:val="en-CA" w:eastAsia="zh-CN"/>
        </w:rPr>
        <w:t>None.</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8" w:name="_Hlk13056192"/>
      <w:bookmarkStart w:id="19" w:name="_Hlk71103529"/>
      <w:bookmarkStart w:id="20" w:name="_Hlk71041867"/>
      <w:r w:rsidRPr="003039E0">
        <w:rPr>
          <w:rFonts w:ascii="Arial" w:hAnsi="Arial" w:cs="Arial"/>
          <w:b/>
          <w:szCs w:val="24"/>
        </w:rPr>
        <w:t>None</w:t>
      </w:r>
      <w:bookmarkEnd w:id="18"/>
      <w:r w:rsidRPr="003039E0">
        <w:rPr>
          <w:rFonts w:ascii="Arial" w:hAnsi="Arial" w:cs="Arial"/>
          <w:b/>
          <w:szCs w:val="24"/>
        </w:rPr>
        <w:t>.</w:t>
      </w:r>
      <w:bookmarkEnd w:id="19"/>
    </w:p>
    <w:bookmarkEnd w:id="20"/>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618156AF" w14:textId="087D245F" w:rsidR="009D52AE" w:rsidRPr="00C610D4" w:rsidRDefault="00C610D4" w:rsidP="00C610D4">
      <w:pPr>
        <w:spacing w:before="120"/>
        <w:ind w:left="720"/>
        <w:jc w:val="both"/>
        <w:outlineLvl w:val="0"/>
        <w:rPr>
          <w:rFonts w:ascii="Arial" w:hAnsi="Arial" w:cs="Arial"/>
          <w:b/>
          <w:bCs/>
          <w:sz w:val="24"/>
          <w:szCs w:val="24"/>
          <w:lang w:val="en-CA"/>
        </w:rPr>
      </w:pPr>
      <w:bookmarkStart w:id="21" w:name="_Hlk23771423"/>
      <w:bookmarkStart w:id="22" w:name="_Hlk15998265"/>
      <w:r w:rsidRPr="00C610D4">
        <w:rPr>
          <w:rFonts w:ascii="Arial" w:hAnsi="Arial" w:cs="Arial"/>
          <w:b/>
          <w:bCs/>
          <w:sz w:val="24"/>
          <w:szCs w:val="24"/>
        </w:rPr>
        <w:t>The Company entered into debentures agreement an interest rate of 10% per annum</w:t>
      </w:r>
      <w:r w:rsidR="009D52AE" w:rsidRPr="00C610D4">
        <w:rPr>
          <w:rFonts w:ascii="Arial" w:hAnsi="Arial" w:cs="Arial"/>
          <w:b/>
          <w:bCs/>
          <w:sz w:val="24"/>
          <w:szCs w:val="24"/>
          <w:lang w:val="en-CA"/>
        </w:rPr>
        <w:t xml:space="preserve">.  </w:t>
      </w:r>
      <w:r w:rsidRPr="00C610D4">
        <w:rPr>
          <w:rFonts w:ascii="Arial" w:hAnsi="Arial" w:cs="Arial"/>
          <w:b/>
          <w:bCs/>
          <w:sz w:val="24"/>
          <w:szCs w:val="24"/>
        </w:rPr>
        <w:t xml:space="preserve">The debenture balance as at </w:t>
      </w:r>
      <w:r w:rsidR="00597538">
        <w:rPr>
          <w:rFonts w:ascii="Arial" w:hAnsi="Arial" w:cs="Arial"/>
          <w:b/>
          <w:bCs/>
          <w:sz w:val="24"/>
          <w:szCs w:val="24"/>
          <w:lang w:eastAsia="zh-CN"/>
        </w:rPr>
        <w:t>November 30</w:t>
      </w:r>
      <w:r w:rsidRPr="00C610D4">
        <w:rPr>
          <w:rFonts w:ascii="Arial" w:hAnsi="Arial" w:cs="Arial"/>
          <w:b/>
          <w:bCs/>
          <w:sz w:val="24"/>
          <w:szCs w:val="24"/>
        </w:rPr>
        <w:t xml:space="preserve">, 2021 includes </w:t>
      </w:r>
      <w:r>
        <w:rPr>
          <w:rFonts w:ascii="Arial" w:hAnsi="Arial" w:cs="Arial"/>
          <w:b/>
          <w:bCs/>
          <w:sz w:val="24"/>
          <w:szCs w:val="24"/>
        </w:rPr>
        <w:t>p</w:t>
      </w:r>
      <w:r w:rsidRPr="00C610D4">
        <w:rPr>
          <w:rFonts w:ascii="Arial" w:hAnsi="Arial" w:cs="Arial"/>
          <w:b/>
          <w:bCs/>
          <w:sz w:val="24"/>
          <w:szCs w:val="24"/>
        </w:rPr>
        <w:t>rincipal balance in the amount of $3,</w:t>
      </w:r>
      <w:r w:rsidR="00597538">
        <w:rPr>
          <w:rFonts w:ascii="Arial" w:hAnsi="Arial" w:cs="Arial"/>
          <w:b/>
          <w:bCs/>
          <w:sz w:val="24"/>
          <w:szCs w:val="24"/>
        </w:rPr>
        <w:t>645</w:t>
      </w:r>
      <w:r w:rsidRPr="00C610D4">
        <w:rPr>
          <w:rFonts w:ascii="Arial" w:hAnsi="Arial" w:cs="Arial"/>
          <w:b/>
          <w:bCs/>
          <w:sz w:val="24"/>
          <w:szCs w:val="24"/>
        </w:rPr>
        <w:t>,000</w:t>
      </w:r>
      <w:r>
        <w:rPr>
          <w:rFonts w:ascii="Arial" w:hAnsi="Arial" w:cs="Arial"/>
          <w:b/>
          <w:bCs/>
          <w:sz w:val="24"/>
          <w:szCs w:val="24"/>
        </w:rPr>
        <w:t>.</w:t>
      </w:r>
    </w:p>
    <w:bookmarkEnd w:id="21"/>
    <w:bookmarkEnd w:id="22"/>
    <w:p w14:paraId="38923954" w14:textId="77777777" w:rsidR="00640E94" w:rsidRPr="003039E0" w:rsidRDefault="00640E94" w:rsidP="00AD06C0">
      <w:pPr>
        <w:pStyle w:val="List"/>
        <w:numPr>
          <w:ilvl w:val="0"/>
          <w:numId w:val="28"/>
        </w:numPr>
        <w:spacing w:before="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174DBF38" w:rsidR="005C167D" w:rsidRPr="007D4005" w:rsidRDefault="003A4E43" w:rsidP="00927983">
      <w:pPr>
        <w:pStyle w:val="List"/>
        <w:spacing w:before="120"/>
        <w:ind w:left="720" w:firstLine="0"/>
        <w:jc w:val="both"/>
        <w:rPr>
          <w:rFonts w:ascii="Arial" w:hAnsi="Arial" w:cs="Arial"/>
          <w:b/>
          <w:bCs/>
          <w:shd w:val="clear" w:color="auto" w:fill="FFFFFF"/>
        </w:rPr>
      </w:pPr>
      <w:bookmarkStart w:id="23" w:name="_Hlk83385900"/>
      <w:r w:rsidRPr="003039E0">
        <w:rPr>
          <w:rFonts w:ascii="Arial" w:hAnsi="Arial" w:cs="Arial"/>
          <w:b/>
          <w:szCs w:val="24"/>
        </w:rPr>
        <w:t>None</w:t>
      </w:r>
      <w:bookmarkEnd w:id="23"/>
      <w:r w:rsidR="007D4005" w:rsidRPr="007D4005">
        <w:rPr>
          <w:rFonts w:ascii="Arial" w:eastAsia="Times New Roman" w:hAnsi="Arial" w:cs="Arial"/>
          <w:b/>
          <w:bCs/>
          <w:szCs w:val="24"/>
        </w:rPr>
        <w:t>.</w:t>
      </w:r>
      <w:r w:rsidR="001010D7" w:rsidRPr="007D4005">
        <w:rPr>
          <w:rFonts w:ascii="Arial" w:eastAsia="Times New Roman" w:hAnsi="Arial" w:cs="Arial"/>
          <w:b/>
          <w:bCs/>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8F9EB7" w:rsidR="003B2AD8" w:rsidRDefault="009408DC" w:rsidP="003A4E43">
      <w:pPr>
        <w:pStyle w:val="List"/>
        <w:spacing w:before="120" w:after="120"/>
        <w:ind w:left="720" w:firstLine="0"/>
        <w:jc w:val="both"/>
        <w:rPr>
          <w:rFonts w:ascii="Arial" w:hAnsi="Arial" w:cs="Arial"/>
          <w:b/>
          <w:szCs w:val="24"/>
        </w:rPr>
      </w:pPr>
      <w:bookmarkStart w:id="24" w:name="_Hlk42168363"/>
      <w:bookmarkStart w:id="25" w:name="_Hlk34307474"/>
      <w:r w:rsidRPr="003039E0">
        <w:rPr>
          <w:rFonts w:ascii="Arial" w:hAnsi="Arial" w:cs="Arial"/>
          <w:b/>
          <w:szCs w:val="24"/>
        </w:rPr>
        <w:t>None</w:t>
      </w:r>
      <w:bookmarkEnd w:id="24"/>
      <w:r w:rsidR="00E37261" w:rsidRPr="00E37261">
        <w:rPr>
          <w:rFonts w:ascii="Arial" w:hAnsi="Arial" w:cs="Arial"/>
          <w:b/>
          <w:szCs w:val="24"/>
        </w:rPr>
        <w:t>.</w:t>
      </w:r>
    </w:p>
    <w:bookmarkEnd w:id="25"/>
    <w:p w14:paraId="0425FAEA" w14:textId="77777777" w:rsidR="003B2AD8" w:rsidRPr="00274021" w:rsidRDefault="00640E94" w:rsidP="003A4E43">
      <w:pPr>
        <w:pStyle w:val="List"/>
        <w:numPr>
          <w:ilvl w:val="0"/>
          <w:numId w:val="28"/>
        </w:numPr>
        <w:spacing w:before="120" w:after="120"/>
        <w:jc w:val="both"/>
        <w:rPr>
          <w:rFonts w:ascii="Arial" w:hAnsi="Arial" w:cs="Arial"/>
          <w:szCs w:val="24"/>
        </w:rPr>
      </w:pPr>
      <w:r w:rsidRPr="00274021">
        <w:rPr>
          <w:rFonts w:ascii="Arial" w:hAnsi="Arial" w:cs="Arial"/>
          <w:szCs w:val="24"/>
        </w:rPr>
        <w:t>Provide details of any changes in directors, officers or committee members.</w:t>
      </w:r>
    </w:p>
    <w:p w14:paraId="108C8F39" w14:textId="52229956" w:rsidR="009864D3" w:rsidRPr="001F59C7" w:rsidRDefault="003A4E43" w:rsidP="003A4E43">
      <w:pPr>
        <w:shd w:val="clear" w:color="auto" w:fill="FFFFFF"/>
        <w:spacing w:before="120"/>
        <w:ind w:left="720"/>
        <w:jc w:val="both"/>
        <w:rPr>
          <w:rFonts w:ascii="Arial" w:hAnsi="Arial" w:cs="Arial"/>
          <w:b/>
          <w:sz w:val="24"/>
          <w:szCs w:val="24"/>
          <w:shd w:val="clear" w:color="auto" w:fill="FFFFFF"/>
          <w:lang w:val="en-CA"/>
        </w:rPr>
      </w:pPr>
      <w:r w:rsidRPr="001F59C7">
        <w:rPr>
          <w:rFonts w:ascii="Arial" w:hAnsi="Arial" w:cs="Arial"/>
          <w:b/>
          <w:sz w:val="24"/>
          <w:szCs w:val="24"/>
        </w:rPr>
        <w:t>None</w:t>
      </w:r>
      <w:r w:rsidR="00F8537E" w:rsidRPr="001F59C7">
        <w:rPr>
          <w:rFonts w:ascii="Arial" w:eastAsia="Times New Roman" w:hAnsi="Arial" w:cs="Arial"/>
          <w:b/>
          <w:bCs/>
          <w:sz w:val="24"/>
          <w:szCs w:val="24"/>
          <w:shd w:val="clear" w:color="auto" w:fill="FFFFFF"/>
          <w:lang w:val="en-CA"/>
        </w:rPr>
        <w:t>.</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2DDD415A" w:rsidR="005866F5"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1961D7E2" w14:textId="77777777" w:rsidR="002248EC" w:rsidRDefault="002248EC" w:rsidP="00017BF3">
      <w:pPr>
        <w:rPr>
          <w:rFonts w:ascii="Arial" w:hAnsi="Arial" w:cs="Arial"/>
          <w:b/>
          <w:sz w:val="24"/>
          <w:szCs w:val="24"/>
        </w:rPr>
      </w:pPr>
    </w:p>
    <w:p w14:paraId="4510EC78" w14:textId="1CB2023B" w:rsidR="00640E94" w:rsidRPr="003039E0" w:rsidRDefault="00640E94" w:rsidP="00017BF3">
      <w:pPr>
        <w:rPr>
          <w:rFonts w:ascii="Arial" w:hAnsi="Arial" w:cs="Arial"/>
          <w:b/>
          <w:sz w:val="24"/>
          <w:szCs w:val="24"/>
        </w:rPr>
      </w:pPr>
      <w:r w:rsidRPr="003039E0">
        <w:rPr>
          <w:rFonts w:ascii="Arial" w:hAnsi="Arial" w:cs="Arial"/>
          <w:b/>
          <w:sz w:val="24"/>
          <w:szCs w:val="24"/>
        </w:rPr>
        <w:lastRenderedPageBreak/>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78CE9AEB"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597538">
        <w:rPr>
          <w:rFonts w:ascii="Arial" w:hAnsi="Arial" w:cs="Arial"/>
          <w:b/>
          <w:szCs w:val="24"/>
          <w:u w:val="single"/>
        </w:rPr>
        <w:t>December</w:t>
      </w:r>
      <w:r w:rsidR="00F005C3">
        <w:rPr>
          <w:rFonts w:ascii="Arial" w:hAnsi="Arial" w:cs="Arial"/>
          <w:b/>
          <w:szCs w:val="24"/>
          <w:u w:val="single"/>
        </w:rPr>
        <w:t xml:space="preserve"> </w:t>
      </w:r>
      <w:r w:rsidR="00F8537E">
        <w:rPr>
          <w:rFonts w:ascii="Arial" w:hAnsi="Arial" w:cs="Arial"/>
          <w:b/>
          <w:szCs w:val="24"/>
          <w:u w:val="single"/>
        </w:rPr>
        <w:t>5</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53503DB2" w:rsidR="00640E94" w:rsidRDefault="00640E94">
      <w:pPr>
        <w:pStyle w:val="BodyText"/>
        <w:tabs>
          <w:tab w:val="left" w:pos="9180"/>
        </w:tabs>
        <w:spacing w:before="0"/>
        <w:ind w:left="5760"/>
        <w:rPr>
          <w:rFonts w:ascii="Arial" w:hAnsi="Arial" w:cs="Arial"/>
          <w:szCs w:val="24"/>
        </w:rPr>
      </w:pPr>
    </w:p>
    <w:p w14:paraId="485BCAA0" w14:textId="77777777" w:rsidR="001F59C7" w:rsidRDefault="001F59C7">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1BF5D214" w:rsidR="00212929" w:rsidRPr="00131E8B" w:rsidRDefault="00597538" w:rsidP="006922DF">
            <w:pPr>
              <w:pStyle w:val="BodyText"/>
              <w:spacing w:before="0"/>
              <w:rPr>
                <w:rFonts w:ascii="Arial" w:hAnsi="Arial" w:cs="Arial"/>
                <w:b/>
                <w:szCs w:val="24"/>
              </w:rPr>
            </w:pPr>
            <w:r>
              <w:rPr>
                <w:rFonts w:ascii="Arial" w:hAnsi="Arial" w:cs="Arial"/>
                <w:b/>
                <w:szCs w:val="24"/>
              </w:rPr>
              <w:t>November 30</w:t>
            </w:r>
            <w:r w:rsidR="007561FB" w:rsidRPr="00131E8B">
              <w:rPr>
                <w:rFonts w:ascii="Arial" w:hAnsi="Arial" w:cs="Arial"/>
                <w:b/>
                <w:szCs w:val="24"/>
              </w:rPr>
              <w:t>, 20</w:t>
            </w:r>
            <w:r w:rsidR="005A13EF" w:rsidRPr="00131E8B">
              <w:rPr>
                <w:rFonts w:ascii="Arial" w:hAnsi="Arial" w:cs="Arial"/>
                <w:b/>
                <w:szCs w:val="24"/>
              </w:rPr>
              <w:t>2</w:t>
            </w:r>
            <w:r w:rsidR="002637DC">
              <w:rPr>
                <w:rFonts w:ascii="Arial" w:hAnsi="Arial" w:cs="Arial"/>
                <w:b/>
                <w:szCs w:val="24"/>
              </w:rPr>
              <w:t>1</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651DB69F"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0C2BC2">
              <w:rPr>
                <w:rFonts w:ascii="Arial" w:hAnsi="Arial" w:cs="Arial"/>
                <w:b/>
                <w:szCs w:val="24"/>
              </w:rPr>
              <w:t>1</w:t>
            </w:r>
            <w:r w:rsidR="00597538">
              <w:rPr>
                <w:rFonts w:ascii="Arial" w:hAnsi="Arial" w:cs="Arial"/>
                <w:b/>
                <w:szCs w:val="24"/>
              </w:rPr>
              <w:t>2</w:t>
            </w:r>
            <w:r w:rsidR="007F77BB" w:rsidRPr="00131E8B">
              <w:rPr>
                <w:rFonts w:ascii="Arial" w:hAnsi="Arial" w:cs="Arial"/>
                <w:b/>
                <w:szCs w:val="24"/>
              </w:rPr>
              <w:t>/</w:t>
            </w:r>
            <w:r w:rsidR="000C5178">
              <w:rPr>
                <w:rFonts w:ascii="Arial" w:hAnsi="Arial" w:cs="Arial"/>
                <w:b/>
                <w:szCs w:val="24"/>
              </w:rPr>
              <w:t>05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1DACC778" w14:textId="0633E417" w:rsidR="00640E94" w:rsidRPr="000C5178" w:rsidRDefault="000C5178">
            <w:pPr>
              <w:pStyle w:val="BodyText"/>
              <w:spacing w:before="0"/>
              <w:rPr>
                <w:rFonts w:ascii="Arial" w:hAnsi="Arial" w:cs="Arial"/>
                <w:b/>
                <w:bCs/>
                <w:szCs w:val="24"/>
              </w:rPr>
            </w:pPr>
            <w:r w:rsidRPr="000C5178">
              <w:rPr>
                <w:rFonts w:ascii="Arial" w:eastAsia="Times New Roman" w:hAnsi="Arial" w:cs="Arial"/>
                <w:b/>
                <w:bCs/>
                <w:szCs w:val="24"/>
              </w:rPr>
              <w:t xml:space="preserve">13460 Rippington Road, </w:t>
            </w: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40CB7329" w:rsidR="00640E94" w:rsidRPr="00520CCC" w:rsidRDefault="000C5178">
            <w:pPr>
              <w:pStyle w:val="BodyText"/>
              <w:spacing w:before="0"/>
              <w:rPr>
                <w:rFonts w:ascii="Arial" w:hAnsi="Arial" w:cs="Arial"/>
                <w:b/>
                <w:bCs/>
                <w:szCs w:val="24"/>
              </w:rPr>
            </w:pPr>
            <w:r w:rsidRPr="00520CCC">
              <w:rPr>
                <w:rFonts w:ascii="Arial" w:eastAsia="Times New Roman" w:hAnsi="Arial" w:cs="Arial"/>
                <w:b/>
                <w:bCs/>
                <w:szCs w:val="24"/>
              </w:rPr>
              <w:t>Pitt Meadows</w:t>
            </w:r>
            <w:r w:rsidR="00212929" w:rsidRPr="00520CCC">
              <w:rPr>
                <w:rFonts w:ascii="Arial" w:hAnsi="Arial" w:cs="Arial"/>
                <w:b/>
                <w:bCs/>
                <w:szCs w:val="24"/>
              </w:rPr>
              <w:t xml:space="preserve">, BC </w:t>
            </w:r>
            <w:r w:rsidR="00520CCC" w:rsidRPr="00520CCC">
              <w:rPr>
                <w:rFonts w:ascii="Arial" w:hAnsi="Arial" w:cs="Arial"/>
                <w:b/>
                <w:bCs/>
                <w:color w:val="000000"/>
                <w:szCs w:val="24"/>
                <w:lang w:val="en-CA"/>
              </w:rPr>
              <w:t>V3Y 1Z1</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4F76" w14:textId="77777777" w:rsidR="00FF4C0C" w:rsidRDefault="00FF4C0C">
      <w:r>
        <w:separator/>
      </w:r>
    </w:p>
  </w:endnote>
  <w:endnote w:type="continuationSeparator" w:id="0">
    <w:p w14:paraId="5961B763" w14:textId="77777777" w:rsidR="00FF4C0C" w:rsidRDefault="00FF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4A44" w14:textId="77777777" w:rsidR="00FF4C0C" w:rsidRDefault="00FF4C0C">
      <w:r>
        <w:separator/>
      </w:r>
    </w:p>
  </w:footnote>
  <w:footnote w:type="continuationSeparator" w:id="0">
    <w:p w14:paraId="6DC50E31" w14:textId="77777777" w:rsidR="00FF4C0C" w:rsidRDefault="00FF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37642"/>
    <w:rsid w:val="0003784D"/>
    <w:rsid w:val="000430DA"/>
    <w:rsid w:val="00046FAA"/>
    <w:rsid w:val="00050A8D"/>
    <w:rsid w:val="000534FD"/>
    <w:rsid w:val="00054BD8"/>
    <w:rsid w:val="000A1AB1"/>
    <w:rsid w:val="000B3E58"/>
    <w:rsid w:val="000B6296"/>
    <w:rsid w:val="000C29A9"/>
    <w:rsid w:val="000C2BC2"/>
    <w:rsid w:val="000C4F8A"/>
    <w:rsid w:val="000C5178"/>
    <w:rsid w:val="000D3445"/>
    <w:rsid w:val="000D3850"/>
    <w:rsid w:val="000E1309"/>
    <w:rsid w:val="001010D7"/>
    <w:rsid w:val="00103185"/>
    <w:rsid w:val="0010383D"/>
    <w:rsid w:val="00106F69"/>
    <w:rsid w:val="001075C9"/>
    <w:rsid w:val="0011525F"/>
    <w:rsid w:val="00115A41"/>
    <w:rsid w:val="001315A6"/>
    <w:rsid w:val="00131E8B"/>
    <w:rsid w:val="00141ACC"/>
    <w:rsid w:val="00150F79"/>
    <w:rsid w:val="001554A8"/>
    <w:rsid w:val="00161E93"/>
    <w:rsid w:val="00164E77"/>
    <w:rsid w:val="00165612"/>
    <w:rsid w:val="00176A56"/>
    <w:rsid w:val="001820D0"/>
    <w:rsid w:val="0019184C"/>
    <w:rsid w:val="00195D96"/>
    <w:rsid w:val="001C233F"/>
    <w:rsid w:val="001C7D87"/>
    <w:rsid w:val="001E3E9A"/>
    <w:rsid w:val="001F10CA"/>
    <w:rsid w:val="001F5544"/>
    <w:rsid w:val="001F59C7"/>
    <w:rsid w:val="002059BF"/>
    <w:rsid w:val="00210554"/>
    <w:rsid w:val="00212929"/>
    <w:rsid w:val="00214FB2"/>
    <w:rsid w:val="002218B2"/>
    <w:rsid w:val="00222954"/>
    <w:rsid w:val="002230FB"/>
    <w:rsid w:val="0022464B"/>
    <w:rsid w:val="002248EC"/>
    <w:rsid w:val="00230220"/>
    <w:rsid w:val="00230D51"/>
    <w:rsid w:val="00230E37"/>
    <w:rsid w:val="00231C5F"/>
    <w:rsid w:val="00233439"/>
    <w:rsid w:val="0023669A"/>
    <w:rsid w:val="002520D8"/>
    <w:rsid w:val="002538F5"/>
    <w:rsid w:val="00253EDB"/>
    <w:rsid w:val="002637DC"/>
    <w:rsid w:val="00273786"/>
    <w:rsid w:val="00274021"/>
    <w:rsid w:val="00287F5F"/>
    <w:rsid w:val="00290527"/>
    <w:rsid w:val="00294B88"/>
    <w:rsid w:val="00295C71"/>
    <w:rsid w:val="002B0976"/>
    <w:rsid w:val="002B1641"/>
    <w:rsid w:val="002C281E"/>
    <w:rsid w:val="002C32F6"/>
    <w:rsid w:val="002C399E"/>
    <w:rsid w:val="002D3FAA"/>
    <w:rsid w:val="002D6B82"/>
    <w:rsid w:val="002D6F4E"/>
    <w:rsid w:val="002E3D23"/>
    <w:rsid w:val="002F00EB"/>
    <w:rsid w:val="002F2507"/>
    <w:rsid w:val="002F3E5F"/>
    <w:rsid w:val="002F54F7"/>
    <w:rsid w:val="00301CEC"/>
    <w:rsid w:val="00302451"/>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A4E43"/>
    <w:rsid w:val="003B0B92"/>
    <w:rsid w:val="003B2AD8"/>
    <w:rsid w:val="003B3645"/>
    <w:rsid w:val="003B4EB5"/>
    <w:rsid w:val="003C19CF"/>
    <w:rsid w:val="003C36C2"/>
    <w:rsid w:val="003C6B52"/>
    <w:rsid w:val="003D7176"/>
    <w:rsid w:val="003E62ED"/>
    <w:rsid w:val="003F2A7F"/>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1994"/>
    <w:rsid w:val="0051790A"/>
    <w:rsid w:val="00520CCC"/>
    <w:rsid w:val="00522E30"/>
    <w:rsid w:val="00531A46"/>
    <w:rsid w:val="00533002"/>
    <w:rsid w:val="00542678"/>
    <w:rsid w:val="0054426C"/>
    <w:rsid w:val="005453C8"/>
    <w:rsid w:val="005574EF"/>
    <w:rsid w:val="0057223E"/>
    <w:rsid w:val="00572965"/>
    <w:rsid w:val="0057758C"/>
    <w:rsid w:val="005866F5"/>
    <w:rsid w:val="00586CE0"/>
    <w:rsid w:val="00597538"/>
    <w:rsid w:val="005A13EF"/>
    <w:rsid w:val="005A716B"/>
    <w:rsid w:val="005C167D"/>
    <w:rsid w:val="005D6F5A"/>
    <w:rsid w:val="005E4E28"/>
    <w:rsid w:val="005E74F8"/>
    <w:rsid w:val="005F6D8F"/>
    <w:rsid w:val="005F7E45"/>
    <w:rsid w:val="0060735A"/>
    <w:rsid w:val="0061399B"/>
    <w:rsid w:val="00620E7F"/>
    <w:rsid w:val="006220C0"/>
    <w:rsid w:val="00630050"/>
    <w:rsid w:val="00633ED3"/>
    <w:rsid w:val="00635CBD"/>
    <w:rsid w:val="00635E9A"/>
    <w:rsid w:val="006401AB"/>
    <w:rsid w:val="00640E94"/>
    <w:rsid w:val="00640EFE"/>
    <w:rsid w:val="00642D8B"/>
    <w:rsid w:val="006543B2"/>
    <w:rsid w:val="00657E8C"/>
    <w:rsid w:val="00666919"/>
    <w:rsid w:val="006673B2"/>
    <w:rsid w:val="006723A3"/>
    <w:rsid w:val="00673A0E"/>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03707"/>
    <w:rsid w:val="00705F1B"/>
    <w:rsid w:val="0071025A"/>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D4005"/>
    <w:rsid w:val="007E4193"/>
    <w:rsid w:val="007F77BB"/>
    <w:rsid w:val="00803B89"/>
    <w:rsid w:val="00812527"/>
    <w:rsid w:val="00817F32"/>
    <w:rsid w:val="00833285"/>
    <w:rsid w:val="00833EBF"/>
    <w:rsid w:val="0083628E"/>
    <w:rsid w:val="00847758"/>
    <w:rsid w:val="00856D25"/>
    <w:rsid w:val="00882AF8"/>
    <w:rsid w:val="008835EC"/>
    <w:rsid w:val="00894C31"/>
    <w:rsid w:val="00894E19"/>
    <w:rsid w:val="008A5844"/>
    <w:rsid w:val="008A71CA"/>
    <w:rsid w:val="008B0114"/>
    <w:rsid w:val="008B7E92"/>
    <w:rsid w:val="008C3A21"/>
    <w:rsid w:val="008C7DF6"/>
    <w:rsid w:val="008E7F4E"/>
    <w:rsid w:val="008F1D04"/>
    <w:rsid w:val="0090160B"/>
    <w:rsid w:val="009028A4"/>
    <w:rsid w:val="009043C4"/>
    <w:rsid w:val="0090452A"/>
    <w:rsid w:val="00905366"/>
    <w:rsid w:val="009053E3"/>
    <w:rsid w:val="00905EF7"/>
    <w:rsid w:val="009066EC"/>
    <w:rsid w:val="009110C5"/>
    <w:rsid w:val="00917AA3"/>
    <w:rsid w:val="0092048E"/>
    <w:rsid w:val="00922A46"/>
    <w:rsid w:val="00923164"/>
    <w:rsid w:val="00923F39"/>
    <w:rsid w:val="00927983"/>
    <w:rsid w:val="009400D9"/>
    <w:rsid w:val="009408DC"/>
    <w:rsid w:val="00946758"/>
    <w:rsid w:val="009468B6"/>
    <w:rsid w:val="009531C4"/>
    <w:rsid w:val="009560BF"/>
    <w:rsid w:val="00964553"/>
    <w:rsid w:val="00965D23"/>
    <w:rsid w:val="00975F94"/>
    <w:rsid w:val="00981E73"/>
    <w:rsid w:val="009860CE"/>
    <w:rsid w:val="009864D3"/>
    <w:rsid w:val="00986F92"/>
    <w:rsid w:val="009A6F1F"/>
    <w:rsid w:val="009C163C"/>
    <w:rsid w:val="009D3193"/>
    <w:rsid w:val="009D52AE"/>
    <w:rsid w:val="009D71A8"/>
    <w:rsid w:val="009E1985"/>
    <w:rsid w:val="009F56BC"/>
    <w:rsid w:val="00A05546"/>
    <w:rsid w:val="00A12C35"/>
    <w:rsid w:val="00A35B0C"/>
    <w:rsid w:val="00A36807"/>
    <w:rsid w:val="00A47914"/>
    <w:rsid w:val="00A5550F"/>
    <w:rsid w:val="00A57CB5"/>
    <w:rsid w:val="00A60596"/>
    <w:rsid w:val="00A60B81"/>
    <w:rsid w:val="00A61685"/>
    <w:rsid w:val="00A66DC2"/>
    <w:rsid w:val="00A71247"/>
    <w:rsid w:val="00A95CB3"/>
    <w:rsid w:val="00A968FC"/>
    <w:rsid w:val="00AA1022"/>
    <w:rsid w:val="00AA4589"/>
    <w:rsid w:val="00AA465C"/>
    <w:rsid w:val="00AB155B"/>
    <w:rsid w:val="00AB47F1"/>
    <w:rsid w:val="00AC225E"/>
    <w:rsid w:val="00AD06C0"/>
    <w:rsid w:val="00AD46C7"/>
    <w:rsid w:val="00AD6A9E"/>
    <w:rsid w:val="00AD7DEF"/>
    <w:rsid w:val="00B04B9E"/>
    <w:rsid w:val="00B119E2"/>
    <w:rsid w:val="00B1773D"/>
    <w:rsid w:val="00B25053"/>
    <w:rsid w:val="00B50B03"/>
    <w:rsid w:val="00B51128"/>
    <w:rsid w:val="00B56C8C"/>
    <w:rsid w:val="00B72C9F"/>
    <w:rsid w:val="00B805A6"/>
    <w:rsid w:val="00B80F5C"/>
    <w:rsid w:val="00B82B0C"/>
    <w:rsid w:val="00B83342"/>
    <w:rsid w:val="00BA3D5A"/>
    <w:rsid w:val="00BA4DAE"/>
    <w:rsid w:val="00BB3B2B"/>
    <w:rsid w:val="00BC21C5"/>
    <w:rsid w:val="00BC255B"/>
    <w:rsid w:val="00BE2281"/>
    <w:rsid w:val="00BF2B01"/>
    <w:rsid w:val="00BF6FDD"/>
    <w:rsid w:val="00C030D0"/>
    <w:rsid w:val="00C12401"/>
    <w:rsid w:val="00C13119"/>
    <w:rsid w:val="00C20199"/>
    <w:rsid w:val="00C27A18"/>
    <w:rsid w:val="00C37068"/>
    <w:rsid w:val="00C425D6"/>
    <w:rsid w:val="00C56F15"/>
    <w:rsid w:val="00C610D4"/>
    <w:rsid w:val="00C6383E"/>
    <w:rsid w:val="00C70BB0"/>
    <w:rsid w:val="00C712CD"/>
    <w:rsid w:val="00C71E51"/>
    <w:rsid w:val="00C85A34"/>
    <w:rsid w:val="00C91CEA"/>
    <w:rsid w:val="00C92AD5"/>
    <w:rsid w:val="00CA0DC6"/>
    <w:rsid w:val="00CA7117"/>
    <w:rsid w:val="00CB54CF"/>
    <w:rsid w:val="00CD0F0A"/>
    <w:rsid w:val="00CD4E45"/>
    <w:rsid w:val="00CD7FCD"/>
    <w:rsid w:val="00CE590D"/>
    <w:rsid w:val="00CE7BB7"/>
    <w:rsid w:val="00CF6BE9"/>
    <w:rsid w:val="00D02EDB"/>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1302"/>
    <w:rsid w:val="00EC6952"/>
    <w:rsid w:val="00ED2DDD"/>
    <w:rsid w:val="00EE4918"/>
    <w:rsid w:val="00EE49ED"/>
    <w:rsid w:val="00EE4ED6"/>
    <w:rsid w:val="00EE5745"/>
    <w:rsid w:val="00F005C3"/>
    <w:rsid w:val="00F20916"/>
    <w:rsid w:val="00F45F14"/>
    <w:rsid w:val="00F52AC9"/>
    <w:rsid w:val="00F56960"/>
    <w:rsid w:val="00F569B2"/>
    <w:rsid w:val="00F73A97"/>
    <w:rsid w:val="00F8537E"/>
    <w:rsid w:val="00FA757D"/>
    <w:rsid w:val="00FA7C9C"/>
    <w:rsid w:val="00FB2183"/>
    <w:rsid w:val="00FB2967"/>
    <w:rsid w:val="00FB2A8E"/>
    <w:rsid w:val="00FD66EE"/>
    <w:rsid w:val="00FD79F6"/>
    <w:rsid w:val="00FE2491"/>
    <w:rsid w:val="00FE2DCB"/>
    <w:rsid w:val="00FE41F4"/>
    <w:rsid w:val="00FF4C0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4</cp:revision>
  <cp:lastPrinted>2018-07-12T23:54:00Z</cp:lastPrinted>
  <dcterms:created xsi:type="dcterms:W3CDTF">2022-04-06T18:57:00Z</dcterms:created>
  <dcterms:modified xsi:type="dcterms:W3CDTF">2022-04-06T19:08:00Z</dcterms:modified>
</cp:coreProperties>
</file>