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E492D88"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71,</w:t>
      </w:r>
      <w:r w:rsidR="00FE2491" w:rsidRPr="00FE2491">
        <w:rPr>
          <w:rFonts w:ascii="Arial" w:eastAsiaTheme="minorEastAsia" w:hAnsi="Arial" w:cs="Arial"/>
          <w:color w:val="000000"/>
          <w:u w:val="single"/>
          <w:lang w:eastAsia="zh-CN"/>
        </w:rPr>
        <w:t>5</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0EEC10B5"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BC21C5">
        <w:rPr>
          <w:rFonts w:ascii="Arial" w:hAnsi="Arial" w:cs="Arial"/>
          <w:b/>
          <w:color w:val="000000"/>
          <w:szCs w:val="24"/>
          <w:u w:val="single"/>
        </w:rPr>
        <w:t>December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The Company, through its wholly owned subsidiary Potanicals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bookmarkStart w:id="6" w:name="_GoBack"/>
      <w:bookmarkEnd w:id="6"/>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7405713C" w14:textId="1149A123" w:rsidR="00833EBF" w:rsidRPr="00BC21C5" w:rsidRDefault="00833EBF" w:rsidP="00BC21C5">
      <w:pPr>
        <w:ind w:left="709"/>
        <w:jc w:val="both"/>
        <w:rPr>
          <w:rFonts w:ascii="Arial" w:eastAsia="Times New Roman" w:hAnsi="Arial" w:cs="Arial"/>
          <w:b/>
          <w:color w:val="000000"/>
          <w:sz w:val="24"/>
          <w:szCs w:val="24"/>
          <w:lang w:val="en-CA" w:eastAsia="zh-CN"/>
        </w:rPr>
      </w:pPr>
      <w:r w:rsidRPr="00BC21C5">
        <w:rPr>
          <w:rFonts w:ascii="Arial" w:eastAsia="Times New Roman" w:hAnsi="Arial" w:cs="Arial"/>
          <w:b/>
          <w:color w:val="000000"/>
          <w:sz w:val="24"/>
          <w:szCs w:val="24"/>
          <w:lang w:val="en-CA" w:eastAsia="zh-CN"/>
        </w:rPr>
        <w:t>In September 2019, the Company has signed a licensed producer supply agreement for non-medical cannabis with the Province of British Columbia. In British Columbia, Benchmark has signed an agreement with the B.C. Liquor Distribution Branch (BCLDB), the sole, wholesale distributor of non-medical cannabis for the province that will operate stand-alone, public retail stores and provide on-line sales.</w:t>
      </w:r>
    </w:p>
    <w:p w14:paraId="50B763BA" w14:textId="2679B043" w:rsidR="00BC21C5" w:rsidRPr="00BC21C5" w:rsidRDefault="00BC21C5" w:rsidP="00BC21C5">
      <w:pPr>
        <w:ind w:left="709"/>
        <w:jc w:val="both"/>
        <w:rPr>
          <w:rFonts w:ascii="Arial" w:eastAsia="Times New Roman" w:hAnsi="Arial" w:cs="Arial"/>
          <w:b/>
          <w:color w:val="000000"/>
          <w:sz w:val="24"/>
          <w:szCs w:val="24"/>
          <w:lang w:val="en-CA" w:eastAsia="zh-CN"/>
        </w:rPr>
      </w:pPr>
    </w:p>
    <w:p w14:paraId="65D47E6A" w14:textId="5B4200FC"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240288A5" w14:textId="77777777"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7" w:name="_Hlk15998055"/>
      <w:r w:rsidRPr="003039E0">
        <w:rPr>
          <w:rFonts w:ascii="Arial" w:hAnsi="Arial" w:cs="Arial"/>
          <w:b/>
          <w:szCs w:val="24"/>
        </w:rPr>
        <w:t>See Item 1 above</w:t>
      </w:r>
      <w:bookmarkEnd w:id="7"/>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05B87595" w:rsidR="009A6F1F" w:rsidRPr="003039E0" w:rsidRDefault="00050A8D" w:rsidP="002059BF">
      <w:pPr>
        <w:pStyle w:val="List"/>
        <w:spacing w:before="120"/>
        <w:ind w:left="720" w:firstLine="0"/>
        <w:jc w:val="both"/>
        <w:rPr>
          <w:rFonts w:ascii="Arial" w:hAnsi="Arial" w:cs="Arial" w:hint="eastAsia"/>
          <w:b/>
          <w:szCs w:val="24"/>
          <w:lang w:eastAsia="zh-CN"/>
        </w:rPr>
      </w:pPr>
      <w:r w:rsidRPr="003039E0">
        <w:rPr>
          <w:rFonts w:ascii="Arial" w:hAnsi="Arial" w:cs="Arial"/>
          <w:b/>
          <w:szCs w:val="24"/>
        </w:rPr>
        <w:t>See Item 1 above.</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business relationships entered into between the Issuer, the Issuer’s affiliates or third parties including contracts to supply products or services, </w:t>
      </w:r>
      <w:r w:rsidRPr="003039E0">
        <w:rPr>
          <w:rFonts w:ascii="Arial" w:hAnsi="Arial" w:cs="Arial"/>
          <w:szCs w:val="24"/>
        </w:rPr>
        <w:lastRenderedPageBreak/>
        <w:t>joint venture agreements and licensing agreements etc. State whether the relationship is with a Related Person of the Issuer and provide details of the relationship.</w:t>
      </w:r>
    </w:p>
    <w:p w14:paraId="4BACC1DF" w14:textId="055461B0" w:rsidR="008C3A21" w:rsidRPr="008C3A21" w:rsidRDefault="008C3A21" w:rsidP="008C3A21">
      <w:pPr>
        <w:pStyle w:val="List"/>
        <w:spacing w:before="120"/>
        <w:ind w:left="720" w:firstLine="0"/>
        <w:jc w:val="both"/>
        <w:rPr>
          <w:rFonts w:ascii="Arial" w:hAnsi="Arial" w:cs="Arial"/>
          <w:b/>
          <w:bCs/>
          <w:szCs w:val="24"/>
        </w:rPr>
      </w:pPr>
      <w:r w:rsidRPr="008C3A21">
        <w:rPr>
          <w:rFonts w:ascii="Arial" w:hAnsi="Arial" w:cs="Arial"/>
          <w:b/>
          <w:bCs/>
          <w:szCs w:val="24"/>
        </w:rPr>
        <w:t>None</w:t>
      </w:r>
      <w:r>
        <w:rPr>
          <w:rFonts w:ascii="Arial" w:hAnsi="Arial" w:cs="Arial"/>
          <w:b/>
          <w:bCs/>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bookmarkStart w:id="9" w:name="_Hlk26545824"/>
      <w:r w:rsidRPr="003039E0">
        <w:rPr>
          <w:rFonts w:ascii="Arial" w:hAnsi="Arial" w:cs="Arial"/>
          <w:b/>
          <w:szCs w:val="24"/>
        </w:rPr>
        <w:t>None.</w:t>
      </w:r>
      <w:bookmarkEnd w:id="8"/>
    </w:p>
    <w:bookmarkEnd w:id="9"/>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77777777" w:rsidR="00BC21C5" w:rsidRPr="003039E0" w:rsidRDefault="00BC21C5" w:rsidP="00BC21C5">
      <w:pPr>
        <w:pStyle w:val="List"/>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10" w:name="_Hlk13056154"/>
      <w:bookmarkStart w:id="11" w:name="_Hlk23771402"/>
      <w:r w:rsidRPr="003039E0">
        <w:rPr>
          <w:rFonts w:ascii="Arial" w:hAnsi="Arial" w:cs="Arial"/>
          <w:b/>
          <w:szCs w:val="24"/>
        </w:rPr>
        <w:t>None</w:t>
      </w:r>
      <w:bookmarkEnd w:id="10"/>
      <w:r w:rsidRPr="003039E0">
        <w:rPr>
          <w:rFonts w:ascii="Arial" w:hAnsi="Arial" w:cs="Arial"/>
          <w:b/>
          <w:szCs w:val="24"/>
        </w:rPr>
        <w:t>.</w:t>
      </w:r>
    </w:p>
    <w:bookmarkEnd w:id="11"/>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14490498" w14:textId="5F4C8B48" w:rsidR="00531A46" w:rsidRPr="003039E0" w:rsidRDefault="00BC21C5" w:rsidP="00531A46">
      <w:pPr>
        <w:pStyle w:val="List"/>
        <w:spacing w:before="120"/>
        <w:ind w:left="720" w:firstLine="0"/>
        <w:jc w:val="both"/>
        <w:rPr>
          <w:rFonts w:ascii="Arial" w:hAnsi="Arial" w:cs="Arial"/>
          <w:b/>
          <w:szCs w:val="24"/>
        </w:rPr>
      </w:pPr>
      <w:r>
        <w:rPr>
          <w:rFonts w:ascii="Arial" w:hAnsi="Arial" w:cs="Arial"/>
          <w:b/>
          <w:szCs w:val="24"/>
        </w:rPr>
        <w:t>The Company terminated one employee in the month of November 2019.</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2" w:name="_Hlk13056192"/>
      <w:r w:rsidRPr="003039E0">
        <w:rPr>
          <w:rFonts w:ascii="Arial" w:hAnsi="Arial" w:cs="Arial"/>
          <w:b/>
          <w:szCs w:val="24"/>
        </w:rPr>
        <w:t>None</w:t>
      </w:r>
      <w:bookmarkEnd w:id="12"/>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3" w:name="_Hlk15998265"/>
      <w:bookmarkStart w:id="14" w:name="_Hlk23771423"/>
      <w:r w:rsidRPr="003039E0">
        <w:rPr>
          <w:rFonts w:ascii="Arial" w:hAnsi="Arial" w:cs="Arial"/>
          <w:b/>
          <w:szCs w:val="24"/>
        </w:rPr>
        <w:t>None.</w:t>
      </w:r>
      <w:bookmarkEnd w:id="13"/>
    </w:p>
    <w:bookmarkEnd w:id="14"/>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2F1091C0" w:rsidR="005C167D" w:rsidRDefault="008C3A21" w:rsidP="00927983">
      <w:pPr>
        <w:pStyle w:val="List"/>
        <w:spacing w:before="120"/>
        <w:ind w:left="720" w:firstLine="0"/>
        <w:jc w:val="both"/>
        <w:rPr>
          <w:rFonts w:ascii="Arial" w:hAnsi="Arial" w:cs="Arial"/>
          <w:b/>
          <w:bCs/>
          <w:shd w:val="clear" w:color="auto" w:fill="FFFFFF"/>
        </w:rPr>
      </w:pPr>
      <w:r w:rsidRPr="008C3A21">
        <w:rPr>
          <w:rFonts w:ascii="Arial" w:hAnsi="Arial" w:cs="Arial"/>
          <w:b/>
          <w:bCs/>
          <w:shd w:val="clear" w:color="auto" w:fill="FFFFFF"/>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r w:rsidRPr="003039E0">
        <w:rPr>
          <w:rFonts w:ascii="Arial" w:hAnsi="Arial" w:cs="Arial"/>
          <w:b/>
          <w:szCs w:val="24"/>
        </w:rPr>
        <w:t>None</w:t>
      </w:r>
      <w:r w:rsidR="00E37261" w:rsidRPr="00E37261">
        <w:rPr>
          <w:rFonts w:ascii="Arial" w:hAnsi="Arial" w:cs="Arial"/>
          <w:b/>
          <w:szCs w:val="24"/>
        </w:rPr>
        <w:t>.</w:t>
      </w:r>
    </w:p>
    <w:p w14:paraId="0425FAEA" w14:textId="77777777" w:rsidR="003B2AD8" w:rsidRPr="00274021" w:rsidRDefault="00640E94" w:rsidP="00164E77">
      <w:pPr>
        <w:pStyle w:val="List"/>
        <w:numPr>
          <w:ilvl w:val="0"/>
          <w:numId w:val="28"/>
        </w:numPr>
        <w:spacing w:before="120"/>
        <w:jc w:val="both"/>
        <w:rPr>
          <w:rFonts w:ascii="Arial" w:hAnsi="Arial" w:cs="Arial"/>
          <w:szCs w:val="24"/>
        </w:rPr>
      </w:pPr>
      <w:r w:rsidRPr="00274021">
        <w:rPr>
          <w:rFonts w:ascii="Arial" w:hAnsi="Arial" w:cs="Arial"/>
          <w:szCs w:val="24"/>
        </w:rPr>
        <w:lastRenderedPageBreak/>
        <w:t>Provide details of any changes in directors, officers or committee members.</w:t>
      </w:r>
    </w:p>
    <w:p w14:paraId="149F6FF3" w14:textId="671FDB3B" w:rsidR="002230FB" w:rsidRPr="00274021" w:rsidRDefault="00274021" w:rsidP="002230FB">
      <w:pPr>
        <w:pStyle w:val="List"/>
        <w:spacing w:before="120"/>
        <w:ind w:left="720" w:firstLine="0"/>
        <w:jc w:val="both"/>
        <w:rPr>
          <w:rFonts w:ascii="Arial" w:hAnsi="Arial" w:cs="Arial"/>
          <w:b/>
          <w:szCs w:val="24"/>
        </w:rPr>
      </w:pPr>
      <w:r w:rsidRPr="00274021">
        <w:rPr>
          <w:rFonts w:ascii="Arial" w:hAnsi="Arial" w:cs="Arial"/>
          <w:b/>
        </w:rPr>
        <w:t xml:space="preserve">Mr. Johnson Ping Zhang </w:t>
      </w:r>
      <w:r w:rsidR="000430DA">
        <w:rPr>
          <w:rFonts w:ascii="Arial" w:hAnsi="Arial" w:cs="Arial" w:hint="eastAsia"/>
          <w:b/>
          <w:lang w:eastAsia="zh-CN"/>
        </w:rPr>
        <w:t>res</w:t>
      </w:r>
      <w:r w:rsidR="000430DA">
        <w:rPr>
          <w:rFonts w:ascii="Arial" w:hAnsi="Arial" w:cs="Arial"/>
          <w:b/>
        </w:rPr>
        <w:t xml:space="preserve">igned </w:t>
      </w:r>
      <w:r w:rsidRPr="00274021">
        <w:rPr>
          <w:rFonts w:ascii="Arial" w:hAnsi="Arial" w:cs="Arial"/>
          <w:b/>
        </w:rPr>
        <w:t>as a director of the company effective November 21, 2019</w:t>
      </w:r>
      <w:r w:rsidRPr="00274021">
        <w:rPr>
          <w:rFonts w:ascii="Arial" w:hAnsi="Arial" w:cs="Arial"/>
          <w:b/>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5711C7C"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C425D6">
        <w:rPr>
          <w:rFonts w:ascii="Arial" w:hAnsi="Arial" w:cs="Arial"/>
          <w:b/>
          <w:szCs w:val="24"/>
          <w:u w:val="single"/>
        </w:rPr>
        <w:t>December 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0FA9DABB" w:rsidR="00212929" w:rsidRPr="003039E0" w:rsidRDefault="00C425D6" w:rsidP="006922DF">
            <w:pPr>
              <w:pStyle w:val="BodyText"/>
              <w:spacing w:before="0"/>
              <w:rPr>
                <w:rFonts w:ascii="Arial" w:hAnsi="Arial" w:cs="Arial"/>
                <w:b/>
                <w:szCs w:val="24"/>
              </w:rPr>
            </w:pPr>
            <w:r>
              <w:rPr>
                <w:rFonts w:ascii="Arial" w:hAnsi="Arial" w:cs="Arial"/>
                <w:b/>
                <w:szCs w:val="24"/>
              </w:rPr>
              <w:t>November 30</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4C2A418C" w:rsidR="00640E94" w:rsidRPr="003039E0" w:rsidRDefault="00640E94">
            <w:pPr>
              <w:pStyle w:val="BodyText"/>
              <w:spacing w:before="0"/>
              <w:rPr>
                <w:rFonts w:ascii="Arial" w:hAnsi="Arial" w:cs="Arial"/>
                <w:szCs w:val="24"/>
              </w:rPr>
            </w:pPr>
            <w:r w:rsidRPr="003039E0">
              <w:rPr>
                <w:rFonts w:ascii="Arial" w:hAnsi="Arial" w:cs="Arial"/>
                <w:szCs w:val="24"/>
              </w:rPr>
              <w:t>YY/MM/D</w:t>
            </w:r>
            <w:r w:rsidR="000430DA">
              <w:rPr>
                <w:rFonts w:ascii="Arial" w:hAnsi="Arial" w:cs="Arial"/>
                <w:szCs w:val="24"/>
              </w:rPr>
              <w:t>D</w:t>
            </w:r>
          </w:p>
          <w:p w14:paraId="61194829" w14:textId="54C33C8A"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230220">
              <w:rPr>
                <w:rFonts w:ascii="Arial" w:hAnsi="Arial" w:cs="Arial"/>
                <w:b/>
                <w:szCs w:val="24"/>
              </w:rPr>
              <w:t>1</w:t>
            </w:r>
            <w:r w:rsidR="00C425D6">
              <w:rPr>
                <w:rFonts w:ascii="Arial" w:hAnsi="Arial" w:cs="Arial"/>
                <w:b/>
                <w:szCs w:val="24"/>
              </w:rPr>
              <w:t>2</w:t>
            </w:r>
            <w:r w:rsidR="007F77BB" w:rsidRPr="003039E0">
              <w:rPr>
                <w:rFonts w:ascii="Arial" w:hAnsi="Arial" w:cs="Arial"/>
                <w:b/>
                <w:szCs w:val="24"/>
              </w:rPr>
              <w:t>/</w:t>
            </w:r>
            <w:r w:rsidR="005C167D" w:rsidRPr="003039E0">
              <w:rPr>
                <w:rFonts w:ascii="Arial" w:hAnsi="Arial" w:cs="Arial"/>
                <w:b/>
                <w:szCs w:val="24"/>
              </w:rPr>
              <w:t>0</w:t>
            </w:r>
            <w:r w:rsidR="00C425D6">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3CA4" w14:textId="77777777" w:rsidR="00AB155B" w:rsidRDefault="00AB155B">
      <w:r>
        <w:separator/>
      </w:r>
    </w:p>
  </w:endnote>
  <w:endnote w:type="continuationSeparator" w:id="0">
    <w:p w14:paraId="51121B62" w14:textId="77777777" w:rsidR="00AB155B" w:rsidRDefault="00AB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CCB5" w14:textId="77777777" w:rsidR="00AB155B" w:rsidRDefault="00AB155B">
      <w:r>
        <w:separator/>
      </w:r>
    </w:p>
  </w:footnote>
  <w:footnote w:type="continuationSeparator" w:id="0">
    <w:p w14:paraId="1BEB16A9" w14:textId="77777777" w:rsidR="00AB155B" w:rsidRDefault="00AB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1525F"/>
    <w:rsid w:val="001315A6"/>
    <w:rsid w:val="00141ACC"/>
    <w:rsid w:val="00161E93"/>
    <w:rsid w:val="00164E77"/>
    <w:rsid w:val="00165612"/>
    <w:rsid w:val="00176A56"/>
    <w:rsid w:val="001820D0"/>
    <w:rsid w:val="0019184C"/>
    <w:rsid w:val="00195D96"/>
    <w:rsid w:val="001C7D87"/>
    <w:rsid w:val="001F10CA"/>
    <w:rsid w:val="001F5544"/>
    <w:rsid w:val="002059BF"/>
    <w:rsid w:val="00212929"/>
    <w:rsid w:val="00214FB2"/>
    <w:rsid w:val="002218B2"/>
    <w:rsid w:val="00222954"/>
    <w:rsid w:val="002230FB"/>
    <w:rsid w:val="0022464B"/>
    <w:rsid w:val="00230220"/>
    <w:rsid w:val="00230D51"/>
    <w:rsid w:val="00231C5F"/>
    <w:rsid w:val="0023669A"/>
    <w:rsid w:val="002520D8"/>
    <w:rsid w:val="002538F5"/>
    <w:rsid w:val="00253EDB"/>
    <w:rsid w:val="00274021"/>
    <w:rsid w:val="00287F5F"/>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716B"/>
    <w:rsid w:val="005C167D"/>
    <w:rsid w:val="005E4E28"/>
    <w:rsid w:val="005F6D8F"/>
    <w:rsid w:val="005F7E45"/>
    <w:rsid w:val="0060735A"/>
    <w:rsid w:val="00620E7F"/>
    <w:rsid w:val="006220C0"/>
    <w:rsid w:val="00633ED3"/>
    <w:rsid w:val="00635CBD"/>
    <w:rsid w:val="00635E9A"/>
    <w:rsid w:val="006401AB"/>
    <w:rsid w:val="00640E94"/>
    <w:rsid w:val="00642D8B"/>
    <w:rsid w:val="006673B2"/>
    <w:rsid w:val="006723A3"/>
    <w:rsid w:val="006922DF"/>
    <w:rsid w:val="00693E51"/>
    <w:rsid w:val="00694EB9"/>
    <w:rsid w:val="006A08F0"/>
    <w:rsid w:val="006C316C"/>
    <w:rsid w:val="006D1A06"/>
    <w:rsid w:val="006D4F8B"/>
    <w:rsid w:val="006D7555"/>
    <w:rsid w:val="006E2355"/>
    <w:rsid w:val="006E4F74"/>
    <w:rsid w:val="006E6926"/>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F77BB"/>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155B"/>
    <w:rsid w:val="00AB47F1"/>
    <w:rsid w:val="00AC225E"/>
    <w:rsid w:val="00AD7DEF"/>
    <w:rsid w:val="00B04B9E"/>
    <w:rsid w:val="00B25053"/>
    <w:rsid w:val="00B50B03"/>
    <w:rsid w:val="00B56C8C"/>
    <w:rsid w:val="00B72C9F"/>
    <w:rsid w:val="00B80F5C"/>
    <w:rsid w:val="00B82B0C"/>
    <w:rsid w:val="00BA4DAE"/>
    <w:rsid w:val="00BC21C5"/>
    <w:rsid w:val="00BC255B"/>
    <w:rsid w:val="00BE2281"/>
    <w:rsid w:val="00BF2B01"/>
    <w:rsid w:val="00BF6FDD"/>
    <w:rsid w:val="00C030D0"/>
    <w:rsid w:val="00C12401"/>
    <w:rsid w:val="00C27A18"/>
    <w:rsid w:val="00C425D6"/>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E4918"/>
    <w:rsid w:val="00EE4ED6"/>
    <w:rsid w:val="00EE5745"/>
    <w:rsid w:val="00F20916"/>
    <w:rsid w:val="00F45F14"/>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93C4-5F28-4EF8-AA6D-3FF9F24D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2</cp:revision>
  <cp:lastPrinted>2018-07-12T23:54:00Z</cp:lastPrinted>
  <dcterms:created xsi:type="dcterms:W3CDTF">2019-12-07T01:40:00Z</dcterms:created>
  <dcterms:modified xsi:type="dcterms:W3CDTF">2019-12-07T01:40:00Z</dcterms:modified>
</cp:coreProperties>
</file>