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17B0" w14:textId="6E0368BD" w:rsidR="002C2476" w:rsidRDefault="002C2476" w:rsidP="00301588">
      <w:pPr>
        <w:jc w:val="center"/>
        <w:rPr>
          <w:b/>
          <w:bCs/>
          <w:u w:val="single"/>
        </w:rPr>
      </w:pPr>
      <w:r>
        <w:rPr>
          <w:rFonts w:ascii="Times New Roman"/>
          <w:noProof/>
          <w:sz w:val="20"/>
        </w:rPr>
        <w:drawing>
          <wp:inline distT="0" distB="0" distL="0" distR="0" wp14:anchorId="13D5FCAB" wp14:editId="134AF614">
            <wp:extent cx="1335099" cy="1181100"/>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1335099" cy="1181100"/>
                    </a:xfrm>
                    <a:prstGeom prst="rect">
                      <a:avLst/>
                    </a:prstGeom>
                  </pic:spPr>
                </pic:pic>
              </a:graphicData>
            </a:graphic>
          </wp:inline>
        </w:drawing>
      </w:r>
    </w:p>
    <w:p w14:paraId="5B307B9F" w14:textId="77777777" w:rsidR="002C2476" w:rsidRDefault="002C2476" w:rsidP="00301588">
      <w:pPr>
        <w:jc w:val="center"/>
        <w:rPr>
          <w:b/>
          <w:bCs/>
          <w:u w:val="single"/>
        </w:rPr>
      </w:pPr>
    </w:p>
    <w:p w14:paraId="4D5D2834" w14:textId="6AB7D1C4" w:rsidR="002C2476" w:rsidRPr="002C2476" w:rsidRDefault="00301588" w:rsidP="00301588">
      <w:pPr>
        <w:jc w:val="center"/>
        <w:rPr>
          <w:rFonts w:ascii="Arial" w:hAnsi="Arial" w:cs="Arial"/>
          <w:b/>
          <w:bCs/>
        </w:rPr>
      </w:pPr>
      <w:r w:rsidRPr="002C2476">
        <w:rPr>
          <w:rFonts w:ascii="Arial" w:hAnsi="Arial" w:cs="Arial"/>
          <w:b/>
          <w:bCs/>
        </w:rPr>
        <w:t>Ayurcann</w:t>
      </w:r>
      <w:r w:rsidR="009F0130">
        <w:rPr>
          <w:rFonts w:ascii="Arial" w:hAnsi="Arial" w:cs="Arial"/>
          <w:b/>
          <w:bCs/>
        </w:rPr>
        <w:t xml:space="preserve"> Holdings Corp. has </w:t>
      </w:r>
      <w:r w:rsidRPr="002C2476">
        <w:rPr>
          <w:rFonts w:ascii="Arial" w:hAnsi="Arial" w:cs="Arial"/>
          <w:b/>
          <w:bCs/>
        </w:rPr>
        <w:t>engage</w:t>
      </w:r>
      <w:r w:rsidR="009F0130">
        <w:rPr>
          <w:rFonts w:ascii="Arial" w:hAnsi="Arial" w:cs="Arial"/>
          <w:b/>
          <w:bCs/>
        </w:rPr>
        <w:t>d</w:t>
      </w:r>
      <w:r w:rsidRPr="002C2476">
        <w:rPr>
          <w:rFonts w:ascii="Arial" w:hAnsi="Arial" w:cs="Arial"/>
          <w:b/>
          <w:bCs/>
        </w:rPr>
        <w:t xml:space="preserve"> Dolos Consultancy </w:t>
      </w:r>
      <w:r w:rsidR="009F0130">
        <w:rPr>
          <w:rFonts w:ascii="Arial" w:hAnsi="Arial" w:cs="Arial"/>
          <w:b/>
          <w:bCs/>
        </w:rPr>
        <w:t>and Apaton Group</w:t>
      </w:r>
    </w:p>
    <w:p w14:paraId="38FE746E" w14:textId="3DCF1B75" w:rsidR="00301588" w:rsidRPr="002C2476" w:rsidRDefault="00301588" w:rsidP="00301588">
      <w:pPr>
        <w:jc w:val="center"/>
        <w:rPr>
          <w:rFonts w:ascii="Arial" w:hAnsi="Arial" w:cs="Arial"/>
          <w:b/>
          <w:bCs/>
        </w:rPr>
      </w:pPr>
      <w:r w:rsidRPr="002C2476">
        <w:rPr>
          <w:rFonts w:ascii="Arial" w:hAnsi="Arial" w:cs="Arial"/>
          <w:b/>
          <w:bCs/>
        </w:rPr>
        <w:t>to Lead Investors Relations, Market Intelligence and Brand Awareness</w:t>
      </w:r>
    </w:p>
    <w:p w14:paraId="73E16AB4" w14:textId="29C764E4" w:rsidR="00301588" w:rsidRPr="002C2476" w:rsidRDefault="00301588" w:rsidP="00301588">
      <w:pPr>
        <w:jc w:val="center"/>
        <w:rPr>
          <w:rFonts w:ascii="Arial" w:hAnsi="Arial" w:cs="Arial"/>
          <w:b/>
          <w:bCs/>
          <w:sz w:val="22"/>
          <w:szCs w:val="22"/>
          <w:u w:val="single"/>
        </w:rPr>
      </w:pPr>
    </w:p>
    <w:p w14:paraId="13317516" w14:textId="03454F3B" w:rsidR="00301588" w:rsidRPr="002C2476" w:rsidRDefault="00E62FCE" w:rsidP="00301588">
      <w:pPr>
        <w:rPr>
          <w:rFonts w:ascii="Arial" w:eastAsia="Times New Roman" w:hAnsi="Arial" w:cs="Arial"/>
          <w:color w:val="0D0D0D" w:themeColor="text1" w:themeTint="F2"/>
          <w:sz w:val="22"/>
          <w:szCs w:val="22"/>
          <w:shd w:val="clear" w:color="auto" w:fill="FFFFFF"/>
        </w:rPr>
      </w:pPr>
      <w:r>
        <w:rPr>
          <w:rFonts w:ascii="Arial" w:eastAsia="Times New Roman" w:hAnsi="Arial" w:cs="Arial"/>
          <w:color w:val="0D0D0D" w:themeColor="text1" w:themeTint="F2"/>
          <w:sz w:val="22"/>
          <w:szCs w:val="22"/>
          <w:shd w:val="clear" w:color="auto" w:fill="FFFFFF"/>
        </w:rPr>
        <w:t xml:space="preserve">Toronto, Ont. </w:t>
      </w:r>
      <w:r>
        <w:rPr>
          <w:rFonts w:ascii="Arial" w:eastAsia="Arial" w:hAnsi="Arial" w:cs="Arial"/>
          <w:color w:val="222222"/>
        </w:rPr>
        <w:t xml:space="preserve">October </w:t>
      </w:r>
      <w:r>
        <w:rPr>
          <w:rFonts w:ascii="Arial" w:eastAsia="Arial" w:hAnsi="Arial" w:cs="Arial"/>
          <w:color w:val="222222"/>
        </w:rPr>
        <w:t>20</w:t>
      </w:r>
      <w:r>
        <w:rPr>
          <w:rFonts w:ascii="Arial" w:eastAsia="Arial" w:hAnsi="Arial" w:cs="Arial"/>
          <w:color w:val="222222"/>
        </w:rPr>
        <w:t>, 2021</w:t>
      </w:r>
      <w:r>
        <w:rPr>
          <w:rFonts w:ascii="Arial" w:eastAsia="Arial" w:hAnsi="Arial" w:cs="Arial"/>
          <w:color w:val="222222"/>
        </w:rPr>
        <w:t xml:space="preserve">, </w:t>
      </w:r>
      <w:r w:rsidR="00301588" w:rsidRPr="002C2476">
        <w:rPr>
          <w:rFonts w:ascii="Arial" w:eastAsia="Times New Roman" w:hAnsi="Arial" w:cs="Arial"/>
          <w:color w:val="0D0D0D" w:themeColor="text1" w:themeTint="F2"/>
          <w:sz w:val="22"/>
          <w:szCs w:val="22"/>
          <w:shd w:val="clear" w:color="auto" w:fill="FFFFFF"/>
        </w:rPr>
        <w:t xml:space="preserve">Ayurcann Holdings Corp. (CSE: AYUR) (FSE: 3ZQ0) (the "Corporation" or "Ayurcann"), a Canadian cannabis extraction company specializing in the processing of cannabis and hemp </w:t>
      </w:r>
      <w:r w:rsidR="002C2476" w:rsidRPr="002C2476">
        <w:rPr>
          <w:rFonts w:ascii="Arial" w:eastAsia="Times New Roman" w:hAnsi="Arial" w:cs="Arial"/>
          <w:color w:val="0D0D0D" w:themeColor="text1" w:themeTint="F2"/>
          <w:sz w:val="22"/>
          <w:szCs w:val="22"/>
          <w:shd w:val="clear" w:color="auto" w:fill="FFFFFF"/>
        </w:rPr>
        <w:t>to produce</w:t>
      </w:r>
      <w:r w:rsidR="00301588" w:rsidRPr="002C2476">
        <w:rPr>
          <w:rFonts w:ascii="Arial" w:eastAsia="Times New Roman" w:hAnsi="Arial" w:cs="Arial"/>
          <w:color w:val="0D0D0D" w:themeColor="text1" w:themeTint="F2"/>
          <w:sz w:val="22"/>
          <w:szCs w:val="22"/>
          <w:shd w:val="clear" w:color="auto" w:fill="FFFFFF"/>
        </w:rPr>
        <w:t xml:space="preserve"> oils and various derivative products, announces it has retained Dolos Consultancy LTD (Dolos) </w:t>
      </w:r>
      <w:r w:rsidR="007B5EA7">
        <w:rPr>
          <w:rFonts w:ascii="Arial" w:eastAsia="Times New Roman" w:hAnsi="Arial" w:cs="Arial"/>
          <w:color w:val="0D0D0D" w:themeColor="text1" w:themeTint="F2"/>
          <w:sz w:val="22"/>
          <w:szCs w:val="22"/>
          <w:shd w:val="clear" w:color="auto" w:fill="FFFFFF"/>
        </w:rPr>
        <w:t xml:space="preserve">and Apaton Group </w:t>
      </w:r>
      <w:r w:rsidR="00301588" w:rsidRPr="002C2476">
        <w:rPr>
          <w:rFonts w:ascii="Arial" w:eastAsia="Times New Roman" w:hAnsi="Arial" w:cs="Arial"/>
          <w:color w:val="0D0D0D" w:themeColor="text1" w:themeTint="F2"/>
          <w:sz w:val="22"/>
          <w:szCs w:val="22"/>
          <w:shd w:val="clear" w:color="auto" w:fill="FFFFFF"/>
        </w:rPr>
        <w:t xml:space="preserve">to manage shareholder communication, market intelligence and brand awareness </w:t>
      </w:r>
      <w:r w:rsidR="002C2476">
        <w:rPr>
          <w:rFonts w:ascii="Arial" w:eastAsia="Times New Roman" w:hAnsi="Arial" w:cs="Arial"/>
          <w:color w:val="0D0D0D" w:themeColor="text1" w:themeTint="F2"/>
          <w:sz w:val="22"/>
          <w:szCs w:val="22"/>
          <w:shd w:val="clear" w:color="auto" w:fill="FFFFFF"/>
        </w:rPr>
        <w:t>for</w:t>
      </w:r>
      <w:r w:rsidR="00301588" w:rsidRPr="002C2476">
        <w:rPr>
          <w:rFonts w:ascii="Arial" w:eastAsia="Times New Roman" w:hAnsi="Arial" w:cs="Arial"/>
          <w:color w:val="0D0D0D" w:themeColor="text1" w:themeTint="F2"/>
          <w:sz w:val="22"/>
          <w:szCs w:val="22"/>
          <w:shd w:val="clear" w:color="auto" w:fill="FFFFFF"/>
        </w:rPr>
        <w:t xml:space="preserve"> the company.</w:t>
      </w:r>
    </w:p>
    <w:p w14:paraId="64C4A15C" w14:textId="77777777" w:rsidR="00301588" w:rsidRPr="002C2476" w:rsidRDefault="00301588" w:rsidP="00301588">
      <w:pPr>
        <w:rPr>
          <w:rFonts w:ascii="Arial" w:eastAsia="Times New Roman" w:hAnsi="Arial" w:cs="Arial"/>
          <w:color w:val="0D0D0D" w:themeColor="text1" w:themeTint="F2"/>
          <w:sz w:val="22"/>
          <w:szCs w:val="22"/>
          <w:shd w:val="clear" w:color="auto" w:fill="FFFFFF"/>
        </w:rPr>
      </w:pPr>
    </w:p>
    <w:p w14:paraId="258083DA" w14:textId="59DC64D2" w:rsidR="00301588" w:rsidRPr="002C2476" w:rsidRDefault="00301588" w:rsidP="00301588">
      <w:pPr>
        <w:rPr>
          <w:rFonts w:ascii="Arial" w:eastAsia="Times New Roman" w:hAnsi="Arial" w:cs="Arial"/>
          <w:color w:val="0D0D0D" w:themeColor="text1" w:themeTint="F2"/>
          <w:sz w:val="22"/>
          <w:szCs w:val="22"/>
        </w:rPr>
      </w:pPr>
      <w:r w:rsidRPr="002C2476">
        <w:rPr>
          <w:rFonts w:ascii="Arial" w:eastAsia="Times New Roman" w:hAnsi="Arial" w:cs="Arial"/>
          <w:color w:val="0D0D0D" w:themeColor="text1" w:themeTint="F2"/>
          <w:sz w:val="22"/>
          <w:szCs w:val="22"/>
        </w:rPr>
        <w:t xml:space="preserve">Dolos Consultancy LTD is one </w:t>
      </w:r>
      <w:r w:rsidR="002C2476">
        <w:rPr>
          <w:rFonts w:ascii="Arial" w:eastAsia="Times New Roman" w:hAnsi="Arial" w:cs="Arial"/>
          <w:color w:val="0D0D0D" w:themeColor="text1" w:themeTint="F2"/>
          <w:sz w:val="22"/>
          <w:szCs w:val="22"/>
        </w:rPr>
        <w:t xml:space="preserve">of </w:t>
      </w:r>
      <w:r w:rsidRPr="002C2476">
        <w:rPr>
          <w:rFonts w:ascii="Arial" w:eastAsia="Times New Roman" w:hAnsi="Arial" w:cs="Arial"/>
          <w:color w:val="0D0D0D" w:themeColor="text1" w:themeTint="F2"/>
          <w:sz w:val="22"/>
          <w:szCs w:val="22"/>
        </w:rPr>
        <w:t xml:space="preserve">the leading corporate strategy, intelligence gathering, investors analysis and capital advisories in the market. Dolos is working with a network of investors, family offices and venture </w:t>
      </w:r>
      <w:r w:rsidR="003722D3" w:rsidRPr="002C2476">
        <w:rPr>
          <w:rFonts w:ascii="Arial" w:eastAsia="Times New Roman" w:hAnsi="Arial" w:cs="Arial"/>
          <w:color w:val="0D0D0D" w:themeColor="text1" w:themeTint="F2"/>
          <w:sz w:val="22"/>
          <w:szCs w:val="22"/>
        </w:rPr>
        <w:t>capitalists</w:t>
      </w:r>
      <w:r w:rsidRPr="002C2476">
        <w:rPr>
          <w:rFonts w:ascii="Arial" w:eastAsia="Times New Roman" w:hAnsi="Arial" w:cs="Arial"/>
          <w:color w:val="0D0D0D" w:themeColor="text1" w:themeTint="F2"/>
          <w:sz w:val="22"/>
          <w:szCs w:val="22"/>
        </w:rPr>
        <w:t>, and is retained to support and accompany Ayurcann</w:t>
      </w:r>
      <w:r w:rsidR="00E85291" w:rsidRPr="002C2476">
        <w:rPr>
          <w:rFonts w:ascii="Arial" w:eastAsia="Times New Roman" w:hAnsi="Arial" w:cs="Arial"/>
          <w:color w:val="0D0D0D" w:themeColor="text1" w:themeTint="F2"/>
          <w:sz w:val="22"/>
          <w:szCs w:val="22"/>
        </w:rPr>
        <w:t xml:space="preserve"> </w:t>
      </w:r>
      <w:r w:rsidRPr="002C2476">
        <w:rPr>
          <w:rFonts w:ascii="Arial" w:eastAsia="Times New Roman" w:hAnsi="Arial" w:cs="Arial"/>
          <w:color w:val="0D0D0D" w:themeColor="text1" w:themeTint="F2"/>
          <w:sz w:val="22"/>
          <w:szCs w:val="22"/>
        </w:rPr>
        <w:t xml:space="preserve">in both Investors relations and market intelligence. </w:t>
      </w:r>
    </w:p>
    <w:p w14:paraId="497533A7" w14:textId="77777777" w:rsidR="00301588" w:rsidRPr="002C2476" w:rsidRDefault="00301588" w:rsidP="00301588">
      <w:pPr>
        <w:rPr>
          <w:rFonts w:ascii="Arial" w:eastAsia="Times New Roman" w:hAnsi="Arial" w:cs="Arial"/>
          <w:color w:val="0D0D0D" w:themeColor="text1" w:themeTint="F2"/>
          <w:sz w:val="22"/>
          <w:szCs w:val="22"/>
        </w:rPr>
      </w:pPr>
    </w:p>
    <w:p w14:paraId="2EADFC66" w14:textId="00A2BE64" w:rsidR="00301588" w:rsidRPr="002C2476" w:rsidRDefault="00301588" w:rsidP="00301588">
      <w:pPr>
        <w:rPr>
          <w:rFonts w:ascii="Arial" w:eastAsia="Times New Roman" w:hAnsi="Arial" w:cs="Arial"/>
          <w:color w:val="0D0D0D" w:themeColor="text1" w:themeTint="F2"/>
          <w:sz w:val="22"/>
          <w:szCs w:val="22"/>
        </w:rPr>
      </w:pPr>
      <w:r w:rsidRPr="002C2476">
        <w:rPr>
          <w:rFonts w:ascii="Arial" w:eastAsia="Times New Roman" w:hAnsi="Arial" w:cs="Arial"/>
          <w:color w:val="0D0D0D" w:themeColor="text1" w:themeTint="F2"/>
          <w:sz w:val="22"/>
          <w:szCs w:val="22"/>
        </w:rPr>
        <w:t>Dolos has been engaged by the Company and will continue to provide the Services unless terminated by the Company in accordance with the agreement. Dolos will be paid a monthly cash fee of US$32,000. The Agreement with Dolos has a term of 4 months as POC, unless otherwise agreed by the parties in writing. Either party may terminate the agreement upon 180 days' notice to the other party.</w:t>
      </w:r>
    </w:p>
    <w:p w14:paraId="3618E906" w14:textId="74B06265" w:rsidR="00301588" w:rsidRPr="002C2476" w:rsidRDefault="00301588" w:rsidP="00301588">
      <w:pPr>
        <w:rPr>
          <w:rFonts w:ascii="Arial" w:eastAsia="Times New Roman" w:hAnsi="Arial" w:cs="Arial"/>
          <w:color w:val="0D0D0D" w:themeColor="text1" w:themeTint="F2"/>
          <w:sz w:val="22"/>
          <w:szCs w:val="22"/>
        </w:rPr>
      </w:pPr>
    </w:p>
    <w:p w14:paraId="64E47A8E" w14:textId="3C722A96" w:rsidR="00AF244E" w:rsidRDefault="00301588" w:rsidP="00AF244E">
      <w:pPr>
        <w:rPr>
          <w:rFonts w:ascii="Arial" w:eastAsia="Times New Roman" w:hAnsi="Arial" w:cs="Arial"/>
          <w:color w:val="0D0D0D" w:themeColor="text1" w:themeTint="F2"/>
          <w:sz w:val="22"/>
          <w:szCs w:val="22"/>
        </w:rPr>
      </w:pPr>
      <w:r w:rsidRPr="002C2476">
        <w:rPr>
          <w:rFonts w:ascii="Arial" w:eastAsia="Times New Roman" w:hAnsi="Arial" w:cs="Arial"/>
          <w:color w:val="0D0D0D" w:themeColor="text1" w:themeTint="F2"/>
          <w:sz w:val="22"/>
          <w:szCs w:val="22"/>
        </w:rPr>
        <w:t xml:space="preserve">Rotem Gantz, CEO of Dolos Consultancy: “Ayurcann positions itself as a significant player in the Cannabis sector in Canada, and as such, we are glad to have the </w:t>
      </w:r>
      <w:r w:rsidR="002C2476" w:rsidRPr="002C2476">
        <w:rPr>
          <w:rFonts w:ascii="Arial" w:eastAsia="Times New Roman" w:hAnsi="Arial" w:cs="Arial"/>
          <w:color w:val="0D0D0D" w:themeColor="text1" w:themeTint="F2"/>
          <w:sz w:val="22"/>
          <w:szCs w:val="22"/>
        </w:rPr>
        <w:t>honor</w:t>
      </w:r>
      <w:r w:rsidRPr="002C2476">
        <w:rPr>
          <w:rFonts w:ascii="Arial" w:eastAsia="Times New Roman" w:hAnsi="Arial" w:cs="Arial"/>
          <w:color w:val="0D0D0D" w:themeColor="text1" w:themeTint="F2"/>
          <w:sz w:val="22"/>
          <w:szCs w:val="22"/>
        </w:rPr>
        <w:t xml:space="preserve"> of helping them spread their messages and value to the entire investors community”</w:t>
      </w:r>
      <w:r w:rsidR="00AF244E" w:rsidRPr="002C2476">
        <w:rPr>
          <w:rFonts w:ascii="Arial" w:eastAsia="Times New Roman" w:hAnsi="Arial" w:cs="Arial"/>
          <w:color w:val="0D0D0D" w:themeColor="text1" w:themeTint="F2"/>
          <w:sz w:val="22"/>
          <w:szCs w:val="22"/>
        </w:rPr>
        <w:t>.</w:t>
      </w:r>
    </w:p>
    <w:p w14:paraId="258A1E25" w14:textId="1ACC3D74" w:rsidR="009F0130" w:rsidRPr="009F0130" w:rsidRDefault="009F0130" w:rsidP="009F0130">
      <w:pPr>
        <w:spacing w:before="100" w:beforeAutospacing="1" w:after="100" w:afterAutospacing="1"/>
        <w:rPr>
          <w:rFonts w:ascii="Arial" w:eastAsia="Times New Roman" w:hAnsi="Arial" w:cs="Arial"/>
          <w:color w:val="000000"/>
          <w:sz w:val="22"/>
          <w:szCs w:val="22"/>
        </w:rPr>
      </w:pPr>
      <w:r w:rsidRPr="009F0130">
        <w:rPr>
          <w:rFonts w:ascii="Arial" w:eastAsia="Times New Roman" w:hAnsi="Arial" w:cs="Arial"/>
          <w:color w:val="000000"/>
          <w:sz w:val="22"/>
          <w:szCs w:val="22"/>
        </w:rPr>
        <w:t>The Company</w:t>
      </w:r>
      <w:r w:rsidR="005A5D19">
        <w:rPr>
          <w:rFonts w:ascii="Arial" w:eastAsia="Times New Roman" w:hAnsi="Arial" w:cs="Arial"/>
          <w:color w:val="000000"/>
          <w:sz w:val="22"/>
          <w:szCs w:val="22"/>
        </w:rPr>
        <w:t xml:space="preserve"> also</w:t>
      </w:r>
      <w:r w:rsidRPr="009F0130">
        <w:rPr>
          <w:rFonts w:ascii="Arial" w:eastAsia="Times New Roman" w:hAnsi="Arial" w:cs="Arial"/>
          <w:color w:val="000000"/>
          <w:sz w:val="22"/>
          <w:szCs w:val="22"/>
        </w:rPr>
        <w:t xml:space="preserve"> engaged Apaton group to assist in building awareness and to provide communications support for the company to a </w:t>
      </w:r>
      <w:r w:rsidR="005A5D19" w:rsidRPr="009F0130">
        <w:rPr>
          <w:rFonts w:ascii="Arial" w:eastAsia="Times New Roman" w:hAnsi="Arial" w:cs="Arial"/>
          <w:color w:val="000000"/>
          <w:sz w:val="22"/>
          <w:szCs w:val="22"/>
        </w:rPr>
        <w:t xml:space="preserve">German </w:t>
      </w:r>
      <w:r w:rsidR="005A5D19">
        <w:rPr>
          <w:rFonts w:ascii="Arial" w:eastAsia="Times New Roman" w:hAnsi="Arial" w:cs="Arial"/>
          <w:color w:val="000000"/>
          <w:sz w:val="22"/>
          <w:szCs w:val="22"/>
        </w:rPr>
        <w:t xml:space="preserve">and European </w:t>
      </w:r>
      <w:r w:rsidRPr="009F0130">
        <w:rPr>
          <w:rFonts w:ascii="Arial" w:eastAsia="Times New Roman" w:hAnsi="Arial" w:cs="Arial"/>
          <w:color w:val="000000"/>
          <w:sz w:val="22"/>
          <w:szCs w:val="22"/>
        </w:rPr>
        <w:t>audience. Ayurcann is listed on the Frankfurt Stock Exchange. Apaton Group arranges and disseminates independent research articles related to the Company as well as develops and implements social media strategy. The Company will pay Apaton $23,500 Euros for its services</w:t>
      </w:r>
      <w:r w:rsidR="005A5D19">
        <w:rPr>
          <w:rFonts w:ascii="Arial" w:eastAsia="Times New Roman" w:hAnsi="Arial" w:cs="Arial"/>
          <w:color w:val="000000"/>
          <w:sz w:val="22"/>
          <w:szCs w:val="22"/>
        </w:rPr>
        <w:t xml:space="preserve"> over the next 12 weeks</w:t>
      </w:r>
      <w:r w:rsidRPr="009F0130">
        <w:rPr>
          <w:rFonts w:ascii="Arial" w:eastAsia="Times New Roman" w:hAnsi="Arial" w:cs="Arial"/>
          <w:color w:val="000000"/>
          <w:sz w:val="22"/>
          <w:szCs w:val="22"/>
        </w:rPr>
        <w:t>. For more info, please visit www.apaton.com</w:t>
      </w:r>
    </w:p>
    <w:p w14:paraId="01FBC025" w14:textId="617201F6" w:rsidR="00AF244E" w:rsidRDefault="00AF244E" w:rsidP="00AF244E">
      <w:pPr>
        <w:rPr>
          <w:rFonts w:ascii="Arial" w:eastAsia="Times New Roman" w:hAnsi="Arial" w:cs="Arial"/>
          <w:color w:val="0D0D0D" w:themeColor="text1" w:themeTint="F2"/>
          <w:sz w:val="22"/>
          <w:szCs w:val="22"/>
        </w:rPr>
      </w:pPr>
      <w:r w:rsidRPr="002C2476">
        <w:rPr>
          <w:rFonts w:ascii="Arial" w:eastAsia="Times New Roman" w:hAnsi="Arial" w:cs="Arial"/>
          <w:color w:val="0D0D0D" w:themeColor="text1" w:themeTint="F2"/>
          <w:sz w:val="22"/>
          <w:szCs w:val="22"/>
        </w:rPr>
        <w:t>Igal Sudman, CEO of Ayurcann Holdings Corp.: “</w:t>
      </w:r>
      <w:r w:rsidR="00D13F1C" w:rsidRPr="002C2476">
        <w:rPr>
          <w:rFonts w:ascii="Arial" w:eastAsia="Times New Roman" w:hAnsi="Arial" w:cs="Arial"/>
          <w:color w:val="0D0D0D" w:themeColor="text1" w:themeTint="F2"/>
          <w:sz w:val="22"/>
          <w:szCs w:val="22"/>
        </w:rPr>
        <w:t xml:space="preserve">We are eager to show the world our </w:t>
      </w:r>
      <w:r w:rsidR="007A1BA5">
        <w:rPr>
          <w:rFonts w:ascii="Arial" w:eastAsia="Times New Roman" w:hAnsi="Arial" w:cs="Arial"/>
          <w:color w:val="0D0D0D" w:themeColor="text1" w:themeTint="F2"/>
          <w:sz w:val="22"/>
          <w:szCs w:val="22"/>
        </w:rPr>
        <w:t>ca</w:t>
      </w:r>
      <w:r w:rsidR="00D13F1C" w:rsidRPr="002C2476">
        <w:rPr>
          <w:rFonts w:ascii="Arial" w:eastAsia="Times New Roman" w:hAnsi="Arial" w:cs="Arial"/>
          <w:color w:val="0D0D0D" w:themeColor="text1" w:themeTint="F2"/>
          <w:sz w:val="22"/>
          <w:szCs w:val="22"/>
        </w:rPr>
        <w:t>pabilities and strategy, and we are looking forward to co-operate with Dolos</w:t>
      </w:r>
      <w:r w:rsidR="009F0130">
        <w:rPr>
          <w:rFonts w:ascii="Arial" w:eastAsia="Times New Roman" w:hAnsi="Arial" w:cs="Arial"/>
          <w:color w:val="0D0D0D" w:themeColor="text1" w:themeTint="F2"/>
          <w:sz w:val="22"/>
          <w:szCs w:val="22"/>
        </w:rPr>
        <w:t xml:space="preserve"> and Apaton</w:t>
      </w:r>
      <w:r w:rsidR="00D13F1C" w:rsidRPr="002C2476">
        <w:rPr>
          <w:rFonts w:ascii="Arial" w:eastAsia="Times New Roman" w:hAnsi="Arial" w:cs="Arial"/>
          <w:color w:val="0D0D0D" w:themeColor="text1" w:themeTint="F2"/>
          <w:sz w:val="22"/>
          <w:szCs w:val="22"/>
        </w:rPr>
        <w:t xml:space="preserve">, </w:t>
      </w:r>
      <w:r w:rsidR="002C2476">
        <w:rPr>
          <w:rFonts w:ascii="Arial" w:eastAsia="Times New Roman" w:hAnsi="Arial" w:cs="Arial"/>
          <w:color w:val="0D0D0D" w:themeColor="text1" w:themeTint="F2"/>
          <w:sz w:val="22"/>
          <w:szCs w:val="22"/>
        </w:rPr>
        <w:t>to create</w:t>
      </w:r>
      <w:r w:rsidR="00D13F1C" w:rsidRPr="002C2476">
        <w:rPr>
          <w:rFonts w:ascii="Arial" w:eastAsia="Times New Roman" w:hAnsi="Arial" w:cs="Arial"/>
          <w:color w:val="0D0D0D" w:themeColor="text1" w:themeTint="F2"/>
          <w:sz w:val="22"/>
          <w:szCs w:val="22"/>
        </w:rPr>
        <w:t xml:space="preserve"> a comprehensive investors relations campaign to support our global</w:t>
      </w:r>
      <w:r w:rsidR="009F0130">
        <w:rPr>
          <w:rFonts w:ascii="Arial" w:eastAsia="Times New Roman" w:hAnsi="Arial" w:cs="Arial"/>
          <w:color w:val="0D0D0D" w:themeColor="text1" w:themeTint="F2"/>
          <w:sz w:val="22"/>
          <w:szCs w:val="22"/>
        </w:rPr>
        <w:t xml:space="preserve"> reach</w:t>
      </w:r>
      <w:r w:rsidR="00D13F1C" w:rsidRPr="002C2476">
        <w:rPr>
          <w:rFonts w:ascii="Arial" w:eastAsia="Times New Roman" w:hAnsi="Arial" w:cs="Arial"/>
          <w:color w:val="0D0D0D" w:themeColor="text1" w:themeTint="F2"/>
          <w:sz w:val="22"/>
          <w:szCs w:val="22"/>
        </w:rPr>
        <w:t>. We are glad to have them onboard”.</w:t>
      </w:r>
    </w:p>
    <w:p w14:paraId="6DC21255" w14:textId="49462A29" w:rsidR="007A1BA5" w:rsidRDefault="007A1BA5" w:rsidP="00AF244E">
      <w:pPr>
        <w:rPr>
          <w:rFonts w:ascii="Arial" w:eastAsia="Times New Roman" w:hAnsi="Arial" w:cs="Arial"/>
          <w:color w:val="0D0D0D" w:themeColor="text1" w:themeTint="F2"/>
          <w:sz w:val="22"/>
          <w:szCs w:val="22"/>
        </w:rPr>
      </w:pPr>
    </w:p>
    <w:p w14:paraId="40E6A163" w14:textId="77777777" w:rsidR="002C2476" w:rsidRDefault="002C2476" w:rsidP="002C2476">
      <w:pPr>
        <w:pStyle w:val="Heading1"/>
        <w:spacing w:before="64"/>
      </w:pPr>
      <w:r>
        <w:t>For</w:t>
      </w:r>
      <w:r>
        <w:rPr>
          <w:spacing w:val="-2"/>
        </w:rPr>
        <w:t xml:space="preserve"> </w:t>
      </w:r>
      <w:r>
        <w:t>further</w:t>
      </w:r>
      <w:r>
        <w:rPr>
          <w:spacing w:val="-2"/>
        </w:rPr>
        <w:t xml:space="preserve"> </w:t>
      </w:r>
      <w:r>
        <w:t>information,</w:t>
      </w:r>
      <w:r>
        <w:rPr>
          <w:spacing w:val="-3"/>
        </w:rPr>
        <w:t xml:space="preserve"> </w:t>
      </w:r>
      <w:r>
        <w:t>please</w:t>
      </w:r>
      <w:r>
        <w:rPr>
          <w:spacing w:val="-4"/>
        </w:rPr>
        <w:t xml:space="preserve"> </w:t>
      </w:r>
      <w:r>
        <w:t>contact:</w:t>
      </w:r>
    </w:p>
    <w:p w14:paraId="6ACA2BC1" w14:textId="77777777" w:rsidR="002C2476" w:rsidRDefault="002C2476" w:rsidP="002C2476">
      <w:pPr>
        <w:pStyle w:val="BodyText"/>
        <w:spacing w:before="4"/>
        <w:rPr>
          <w:b/>
          <w:sz w:val="25"/>
        </w:rPr>
      </w:pPr>
    </w:p>
    <w:p w14:paraId="68FD6E51" w14:textId="77777777" w:rsidR="002C2476" w:rsidRDefault="002C2476" w:rsidP="002C2476">
      <w:pPr>
        <w:pStyle w:val="BodyText"/>
        <w:spacing w:line="261" w:lineRule="auto"/>
        <w:ind w:left="100" w:right="3924"/>
      </w:pPr>
      <w:r>
        <w:t>Igal</w:t>
      </w:r>
      <w:r>
        <w:rPr>
          <w:spacing w:val="-5"/>
        </w:rPr>
        <w:t xml:space="preserve"> </w:t>
      </w:r>
      <w:r>
        <w:t>Sudman,</w:t>
      </w:r>
      <w:r>
        <w:rPr>
          <w:spacing w:val="-6"/>
        </w:rPr>
        <w:t xml:space="preserve"> </w:t>
      </w:r>
      <w:r>
        <w:t>Chairman,</w:t>
      </w:r>
      <w:r>
        <w:rPr>
          <w:spacing w:val="-6"/>
        </w:rPr>
        <w:t xml:space="preserve"> </w:t>
      </w:r>
      <w:r>
        <w:t>Chief</w:t>
      </w:r>
      <w:r>
        <w:rPr>
          <w:spacing w:val="-5"/>
        </w:rPr>
        <w:t xml:space="preserve"> </w:t>
      </w:r>
      <w:r>
        <w:t>Executive</w:t>
      </w:r>
      <w:r>
        <w:rPr>
          <w:spacing w:val="-3"/>
        </w:rPr>
        <w:t xml:space="preserve"> </w:t>
      </w:r>
      <w:r>
        <w:t>Officer</w:t>
      </w:r>
      <w:r>
        <w:rPr>
          <w:spacing w:val="-58"/>
        </w:rPr>
        <w:t xml:space="preserve"> </w:t>
      </w:r>
      <w:r>
        <w:t>Ayurcann Holdings</w:t>
      </w:r>
      <w:r>
        <w:rPr>
          <w:spacing w:val="-2"/>
        </w:rPr>
        <w:t xml:space="preserve"> </w:t>
      </w:r>
      <w:r>
        <w:t>Corp.</w:t>
      </w:r>
    </w:p>
    <w:p w14:paraId="5D7E0625" w14:textId="6F3B1748" w:rsidR="002C2476" w:rsidRPr="007D7658" w:rsidRDefault="002C2476" w:rsidP="002C2476">
      <w:pPr>
        <w:rPr>
          <w:color w:val="000000"/>
        </w:rPr>
      </w:pPr>
      <w:r>
        <w:t xml:space="preserve"> </w:t>
      </w:r>
      <w:r w:rsidR="005A5D19">
        <w:t xml:space="preserve"> </w:t>
      </w:r>
      <w:r>
        <w:rPr>
          <w:color w:val="000000"/>
        </w:rPr>
        <w:t xml:space="preserve">Tel: </w:t>
      </w:r>
      <w:r w:rsidRPr="00D0366A">
        <w:rPr>
          <w:color w:val="000000"/>
        </w:rPr>
        <w:t>905-492-3322</w:t>
      </w:r>
    </w:p>
    <w:p w14:paraId="46BEA8C9" w14:textId="77777777" w:rsidR="002C2476" w:rsidRDefault="002C2476" w:rsidP="002C2476">
      <w:pPr>
        <w:pStyle w:val="BodyText"/>
        <w:spacing w:before="23"/>
        <w:ind w:left="100"/>
        <w:rPr>
          <w:rStyle w:val="Hyperlink"/>
        </w:rPr>
      </w:pPr>
      <w:r>
        <w:lastRenderedPageBreak/>
        <w:t>Email:</w:t>
      </w:r>
      <w:r>
        <w:rPr>
          <w:spacing w:val="-8"/>
        </w:rPr>
        <w:t xml:space="preserve"> </w:t>
      </w:r>
      <w:hyperlink r:id="rId5" w:history="1">
        <w:r w:rsidRPr="00282BCD">
          <w:rPr>
            <w:rStyle w:val="Hyperlink"/>
          </w:rPr>
          <w:t>info@ayurcann.com</w:t>
        </w:r>
      </w:hyperlink>
    </w:p>
    <w:p w14:paraId="1B5DFDB7" w14:textId="77777777" w:rsidR="002C2476" w:rsidRDefault="002C2476" w:rsidP="002C2476">
      <w:pPr>
        <w:pStyle w:val="BodyText"/>
        <w:spacing w:before="23"/>
        <w:ind w:left="100"/>
      </w:pPr>
    </w:p>
    <w:p w14:paraId="7FDB0F06" w14:textId="77777777" w:rsidR="002C2476" w:rsidRDefault="002C2476" w:rsidP="002C2476">
      <w:pPr>
        <w:pStyle w:val="BodyText"/>
        <w:spacing w:before="4"/>
        <w:rPr>
          <w:sz w:val="25"/>
        </w:rPr>
      </w:pPr>
    </w:p>
    <w:p w14:paraId="11DC4634" w14:textId="77777777" w:rsidR="002C2476" w:rsidRDefault="002C2476" w:rsidP="002C2476">
      <w:pPr>
        <w:pStyle w:val="Heading1"/>
      </w:pPr>
      <w:r>
        <w:t>Investor</w:t>
      </w:r>
      <w:r>
        <w:rPr>
          <w:spacing w:val="-5"/>
        </w:rPr>
        <w:t xml:space="preserve"> </w:t>
      </w:r>
      <w:r>
        <w:t>Relations:</w:t>
      </w:r>
    </w:p>
    <w:p w14:paraId="7194E9A3" w14:textId="65B7C0C0" w:rsidR="009F0130" w:rsidRPr="009F0130" w:rsidRDefault="009F0130" w:rsidP="00301588">
      <w:pPr>
        <w:rPr>
          <w:rFonts w:ascii="Arial" w:hAnsi="Arial" w:cs="Arial"/>
          <w:color w:val="000000"/>
          <w:sz w:val="22"/>
          <w:szCs w:val="22"/>
        </w:rPr>
      </w:pPr>
      <w:r>
        <w:rPr>
          <w:color w:val="000000"/>
          <w:sz w:val="27"/>
          <w:szCs w:val="27"/>
        </w:rPr>
        <w:t xml:space="preserve">  </w:t>
      </w:r>
      <w:r w:rsidRPr="009F0130">
        <w:rPr>
          <w:rFonts w:ascii="Arial" w:hAnsi="Arial" w:cs="Arial"/>
          <w:color w:val="000000"/>
          <w:sz w:val="22"/>
          <w:szCs w:val="22"/>
        </w:rPr>
        <w:t xml:space="preserve">Ryan Bilodeau </w:t>
      </w:r>
    </w:p>
    <w:p w14:paraId="77AE88D3" w14:textId="6F4ED997" w:rsidR="009F0130" w:rsidRPr="009F0130" w:rsidRDefault="009F0130" w:rsidP="00301588">
      <w:pPr>
        <w:rPr>
          <w:rFonts w:ascii="Arial" w:hAnsi="Arial" w:cs="Arial"/>
          <w:color w:val="000000"/>
          <w:sz w:val="22"/>
          <w:szCs w:val="22"/>
        </w:rPr>
      </w:pPr>
      <w:r w:rsidRPr="009F0130">
        <w:rPr>
          <w:rFonts w:ascii="Arial" w:hAnsi="Arial" w:cs="Arial"/>
          <w:color w:val="000000"/>
          <w:sz w:val="22"/>
          <w:szCs w:val="22"/>
        </w:rPr>
        <w:t xml:space="preserve">  Tel: 416-910-1440</w:t>
      </w:r>
    </w:p>
    <w:p w14:paraId="013B3A03" w14:textId="26BAB18D" w:rsidR="00301588" w:rsidRPr="009F0130" w:rsidRDefault="009F0130" w:rsidP="00301588">
      <w:pPr>
        <w:rPr>
          <w:rFonts w:ascii="Arial" w:hAnsi="Arial" w:cs="Arial"/>
          <w:sz w:val="22"/>
          <w:szCs w:val="22"/>
        </w:rPr>
      </w:pPr>
      <w:r w:rsidRPr="009F0130">
        <w:rPr>
          <w:rFonts w:ascii="Arial" w:hAnsi="Arial" w:cs="Arial"/>
          <w:color w:val="000000"/>
          <w:sz w:val="22"/>
          <w:szCs w:val="22"/>
        </w:rPr>
        <w:t xml:space="preserve">  Email: ir@ayurcann.com</w:t>
      </w:r>
    </w:p>
    <w:p w14:paraId="1BB8E81E" w14:textId="77777777" w:rsidR="00301588" w:rsidRPr="002C2476" w:rsidRDefault="00301588" w:rsidP="00301588">
      <w:pPr>
        <w:shd w:val="clear" w:color="auto" w:fill="FFFFFF"/>
        <w:spacing w:after="192"/>
        <w:rPr>
          <w:rFonts w:ascii="Arial" w:eastAsia="Times New Roman" w:hAnsi="Arial" w:cs="Arial"/>
          <w:b/>
          <w:bCs/>
          <w:color w:val="1D2228"/>
          <w:sz w:val="22"/>
          <w:szCs w:val="22"/>
        </w:rPr>
      </w:pPr>
    </w:p>
    <w:p w14:paraId="52727BCD" w14:textId="77777777" w:rsidR="002C2476" w:rsidRDefault="002C2476" w:rsidP="002C2476">
      <w:pPr>
        <w:pStyle w:val="Heading1"/>
      </w:pPr>
      <w:r>
        <w:t>About</w:t>
      </w:r>
      <w:r>
        <w:rPr>
          <w:spacing w:val="-2"/>
        </w:rPr>
        <w:t xml:space="preserve"> </w:t>
      </w:r>
      <w:r>
        <w:t>Ayurcann</w:t>
      </w:r>
      <w:r>
        <w:rPr>
          <w:spacing w:val="-4"/>
        </w:rPr>
        <w:t xml:space="preserve"> </w:t>
      </w:r>
      <w:r>
        <w:t>Holdings</w:t>
      </w:r>
      <w:r>
        <w:rPr>
          <w:spacing w:val="-2"/>
        </w:rPr>
        <w:t xml:space="preserve"> </w:t>
      </w:r>
      <w:r>
        <w:t>Corp.:</w:t>
      </w:r>
    </w:p>
    <w:p w14:paraId="759E1F00" w14:textId="0D44E7F1" w:rsidR="002C2476" w:rsidRDefault="002C2476" w:rsidP="002C2476">
      <w:pPr>
        <w:pStyle w:val="BodyText"/>
        <w:spacing w:line="259" w:lineRule="auto"/>
        <w:ind w:left="100" w:right="110"/>
      </w:pPr>
      <w:r>
        <w:t>Ayurcann is a leading post-harvest solution provider with a focus on providing and creating</w:t>
      </w:r>
      <w:r>
        <w:rPr>
          <w:spacing w:val="1"/>
        </w:rPr>
        <w:t xml:space="preserve"> </w:t>
      </w:r>
      <w:r>
        <w:t>custom</w:t>
      </w:r>
      <w:r>
        <w:rPr>
          <w:spacing w:val="-8"/>
        </w:rPr>
        <w:t xml:space="preserve"> </w:t>
      </w:r>
      <w:r>
        <w:t>processes</w:t>
      </w:r>
      <w:r>
        <w:rPr>
          <w:spacing w:val="-14"/>
        </w:rPr>
        <w:t xml:space="preserve"> </w:t>
      </w:r>
      <w:r>
        <w:t>and</w:t>
      </w:r>
      <w:r>
        <w:rPr>
          <w:spacing w:val="-7"/>
        </w:rPr>
        <w:t xml:space="preserve"> </w:t>
      </w:r>
      <w:r>
        <w:t>pharma</w:t>
      </w:r>
      <w:r>
        <w:rPr>
          <w:spacing w:val="-6"/>
        </w:rPr>
        <w:t xml:space="preserve"> </w:t>
      </w:r>
      <w:r>
        <w:t>grade</w:t>
      </w:r>
      <w:r>
        <w:rPr>
          <w:spacing w:val="-7"/>
        </w:rPr>
        <w:t xml:space="preserve"> </w:t>
      </w:r>
      <w:r>
        <w:t>products</w:t>
      </w:r>
      <w:r>
        <w:rPr>
          <w:spacing w:val="-9"/>
        </w:rPr>
        <w:t xml:space="preserve"> </w:t>
      </w:r>
      <w:r>
        <w:t>for</w:t>
      </w:r>
      <w:r>
        <w:rPr>
          <w:spacing w:val="-8"/>
        </w:rPr>
        <w:t xml:space="preserve"> </w:t>
      </w:r>
      <w:r>
        <w:t>the</w:t>
      </w:r>
      <w:r>
        <w:rPr>
          <w:spacing w:val="-6"/>
        </w:rPr>
        <w:t xml:space="preserve"> </w:t>
      </w:r>
      <w:r>
        <w:t>adult</w:t>
      </w:r>
      <w:r>
        <w:rPr>
          <w:spacing w:val="-11"/>
        </w:rPr>
        <w:t xml:space="preserve"> </w:t>
      </w:r>
      <w:r>
        <w:t>use</w:t>
      </w:r>
      <w:r>
        <w:rPr>
          <w:spacing w:val="-6"/>
        </w:rPr>
        <w:t xml:space="preserve"> </w:t>
      </w:r>
      <w:r>
        <w:t>and</w:t>
      </w:r>
      <w:r>
        <w:rPr>
          <w:spacing w:val="-7"/>
        </w:rPr>
        <w:t xml:space="preserve"> </w:t>
      </w:r>
      <w:r>
        <w:t>medical</w:t>
      </w:r>
      <w:r>
        <w:rPr>
          <w:spacing w:val="-8"/>
        </w:rPr>
        <w:t xml:space="preserve"> </w:t>
      </w:r>
      <w:r>
        <w:t>cannabis</w:t>
      </w:r>
      <w:r>
        <w:rPr>
          <w:spacing w:val="-10"/>
        </w:rPr>
        <w:t xml:space="preserve"> </w:t>
      </w:r>
      <w:r>
        <w:t>industry</w:t>
      </w:r>
      <w:r>
        <w:rPr>
          <w:spacing w:val="-9"/>
        </w:rPr>
        <w:t xml:space="preserve"> </w:t>
      </w:r>
      <w:r>
        <w:t>in</w:t>
      </w:r>
      <w:r>
        <w:rPr>
          <w:spacing w:val="-59"/>
        </w:rPr>
        <w:t xml:space="preserve"> </w:t>
      </w:r>
      <w:r>
        <w:t>Canada. Ayurcann is focused on becoming the partner of choice for leading Canadian cannabis</w:t>
      </w:r>
      <w:r>
        <w:rPr>
          <w:spacing w:val="1"/>
        </w:rPr>
        <w:t xml:space="preserve"> </w:t>
      </w:r>
      <w:r>
        <w:t>brands by providing best-in-class, proprietary services including ethanol extraction, formulation,</w:t>
      </w:r>
      <w:r>
        <w:rPr>
          <w:spacing w:val="1"/>
        </w:rPr>
        <w:t xml:space="preserve"> </w:t>
      </w:r>
      <w:r>
        <w:t>product</w:t>
      </w:r>
      <w:r>
        <w:rPr>
          <w:spacing w:val="-9"/>
        </w:rPr>
        <w:t xml:space="preserve"> </w:t>
      </w:r>
      <w:r>
        <w:t>development</w:t>
      </w:r>
      <w:r>
        <w:rPr>
          <w:spacing w:val="-3"/>
        </w:rPr>
        <w:t xml:space="preserve"> </w:t>
      </w:r>
      <w:r>
        <w:t>and</w:t>
      </w:r>
      <w:r>
        <w:rPr>
          <w:spacing w:val="1"/>
        </w:rPr>
        <w:t xml:space="preserve"> </w:t>
      </w:r>
      <w:r>
        <w:t>custom</w:t>
      </w:r>
      <w:r>
        <w:rPr>
          <w:spacing w:val="-5"/>
        </w:rPr>
        <w:t xml:space="preserve"> </w:t>
      </w:r>
      <w:r>
        <w:t>manufacturing.</w:t>
      </w:r>
    </w:p>
    <w:p w14:paraId="2782C6AB" w14:textId="5F0C57D9" w:rsidR="002C2476" w:rsidRDefault="002C2476" w:rsidP="002C2476">
      <w:pPr>
        <w:pStyle w:val="BodyText"/>
        <w:spacing w:line="259" w:lineRule="auto"/>
        <w:ind w:left="100" w:right="110"/>
      </w:pPr>
    </w:p>
    <w:p w14:paraId="13CE53F4" w14:textId="77777777" w:rsidR="002C2476" w:rsidRDefault="002C2476" w:rsidP="002C2476">
      <w:pPr>
        <w:spacing w:before="159" w:line="256" w:lineRule="auto"/>
        <w:ind w:left="100" w:right="125"/>
        <w:rPr>
          <w:i/>
        </w:rPr>
      </w:pPr>
      <w:r>
        <w:rPr>
          <w:i/>
        </w:rPr>
        <w:t>Neither</w:t>
      </w:r>
      <w:r>
        <w:rPr>
          <w:i/>
          <w:spacing w:val="-10"/>
        </w:rPr>
        <w:t xml:space="preserve"> </w:t>
      </w:r>
      <w:r>
        <w:rPr>
          <w:i/>
        </w:rPr>
        <w:t>the</w:t>
      </w:r>
      <w:r>
        <w:rPr>
          <w:i/>
          <w:spacing w:val="-8"/>
        </w:rPr>
        <w:t xml:space="preserve"> </w:t>
      </w:r>
      <w:r>
        <w:rPr>
          <w:i/>
        </w:rPr>
        <w:t>Canadian</w:t>
      </w:r>
      <w:r>
        <w:rPr>
          <w:i/>
          <w:spacing w:val="-8"/>
        </w:rPr>
        <w:t xml:space="preserve"> </w:t>
      </w:r>
      <w:r>
        <w:rPr>
          <w:i/>
        </w:rPr>
        <w:t>Securities</w:t>
      </w:r>
      <w:r>
        <w:rPr>
          <w:i/>
          <w:spacing w:val="-11"/>
        </w:rPr>
        <w:t xml:space="preserve"> </w:t>
      </w:r>
      <w:r>
        <w:rPr>
          <w:i/>
        </w:rPr>
        <w:t>Exchange</w:t>
      </w:r>
      <w:r>
        <w:rPr>
          <w:i/>
          <w:spacing w:val="-13"/>
        </w:rPr>
        <w:t xml:space="preserve"> </w:t>
      </w:r>
      <w:r>
        <w:rPr>
          <w:i/>
        </w:rPr>
        <w:t>nor</w:t>
      </w:r>
      <w:r>
        <w:rPr>
          <w:i/>
          <w:spacing w:val="-9"/>
        </w:rPr>
        <w:t xml:space="preserve"> </w:t>
      </w:r>
      <w:r>
        <w:rPr>
          <w:i/>
        </w:rPr>
        <w:t>its</w:t>
      </w:r>
      <w:r>
        <w:rPr>
          <w:i/>
          <w:spacing w:val="-11"/>
        </w:rPr>
        <w:t xml:space="preserve"> </w:t>
      </w:r>
      <w:r>
        <w:rPr>
          <w:i/>
        </w:rPr>
        <w:t>Regulation</w:t>
      </w:r>
      <w:r>
        <w:rPr>
          <w:i/>
          <w:spacing w:val="-8"/>
        </w:rPr>
        <w:t xml:space="preserve"> </w:t>
      </w:r>
      <w:r>
        <w:rPr>
          <w:i/>
        </w:rPr>
        <w:t>Services</w:t>
      </w:r>
      <w:r>
        <w:rPr>
          <w:i/>
          <w:spacing w:val="-11"/>
        </w:rPr>
        <w:t xml:space="preserve"> </w:t>
      </w:r>
      <w:r>
        <w:rPr>
          <w:i/>
        </w:rPr>
        <w:t>Provider</w:t>
      </w:r>
      <w:r>
        <w:rPr>
          <w:i/>
          <w:spacing w:val="-9"/>
        </w:rPr>
        <w:t xml:space="preserve"> </w:t>
      </w:r>
      <w:r>
        <w:rPr>
          <w:i/>
        </w:rPr>
        <w:t>have</w:t>
      </w:r>
      <w:r>
        <w:rPr>
          <w:i/>
          <w:spacing w:val="-13"/>
        </w:rPr>
        <w:t xml:space="preserve"> </w:t>
      </w:r>
      <w:r>
        <w:rPr>
          <w:i/>
        </w:rPr>
        <w:t>reviewed</w:t>
      </w:r>
      <w:r>
        <w:rPr>
          <w:i/>
          <w:spacing w:val="-13"/>
        </w:rPr>
        <w:t xml:space="preserve"> </w:t>
      </w:r>
      <w:r>
        <w:rPr>
          <w:i/>
        </w:rPr>
        <w:t>or</w:t>
      </w:r>
      <w:r>
        <w:rPr>
          <w:i/>
          <w:spacing w:val="-59"/>
        </w:rPr>
        <w:t xml:space="preserve"> </w:t>
      </w:r>
      <w:r>
        <w:rPr>
          <w:i/>
        </w:rPr>
        <w:t>accept</w:t>
      </w:r>
      <w:r>
        <w:rPr>
          <w:i/>
          <w:spacing w:val="-4"/>
        </w:rPr>
        <w:t xml:space="preserve"> </w:t>
      </w:r>
      <w:r>
        <w:rPr>
          <w:i/>
        </w:rPr>
        <w:t>responsibility</w:t>
      </w:r>
      <w:r>
        <w:rPr>
          <w:i/>
          <w:spacing w:val="-2"/>
        </w:rPr>
        <w:t xml:space="preserve"> </w:t>
      </w:r>
      <w:r>
        <w:rPr>
          <w:i/>
        </w:rPr>
        <w:t>for the adequacy</w:t>
      </w:r>
      <w:r>
        <w:rPr>
          <w:i/>
          <w:spacing w:val="-2"/>
        </w:rPr>
        <w:t xml:space="preserve"> </w:t>
      </w:r>
      <w:r>
        <w:rPr>
          <w:i/>
        </w:rPr>
        <w:t>or</w:t>
      </w:r>
      <w:r>
        <w:rPr>
          <w:i/>
          <w:spacing w:val="-5"/>
        </w:rPr>
        <w:t xml:space="preserve"> </w:t>
      </w:r>
      <w:r>
        <w:rPr>
          <w:i/>
        </w:rPr>
        <w:t>accuracy</w:t>
      </w:r>
      <w:r>
        <w:rPr>
          <w:i/>
          <w:spacing w:val="-3"/>
        </w:rPr>
        <w:t xml:space="preserve"> </w:t>
      </w:r>
      <w:r>
        <w:rPr>
          <w:i/>
        </w:rPr>
        <w:t>of</w:t>
      </w:r>
      <w:r>
        <w:rPr>
          <w:i/>
          <w:spacing w:val="-3"/>
        </w:rPr>
        <w:t xml:space="preserve"> </w:t>
      </w:r>
      <w:r>
        <w:rPr>
          <w:i/>
        </w:rPr>
        <w:t>this</w:t>
      </w:r>
      <w:r>
        <w:rPr>
          <w:i/>
          <w:spacing w:val="7"/>
        </w:rPr>
        <w:t xml:space="preserve"> </w:t>
      </w:r>
      <w:r>
        <w:rPr>
          <w:i/>
        </w:rPr>
        <w:t>news</w:t>
      </w:r>
      <w:r>
        <w:rPr>
          <w:i/>
          <w:spacing w:val="-2"/>
        </w:rPr>
        <w:t xml:space="preserve"> </w:t>
      </w:r>
      <w:r>
        <w:rPr>
          <w:i/>
        </w:rPr>
        <w:t>release.</w:t>
      </w:r>
    </w:p>
    <w:p w14:paraId="182600CF" w14:textId="77777777" w:rsidR="005A5D19" w:rsidRDefault="005A5D19" w:rsidP="002C2476">
      <w:pPr>
        <w:pStyle w:val="Heading1"/>
        <w:spacing w:before="64"/>
      </w:pPr>
    </w:p>
    <w:p w14:paraId="6D777707" w14:textId="5F8BFAEB" w:rsidR="002C2476" w:rsidRDefault="002C2476" w:rsidP="007A1BA5">
      <w:pPr>
        <w:pStyle w:val="Heading1"/>
        <w:spacing w:before="64"/>
        <w:ind w:left="0"/>
      </w:pPr>
      <w:r>
        <w:t>Forward-Looking</w:t>
      </w:r>
      <w:r>
        <w:rPr>
          <w:spacing w:val="-5"/>
        </w:rPr>
        <w:t xml:space="preserve"> </w:t>
      </w:r>
      <w:r>
        <w:t>Statements</w:t>
      </w:r>
    </w:p>
    <w:p w14:paraId="2256B55A" w14:textId="77777777"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This news release contains “forward-looking statements” within the meaning of applicable securities laws. All statements contained herein that are not clearly historical in nature may constitute forward-looking statements.</w:t>
      </w:r>
    </w:p>
    <w:p w14:paraId="73780CE4" w14:textId="31868E6C"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 xml:space="preserve">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 looking statements contained herein include, but are not limited to, statements regarding: the Company’s expansion plans and future production capacity; the ability of the Company to add new product offerings; the anticipated approval for the sale of further product </w:t>
      </w:r>
      <w:r>
        <w:rPr>
          <w:rFonts w:ascii="Arial" w:eastAsia="Times New Roman" w:hAnsi="Arial" w:cs="Arial"/>
          <w:color w:val="000000"/>
          <w:sz w:val="22"/>
          <w:szCs w:val="22"/>
        </w:rPr>
        <w:t>,</w:t>
      </w:r>
      <w:r w:rsidRPr="007A1BA5">
        <w:rPr>
          <w:rFonts w:ascii="Arial" w:eastAsia="Times New Roman" w:hAnsi="Arial" w:cs="Arial"/>
          <w:color w:val="000000"/>
          <w:sz w:val="22"/>
          <w:szCs w:val="22"/>
        </w:rPr>
        <w:t>the ability of the Company to expand its distribution network and introduce more consumers to its products; the Company’s plans to further develop market awareness for its products; the Company’s plans to become the partner of choice for leading cannabis brands.</w:t>
      </w:r>
    </w:p>
    <w:p w14:paraId="5F9386CE" w14:textId="2F33B716"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 xml:space="preserve">Forward-looking information in this news release are based on certain assumptions and expected future events, namely: the Company will expand and be able to maintain production capacity; the Company’s ability to continue as a going concern; the continued commercial viability and growth in popularity of the Company’s products; continued approval of the Company’s activities by the relevant governmental and/or regulatory authorities; the continued growth of the Company; the Company’s ability to complete its obligations </w:t>
      </w:r>
      <w:r>
        <w:rPr>
          <w:rFonts w:ascii="Arial" w:eastAsia="Times New Roman" w:hAnsi="Arial" w:cs="Arial"/>
          <w:color w:val="000000"/>
          <w:sz w:val="22"/>
          <w:szCs w:val="22"/>
        </w:rPr>
        <w:t>,</w:t>
      </w:r>
      <w:r w:rsidRPr="007A1BA5">
        <w:rPr>
          <w:rFonts w:ascii="Arial" w:eastAsia="Times New Roman" w:hAnsi="Arial" w:cs="Arial"/>
          <w:color w:val="000000"/>
          <w:sz w:val="22"/>
          <w:szCs w:val="22"/>
        </w:rPr>
        <w:t>the success of the Company’s investor relation initiatives</w:t>
      </w:r>
      <w:r>
        <w:rPr>
          <w:rFonts w:ascii="Arial" w:eastAsia="Times New Roman" w:hAnsi="Arial" w:cs="Arial"/>
          <w:color w:val="000000"/>
          <w:sz w:val="22"/>
          <w:szCs w:val="22"/>
        </w:rPr>
        <w:t>.</w:t>
      </w:r>
    </w:p>
    <w:p w14:paraId="677F3C7B" w14:textId="39F5D5D9"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 xml:space="preserve">These statements involve known and unknown risks, uncertainties and other factors, which may cause actual results, performance or achievements to differ materially from those expressed or </w:t>
      </w:r>
      <w:r w:rsidRPr="007A1BA5">
        <w:rPr>
          <w:rFonts w:ascii="Arial" w:eastAsia="Times New Roman" w:hAnsi="Arial" w:cs="Arial"/>
          <w:color w:val="000000"/>
          <w:sz w:val="22"/>
          <w:szCs w:val="22"/>
        </w:rPr>
        <w:lastRenderedPageBreak/>
        <w:t>implied by such statements, including but not limited to: the Company’s inability to expand and/or maintain production capacity; the potential inability of the Company to continue as a going concern; the risks associated with the cannabis industry in general; increased competition in the cannabis-extraction market; the potential future unviability of the cannabis market; risks associated with potential governmental and/or regulatory action with respect to the cannabis</w:t>
      </w:r>
      <w:r>
        <w:rPr>
          <w:rFonts w:ascii="Arial" w:eastAsia="Times New Roman" w:hAnsi="Arial" w:cs="Arial"/>
          <w:color w:val="000000"/>
          <w:sz w:val="22"/>
          <w:szCs w:val="22"/>
        </w:rPr>
        <w:t xml:space="preserve"> </w:t>
      </w:r>
      <w:r w:rsidRPr="007A1BA5">
        <w:rPr>
          <w:rFonts w:ascii="Arial" w:eastAsia="Times New Roman" w:hAnsi="Arial" w:cs="Arial"/>
          <w:color w:val="000000"/>
          <w:sz w:val="22"/>
          <w:szCs w:val="22"/>
        </w:rPr>
        <w:t>industry; risks associated with the Company’s investor relation agreements;</w:t>
      </w:r>
      <w:r>
        <w:rPr>
          <w:rFonts w:ascii="Arial" w:eastAsia="Times New Roman" w:hAnsi="Arial" w:cs="Arial"/>
          <w:color w:val="000000"/>
          <w:sz w:val="22"/>
          <w:szCs w:val="22"/>
        </w:rPr>
        <w:t xml:space="preserve"> </w:t>
      </w:r>
      <w:r w:rsidRPr="007A1BA5">
        <w:rPr>
          <w:rFonts w:ascii="Arial" w:eastAsia="Times New Roman" w:hAnsi="Arial" w:cs="Arial"/>
          <w:color w:val="000000"/>
          <w:sz w:val="22"/>
          <w:szCs w:val="22"/>
        </w:rPr>
        <w:t>the inability of the Company to add new product offerings; the inability of the Company to expand its distribution network and introduce more consumers to its products; the Company’s plans to further develop market awareness for its products may not materialize; the Company’s plans to become the partner of choice for leading cannabis brands may not materialize; the investor relations initiatives of the Company not leading to further consumer engagement.</w:t>
      </w:r>
    </w:p>
    <w:p w14:paraId="17402E27" w14:textId="77777777"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Readers are cautioned that the foregoing list is not exhaustive. Readers are further cautioned not to place undue reliance on forward-looking statements, as there can be no assurance that the plans, intentions, or expectations upon which they are placed will occur. Such information, although considered reasonable by management at the time of preparation, may prove to be incorrect and actual results may differ materially from those anticipated.</w:t>
      </w:r>
    </w:p>
    <w:p w14:paraId="14373E20" w14:textId="77777777"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because of new information, estimates or opinions, future events, or results or otherwise or to explain any material difference between subsequent actual events and such forward-looking information, except as required by applicable law.</w:t>
      </w:r>
    </w:p>
    <w:p w14:paraId="26570EB2" w14:textId="77777777" w:rsidR="007A1BA5" w:rsidRPr="007A1BA5" w:rsidRDefault="007A1BA5" w:rsidP="007A1BA5">
      <w:pPr>
        <w:spacing w:before="100" w:beforeAutospacing="1" w:after="100" w:afterAutospacing="1"/>
        <w:rPr>
          <w:rFonts w:ascii="Arial" w:eastAsia="Times New Roman" w:hAnsi="Arial" w:cs="Arial"/>
          <w:color w:val="000000"/>
          <w:sz w:val="22"/>
          <w:szCs w:val="22"/>
        </w:rPr>
      </w:pPr>
      <w:r w:rsidRPr="007A1BA5">
        <w:rPr>
          <w:rFonts w:ascii="Arial" w:eastAsia="Times New Roman" w:hAnsi="Arial" w:cs="Arial"/>
          <w:color w:val="000000"/>
          <w:sz w:val="22"/>
          <w:szCs w:val="22"/>
        </w:rPr>
        <w:t>Further, there may be others that cause results not to be as anticipated, estimated or intended and such changes could be material.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events or circumstances unless required by law. Readers should not place undue reliance on the Company’s forward-looking statements.</w:t>
      </w:r>
    </w:p>
    <w:p w14:paraId="61764F13" w14:textId="77777777" w:rsidR="00301588" w:rsidRPr="007A1BA5" w:rsidRDefault="00301588" w:rsidP="007A1BA5">
      <w:pPr>
        <w:spacing w:before="182" w:line="259" w:lineRule="auto"/>
        <w:ind w:left="100" w:right="118"/>
        <w:rPr>
          <w:rFonts w:ascii="Arial" w:hAnsi="Arial" w:cs="Arial"/>
          <w:b/>
          <w:bCs/>
          <w:sz w:val="22"/>
          <w:szCs w:val="22"/>
          <w:u w:val="single"/>
        </w:rPr>
      </w:pPr>
    </w:p>
    <w:sectPr w:rsidR="00301588" w:rsidRPr="007A1B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88"/>
    <w:rsid w:val="002C2476"/>
    <w:rsid w:val="00301588"/>
    <w:rsid w:val="003722D3"/>
    <w:rsid w:val="004228C8"/>
    <w:rsid w:val="005A5D19"/>
    <w:rsid w:val="005F7860"/>
    <w:rsid w:val="0063689A"/>
    <w:rsid w:val="007A1BA5"/>
    <w:rsid w:val="007B5EA7"/>
    <w:rsid w:val="009F0130"/>
    <w:rsid w:val="00AF244E"/>
    <w:rsid w:val="00D13F1C"/>
    <w:rsid w:val="00E62FCE"/>
    <w:rsid w:val="00E85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DB56"/>
  <w15:chartTrackingRefBased/>
  <w15:docId w15:val="{609F2ADE-1492-4246-84C6-54881B9F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76"/>
  </w:style>
  <w:style w:type="paragraph" w:styleId="Heading1">
    <w:name w:val="heading 1"/>
    <w:basedOn w:val="Normal"/>
    <w:link w:val="Heading1Char"/>
    <w:uiPriority w:val="9"/>
    <w:qFormat/>
    <w:rsid w:val="002C2476"/>
    <w:pPr>
      <w:widowControl w:val="0"/>
      <w:autoSpaceDE w:val="0"/>
      <w:autoSpaceDN w:val="0"/>
      <w:ind w:left="100"/>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588"/>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C2476"/>
    <w:rPr>
      <w:rFonts w:ascii="Arial" w:eastAsia="Arial" w:hAnsi="Arial" w:cs="Arial"/>
      <w:b/>
      <w:bCs/>
      <w:sz w:val="22"/>
      <w:szCs w:val="22"/>
      <w:lang w:val="en-US"/>
    </w:rPr>
  </w:style>
  <w:style w:type="paragraph" w:styleId="BodyText">
    <w:name w:val="Body Text"/>
    <w:basedOn w:val="Normal"/>
    <w:link w:val="BodyTextChar"/>
    <w:uiPriority w:val="1"/>
    <w:qFormat/>
    <w:rsid w:val="002C2476"/>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C2476"/>
    <w:rPr>
      <w:rFonts w:ascii="Arial" w:eastAsia="Arial" w:hAnsi="Arial" w:cs="Arial"/>
      <w:sz w:val="22"/>
      <w:szCs w:val="22"/>
      <w:lang w:val="en-US"/>
    </w:rPr>
  </w:style>
  <w:style w:type="character" w:styleId="Hyperlink">
    <w:name w:val="Hyperlink"/>
    <w:basedOn w:val="DefaultParagraphFont"/>
    <w:uiPriority w:val="99"/>
    <w:unhideWhenUsed/>
    <w:rsid w:val="002C2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8685">
      <w:bodyDiv w:val="1"/>
      <w:marLeft w:val="0"/>
      <w:marRight w:val="0"/>
      <w:marTop w:val="0"/>
      <w:marBottom w:val="0"/>
      <w:divBdr>
        <w:top w:val="none" w:sz="0" w:space="0" w:color="auto"/>
        <w:left w:val="none" w:sz="0" w:space="0" w:color="auto"/>
        <w:bottom w:val="none" w:sz="0" w:space="0" w:color="auto"/>
        <w:right w:val="none" w:sz="0" w:space="0" w:color="auto"/>
      </w:divBdr>
      <w:divsChild>
        <w:div w:id="1847868431">
          <w:marLeft w:val="0"/>
          <w:marRight w:val="0"/>
          <w:marTop w:val="0"/>
          <w:marBottom w:val="0"/>
          <w:divBdr>
            <w:top w:val="none" w:sz="0" w:space="0" w:color="auto"/>
            <w:left w:val="none" w:sz="0" w:space="0" w:color="auto"/>
            <w:bottom w:val="none" w:sz="0" w:space="0" w:color="auto"/>
            <w:right w:val="none" w:sz="0" w:space="0" w:color="auto"/>
          </w:divBdr>
          <w:divsChild>
            <w:div w:id="5503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277">
      <w:bodyDiv w:val="1"/>
      <w:marLeft w:val="0"/>
      <w:marRight w:val="0"/>
      <w:marTop w:val="0"/>
      <w:marBottom w:val="0"/>
      <w:divBdr>
        <w:top w:val="none" w:sz="0" w:space="0" w:color="auto"/>
        <w:left w:val="none" w:sz="0" w:space="0" w:color="auto"/>
        <w:bottom w:val="none" w:sz="0" w:space="0" w:color="auto"/>
        <w:right w:val="none" w:sz="0" w:space="0" w:color="auto"/>
      </w:divBdr>
    </w:div>
    <w:div w:id="933591930">
      <w:bodyDiv w:val="1"/>
      <w:marLeft w:val="0"/>
      <w:marRight w:val="0"/>
      <w:marTop w:val="0"/>
      <w:marBottom w:val="0"/>
      <w:divBdr>
        <w:top w:val="none" w:sz="0" w:space="0" w:color="auto"/>
        <w:left w:val="none" w:sz="0" w:space="0" w:color="auto"/>
        <w:bottom w:val="none" w:sz="0" w:space="0" w:color="auto"/>
        <w:right w:val="none" w:sz="0" w:space="0" w:color="auto"/>
      </w:divBdr>
    </w:div>
    <w:div w:id="1517302183">
      <w:bodyDiv w:val="1"/>
      <w:marLeft w:val="0"/>
      <w:marRight w:val="0"/>
      <w:marTop w:val="0"/>
      <w:marBottom w:val="0"/>
      <w:divBdr>
        <w:top w:val="none" w:sz="0" w:space="0" w:color="auto"/>
        <w:left w:val="none" w:sz="0" w:space="0" w:color="auto"/>
        <w:bottom w:val="none" w:sz="0" w:space="0" w:color="auto"/>
        <w:right w:val="none" w:sz="0" w:space="0" w:color="auto"/>
      </w:divBdr>
    </w:div>
    <w:div w:id="1525358657">
      <w:bodyDiv w:val="1"/>
      <w:marLeft w:val="0"/>
      <w:marRight w:val="0"/>
      <w:marTop w:val="0"/>
      <w:marBottom w:val="0"/>
      <w:divBdr>
        <w:top w:val="none" w:sz="0" w:space="0" w:color="auto"/>
        <w:left w:val="none" w:sz="0" w:space="0" w:color="auto"/>
        <w:bottom w:val="none" w:sz="0" w:space="0" w:color="auto"/>
        <w:right w:val="none" w:sz="0" w:space="0" w:color="auto"/>
      </w:divBdr>
    </w:div>
    <w:div w:id="20147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yurcan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Igal Sudman</cp:lastModifiedBy>
  <cp:revision>6</cp:revision>
  <dcterms:created xsi:type="dcterms:W3CDTF">2021-10-19T21:16:00Z</dcterms:created>
  <dcterms:modified xsi:type="dcterms:W3CDTF">2021-10-20T12:07:00Z</dcterms:modified>
</cp:coreProperties>
</file>