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33" w:rsidRPr="0001060A" w:rsidRDefault="00F95DA8">
      <w:pPr>
        <w:pStyle w:val="Title"/>
        <w:spacing w:before="0"/>
        <w:rPr>
          <w:sz w:val="28"/>
          <w:lang w:val="en-CA"/>
        </w:rPr>
      </w:pPr>
      <w:bookmarkStart w:id="0" w:name="_GoBack"/>
      <w:bookmarkEnd w:id="0"/>
      <w:r w:rsidRPr="0001060A">
        <w:rPr>
          <w:sz w:val="28"/>
          <w:lang w:val="en-CA"/>
        </w:rPr>
        <w:t>FORM 9</w:t>
      </w:r>
    </w:p>
    <w:p w:rsidR="00EA4133" w:rsidRPr="007568B3" w:rsidRDefault="00F95DA8">
      <w:pPr>
        <w:pStyle w:val="Title"/>
        <w:spacing w:before="0" w:after="0"/>
        <w:rPr>
          <w:sz w:val="28"/>
          <w:u w:val="single"/>
          <w:lang w:val="en-CA"/>
        </w:rPr>
      </w:pPr>
      <w:r w:rsidRPr="007568B3">
        <w:rPr>
          <w:sz w:val="28"/>
          <w:u w:val="single"/>
          <w:lang w:val="en-CA"/>
        </w:rPr>
        <w:t xml:space="preserve">NOTICE OF PROPOSED ISSUANCE OF </w:t>
      </w:r>
      <w:r>
        <w:rPr>
          <w:sz w:val="28"/>
          <w:u w:val="single"/>
          <w:lang w:val="en-CA"/>
        </w:rPr>
        <w:t>LISTED</w:t>
      </w:r>
      <w:r w:rsidRPr="007568B3">
        <w:rPr>
          <w:sz w:val="28"/>
          <w:u w:val="single"/>
          <w:lang w:val="en-CA"/>
        </w:rPr>
        <w:t xml:space="preserve"> SECURITIES </w:t>
      </w:r>
    </w:p>
    <w:p w:rsidR="00EA4133" w:rsidRDefault="00F95DA8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(or securities convertible or exchangeable into </w:t>
      </w:r>
      <w:r>
        <w:rPr>
          <w:sz w:val="28"/>
          <w:u w:val="single"/>
          <w:lang w:val="en-CA"/>
        </w:rPr>
        <w:t>listed</w:t>
      </w:r>
      <w:r>
        <w:rPr>
          <w:sz w:val="28"/>
          <w:u w:val="single"/>
          <w:lang w:val="en-CA"/>
        </w:rPr>
        <w:t xml:space="preserve"> securities</w:t>
      </w:r>
      <w:r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:rsidR="00EA4133" w:rsidRDefault="00F95DA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Please complete the following:</w:t>
      </w:r>
    </w:p>
    <w:p w:rsidR="00EA4133" w:rsidRDefault="00F95DA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>
        <w:rPr>
          <w:rFonts w:ascii="Arial" w:hAnsi="Arial"/>
          <w:lang w:val="en-CA"/>
        </w:rPr>
        <w:t>Listed</w:t>
      </w:r>
      <w:r>
        <w:rPr>
          <w:rFonts w:ascii="Arial" w:hAnsi="Arial"/>
          <w:lang w:val="en-CA"/>
        </w:rPr>
        <w:t xml:space="preserve"> Issuer:  </w:t>
      </w:r>
      <w:r>
        <w:rPr>
          <w:rFonts w:ascii="Arial" w:hAnsi="Arial"/>
          <w:u w:val="single"/>
          <w:lang w:val="en-CA"/>
        </w:rPr>
        <w:t xml:space="preserve">Australis Capital Inc. </w:t>
      </w:r>
      <w:r>
        <w:rPr>
          <w:rFonts w:ascii="Arial" w:hAnsi="Arial"/>
          <w:lang w:val="en-CA"/>
        </w:rPr>
        <w:t xml:space="preserve">(the “Issuer”).  </w:t>
      </w:r>
    </w:p>
    <w:p w:rsidR="00EA4133" w:rsidRDefault="00F95DA8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Trading Symbol:</w:t>
      </w:r>
      <w:r>
        <w:rPr>
          <w:rFonts w:ascii="Arial" w:hAnsi="Arial"/>
          <w:lang w:val="en-CA"/>
        </w:rPr>
        <w:t xml:space="preserve"> </w:t>
      </w:r>
      <w:r w:rsidRPr="000C0CF7">
        <w:rPr>
          <w:rFonts w:ascii="Arial" w:hAnsi="Arial"/>
          <w:u w:val="single"/>
          <w:lang w:val="en-CA"/>
        </w:rPr>
        <w:t>AUSA</w:t>
      </w:r>
    </w:p>
    <w:p w:rsidR="00EA4133" w:rsidRDefault="00F95DA8">
      <w:pPr>
        <w:pStyle w:val="BodyText"/>
        <w:spacing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Date:</w:t>
      </w:r>
      <w:r>
        <w:rPr>
          <w:rFonts w:ascii="Arial" w:hAnsi="Arial"/>
          <w:lang w:val="en-CA"/>
        </w:rPr>
        <w:t xml:space="preserve">  </w:t>
      </w:r>
      <w:r w:rsidRPr="003078D8">
        <w:rPr>
          <w:rFonts w:ascii="Arial" w:hAnsi="Arial"/>
          <w:u w:val="single"/>
          <w:lang w:val="en-CA"/>
        </w:rPr>
        <w:t>October 23, 2018</w:t>
      </w:r>
    </w:p>
    <w:p w:rsidR="00EA4133" w:rsidRDefault="00F95DA8">
      <w:pPr>
        <w:pStyle w:val="BodyText"/>
        <w:tabs>
          <w:tab w:val="left" w:pos="2160"/>
        </w:tabs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Monotype Sorts" w:hAnsi="Monotype Sorts"/>
          <w:lang w:val="en-CA"/>
        </w:rPr>
        <w:sym w:font="Monotype Sorts" w:char="F07F"/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Wingdings 2" w:hAnsi="Wingdings 2"/>
          <w:lang w:val="en-CA"/>
        </w:rPr>
        <w:sym w:font="Wingdings 2" w:char="F054"/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:rsidR="00EA4133" w:rsidRDefault="00F95DA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yes provide date(s) of prior Notices:  ________________________.</w:t>
      </w:r>
    </w:p>
    <w:p w:rsidR="00EA4133" w:rsidRDefault="00F95DA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 </w:t>
      </w:r>
      <w:r w:rsidRPr="00DA344A">
        <w:rPr>
          <w:rFonts w:ascii="Arial" w:hAnsi="Arial"/>
          <w:u w:val="single"/>
          <w:lang w:val="en-CA"/>
        </w:rPr>
        <w:t>122,873,771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</w:p>
    <w:p w:rsidR="00EA4133" w:rsidRDefault="00F95DA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News Release Announcing </w:t>
      </w:r>
      <w:r>
        <w:rPr>
          <w:rFonts w:ascii="Arial" w:hAnsi="Arial"/>
          <w:lang w:val="en-CA"/>
        </w:rPr>
        <w:t>Private Placement:</w:t>
      </w:r>
      <w:r>
        <w:rPr>
          <w:rFonts w:ascii="Arial" w:hAnsi="Arial"/>
          <w:lang w:val="en-CA"/>
        </w:rPr>
        <w:t xml:space="preserve"> </w:t>
      </w:r>
      <w:r w:rsidRPr="000C0CF7">
        <w:rPr>
          <w:rFonts w:ascii="Arial" w:hAnsi="Arial"/>
          <w:u w:val="single"/>
          <w:lang w:val="en-CA"/>
        </w:rPr>
        <w:t>October 1, 2018</w:t>
      </w:r>
    </w:p>
    <w:p w:rsidR="00EA4133" w:rsidRDefault="00F95DA8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Closing Market Price on Day Preceding the Issuance of the News Release: </w:t>
      </w:r>
      <w:r w:rsidRPr="000C0CF7">
        <w:rPr>
          <w:rFonts w:ascii="Arial" w:hAnsi="Arial"/>
          <w:u w:val="single"/>
          <w:lang w:val="en-CA"/>
        </w:rPr>
        <w:t>$2.31</w:t>
      </w:r>
    </w:p>
    <w:p w:rsidR="00A90670" w:rsidRDefault="00F95DA8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1.</w:t>
      </w:r>
      <w:r>
        <w:rPr>
          <w:rFonts w:ascii="Arial" w:hAnsi="Arial"/>
          <w:b/>
          <w:lang w:val="en-CA"/>
        </w:rPr>
        <w:tab/>
        <w:t>Private Placement (if shares are being issued in connection with an acquisition (either as consideration or to raise funds for a cash acquis</w:t>
      </w:r>
      <w:r>
        <w:rPr>
          <w:rFonts w:ascii="Arial" w:hAnsi="Arial"/>
          <w:b/>
          <w:lang w:val="en-CA"/>
        </w:rPr>
        <w:t>ition), proceed to Part 2 of this form)</w:t>
      </w:r>
    </w:p>
    <w:tbl>
      <w:tblPr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376"/>
        <w:gridCol w:w="1192"/>
        <w:gridCol w:w="1376"/>
        <w:gridCol w:w="1376"/>
        <w:gridCol w:w="1742"/>
        <w:gridCol w:w="1100"/>
        <w:gridCol w:w="1100"/>
      </w:tblGrid>
      <w:tr w:rsidR="00C04A9E" w:rsidTr="00B72AC1">
        <w:trPr>
          <w:trHeight w:val="1965"/>
          <w:tblHeader/>
          <w:jc w:val="center"/>
        </w:trPr>
        <w:tc>
          <w:tcPr>
            <w:tcW w:w="1394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Full Name &amp; Residential Address of </w:t>
            </w:r>
            <w:proofErr w:type="spellStart"/>
            <w:r>
              <w:rPr>
                <w:rFonts w:ascii="Arial" w:hAnsi="Arial"/>
                <w:b/>
                <w:sz w:val="20"/>
                <w:lang w:val="en-CA"/>
              </w:rPr>
              <w:t>Placee</w:t>
            </w:r>
            <w:proofErr w:type="spellEnd"/>
          </w:p>
        </w:tc>
        <w:tc>
          <w:tcPr>
            <w:tcW w:w="1376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Number of Securities Purchased or to be Purchased</w:t>
            </w:r>
          </w:p>
        </w:tc>
        <w:tc>
          <w:tcPr>
            <w:tcW w:w="1192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Purchase price per Security (CDN$)</w:t>
            </w:r>
          </w:p>
        </w:tc>
        <w:tc>
          <w:tcPr>
            <w:tcW w:w="1376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Conversion</w:t>
            </w: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Price (if</w:t>
            </w: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Applicable)</w:t>
            </w:r>
          </w:p>
        </w:tc>
        <w:tc>
          <w:tcPr>
            <w:tcW w:w="1376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Prospectus Exemption</w:t>
            </w:r>
          </w:p>
        </w:tc>
        <w:tc>
          <w:tcPr>
            <w:tcW w:w="1742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</w:rPr>
              <w:t>No. of Securities, directly or</w:t>
            </w:r>
            <w:r>
              <w:rPr>
                <w:rFonts w:ascii="Arial" w:hAnsi="Arial"/>
                <w:b/>
                <w:sz w:val="20"/>
              </w:rPr>
              <w:t xml:space="preserve"> indirectly, Owned, Controlled or Directed</w:t>
            </w:r>
          </w:p>
        </w:tc>
        <w:tc>
          <w:tcPr>
            <w:tcW w:w="1100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Payment Date</w:t>
            </w:r>
            <w:r>
              <w:rPr>
                <w:rFonts w:ascii="Arial" w:hAnsi="Arial"/>
                <w:b/>
                <w:sz w:val="16"/>
                <w:lang w:val="en-CA"/>
              </w:rPr>
              <w:t>(1)</w:t>
            </w:r>
          </w:p>
        </w:tc>
        <w:tc>
          <w:tcPr>
            <w:tcW w:w="1100" w:type="dxa"/>
          </w:tcPr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Describe relations</w:t>
            </w: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hip to Issuer </w:t>
            </w:r>
            <w:r>
              <w:rPr>
                <w:rFonts w:ascii="Arial" w:hAnsi="Arial"/>
                <w:b/>
                <w:color w:val="000000"/>
                <w:sz w:val="16"/>
                <w:lang w:val="en-CA"/>
              </w:rPr>
              <w:t>(2)</w:t>
            </w:r>
          </w:p>
        </w:tc>
      </w:tr>
      <w:tr w:rsidR="00C04A9E" w:rsidTr="00B72AC1">
        <w:trPr>
          <w:trHeight w:val="864"/>
          <w:jc w:val="center"/>
        </w:trPr>
        <w:tc>
          <w:tcPr>
            <w:tcW w:w="1394" w:type="dxa"/>
          </w:tcPr>
          <w:p w:rsidR="00866AFB" w:rsidRPr="00DA344A" w:rsidRDefault="00F95DA8" w:rsidP="00866AFB">
            <w:pPr>
              <w:pStyle w:val="BodyText"/>
              <w:spacing w:before="120"/>
              <w:rPr>
                <w:sz w:val="20"/>
                <w:u w:val="single"/>
              </w:rPr>
            </w:pPr>
            <w:r w:rsidRPr="00DA344A">
              <w:rPr>
                <w:sz w:val="20"/>
                <w:u w:val="single"/>
              </w:rPr>
              <w:t>To follow</w:t>
            </w:r>
          </w:p>
        </w:tc>
        <w:tc>
          <w:tcPr>
            <w:tcW w:w="1376" w:type="dxa"/>
          </w:tcPr>
          <w:p w:rsidR="00866AFB" w:rsidRPr="00802826" w:rsidRDefault="00F95DA8" w:rsidP="00866AFB">
            <w:pPr>
              <w:pStyle w:val="BodyText"/>
              <w:spacing w:before="12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74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</w:tr>
      <w:tr w:rsidR="00C04A9E" w:rsidTr="00B72AC1">
        <w:trPr>
          <w:trHeight w:val="864"/>
          <w:jc w:val="center"/>
        </w:trPr>
        <w:tc>
          <w:tcPr>
            <w:tcW w:w="1394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802826" w:rsidRDefault="00F95DA8" w:rsidP="00866AFB">
            <w:pPr>
              <w:pStyle w:val="BodyText"/>
              <w:spacing w:before="12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74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</w:tr>
      <w:tr w:rsidR="00C04A9E" w:rsidTr="00B72AC1">
        <w:trPr>
          <w:trHeight w:val="864"/>
          <w:jc w:val="center"/>
        </w:trPr>
        <w:tc>
          <w:tcPr>
            <w:tcW w:w="1394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802826" w:rsidRDefault="00F95DA8" w:rsidP="00866AFB">
            <w:pPr>
              <w:pStyle w:val="BodyText"/>
              <w:spacing w:before="120"/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376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742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  <w:tc>
          <w:tcPr>
            <w:tcW w:w="1100" w:type="dxa"/>
          </w:tcPr>
          <w:p w:rsidR="00866AFB" w:rsidRPr="00763310" w:rsidRDefault="00F95DA8" w:rsidP="00866AFB">
            <w:pPr>
              <w:pStyle w:val="BodyText"/>
              <w:spacing w:before="120"/>
              <w:rPr>
                <w:sz w:val="20"/>
              </w:rPr>
            </w:pPr>
          </w:p>
        </w:tc>
      </w:tr>
    </w:tbl>
    <w:p w:rsidR="00EA4133" w:rsidRPr="008003B9" w:rsidRDefault="00F95DA8">
      <w:pPr>
        <w:pStyle w:val="BodyTex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8003B9">
        <w:rPr>
          <w:rFonts w:ascii="Arial" w:hAnsi="Arial" w:cs="Arial"/>
          <w:sz w:val="20"/>
        </w:rPr>
        <w:lastRenderedPageBreak/>
        <w:t xml:space="preserve">Indicate date each </w:t>
      </w:r>
      <w:proofErr w:type="spellStart"/>
      <w:r w:rsidRPr="008003B9">
        <w:rPr>
          <w:rFonts w:ascii="Arial" w:hAnsi="Arial" w:cs="Arial"/>
          <w:sz w:val="20"/>
        </w:rPr>
        <w:t>placee</w:t>
      </w:r>
      <w:proofErr w:type="spellEnd"/>
      <w:r w:rsidRPr="008003B9">
        <w:rPr>
          <w:rFonts w:ascii="Arial" w:hAnsi="Arial" w:cs="Arial"/>
          <w:sz w:val="20"/>
        </w:rPr>
        <w:t xml:space="preserve"> advanced or is expected to advance payment for securities.  Provide details of expected payment</w:t>
      </w:r>
      <w:r w:rsidRPr="008003B9">
        <w:rPr>
          <w:rFonts w:ascii="Arial" w:hAnsi="Arial" w:cs="Arial"/>
          <w:sz w:val="20"/>
        </w:rPr>
        <w:t xml:space="preserve"> date, conditions to release of funds etc.  Indicate if the placement funds been placed in trust pending receipt of all necessary approvals.</w:t>
      </w:r>
    </w:p>
    <w:p w:rsidR="00EA4133" w:rsidRPr="008003B9" w:rsidRDefault="00F95DA8">
      <w:pPr>
        <w:pStyle w:val="BodyText"/>
        <w:numPr>
          <w:ilvl w:val="0"/>
          <w:numId w:val="8"/>
        </w:numPr>
        <w:rPr>
          <w:rFonts w:ascii="Arial" w:hAnsi="Arial" w:cs="Arial"/>
          <w:sz w:val="20"/>
        </w:rPr>
      </w:pPr>
      <w:r w:rsidRPr="008003B9">
        <w:rPr>
          <w:rFonts w:ascii="Arial" w:hAnsi="Arial" w:cs="Arial"/>
          <w:sz w:val="20"/>
        </w:rPr>
        <w:t>Indicate if Related Person.</w:t>
      </w:r>
    </w:p>
    <w:p w:rsidR="00EA4133" w:rsidRPr="008003B9" w:rsidRDefault="00F95DA8">
      <w:pPr>
        <w:pStyle w:val="BodyText"/>
        <w:rPr>
          <w:rFonts w:ascii="Arial" w:hAnsi="Arial" w:cs="Arial"/>
          <w:sz w:val="20"/>
        </w:rPr>
      </w:pPr>
    </w:p>
    <w:p w:rsidR="00EA4133" w:rsidRPr="008003B9" w:rsidRDefault="00F95DA8">
      <w:pPr>
        <w:pStyle w:val="FootnoteText"/>
        <w:rPr>
          <w:rFonts w:ascii="Arial" w:hAnsi="Arial" w:cs="Arial"/>
          <w:sz w:val="24"/>
          <w:szCs w:val="24"/>
        </w:rPr>
      </w:pPr>
      <w:r w:rsidRPr="008003B9">
        <w:rPr>
          <w:rFonts w:ascii="Arial" w:hAnsi="Arial" w:cs="Arial"/>
          <w:vertAlign w:val="superscript"/>
        </w:rPr>
        <w:t>1</w:t>
      </w:r>
      <w:r w:rsidRPr="008003B9">
        <w:rPr>
          <w:rFonts w:ascii="Arial" w:hAnsi="Arial" w:cs="Arial"/>
        </w:rPr>
        <w:t xml:space="preserve">An issuance of non-convertible debt does not have to be reported unless it is a </w:t>
      </w:r>
      <w:r w:rsidRPr="008003B9">
        <w:rPr>
          <w:rFonts w:ascii="Arial" w:hAnsi="Arial" w:cs="Arial"/>
        </w:rPr>
        <w:t>significant transaction as defined in Policy 7, in which case it is to be reported on Form 10</w:t>
      </w:r>
      <w:r w:rsidRPr="008003B9">
        <w:rPr>
          <w:rFonts w:ascii="Arial" w:hAnsi="Arial" w:cs="Arial"/>
          <w:sz w:val="24"/>
          <w:szCs w:val="24"/>
        </w:rPr>
        <w:t>.</w:t>
      </w:r>
    </w:p>
    <w:p w:rsidR="00EA4133" w:rsidRDefault="00F95DA8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Total amount of funds to be raised: </w:t>
      </w:r>
      <w:r>
        <w:rPr>
          <w:rFonts w:ascii="Arial" w:hAnsi="Arial"/>
          <w:u w:val="single"/>
        </w:rPr>
        <w:t>Up to $30,000,000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 w:rsidP="00B72AC1">
      <w:pPr>
        <w:pStyle w:val="BodyText"/>
        <w:tabs>
          <w:tab w:val="left" w:pos="1080"/>
          <w:tab w:val="left" w:pos="9180"/>
        </w:tabs>
        <w:ind w:left="1080" w:hanging="108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Provide full details of the use of the proceeds.  The disclosure should be sufficiently complete t</w:t>
      </w:r>
      <w:r>
        <w:rPr>
          <w:rFonts w:ascii="Arial" w:hAnsi="Arial"/>
        </w:rPr>
        <w:t xml:space="preserve">o enable a reader to appreciate the significance of the transaction without reference to any other material.  </w:t>
      </w:r>
      <w:r w:rsidRPr="00B72AC1">
        <w:rPr>
          <w:rFonts w:ascii="Arial" w:hAnsi="Arial"/>
          <w:u w:val="single"/>
        </w:rPr>
        <w:t xml:space="preserve">The net proceeds from the Offering will be used for investments that adhere to the </w:t>
      </w:r>
      <w:r>
        <w:rPr>
          <w:rFonts w:ascii="Arial" w:hAnsi="Arial"/>
          <w:u w:val="single"/>
        </w:rPr>
        <w:t>Issuer</w:t>
      </w:r>
      <w:r w:rsidRPr="00B72AC1">
        <w:rPr>
          <w:rFonts w:ascii="Arial" w:hAnsi="Arial"/>
          <w:u w:val="single"/>
        </w:rPr>
        <w:t>’s Investment Policy as described in its Prospectus dated</w:t>
      </w:r>
      <w:r w:rsidRPr="00B72AC1">
        <w:rPr>
          <w:rFonts w:ascii="Arial" w:hAnsi="Arial"/>
          <w:u w:val="single"/>
        </w:rPr>
        <w:t xml:space="preserve"> August 14, 2018.</w:t>
      </w:r>
      <w:r w:rsidRPr="00B72AC1"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>.</w:t>
      </w:r>
    </w:p>
    <w:p w:rsidR="00EA4133" w:rsidRDefault="00F95DA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particulars of any proceeds which are to be paid to Related Persons of the Issuer: </w:t>
      </w:r>
      <w:r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If securities are issued in forgiveness of indebtedness, provide details and attach the debt agreement(s) or other documentation evidenci</w:t>
      </w:r>
      <w:r>
        <w:rPr>
          <w:rFonts w:ascii="Arial" w:hAnsi="Arial"/>
        </w:rPr>
        <w:t>ng the debt and the agreement to exchange the debt for securities.</w:t>
      </w:r>
    </w:p>
    <w:p w:rsidR="00EA4133" w:rsidRDefault="00F95DA8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:rsidR="00EA4133" w:rsidRDefault="00F95DA8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 </w:t>
      </w:r>
      <w:r>
        <w:rPr>
          <w:rFonts w:ascii="Arial" w:hAnsi="Arial"/>
          <w:u w:val="single"/>
        </w:rPr>
        <w:t>Common shares (the “</w:t>
      </w:r>
      <w:r w:rsidRPr="00B72AC1">
        <w:rPr>
          <w:rFonts w:ascii="Arial" w:hAnsi="Arial"/>
          <w:b/>
          <w:u w:val="single"/>
        </w:rPr>
        <w:t>Shares</w:t>
      </w:r>
      <w:r>
        <w:rPr>
          <w:rFonts w:ascii="Arial" w:hAnsi="Arial"/>
          <w:u w:val="single"/>
        </w:rPr>
        <w:t>”)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>Up to 14,778,325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r>
        <w:rPr>
          <w:rFonts w:ascii="Arial" w:hAnsi="Arial"/>
          <w:u w:val="single"/>
        </w:rPr>
        <w:t>$2.03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rights </w:t>
      </w:r>
      <w:r w:rsidRPr="00B72AC1">
        <w:rPr>
          <w:rFonts w:ascii="Arial" w:hAnsi="Arial"/>
          <w:u w:val="single"/>
        </w:rPr>
        <w:t xml:space="preserve">one voting right </w:t>
      </w:r>
      <w:r w:rsidRPr="00B72AC1">
        <w:rPr>
          <w:rFonts w:ascii="Arial" w:hAnsi="Arial"/>
          <w:u w:val="single"/>
        </w:rPr>
        <w:t>per one Share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EA4133" w:rsidRDefault="00F95DA8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the following information if Warrants, (options) or other convertible securities are to be issued:</w:t>
      </w:r>
    </w:p>
    <w:p w:rsidR="00EA4133" w:rsidRDefault="00F95DA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>Up to 7,389,163 Warrants (the “</w:t>
      </w:r>
      <w:r w:rsidRPr="00B72AC1">
        <w:rPr>
          <w:rFonts w:ascii="Arial" w:hAnsi="Arial"/>
          <w:b/>
          <w:u w:val="single"/>
        </w:rPr>
        <w:t>Warrants</w:t>
      </w:r>
      <w:r>
        <w:rPr>
          <w:rFonts w:ascii="Arial" w:hAnsi="Arial"/>
          <w:u w:val="single"/>
        </w:rPr>
        <w:t>”)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Pr="00B72AC1" w:rsidRDefault="00F95DA8" w:rsidP="00B72AC1">
      <w:pPr>
        <w:pStyle w:val="List"/>
        <w:numPr>
          <w:ilvl w:val="0"/>
          <w:numId w:val="11"/>
        </w:numPr>
        <w:tabs>
          <w:tab w:val="left" w:pos="1080"/>
          <w:tab w:val="left" w:pos="144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Number of securities eligible to be purchased on exercise of Warrants (or options)  </w:t>
      </w:r>
      <w:r>
        <w:rPr>
          <w:rFonts w:ascii="Arial" w:hAnsi="Arial"/>
          <w:u w:val="single"/>
        </w:rPr>
        <w:t>Up to 7,389,163 Shares</w:t>
      </w:r>
      <w:r>
        <w:rPr>
          <w:rFonts w:ascii="Arial" w:hAnsi="Arial"/>
          <w:u w:val="single"/>
        </w:rPr>
        <w:tab/>
      </w:r>
      <w:r w:rsidRPr="00B72AC1">
        <w:rPr>
          <w:rFonts w:ascii="Arial" w:hAnsi="Arial"/>
        </w:rPr>
        <w:t xml:space="preserve"> </w:t>
      </w:r>
      <w:r w:rsidRPr="00B72AC1">
        <w:rPr>
          <w:rFonts w:ascii="Arial" w:hAnsi="Arial"/>
        </w:rPr>
        <w:t>.</w:t>
      </w:r>
    </w:p>
    <w:p w:rsidR="00EA4133" w:rsidRDefault="00F95DA8" w:rsidP="00B72AC1">
      <w:pPr>
        <w:pStyle w:val="List"/>
        <w:tabs>
          <w:tab w:val="left" w:pos="2160"/>
          <w:tab w:val="left" w:pos="9180"/>
        </w:tabs>
        <w:ind w:left="3600" w:hanging="2520"/>
        <w:jc w:val="both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Exercise price</w:t>
      </w:r>
      <w:r>
        <w:rPr>
          <w:rFonts w:ascii="Arial" w:hAnsi="Arial"/>
        </w:rPr>
        <w:t xml:space="preserve">  </w:t>
      </w:r>
      <w:r w:rsidRPr="00B72AC1">
        <w:rPr>
          <w:rFonts w:ascii="Arial" w:hAnsi="Arial"/>
          <w:u w:val="single"/>
        </w:rPr>
        <w:t>$2.64</w:t>
      </w:r>
      <w:r>
        <w:rPr>
          <w:rFonts w:ascii="Arial" w:hAnsi="Arial"/>
          <w:u w:val="single"/>
        </w:rPr>
        <w:tab/>
      </w:r>
      <w:r w:rsidRPr="00B72AC1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:rsidR="00EA4133" w:rsidRDefault="00F95DA8" w:rsidP="00B72AC1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 xml:space="preserve">(d) </w:t>
      </w:r>
      <w:r>
        <w:rPr>
          <w:rFonts w:ascii="Arial" w:hAnsi="Arial"/>
        </w:rPr>
        <w:tab/>
        <w:t xml:space="preserve">Expiry date </w:t>
      </w:r>
      <w:r>
        <w:rPr>
          <w:rFonts w:ascii="Arial" w:hAnsi="Arial"/>
        </w:rPr>
        <w:t xml:space="preserve"> </w:t>
      </w:r>
      <w:r w:rsidRPr="00B72AC1">
        <w:rPr>
          <w:rFonts w:ascii="Arial" w:hAnsi="Arial"/>
          <w:u w:val="single"/>
        </w:rPr>
        <w:t>Each</w:t>
      </w:r>
      <w:r>
        <w:rPr>
          <w:rFonts w:ascii="Arial" w:hAnsi="Arial"/>
          <w:u w:val="single"/>
        </w:rPr>
        <w:t xml:space="preserve"> </w:t>
      </w:r>
      <w:r w:rsidRPr="00B72AC1">
        <w:rPr>
          <w:rFonts w:ascii="Arial" w:hAnsi="Arial"/>
          <w:u w:val="single"/>
        </w:rPr>
        <w:t>Warrant will entitle the holder to purchase one additional Share at a price of $2.64 per Share</w:t>
      </w:r>
      <w:r w:rsidRPr="00B72AC1">
        <w:rPr>
          <w:rFonts w:ascii="Arial" w:hAnsi="Arial"/>
          <w:u w:val="single"/>
        </w:rPr>
        <w:t xml:space="preserve"> for a</w:t>
      </w:r>
      <w:r>
        <w:rPr>
          <w:rFonts w:ascii="Arial" w:hAnsi="Arial"/>
          <w:u w:val="single"/>
        </w:rPr>
        <w:t xml:space="preserve"> </w:t>
      </w:r>
      <w:r w:rsidRPr="00B72AC1">
        <w:rPr>
          <w:rFonts w:ascii="Arial" w:hAnsi="Arial"/>
          <w:u w:val="single"/>
        </w:rPr>
        <w:t>period of two years from closing of the Offering. The Company may accelerate the expiry of the</w:t>
      </w:r>
      <w:r>
        <w:rPr>
          <w:rFonts w:ascii="Arial" w:hAnsi="Arial"/>
          <w:u w:val="single"/>
        </w:rPr>
        <w:t xml:space="preserve"> </w:t>
      </w:r>
      <w:r w:rsidRPr="00B72AC1">
        <w:rPr>
          <w:rFonts w:ascii="Arial" w:hAnsi="Arial"/>
          <w:u w:val="single"/>
        </w:rPr>
        <w:t xml:space="preserve">Warrants in the event that for any ten consecutive </w:t>
      </w:r>
      <w:r w:rsidRPr="00B72AC1">
        <w:rPr>
          <w:rFonts w:ascii="Arial" w:hAnsi="Arial"/>
          <w:u w:val="single"/>
        </w:rPr>
        <w:lastRenderedPageBreak/>
        <w:t>trading days the daily volume weighted average</w:t>
      </w:r>
      <w:r>
        <w:rPr>
          <w:rFonts w:ascii="Arial" w:hAnsi="Arial"/>
          <w:u w:val="single"/>
        </w:rPr>
        <w:t xml:space="preserve"> </w:t>
      </w:r>
      <w:r w:rsidRPr="00B72AC1">
        <w:rPr>
          <w:rFonts w:ascii="Arial" w:hAnsi="Arial"/>
          <w:u w:val="single"/>
        </w:rPr>
        <w:t>trading price of the Shares is greater than $3.43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rPr>
          <w:b w:val="0"/>
          <w:sz w:val="24"/>
        </w:rPr>
      </w:pPr>
      <w:bookmarkStart w:id="1" w:name="_Toc370788682"/>
      <w:bookmarkStart w:id="2" w:name="_Toc398005538"/>
      <w:bookmarkStart w:id="3" w:name="_Toc412279955"/>
      <w:bookmarkStart w:id="4" w:name="_Toc419096451"/>
      <w:r>
        <w:rPr>
          <w:b w:val="0"/>
          <w:sz w:val="24"/>
        </w:rPr>
        <w:t>Pro</w:t>
      </w:r>
      <w:r>
        <w:rPr>
          <w:b w:val="0"/>
          <w:sz w:val="24"/>
        </w:rPr>
        <w:t>vide the following information if debt securities are to be issued:</w:t>
      </w:r>
      <w:bookmarkEnd w:id="1"/>
      <w:bookmarkEnd w:id="2"/>
      <w:bookmarkEnd w:id="3"/>
      <w:bookmarkEnd w:id="4"/>
      <w:r>
        <w:rPr>
          <w:b w:val="0"/>
          <w:sz w:val="24"/>
        </w:rPr>
        <w:t xml:space="preserve"> </w:t>
      </w:r>
      <w:r w:rsidRPr="00B72AC1">
        <w:rPr>
          <w:b w:val="0"/>
          <w:sz w:val="24"/>
          <w:u w:val="single"/>
        </w:rPr>
        <w:t>N/A</w:t>
      </w:r>
    </w:p>
    <w:p w:rsidR="00EA4133" w:rsidRDefault="00F95DA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 xml:space="preserve">Default provisions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Provide the following information for any </w:t>
      </w:r>
      <w:r>
        <w:rPr>
          <w:rFonts w:ascii="Arial" w:hAnsi="Arial"/>
        </w:rPr>
        <w:t>agent’s fee, commission, bonus or finder’s fee, or other compensation paid or to be paid in connection with the placement (including warrants, options, etc.):</w:t>
      </w:r>
    </w:p>
    <w:p w:rsidR="00EA4133" w:rsidRPr="00DA344A" w:rsidRDefault="00F95DA8" w:rsidP="00DA344A">
      <w:pPr>
        <w:pStyle w:val="List"/>
        <w:numPr>
          <w:ilvl w:val="0"/>
          <w:numId w:val="18"/>
        </w:numPr>
        <w:tabs>
          <w:tab w:val="left" w:pos="2160"/>
          <w:tab w:val="left" w:pos="9180"/>
        </w:tabs>
        <w:ind w:left="2160" w:hanging="1080"/>
        <w:jc w:val="both"/>
        <w:rPr>
          <w:rFonts w:ascii="Arial" w:hAnsi="Arial"/>
          <w:u w:val="single"/>
        </w:rPr>
      </w:pPr>
      <w:r w:rsidRPr="00DA344A">
        <w:rPr>
          <w:rFonts w:ascii="Arial" w:hAnsi="Arial"/>
        </w:rPr>
        <w:t>Details of any dealer, agent, broker or other person receiving compensation in connection with the placement (name, address. If a corporation, identify persons owning or exercising voting control over 20% or more of the voting shares if known to the Issuer</w:t>
      </w:r>
      <w:r w:rsidRPr="00DA344A">
        <w:rPr>
          <w:rFonts w:ascii="Arial" w:hAnsi="Arial"/>
        </w:rPr>
        <w:t xml:space="preserve">): </w:t>
      </w:r>
      <w:r w:rsidRPr="00DA344A">
        <w:rPr>
          <w:rFonts w:ascii="Arial" w:hAnsi="Arial"/>
        </w:rPr>
        <w:br/>
      </w:r>
      <w:r w:rsidRPr="00DA344A">
        <w:rPr>
          <w:rFonts w:ascii="Arial" w:hAnsi="Arial"/>
          <w:u w:val="single"/>
        </w:rPr>
        <w:t>Details</w:t>
      </w:r>
      <w:r>
        <w:rPr>
          <w:rFonts w:ascii="Arial" w:hAnsi="Arial"/>
          <w:u w:val="single"/>
        </w:rPr>
        <w:t xml:space="preserve"> to follow</w:t>
      </w:r>
      <w:r w:rsidRPr="00DA344A">
        <w:rPr>
          <w:rFonts w:ascii="Arial" w:hAnsi="Arial"/>
          <w:u w:val="single"/>
        </w:rPr>
        <w:tab/>
      </w:r>
      <w:r w:rsidRPr="00DA344A"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>
        <w:rPr>
          <w:rFonts w:ascii="Arial" w:hAnsi="Arial"/>
          <w:u w:val="single"/>
        </w:rPr>
        <w:t>Up to 7%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r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r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num" w:pos="1080"/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r>
        <w:rPr>
          <w:rFonts w:ascii="Arial" w:hAnsi="Arial"/>
          <w:u w:val="single"/>
        </w:rPr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5C2553" w:rsidRPr="005C2553" w:rsidRDefault="00F95DA8" w:rsidP="005C2553">
      <w:pPr>
        <w:pStyle w:val="List"/>
        <w:numPr>
          <w:ilvl w:val="0"/>
          <w:numId w:val="10"/>
        </w:numPr>
        <w:tabs>
          <w:tab w:val="left" w:pos="1080"/>
          <w:tab w:val="left" w:pos="9180"/>
        </w:tabs>
        <w:jc w:val="both"/>
        <w:rPr>
          <w:rFonts w:ascii="Arial" w:hAnsi="Arial"/>
        </w:rPr>
      </w:pPr>
      <w:r w:rsidRPr="005C2553">
        <w:rPr>
          <w:rFonts w:ascii="Arial" w:hAnsi="Arial"/>
        </w:rPr>
        <w:t xml:space="preserve">State whether the sales agent, broker, dealer or other person </w:t>
      </w:r>
      <w:r w:rsidRPr="005C2553">
        <w:rPr>
          <w:rFonts w:ascii="Arial" w:hAnsi="Arial"/>
        </w:rPr>
        <w:t xml:space="preserve">receiving compensation in connection with the placement is Related Person or has any other relationship with the Issuer and provide details of the relationship </w:t>
      </w:r>
    </w:p>
    <w:p w:rsidR="005C2553" w:rsidRPr="005C2553" w:rsidRDefault="00F95DA8" w:rsidP="005C2553">
      <w:pPr>
        <w:pStyle w:val="List"/>
        <w:tabs>
          <w:tab w:val="left" w:pos="1080"/>
          <w:tab w:val="left" w:pos="9180"/>
        </w:tabs>
        <w:jc w:val="both"/>
        <w:rPr>
          <w:rFonts w:ascii="Arial" w:hAnsi="Arial"/>
        </w:rPr>
      </w:pPr>
      <w:r w:rsidRPr="005C2553">
        <w:rPr>
          <w:rFonts w:ascii="Arial" w:hAnsi="Arial"/>
        </w:rPr>
        <w:tab/>
      </w:r>
      <w:r w:rsidRPr="005C2553">
        <w:rPr>
          <w:rFonts w:ascii="Arial" w:hAnsi="Arial"/>
          <w:u w:val="single"/>
        </w:rPr>
        <w:t>Not a Related Person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Describe any unusual particulars of the transaction (i.e. tax “flow </w:t>
      </w:r>
      <w:r>
        <w:rPr>
          <w:rFonts w:ascii="Arial" w:hAnsi="Arial"/>
        </w:rPr>
        <w:t>through” shares, etc.).</w:t>
      </w:r>
    </w:p>
    <w:p w:rsidR="00EA4133" w:rsidRDefault="00F95DA8" w:rsidP="00E966A7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None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State whether the private placement will result in a change of control.</w:t>
      </w:r>
    </w:p>
    <w:p w:rsidR="00EA4133" w:rsidRDefault="00F95DA8" w:rsidP="00B72AC1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N/A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:rsidR="00EA4133" w:rsidRDefault="00F95DA8" w:rsidP="00E966A7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</w:rPr>
        <w:t xml:space="preserve">Where there is a change in the control of the Issuer resulting from the issuance of the private placement shares, indicate the names of the new </w:t>
      </w:r>
      <w:r>
        <w:rPr>
          <w:rFonts w:ascii="Arial" w:hAnsi="Arial"/>
        </w:rPr>
        <w:t xml:space="preserve">controlling shareholders.  </w:t>
      </w:r>
      <w:r>
        <w:rPr>
          <w:rFonts w:ascii="Arial" w:hAnsi="Arial"/>
          <w:u w:val="single"/>
        </w:rPr>
        <w:t>N/A</w:t>
      </w:r>
      <w:r w:rsidRPr="00E966A7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Each purchaser has been advised of the applicable securities legislation restricted or seasoning period.  All certificates for securities issued which are subject to a hold period bear the appropriate legend restricting their transfer until the expiry of t</w:t>
      </w:r>
      <w:r>
        <w:rPr>
          <w:rFonts w:ascii="Arial" w:hAnsi="Arial"/>
        </w:rPr>
        <w:t xml:space="preserve">he applicable hold period required by </w:t>
      </w:r>
      <w:r>
        <w:rPr>
          <w:rFonts w:ascii="Arial" w:hAnsi="Arial"/>
        </w:rPr>
        <w:t xml:space="preserve">National </w:t>
      </w:r>
      <w:r>
        <w:rPr>
          <w:rFonts w:ascii="Arial" w:hAnsi="Arial"/>
        </w:rPr>
        <w:t>Instrument 45-102.</w:t>
      </w:r>
    </w:p>
    <w:p w:rsidR="00EA4133" w:rsidRDefault="00F95DA8">
      <w:pPr>
        <w:pStyle w:val="BodyText"/>
        <w:tabs>
          <w:tab w:val="left" w:pos="1080"/>
          <w:tab w:val="left" w:pos="423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2.</w:t>
      </w:r>
      <w:r>
        <w:rPr>
          <w:rFonts w:ascii="Arial" w:hAnsi="Arial"/>
          <w:b/>
          <w:color w:val="000000"/>
        </w:rPr>
        <w:tab/>
        <w:t>Acquisition</w:t>
      </w:r>
    </w:p>
    <w:p w:rsidR="00EA4133" w:rsidRDefault="00F95DA8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</w:p>
    <w:p w:rsidR="00EA4133" w:rsidRDefault="00F95DA8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spacing w:before="0"/>
        <w:ind w:left="1080" w:hanging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Provide details of the assets to be acquired by the Issuer (including the location of the assets, if applicable).  The disclosure should be sufficiently complete to enable a </w:t>
      </w:r>
      <w:r>
        <w:rPr>
          <w:rFonts w:ascii="Arial" w:hAnsi="Arial"/>
          <w:color w:val="000000"/>
        </w:rPr>
        <w:t xml:space="preserve">reader to appreciate the significance of the transaction without reference to any other material: 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4"/>
        </w:numPr>
        <w:tabs>
          <w:tab w:val="clear" w:pos="360"/>
          <w:tab w:val="num" w:pos="1080"/>
          <w:tab w:val="left" w:pos="9180"/>
        </w:tabs>
        <w:ind w:left="1080" w:hanging="1080"/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>Provide details of the acquisition including the date, parties to and type of agreement (</w:t>
      </w:r>
      <w:proofErr w:type="spellStart"/>
      <w:r>
        <w:rPr>
          <w:rFonts w:ascii="Arial" w:hAnsi="Arial"/>
          <w:color w:val="000000"/>
        </w:rPr>
        <w:t>eg</w:t>
      </w:r>
      <w:proofErr w:type="spellEnd"/>
      <w:r>
        <w:rPr>
          <w:rFonts w:ascii="Arial" w:hAnsi="Arial"/>
          <w:color w:val="000000"/>
        </w:rPr>
        <w:t xml:space="preserve">: sale, option, license etc.) and relationship to the </w:t>
      </w:r>
      <w:r>
        <w:rPr>
          <w:rFonts w:ascii="Arial" w:hAnsi="Arial"/>
          <w:color w:val="000000"/>
        </w:rPr>
        <w:t>Issuer.</w:t>
      </w:r>
      <w:r w:rsidRPr="00A57D7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The disclosure should be sufficiently complete to enable a reader to appreciate the significance of the acquisition without reference to any other material: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</w:t>
      </w:r>
    </w:p>
    <w:p w:rsidR="00EA4133" w:rsidRDefault="00F95DA8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Provide the following information in relation to the total consideration for the acqu</w:t>
      </w:r>
      <w:r>
        <w:rPr>
          <w:rFonts w:ascii="Arial" w:hAnsi="Arial"/>
          <w:color w:val="000000"/>
        </w:rPr>
        <w:t>isition (including details of all cash, securities or other consideration) and any required work commitments: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Total aggregate consideration in Canadian dollars: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 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Cash: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Securities (including options, warrants etc.) and dollar value: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Other: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Expiry date of options, warrants, etc. if any: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Exercise price of options, warrants, etc. if any: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commitments: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State how the purchase or sale price was determined (e.g. arm’s-length negotiation, independent committee of the Board, third </w:t>
      </w:r>
      <w:r>
        <w:rPr>
          <w:rFonts w:ascii="Arial" w:hAnsi="Arial"/>
          <w:color w:val="000000"/>
        </w:rPr>
        <w:t>party valuation etc).</w:t>
      </w:r>
    </w:p>
    <w:p w:rsidR="00EA4133" w:rsidRDefault="00F95DA8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Provide details of any appraisal or valuation of the subject of the acquisition known to management of the Issuer:</w:t>
      </w:r>
      <w:r w:rsidRPr="00A57D7A">
        <w:rPr>
          <w:rFonts w:ascii="Arial" w:hAnsi="Arial"/>
          <w:color w:val="000000"/>
          <w:u w:val="single"/>
        </w:rPr>
        <w:t xml:space="preserve">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1080"/>
          <w:tab w:val="left" w:pos="2160"/>
          <w:tab w:val="left" w:pos="9180"/>
        </w:tabs>
        <w:spacing w:before="0"/>
        <w:ind w:left="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numPr>
          <w:ilvl w:val="0"/>
          <w:numId w:val="1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names of parties receiving securities of the Issuer pursuant to the acquisition and the number of securitie</w:t>
      </w:r>
      <w:r>
        <w:rPr>
          <w:rFonts w:ascii="Arial" w:hAnsi="Arial"/>
          <w:color w:val="000000"/>
        </w:rPr>
        <w:t>s to be issued are described as follows:</w:t>
      </w:r>
      <w:r>
        <w:rPr>
          <w:rFonts w:ascii="Arial" w:hAnsi="Arial"/>
          <w:color w:val="000000"/>
        </w:rPr>
        <w:br/>
      </w:r>
    </w:p>
    <w:tbl>
      <w:tblPr>
        <w:tblW w:w="999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440"/>
        <w:gridCol w:w="1440"/>
        <w:gridCol w:w="1620"/>
        <w:gridCol w:w="1530"/>
      </w:tblGrid>
      <w:tr w:rsidR="00C04A9E"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Name of Party (If not an individual, name all insiders of the Party)</w:t>
            </w: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Number and Type of Securities to be Issued</w:t>
            </w: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Dollar value per Security (CDN$)</w:t>
            </w: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Conversion price (if applicable)</w:t>
            </w: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Prospectus Exemption</w:t>
            </w:r>
          </w:p>
        </w:tc>
        <w:tc>
          <w:tcPr>
            <w:tcW w:w="162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</w:rPr>
              <w:t xml:space="preserve">No. of </w:t>
            </w:r>
            <w:r>
              <w:rPr>
                <w:rFonts w:ascii="Arial" w:hAnsi="Arial"/>
                <w:b/>
                <w:sz w:val="20"/>
              </w:rPr>
              <w:t>Securities, directly or indirectly, Owned, Controlled or Directed by Party</w:t>
            </w:r>
          </w:p>
        </w:tc>
        <w:tc>
          <w:tcPr>
            <w:tcW w:w="1530" w:type="dxa"/>
          </w:tcPr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 xml:space="preserve">Describe relationship </w:t>
            </w:r>
          </w:p>
          <w:p w:rsidR="00EA4133" w:rsidRDefault="00F95DA8">
            <w:pPr>
              <w:pStyle w:val="BodyText"/>
              <w:keepNext/>
              <w:keepLines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CA"/>
              </w:rPr>
              <w:t>to Issuer</w:t>
            </w:r>
            <w:r>
              <w:rPr>
                <w:rFonts w:ascii="Arial" w:hAnsi="Arial"/>
                <w:b/>
                <w:color w:val="000000"/>
                <w:sz w:val="20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  <w:vertAlign w:val="superscript"/>
                <w:lang w:val="en-CA"/>
              </w:rPr>
              <w:t>(1)</w:t>
            </w:r>
          </w:p>
        </w:tc>
      </w:tr>
      <w:tr w:rsidR="00C04A9E">
        <w:trPr>
          <w:trHeight w:hRule="exact" w:val="280"/>
        </w:trPr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62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53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</w:tr>
      <w:tr w:rsidR="00C04A9E">
        <w:trPr>
          <w:trHeight w:hRule="exact" w:val="320"/>
        </w:trPr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26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44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62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  <w:tc>
          <w:tcPr>
            <w:tcW w:w="1530" w:type="dxa"/>
          </w:tcPr>
          <w:p w:rsidR="00EA4133" w:rsidRDefault="00F95DA8">
            <w:pPr>
              <w:pStyle w:val="BodyText"/>
              <w:keepNext/>
              <w:keepLines/>
              <w:rPr>
                <w:rFonts w:ascii="Arial" w:hAnsi="Arial"/>
                <w:color w:val="000000"/>
                <w:lang w:val="en-CA"/>
              </w:rPr>
            </w:pPr>
          </w:p>
        </w:tc>
      </w:tr>
    </w:tbl>
    <w:p w:rsidR="00EA4133" w:rsidRDefault="00F95DA8" w:rsidP="009136E7">
      <w:pPr>
        <w:pStyle w:val="BodyText"/>
        <w:numPr>
          <w:ilvl w:val="0"/>
          <w:numId w:val="17"/>
        </w:numPr>
        <w:tabs>
          <w:tab w:val="clear" w:pos="720"/>
          <w:tab w:val="num" w:pos="450"/>
        </w:tabs>
        <w:ind w:left="36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Indicate if Related Person</w:t>
      </w:r>
    </w:p>
    <w:p w:rsidR="00EA4133" w:rsidRDefault="00F95DA8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Details of the steps taken by the Issuer to ensure that the vendor has good title to the assets being acquired: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 </w:t>
      </w:r>
    </w:p>
    <w:p w:rsidR="00EA4133" w:rsidRDefault="00F95DA8">
      <w:pPr>
        <w:pStyle w:val="List"/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compensation paid or to be paid in co</w:t>
      </w:r>
      <w:r>
        <w:rPr>
          <w:rFonts w:ascii="Arial" w:hAnsi="Arial"/>
        </w:rPr>
        <w:t>nnection with the acquisition (including warrants, options, etc.):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Details of any dealer, agent, broker or other person receiving compensation in connection with the acquisition (name, address. If a corporation, identify persons owning or exercising vo</w:t>
      </w:r>
      <w:r>
        <w:rPr>
          <w:rFonts w:ascii="Arial" w:hAnsi="Arial"/>
        </w:rPr>
        <w:t xml:space="preserve">ting control over 20% or more of the voting shares if known to the Issuer):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 xml:space="preserve">Other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EA4133" w:rsidRDefault="00F95DA8">
      <w:pPr>
        <w:pStyle w:val="List"/>
        <w:numPr>
          <w:ilvl w:val="0"/>
          <w:numId w:val="15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Expiry date of any options, warrants etc. </w:t>
      </w:r>
      <w:r>
        <w:rPr>
          <w:rFonts w:ascii="Arial" w:hAnsi="Arial"/>
          <w:u w:val="single"/>
        </w:rPr>
        <w:tab/>
      </w:r>
    </w:p>
    <w:p w:rsidR="00EA4133" w:rsidRPr="00771F7F" w:rsidRDefault="00F95DA8">
      <w:pPr>
        <w:pStyle w:val="List"/>
        <w:numPr>
          <w:ilvl w:val="0"/>
          <w:numId w:val="15"/>
        </w:numPr>
        <w:tabs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Exercise price of any options, warrants etc.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</w:p>
    <w:p w:rsidR="00CF2A90" w:rsidRDefault="00F95DA8" w:rsidP="00CF2A90">
      <w:pPr>
        <w:pStyle w:val="List"/>
        <w:tabs>
          <w:tab w:val="left" w:pos="9180"/>
        </w:tabs>
        <w:ind w:left="0" w:firstLine="0"/>
        <w:rPr>
          <w:rFonts w:ascii="Arial" w:hAnsi="Arial"/>
        </w:rPr>
      </w:pPr>
    </w:p>
    <w:p w:rsidR="00CF2A90" w:rsidRDefault="00F95DA8" w:rsidP="00CF2A90">
      <w:pPr>
        <w:pStyle w:val="List"/>
        <w:tabs>
          <w:tab w:val="left" w:pos="9180"/>
        </w:tabs>
        <w:ind w:left="0" w:firstLine="0"/>
        <w:rPr>
          <w:rFonts w:ascii="Arial" w:hAnsi="Arial"/>
        </w:rPr>
      </w:pPr>
    </w:p>
    <w:p w:rsidR="00EA4133" w:rsidRDefault="00F95DA8">
      <w:pPr>
        <w:pStyle w:val="List"/>
        <w:numPr>
          <w:ilvl w:val="0"/>
          <w:numId w:val="16"/>
        </w:numPr>
        <w:tabs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State whether the sales agent, broker or other person receiving compensation in connection with the acquisition is a Related Person or has any other relationship with the Issuer and provide details of the relationship.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numPr>
          <w:ilvl w:val="0"/>
          <w:numId w:val="16"/>
        </w:numPr>
        <w:tabs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applicable, indicate whether</w:t>
      </w:r>
      <w:r>
        <w:rPr>
          <w:rFonts w:ascii="Arial" w:hAnsi="Arial"/>
          <w:color w:val="000000"/>
        </w:rPr>
        <w:t xml:space="preserve"> the acquisition is the acquisition of an interest in property contiguous to or otherwise related to any other asset acquired in the last 12 months. </w:t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</w:p>
    <w:p w:rsidR="00EA4133" w:rsidRDefault="00F95DA8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 xml:space="preserve"> .</w:t>
      </w:r>
    </w:p>
    <w:p w:rsidR="00EA4133" w:rsidRDefault="00F95DA8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t>Certificate Of Compliance</w:t>
      </w:r>
    </w:p>
    <w:p w:rsidR="00EA4133" w:rsidRDefault="00F95DA8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:rsidR="00EA4133" w:rsidRDefault="00F95DA8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</w:t>
      </w:r>
      <w:r>
        <w:rPr>
          <w:rFonts w:ascii="Arial" w:hAnsi="Arial"/>
        </w:rPr>
        <w:t xml:space="preserve"> and/or senior officer of the Issuer and has been duly authorized by a resolution of the board of directors of the Issuer to sign this Certificate of Compliance on behalf of the Issuer.</w:t>
      </w:r>
    </w:p>
    <w:p w:rsidR="00EA4133" w:rsidRDefault="00F95DA8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not material information concerning the</w:t>
      </w:r>
      <w:r>
        <w:rPr>
          <w:rFonts w:ascii="Arial" w:hAnsi="Arial"/>
        </w:rPr>
        <w:t xml:space="preserve"> Issuer which has not been publicly disclosed.</w:t>
      </w:r>
    </w:p>
    <w:p w:rsidR="00EA4133" w:rsidRDefault="00F95DA8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>
        <w:rPr>
          <w:rFonts w:ascii="Arial" w:hAnsi="Arial"/>
        </w:rPr>
        <w:t>the Exchange</w:t>
      </w:r>
      <w:r>
        <w:rPr>
          <w:rFonts w:ascii="Arial" w:hAnsi="Arial"/>
        </w:rPr>
        <w:t xml:space="preserve"> that the Issuer is in compliance with the requirements of </w:t>
      </w:r>
      <w:r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>
        <w:rPr>
          <w:rFonts w:ascii="Arial" w:hAnsi="Arial"/>
        </w:rPr>
        <w:t>Exch</w:t>
      </w:r>
      <w:r>
        <w:rPr>
          <w:rFonts w:ascii="Arial" w:hAnsi="Arial"/>
        </w:rPr>
        <w:t>ange</w:t>
      </w:r>
      <w:r>
        <w:rPr>
          <w:rFonts w:ascii="Arial" w:hAnsi="Arial"/>
        </w:rPr>
        <w:t xml:space="preserve"> Requirements (as defined in </w:t>
      </w:r>
      <w:r>
        <w:rPr>
          <w:rFonts w:ascii="Arial" w:hAnsi="Arial"/>
        </w:rPr>
        <w:t>CS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Policy 1).</w:t>
      </w:r>
    </w:p>
    <w:p w:rsidR="00EA4133" w:rsidRDefault="00F95DA8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All of the information in this Form 9 Notice of </w:t>
      </w:r>
      <w:r>
        <w:rPr>
          <w:rFonts w:ascii="Arial" w:hAnsi="Arial"/>
        </w:rPr>
        <w:t>Issuance of Securities</w:t>
      </w:r>
      <w:r>
        <w:rPr>
          <w:rFonts w:ascii="Arial" w:hAnsi="Arial"/>
        </w:rPr>
        <w:t xml:space="preserve"> is true.</w:t>
      </w:r>
    </w:p>
    <w:p w:rsidR="00EA4133" w:rsidRDefault="00F95DA8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EA4133" w:rsidRDefault="00F95DA8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:rsidR="00EA4133" w:rsidRDefault="00F95DA8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:rsidR="00EA4133" w:rsidRDefault="00F95DA8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sectPr w:rsidR="00EA4133" w:rsidSect="008003B9">
      <w:footerReference w:type="default" r:id="rId7"/>
      <w:footerReference w:type="first" r:id="rId8"/>
      <w:pgSz w:w="12240" w:h="15840" w:code="1"/>
      <w:pgMar w:top="1152" w:right="1440" w:bottom="1152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A8" w:rsidRDefault="00F95DA8">
      <w:r>
        <w:separator/>
      </w:r>
    </w:p>
  </w:endnote>
  <w:endnote w:type="continuationSeparator" w:id="0">
    <w:p w:rsidR="00F95DA8" w:rsidRDefault="00F9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D2" w:rsidRDefault="00F95DA8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-20320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D926C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1.6pt" to="465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n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"/>
          </w:pict>
        </mc:Fallback>
      </mc:AlternateContent>
    </w:r>
    <w:r>
      <w:rPr>
        <w:rFonts w:ascii="Arial" w:hAnsi="Arial" w:cs="Arial"/>
        <w:b/>
      </w:rPr>
      <w:t>FORM 9 – NOTICE OF PROPOSED ISSUANCE OF</w:t>
    </w:r>
  </w:p>
  <w:p w:rsidR="00081DD2" w:rsidRDefault="00F95DA8" w:rsidP="008003B9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LISTED SECURITIES</w:t>
    </w:r>
  </w:p>
  <w:p w:rsidR="00081DD2" w:rsidRDefault="00F95DA8" w:rsidP="008003B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081DD2" w:rsidRDefault="00F95DA8" w:rsidP="008003B9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2557FD">
      <w:rPr>
        <w:rStyle w:val="PageNumber"/>
        <w:rFonts w:ascii="Arial" w:hAnsi="Arial" w:cs="Arial"/>
        <w:sz w:val="16"/>
        <w:szCs w:val="16"/>
      </w:rPr>
      <w:t xml:space="preserve">Page </w:t>
    </w:r>
    <w:r w:rsidRPr="002557FD">
      <w:rPr>
        <w:rStyle w:val="PageNumber"/>
        <w:rFonts w:ascii="Arial" w:hAnsi="Arial" w:cs="Arial"/>
        <w:sz w:val="16"/>
        <w:szCs w:val="16"/>
      </w:rPr>
      <w:fldChar w:fldCharType="begin"/>
    </w:r>
    <w:r w:rsidRPr="002557F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557F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Pr="002557FD">
      <w:rPr>
        <w:rStyle w:val="PageNumber"/>
        <w:rFonts w:ascii="Arial" w:hAnsi="Arial" w:cs="Arial"/>
        <w:sz w:val="16"/>
        <w:szCs w:val="16"/>
      </w:rPr>
      <w:fldChar w:fldCharType="end"/>
    </w:r>
  </w:p>
  <w:p w:rsidR="00081DD2" w:rsidRPr="002557FD" w:rsidRDefault="00F95DA8" w:rsidP="000C0CF7">
    <w:pPr>
      <w:pStyle w:val="Footer"/>
      <w:rPr>
        <w:rFonts w:ascii="Arial" w:hAnsi="Arial" w:cs="Arial"/>
        <w:sz w:val="16"/>
        <w:szCs w:val="16"/>
      </w:rPr>
    </w:pPr>
    <w:r w:rsidRPr="000C0CF7">
      <w:rPr>
        <w:rStyle w:val="DocID"/>
      </w:rPr>
      <w:fldChar w:fldCharType="begin"/>
    </w:r>
    <w:r w:rsidRPr="000C0CF7">
      <w:rPr>
        <w:rStyle w:val="DocID"/>
      </w:rPr>
      <w:instrText xml:space="preserve"> DOCPROPERTY "DocID" \* MERGEFORMAT </w:instrText>
    </w:r>
    <w:r w:rsidRPr="000C0CF7">
      <w:rPr>
        <w:rStyle w:val="DocID"/>
      </w:rPr>
      <w:fldChar w:fldCharType="separate"/>
    </w:r>
    <w:r w:rsidRPr="003A38CA">
      <w:rPr>
        <w:rStyle w:val="DocID"/>
      </w:rPr>
      <w:t>LEGAL_29989723.</w:t>
    </w:r>
    <w:r>
      <w:rPr>
        <w:rStyle w:val="DocID"/>
      </w:rPr>
      <w:t>1</w:t>
    </w:r>
    <w:r w:rsidRPr="000C0CF7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DD2" w:rsidRDefault="00F95DA8">
    <w:pPr>
      <w:pStyle w:val="Footer"/>
    </w:pPr>
    <w:r>
      <w:fldChar w:fldCharType="begin"/>
    </w:r>
    <w:r>
      <w:instrText xml:space="preserve"> DOCPROPERTY FOOTERPATH \* MERGEFORMAT </w:instrText>
    </w:r>
    <w:r>
      <w:fldChar w:fldCharType="separate"/>
    </w:r>
    <w:r>
      <w:t>3214.001\0180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A8" w:rsidRDefault="00F95DA8">
      <w:r>
        <w:separator/>
      </w:r>
    </w:p>
  </w:footnote>
  <w:footnote w:type="continuationSeparator" w:id="0">
    <w:p w:rsidR="00F95DA8" w:rsidRDefault="00F9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85C6C5B"/>
    <w:multiLevelType w:val="hybridMultilevel"/>
    <w:tmpl w:val="D9DEBE06"/>
    <w:lvl w:ilvl="0" w:tplc="45B486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1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6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6D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1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87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0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66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5649086A"/>
    <w:multiLevelType w:val="hybridMultilevel"/>
    <w:tmpl w:val="0DF6F74C"/>
    <w:lvl w:ilvl="0" w:tplc="025CE354">
      <w:start w:val="1"/>
      <w:numFmt w:val="lowerLetter"/>
      <w:lvlText w:val="(%1)"/>
      <w:lvlJc w:val="left"/>
      <w:pPr>
        <w:ind w:left="2153" w:hanging="1073"/>
      </w:pPr>
      <w:rPr>
        <w:rFonts w:hint="default"/>
      </w:rPr>
    </w:lvl>
    <w:lvl w:ilvl="1" w:tplc="AEDE08EA" w:tentative="1">
      <w:start w:val="1"/>
      <w:numFmt w:val="lowerLetter"/>
      <w:lvlText w:val="%2."/>
      <w:lvlJc w:val="left"/>
      <w:pPr>
        <w:ind w:left="2160" w:hanging="360"/>
      </w:pPr>
    </w:lvl>
    <w:lvl w:ilvl="2" w:tplc="5C0E077E" w:tentative="1">
      <w:start w:val="1"/>
      <w:numFmt w:val="lowerRoman"/>
      <w:lvlText w:val="%3."/>
      <w:lvlJc w:val="right"/>
      <w:pPr>
        <w:ind w:left="2880" w:hanging="180"/>
      </w:pPr>
    </w:lvl>
    <w:lvl w:ilvl="3" w:tplc="AC18C644" w:tentative="1">
      <w:start w:val="1"/>
      <w:numFmt w:val="decimal"/>
      <w:lvlText w:val="%4."/>
      <w:lvlJc w:val="left"/>
      <w:pPr>
        <w:ind w:left="3600" w:hanging="360"/>
      </w:pPr>
    </w:lvl>
    <w:lvl w:ilvl="4" w:tplc="912025EE" w:tentative="1">
      <w:start w:val="1"/>
      <w:numFmt w:val="lowerLetter"/>
      <w:lvlText w:val="%5."/>
      <w:lvlJc w:val="left"/>
      <w:pPr>
        <w:ind w:left="4320" w:hanging="360"/>
      </w:pPr>
    </w:lvl>
    <w:lvl w:ilvl="5" w:tplc="9654B098" w:tentative="1">
      <w:start w:val="1"/>
      <w:numFmt w:val="lowerRoman"/>
      <w:lvlText w:val="%6."/>
      <w:lvlJc w:val="right"/>
      <w:pPr>
        <w:ind w:left="5040" w:hanging="180"/>
      </w:pPr>
    </w:lvl>
    <w:lvl w:ilvl="6" w:tplc="4BEA9E80" w:tentative="1">
      <w:start w:val="1"/>
      <w:numFmt w:val="decimal"/>
      <w:lvlText w:val="%7."/>
      <w:lvlJc w:val="left"/>
      <w:pPr>
        <w:ind w:left="5760" w:hanging="360"/>
      </w:pPr>
    </w:lvl>
    <w:lvl w:ilvl="7" w:tplc="446AE4CA" w:tentative="1">
      <w:start w:val="1"/>
      <w:numFmt w:val="lowerLetter"/>
      <w:lvlText w:val="%8."/>
      <w:lvlJc w:val="left"/>
      <w:pPr>
        <w:ind w:left="6480" w:hanging="360"/>
      </w:pPr>
    </w:lvl>
    <w:lvl w:ilvl="8" w:tplc="9A46DD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76BB4793"/>
    <w:multiLevelType w:val="singleLevel"/>
    <w:tmpl w:val="39E8C6C8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</w:abstractNum>
  <w:abstractNum w:abstractNumId="16" w15:restartNumberingAfterBreak="0">
    <w:nsid w:val="79D94BAD"/>
    <w:multiLevelType w:val="hybridMultilevel"/>
    <w:tmpl w:val="266EA8F8"/>
    <w:lvl w:ilvl="0" w:tplc="C9D209FA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31E69E8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B83F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8CC29C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AB0AF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6EDE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57E90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FC087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9C6F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9E"/>
    <w:rsid w:val="00293E3B"/>
    <w:rsid w:val="00C04A9E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63411A-1F3C-421F-83E9-27A31EC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ID">
    <w:name w:val="DocID"/>
    <w:basedOn w:val="DefaultParagraphFont"/>
    <w:rsid w:val="000C0CF7"/>
    <w:rPr>
      <w:rFonts w:ascii="Verdana" w:hAnsi="Verdana"/>
      <w:sz w:val="1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866AF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Kiara</dc:creator>
  <cp:lastModifiedBy>Lou Kiara Marcos</cp:lastModifiedBy>
  <cp:revision>2</cp:revision>
  <dcterms:created xsi:type="dcterms:W3CDTF">2018-10-23T21:40:00Z</dcterms:created>
  <dcterms:modified xsi:type="dcterms:W3CDTF">2018-10-23T21:40:00Z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LEGAL_29989723.1</vt:lpwstr>
  </property>
</Properties>
</file>