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rsidP="00316C0C">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39A3F38F"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FE720D">
        <w:rPr>
          <w:rFonts w:ascii="Arial" w:hAnsi="Arial" w:cs="Arial"/>
          <w:b/>
          <w:color w:val="000000"/>
          <w:szCs w:val="24"/>
          <w:u w:val="single"/>
        </w:rPr>
        <w:t xml:space="preserve">100,721,633 </w:t>
      </w:r>
      <w:r w:rsidR="002F146E" w:rsidRPr="00CB0811">
        <w:rPr>
          <w:rFonts w:ascii="Arial" w:hAnsi="Arial" w:cs="Arial"/>
          <w:b/>
          <w:color w:val="000000"/>
          <w:szCs w:val="24"/>
          <w:u w:val="single"/>
        </w:rPr>
        <w:t xml:space="preserve"> </w:t>
      </w:r>
    </w:p>
    <w:p w14:paraId="046E2554" w14:textId="75503EE1"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227466">
        <w:rPr>
          <w:rFonts w:ascii="Arial" w:hAnsi="Arial" w:cs="Arial"/>
          <w:b/>
          <w:color w:val="000000"/>
          <w:szCs w:val="24"/>
          <w:u w:val="single"/>
        </w:rPr>
        <w:t xml:space="preserve">January </w:t>
      </w:r>
      <w:r w:rsidR="00D5547E">
        <w:rPr>
          <w:rFonts w:ascii="Arial" w:hAnsi="Arial" w:cs="Arial"/>
          <w:b/>
          <w:color w:val="000000"/>
          <w:szCs w:val="24"/>
          <w:u w:val="single"/>
        </w:rPr>
        <w:t>6</w:t>
      </w:r>
      <w:r w:rsidR="00227466">
        <w:rPr>
          <w:rFonts w:ascii="Arial" w:hAnsi="Arial" w:cs="Arial"/>
          <w:b/>
          <w:color w:val="000000"/>
          <w:szCs w:val="24"/>
          <w:u w:val="single"/>
        </w:rPr>
        <w:t>, 2023</w:t>
      </w:r>
      <w:r w:rsidR="00FE720D">
        <w:rPr>
          <w:rFonts w:ascii="Arial" w:hAnsi="Arial" w:cs="Arial"/>
          <w:b/>
          <w:color w:val="000000"/>
          <w:szCs w:val="24"/>
          <w:u w:val="single"/>
        </w:rPr>
        <w:t xml:space="preserve"> </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1F84DBF0" w14:textId="21686014" w:rsidR="001040B2" w:rsidRPr="00A66E6C" w:rsidRDefault="003F1AC6" w:rsidP="001040B2">
      <w:pPr>
        <w:pStyle w:val="List"/>
        <w:spacing w:before="120"/>
        <w:ind w:left="720" w:firstLine="0"/>
        <w:jc w:val="both"/>
        <w:rPr>
          <w:rFonts w:ascii="Arial" w:hAnsi="Arial" w:cs="Arial"/>
          <w:b/>
          <w:szCs w:val="24"/>
          <w:lang w:val="en-CA"/>
        </w:rPr>
      </w:pPr>
      <w:r>
        <w:rPr>
          <w:rFonts w:ascii="Arial" w:hAnsi="Arial" w:cs="Arial"/>
          <w:bCs/>
          <w:szCs w:val="24"/>
        </w:rPr>
        <w:t xml:space="preserve">Since field activity concluded </w:t>
      </w:r>
      <w:r w:rsidR="00CD6B9B">
        <w:rPr>
          <w:rFonts w:ascii="Arial" w:hAnsi="Arial" w:cs="Arial"/>
          <w:bCs/>
          <w:szCs w:val="24"/>
        </w:rPr>
        <w:t>the end of</w:t>
      </w:r>
      <w:r>
        <w:rPr>
          <w:rFonts w:ascii="Arial" w:hAnsi="Arial" w:cs="Arial"/>
          <w:bCs/>
          <w:szCs w:val="24"/>
        </w:rPr>
        <w:t xml:space="preserve"> November</w:t>
      </w:r>
      <w:r w:rsidR="001C5D13">
        <w:rPr>
          <w:rFonts w:ascii="Arial" w:hAnsi="Arial" w:cs="Arial"/>
          <w:bCs/>
          <w:szCs w:val="24"/>
        </w:rPr>
        <w:t xml:space="preserve"> </w:t>
      </w:r>
      <w:r w:rsidR="001C5D13" w:rsidRPr="008A0466">
        <w:rPr>
          <w:rFonts w:ascii="Arial" w:hAnsi="Arial" w:cs="Arial"/>
        </w:rPr>
        <w:t>due to the onset of winter weather conditions</w:t>
      </w:r>
      <w:r w:rsidR="00CD6B9B">
        <w:rPr>
          <w:rFonts w:ascii="Arial" w:hAnsi="Arial" w:cs="Arial"/>
          <w:bCs/>
          <w:szCs w:val="24"/>
        </w:rPr>
        <w:t>,</w:t>
      </w:r>
      <w:r>
        <w:rPr>
          <w:rFonts w:ascii="Arial" w:hAnsi="Arial" w:cs="Arial"/>
          <w:bCs/>
          <w:szCs w:val="24"/>
        </w:rPr>
        <w:t xml:space="preserve"> the </w:t>
      </w:r>
      <w:r w:rsidR="00460FE2">
        <w:rPr>
          <w:rFonts w:ascii="Arial" w:hAnsi="Arial" w:cs="Arial"/>
          <w:bCs/>
          <w:szCs w:val="24"/>
        </w:rPr>
        <w:t>Dec</w:t>
      </w:r>
      <w:r w:rsidR="001462B3" w:rsidRPr="00AB3238">
        <w:rPr>
          <w:rFonts w:ascii="Arial" w:hAnsi="Arial" w:cs="Arial"/>
          <w:bCs/>
          <w:szCs w:val="24"/>
        </w:rPr>
        <w:t>ember</w:t>
      </w:r>
      <w:r w:rsidR="001462B3">
        <w:rPr>
          <w:rFonts w:ascii="Arial" w:hAnsi="Arial" w:cs="Arial"/>
          <w:bCs/>
          <w:szCs w:val="24"/>
        </w:rPr>
        <w:t xml:space="preserve"> </w:t>
      </w:r>
      <w:r w:rsidR="000A3E78">
        <w:rPr>
          <w:rFonts w:ascii="Arial" w:hAnsi="Arial" w:cs="Arial"/>
          <w:bCs/>
          <w:szCs w:val="24"/>
        </w:rPr>
        <w:t>exploration activity include</w:t>
      </w:r>
      <w:r w:rsidR="00A229BF">
        <w:rPr>
          <w:rFonts w:ascii="Arial" w:hAnsi="Arial" w:cs="Arial"/>
          <w:bCs/>
          <w:szCs w:val="24"/>
        </w:rPr>
        <w:t>d</w:t>
      </w:r>
      <w:r w:rsidR="000A3E78">
        <w:rPr>
          <w:rFonts w:ascii="Arial" w:hAnsi="Arial" w:cs="Arial"/>
          <w:bCs/>
          <w:szCs w:val="24"/>
        </w:rPr>
        <w:t xml:space="preserve"> </w:t>
      </w:r>
      <w:r w:rsidR="00ED60E9">
        <w:rPr>
          <w:rFonts w:ascii="Arial" w:hAnsi="Arial" w:cs="Arial"/>
          <w:bCs/>
          <w:szCs w:val="24"/>
        </w:rPr>
        <w:t xml:space="preserve">general geological interpretation of licenses </w:t>
      </w:r>
      <w:r w:rsidR="00CE414E">
        <w:rPr>
          <w:rFonts w:ascii="Arial" w:hAnsi="Arial" w:cs="Arial"/>
          <w:bCs/>
          <w:szCs w:val="24"/>
        </w:rPr>
        <w:t xml:space="preserve">primarily </w:t>
      </w:r>
      <w:r w:rsidR="00ED60E9">
        <w:rPr>
          <w:rFonts w:ascii="Arial" w:hAnsi="Arial" w:cs="Arial"/>
          <w:bCs/>
          <w:szCs w:val="24"/>
        </w:rPr>
        <w:t>in</w:t>
      </w:r>
      <w:r w:rsidR="00A229BF">
        <w:rPr>
          <w:rFonts w:ascii="Arial" w:hAnsi="Arial" w:cs="Arial"/>
          <w:bCs/>
          <w:szCs w:val="24"/>
        </w:rPr>
        <w:t xml:space="preserve"> the</w:t>
      </w:r>
      <w:r w:rsidR="00ED60E9">
        <w:rPr>
          <w:rFonts w:ascii="Arial" w:hAnsi="Arial" w:cs="Arial"/>
          <w:bCs/>
          <w:szCs w:val="24"/>
        </w:rPr>
        <w:t xml:space="preserve"> </w:t>
      </w:r>
      <w:r w:rsidR="00AE3326">
        <w:rPr>
          <w:rFonts w:ascii="Arial" w:hAnsi="Arial" w:cs="Arial"/>
          <w:bCs/>
          <w:szCs w:val="24"/>
        </w:rPr>
        <w:t xml:space="preserve">Stony Caldera </w:t>
      </w:r>
      <w:r w:rsidR="00CE414E">
        <w:rPr>
          <w:rFonts w:ascii="Arial" w:hAnsi="Arial" w:cs="Arial"/>
          <w:bCs/>
          <w:szCs w:val="24"/>
        </w:rPr>
        <w:t xml:space="preserve">and North Rim </w:t>
      </w:r>
      <w:r w:rsidR="00ED60E9">
        <w:rPr>
          <w:rFonts w:ascii="Arial" w:hAnsi="Arial" w:cs="Arial"/>
          <w:bCs/>
          <w:szCs w:val="24"/>
        </w:rPr>
        <w:t>propert</w:t>
      </w:r>
      <w:r w:rsidR="00990659">
        <w:rPr>
          <w:rFonts w:ascii="Arial" w:hAnsi="Arial" w:cs="Arial"/>
          <w:bCs/>
          <w:szCs w:val="24"/>
        </w:rPr>
        <w:t>y area</w:t>
      </w:r>
      <w:r w:rsidR="00AE3326">
        <w:rPr>
          <w:rFonts w:ascii="Arial" w:hAnsi="Arial" w:cs="Arial"/>
          <w:bCs/>
          <w:szCs w:val="24"/>
        </w:rPr>
        <w:t>s</w:t>
      </w:r>
      <w:r w:rsidR="00EE1BA3">
        <w:rPr>
          <w:rFonts w:ascii="Arial" w:hAnsi="Arial" w:cs="Arial"/>
          <w:bCs/>
          <w:szCs w:val="24"/>
        </w:rPr>
        <w:t xml:space="preserve"> in Newfoundland</w:t>
      </w:r>
      <w:r w:rsidR="00990659">
        <w:rPr>
          <w:rFonts w:ascii="Arial" w:hAnsi="Arial" w:cs="Arial"/>
          <w:bCs/>
          <w:szCs w:val="24"/>
        </w:rPr>
        <w:t>.</w:t>
      </w:r>
      <w:r w:rsidR="00F2730D">
        <w:rPr>
          <w:rFonts w:ascii="Arial" w:hAnsi="Arial" w:cs="Arial"/>
          <w:bCs/>
          <w:szCs w:val="24"/>
        </w:rPr>
        <w:t xml:space="preserve"> </w:t>
      </w:r>
      <w:r>
        <w:rPr>
          <w:rFonts w:ascii="Arial" w:hAnsi="Arial" w:cs="Arial"/>
          <w:bCs/>
          <w:szCs w:val="24"/>
        </w:rPr>
        <w:t xml:space="preserve">The government assessment report for the Paradise Lake, </w:t>
      </w:r>
      <w:proofErr w:type="spellStart"/>
      <w:r>
        <w:rPr>
          <w:rFonts w:ascii="Arial" w:hAnsi="Arial" w:cs="Arial"/>
          <w:bCs/>
          <w:szCs w:val="24"/>
        </w:rPr>
        <w:t>Miguels</w:t>
      </w:r>
      <w:proofErr w:type="spellEnd"/>
      <w:r>
        <w:rPr>
          <w:rFonts w:ascii="Arial" w:hAnsi="Arial" w:cs="Arial"/>
          <w:bCs/>
          <w:szCs w:val="24"/>
        </w:rPr>
        <w:t xml:space="preserve"> Lake, and Pistol Lake properties was also filed.</w:t>
      </w:r>
      <w:r w:rsidR="00C24F6C">
        <w:rPr>
          <w:rFonts w:ascii="Arial" w:hAnsi="Arial" w:cs="Arial"/>
          <w:bCs/>
          <w:szCs w:val="24"/>
        </w:rPr>
        <w:t xml:space="preserve"> </w:t>
      </w:r>
      <w:r w:rsidR="00C24F6C" w:rsidRPr="00C24F6C">
        <w:rPr>
          <w:rFonts w:ascii="Arial" w:hAnsi="Arial" w:cs="Arial"/>
          <w:bCs/>
          <w:szCs w:val="24"/>
        </w:rPr>
        <w:t xml:space="preserve">On December 12, </w:t>
      </w:r>
      <w:proofErr w:type="gramStart"/>
      <w:r w:rsidR="00C24F6C" w:rsidRPr="00C24F6C">
        <w:rPr>
          <w:rFonts w:ascii="Arial" w:hAnsi="Arial" w:cs="Arial"/>
          <w:bCs/>
          <w:szCs w:val="24"/>
        </w:rPr>
        <w:t>2022</w:t>
      </w:r>
      <w:proofErr w:type="gramEnd"/>
      <w:r w:rsidR="00C24F6C" w:rsidRPr="00C24F6C">
        <w:rPr>
          <w:rFonts w:ascii="Arial" w:hAnsi="Arial" w:cs="Arial"/>
          <w:bCs/>
          <w:szCs w:val="24"/>
        </w:rPr>
        <w:t xml:space="preserve"> </w:t>
      </w:r>
      <w:r w:rsidR="00935ABA">
        <w:rPr>
          <w:rFonts w:ascii="Arial" w:hAnsi="Arial" w:cs="Arial"/>
        </w:rPr>
        <w:t>the Company</w:t>
      </w:r>
      <w:r w:rsidR="00C24F6C" w:rsidRPr="008A0466">
        <w:rPr>
          <w:rFonts w:ascii="Arial" w:hAnsi="Arial" w:cs="Arial"/>
        </w:rPr>
        <w:t xml:space="preserve"> announce</w:t>
      </w:r>
      <w:r w:rsidR="00935ABA">
        <w:rPr>
          <w:rFonts w:ascii="Arial" w:hAnsi="Arial" w:cs="Arial"/>
        </w:rPr>
        <w:t>d</w:t>
      </w:r>
      <w:r w:rsidR="00C24F6C" w:rsidRPr="008A0466">
        <w:rPr>
          <w:rFonts w:ascii="Arial" w:hAnsi="Arial" w:cs="Arial"/>
        </w:rPr>
        <w:t xml:space="preserve"> final exploration results from the 2022 exploration season and initiate</w:t>
      </w:r>
      <w:r w:rsidR="00935ABA">
        <w:rPr>
          <w:rFonts w:ascii="Arial" w:hAnsi="Arial" w:cs="Arial"/>
        </w:rPr>
        <w:t>d</w:t>
      </w:r>
      <w:r w:rsidR="00C24F6C" w:rsidRPr="008A0466">
        <w:rPr>
          <w:rFonts w:ascii="Arial" w:hAnsi="Arial" w:cs="Arial"/>
        </w:rPr>
        <w:t xml:space="preserve"> detailed geological review of 2021 and 2022 exploration data. </w:t>
      </w: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59A100FB" w:rsidR="001040B2" w:rsidRDefault="006D1689" w:rsidP="00F2730D">
      <w:pPr>
        <w:pStyle w:val="List"/>
        <w:spacing w:before="120"/>
        <w:ind w:left="720" w:firstLine="0"/>
        <w:jc w:val="both"/>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4C6E25">
        <w:rPr>
          <w:rFonts w:ascii="Arial" w:hAnsi="Arial" w:cs="Arial"/>
          <w:bCs/>
          <w:szCs w:val="24"/>
        </w:rPr>
        <w:t>Dec</w:t>
      </w:r>
      <w:r w:rsidR="001462B3" w:rsidRPr="00AB3238">
        <w:rPr>
          <w:rFonts w:ascii="Arial" w:hAnsi="Arial" w:cs="Arial"/>
          <w:bCs/>
          <w:szCs w:val="24"/>
        </w:rPr>
        <w:t>ember</w:t>
      </w:r>
      <w:r w:rsidR="006C45FB">
        <w:rPr>
          <w:rFonts w:ascii="Arial" w:hAnsi="Arial" w:cs="Arial"/>
          <w:bCs/>
          <w:szCs w:val="24"/>
        </w:rPr>
        <w:t xml:space="preserve"> </w:t>
      </w:r>
      <w:r w:rsidR="00995CA9">
        <w:rPr>
          <w:rFonts w:ascii="Arial" w:hAnsi="Arial" w:cs="Arial"/>
          <w:bCs/>
          <w:szCs w:val="24"/>
        </w:rPr>
        <w:t>2022</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 xml:space="preserve">have been submitted </w:t>
      </w:r>
      <w:r w:rsidR="00166659">
        <w:rPr>
          <w:rFonts w:ascii="Arial" w:hAnsi="Arial" w:cs="Arial"/>
          <w:bCs/>
          <w:szCs w:val="24"/>
        </w:rPr>
        <w:t xml:space="preserve">including IP surveys and drill programs on the </w:t>
      </w:r>
      <w:r w:rsidR="00394883">
        <w:rPr>
          <w:rFonts w:ascii="Arial" w:hAnsi="Arial" w:cs="Arial"/>
          <w:bCs/>
          <w:szCs w:val="24"/>
        </w:rPr>
        <w:t>Stars propert</w:t>
      </w:r>
      <w:r w:rsidR="00166659">
        <w:rPr>
          <w:rFonts w:ascii="Arial" w:hAnsi="Arial" w:cs="Arial"/>
          <w:bCs/>
          <w:szCs w:val="24"/>
        </w:rPr>
        <w:t xml:space="preserve">y </w:t>
      </w:r>
      <w:r w:rsidR="00D510BA">
        <w:rPr>
          <w:rFonts w:ascii="Arial" w:hAnsi="Arial" w:cs="Arial"/>
          <w:bCs/>
          <w:szCs w:val="24"/>
        </w:rPr>
        <w:t>and</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w:t>
      </w:r>
      <w:r w:rsidR="00F2730D">
        <w:rPr>
          <w:rFonts w:ascii="Arial" w:hAnsi="Arial" w:cs="Arial"/>
          <w:bCs/>
          <w:szCs w:val="24"/>
        </w:rPr>
        <w:t xml:space="preserve"> </w:t>
      </w:r>
      <w:r w:rsidR="00B967D0">
        <w:rPr>
          <w:rFonts w:ascii="Arial" w:hAnsi="Arial" w:cs="Arial"/>
          <w:bCs/>
          <w:szCs w:val="24"/>
        </w:rPr>
        <w:t>programs</w:t>
      </w:r>
      <w:r w:rsidR="00C16DDB">
        <w:rPr>
          <w:rFonts w:ascii="Arial" w:hAnsi="Arial" w:cs="Arial"/>
          <w:bCs/>
          <w:szCs w:val="24"/>
        </w:rPr>
        <w:t>.</w:t>
      </w:r>
    </w:p>
    <w:p w14:paraId="630C31C8" w14:textId="77777777" w:rsidR="00F2730D" w:rsidRPr="00AB26B2" w:rsidRDefault="00F2730D" w:rsidP="00F36949">
      <w:pPr>
        <w:pStyle w:val="List"/>
        <w:spacing w:before="120"/>
        <w:ind w:left="720" w:firstLine="0"/>
        <w:jc w:val="both"/>
        <w:rPr>
          <w:rFonts w:ascii="Arial" w:hAnsi="Arial" w:cs="Arial"/>
          <w:bCs/>
          <w:szCs w:val="24"/>
        </w:rPr>
      </w:pP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2571E6CD"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00F6516D">
        <w:rPr>
          <w:rFonts w:ascii="Arial" w:hAnsi="Arial" w:cs="Arial"/>
          <w:bCs/>
          <w:szCs w:val="24"/>
        </w:rPr>
        <w:t>geo-</w:t>
      </w:r>
      <w:r w:rsidRPr="00AB26B2">
        <w:rPr>
          <w:rFonts w:ascii="Arial" w:hAnsi="Arial" w:cs="Arial"/>
          <w:bCs/>
          <w:szCs w:val="24"/>
        </w:rPr>
        <w:t>technical data</w:t>
      </w:r>
      <w:r w:rsidR="00892707">
        <w:rPr>
          <w:rFonts w:ascii="Arial" w:hAnsi="Arial" w:cs="Arial"/>
          <w:bCs/>
          <w:szCs w:val="24"/>
        </w:rPr>
        <w:t xml:space="preserve"> with all</w:t>
      </w:r>
      <w:r w:rsidR="00964537">
        <w:rPr>
          <w:rFonts w:ascii="Arial" w:hAnsi="Arial" w:cs="Arial"/>
          <w:bCs/>
          <w:szCs w:val="24"/>
        </w:rPr>
        <w:t xml:space="preserve"> </w:t>
      </w:r>
      <w:r w:rsidR="00892707">
        <w:rPr>
          <w:rFonts w:ascii="Arial" w:hAnsi="Arial" w:cs="Arial"/>
          <w:bCs/>
          <w:szCs w:val="24"/>
        </w:rPr>
        <w:t xml:space="preserve">the Company’s properties in NFLD.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5897736B" w14:textId="49344C82" w:rsidR="00026D35" w:rsidRPr="00AB26B2" w:rsidRDefault="00B20492" w:rsidP="00026D35">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35C8E16E" w14:textId="77777777" w:rsidR="00F2730D" w:rsidRDefault="00F2730D" w:rsidP="00B967D0">
      <w:pPr>
        <w:pStyle w:val="List"/>
        <w:spacing w:before="120"/>
        <w:ind w:left="720" w:firstLine="0"/>
        <w:jc w:val="both"/>
        <w:rPr>
          <w:rFonts w:ascii="Arial" w:hAnsi="Arial" w:cs="Arial"/>
          <w:b/>
          <w:szCs w:val="24"/>
        </w:rPr>
      </w:pPr>
    </w:p>
    <w:p w14:paraId="7D7BFFA0" w14:textId="7667F40F" w:rsidR="00335879" w:rsidRDefault="00ED423B" w:rsidP="00ED423B">
      <w:pPr>
        <w:pStyle w:val="List"/>
        <w:spacing w:before="120"/>
        <w:jc w:val="both"/>
        <w:rPr>
          <w:rFonts w:ascii="Arial" w:hAnsi="Arial" w:cs="Arial"/>
          <w:b/>
          <w:szCs w:val="24"/>
        </w:rPr>
      </w:pPr>
      <w:r>
        <w:rPr>
          <w:rFonts w:ascii="Arial" w:hAnsi="Arial" w:cs="Arial"/>
          <w:b/>
          <w:szCs w:val="24"/>
        </w:rPr>
        <w:t xml:space="preserve">          </w:t>
      </w:r>
      <w:r w:rsidR="00335879">
        <w:rPr>
          <w:rFonts w:ascii="Arial" w:hAnsi="Arial" w:cs="Arial"/>
          <w:b/>
          <w:szCs w:val="24"/>
        </w:rPr>
        <w:t>General</w:t>
      </w:r>
    </w:p>
    <w:p w14:paraId="7DCEE375" w14:textId="77777777" w:rsidR="00AB478D" w:rsidRDefault="00026D35" w:rsidP="00AB478D">
      <w:pPr>
        <w:rPr>
          <w:rFonts w:ascii="Arial" w:hAnsi="Arial" w:cs="Arial"/>
          <w:b/>
          <w:szCs w:val="24"/>
        </w:rPr>
      </w:pPr>
      <w:r>
        <w:rPr>
          <w:rFonts w:ascii="Arial" w:hAnsi="Arial" w:cs="Arial"/>
          <w:b/>
          <w:szCs w:val="24"/>
        </w:rPr>
        <w:t xml:space="preserve">          </w:t>
      </w:r>
      <w:r w:rsidR="00774AA1">
        <w:rPr>
          <w:rFonts w:ascii="Arial" w:hAnsi="Arial" w:cs="Arial"/>
          <w:b/>
          <w:szCs w:val="24"/>
        </w:rPr>
        <w:t xml:space="preserve"> </w:t>
      </w:r>
    </w:p>
    <w:p w14:paraId="7226B3F8" w14:textId="51CA9BA7" w:rsidR="005131AF" w:rsidRPr="00AB26B2" w:rsidRDefault="005131AF" w:rsidP="005131AF">
      <w:pPr>
        <w:pStyle w:val="List"/>
        <w:spacing w:before="120"/>
        <w:ind w:left="720" w:firstLine="0"/>
        <w:jc w:val="both"/>
        <w:rPr>
          <w:rFonts w:ascii="Arial" w:hAnsi="Arial" w:cs="Arial"/>
          <w:bCs/>
          <w:szCs w:val="24"/>
        </w:rPr>
      </w:pPr>
      <w:r>
        <w:rPr>
          <w:rFonts w:ascii="Arial" w:hAnsi="Arial" w:cs="Arial"/>
          <w:bCs/>
          <w:szCs w:val="24"/>
        </w:rPr>
        <w:t xml:space="preserve">Other management activity included working on the private placement for Copper Star. This financing was ultimately not concluded by year end and will </w:t>
      </w:r>
      <w:proofErr w:type="gramStart"/>
      <w:r>
        <w:rPr>
          <w:rFonts w:ascii="Arial" w:hAnsi="Arial" w:cs="Arial"/>
          <w:bCs/>
          <w:szCs w:val="24"/>
        </w:rPr>
        <w:t>continue on</w:t>
      </w:r>
      <w:proofErr w:type="gramEnd"/>
      <w:r>
        <w:rPr>
          <w:rFonts w:ascii="Arial" w:hAnsi="Arial" w:cs="Arial"/>
          <w:bCs/>
          <w:szCs w:val="24"/>
        </w:rPr>
        <w:t xml:space="preserve"> into January 2023.</w:t>
      </w:r>
    </w:p>
    <w:p w14:paraId="29D2A259" w14:textId="170C231F" w:rsidR="007D555F" w:rsidRPr="007B716D" w:rsidRDefault="007D555F" w:rsidP="005131AF">
      <w:pPr>
        <w:jc w:val="both"/>
        <w:rPr>
          <w:rFonts w:ascii="Arial" w:hAnsi="Arial" w:cs="Arial"/>
          <w:sz w:val="24"/>
          <w:szCs w:val="24"/>
        </w:rPr>
      </w:pPr>
    </w:p>
    <w:p w14:paraId="10AB030E" w14:textId="77777777" w:rsidR="007D555F" w:rsidRPr="007B716D" w:rsidRDefault="007D555F" w:rsidP="007D555F">
      <w:pPr>
        <w:jc w:val="both"/>
        <w:rPr>
          <w:rFonts w:ascii="Arial" w:hAnsi="Arial" w:cs="Arial"/>
          <w:sz w:val="24"/>
          <w:szCs w:val="24"/>
        </w:rPr>
      </w:pPr>
    </w:p>
    <w:p w14:paraId="60C424BD" w14:textId="77777777" w:rsidR="001E153B" w:rsidRDefault="001E153B" w:rsidP="001E153B">
      <w:pPr>
        <w:jc w:val="both"/>
        <w:rPr>
          <w:rFonts w:ascii="Arial" w:hAnsi="Arial" w:cs="Arial"/>
          <w:b/>
          <w:bCs/>
          <w:sz w:val="24"/>
          <w:szCs w:val="24"/>
        </w:rPr>
      </w:pPr>
    </w:p>
    <w:p w14:paraId="7625793D" w14:textId="317D4244" w:rsidR="00640E94" w:rsidRPr="001E153B" w:rsidRDefault="00640E94" w:rsidP="001E153B">
      <w:pPr>
        <w:pStyle w:val="ListParagraph"/>
        <w:numPr>
          <w:ilvl w:val="0"/>
          <w:numId w:val="28"/>
        </w:numPr>
        <w:jc w:val="both"/>
        <w:rPr>
          <w:rFonts w:ascii="Arial" w:hAnsi="Arial" w:cs="Arial"/>
          <w:sz w:val="24"/>
          <w:szCs w:val="24"/>
        </w:rPr>
      </w:pPr>
      <w:r w:rsidRPr="001E153B">
        <w:rPr>
          <w:rFonts w:ascii="Arial" w:hAnsi="Arial" w:cs="Arial"/>
          <w:sz w:val="24"/>
          <w:szCs w:val="24"/>
        </w:rPr>
        <w:t>Describe and provide details of any products or services that were discontinued. For resource companies, provide details of any drilling, exploration or production programs that have been amended or abandoned.</w:t>
      </w:r>
      <w:r w:rsidR="00D97756" w:rsidRPr="001E153B">
        <w:rPr>
          <w:rFonts w:ascii="Arial" w:hAnsi="Arial" w:cs="Arial"/>
          <w:sz w:val="24"/>
          <w:szCs w:val="24"/>
        </w:rPr>
        <w:t xml:space="preserve"> </w:t>
      </w:r>
      <w:r w:rsidR="00D97756" w:rsidRPr="001E153B">
        <w:rPr>
          <w:rFonts w:ascii="Arial" w:hAnsi="Arial" w:cs="Arial"/>
          <w:b/>
          <w:bCs/>
          <w:sz w:val="24"/>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D3D9370" w:rsidR="00B57CC0" w:rsidRPr="00F36949"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E49E5D4" w14:textId="77777777" w:rsidR="00F2730D" w:rsidRDefault="00F2730D" w:rsidP="00F36949">
      <w:pPr>
        <w:pStyle w:val="ListParagraph"/>
        <w:rPr>
          <w:rFonts w:ascii="Arial" w:hAnsi="Arial" w:cs="Arial"/>
          <w:szCs w:val="24"/>
        </w:rPr>
      </w:pP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2736ABEA" w:rsidR="00100499" w:rsidRDefault="00640E94" w:rsidP="005E61E1">
      <w:pPr>
        <w:pStyle w:val="List"/>
        <w:spacing w:before="120"/>
        <w:ind w:left="720" w:firstLine="0"/>
        <w:jc w:val="both"/>
        <w:rPr>
          <w:rFonts w:ascii="Arial" w:hAnsi="Arial" w:cs="Arial"/>
          <w:szCs w:val="24"/>
        </w:rPr>
      </w:pPr>
      <w:r w:rsidRPr="003326BD">
        <w:rPr>
          <w:rFonts w:ascii="Arial" w:hAnsi="Arial" w:cs="Arial"/>
          <w:szCs w:val="24"/>
        </w:rPr>
        <w:t>Issuer, the Issuer’s affiliates or third parties or cancellation of any financing arrangements that have been previously.</w:t>
      </w:r>
      <w:r w:rsidR="000F39AE" w:rsidRPr="003326BD">
        <w:rPr>
          <w:rFonts w:ascii="Arial" w:hAnsi="Arial" w:cs="Arial"/>
          <w:szCs w:val="24"/>
        </w:rPr>
        <w:t xml:space="preserve"> </w:t>
      </w:r>
    </w:p>
    <w:p w14:paraId="776DFBAF" w14:textId="77777777" w:rsidR="00FF30CF" w:rsidRDefault="00FF30CF" w:rsidP="005E61E1">
      <w:pPr>
        <w:pStyle w:val="List"/>
        <w:spacing w:before="120"/>
        <w:ind w:left="720" w:firstLine="0"/>
        <w:jc w:val="both"/>
        <w:rPr>
          <w:rFonts w:ascii="Arial" w:hAnsi="Arial" w:cs="Arial"/>
          <w:b/>
          <w:bCs/>
          <w:szCs w:val="24"/>
        </w:rPr>
      </w:pPr>
    </w:p>
    <w:p w14:paraId="5EDAB59B" w14:textId="77777777" w:rsidR="00FF30CF" w:rsidRDefault="00BC0076"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On December 8, </w:t>
      </w:r>
      <w:proofErr w:type="gramStart"/>
      <w:r w:rsidR="00707C05" w:rsidRPr="00FF30CF">
        <w:rPr>
          <w:rFonts w:ascii="Arial" w:hAnsi="Arial" w:cs="Arial"/>
          <w:sz w:val="24"/>
          <w:szCs w:val="24"/>
        </w:rPr>
        <w:t>2022</w:t>
      </w:r>
      <w:proofErr w:type="gramEnd"/>
      <w:r w:rsidR="00707C05" w:rsidRPr="00FF30CF">
        <w:rPr>
          <w:rFonts w:ascii="Arial" w:hAnsi="Arial" w:cs="Arial"/>
          <w:sz w:val="24"/>
          <w:szCs w:val="24"/>
        </w:rPr>
        <w:t xml:space="preserve"> the Company announced that it had been granted a one (1) </w:t>
      </w:r>
      <w:r w:rsidR="00FF30CF">
        <w:rPr>
          <w:rFonts w:ascii="Arial" w:hAnsi="Arial" w:cs="Arial"/>
          <w:sz w:val="24"/>
          <w:szCs w:val="24"/>
        </w:rPr>
        <w:t xml:space="preserve">  </w:t>
      </w:r>
    </w:p>
    <w:p w14:paraId="7E461426"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year extension on annual exploration expenditure requirements from each of the </w:t>
      </w:r>
    </w:p>
    <w:p w14:paraId="072EB04B"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optionor’s of the Paradise Lake Project, </w:t>
      </w:r>
      <w:proofErr w:type="spellStart"/>
      <w:r w:rsidR="00707C05" w:rsidRPr="00FF30CF">
        <w:rPr>
          <w:rFonts w:ascii="Arial" w:hAnsi="Arial" w:cs="Arial"/>
          <w:sz w:val="24"/>
          <w:szCs w:val="24"/>
        </w:rPr>
        <w:t>Miguels</w:t>
      </w:r>
      <w:proofErr w:type="spellEnd"/>
      <w:r w:rsidR="00707C05" w:rsidRPr="00FF30CF">
        <w:rPr>
          <w:rFonts w:ascii="Arial" w:hAnsi="Arial" w:cs="Arial"/>
          <w:sz w:val="24"/>
          <w:szCs w:val="24"/>
        </w:rPr>
        <w:t xml:space="preserve"> Lake </w:t>
      </w:r>
      <w:proofErr w:type="gramStart"/>
      <w:r w:rsidR="00707C05" w:rsidRPr="00FF30CF">
        <w:rPr>
          <w:rFonts w:ascii="Arial" w:hAnsi="Arial" w:cs="Arial"/>
          <w:sz w:val="24"/>
          <w:szCs w:val="24"/>
        </w:rPr>
        <w:t>Project</w:t>
      </w:r>
      <w:proofErr w:type="gramEnd"/>
      <w:r w:rsidR="00707C05" w:rsidRPr="00FF30CF">
        <w:rPr>
          <w:rFonts w:ascii="Arial" w:hAnsi="Arial" w:cs="Arial"/>
          <w:sz w:val="24"/>
          <w:szCs w:val="24"/>
        </w:rPr>
        <w:t xml:space="preserve"> and Stony Caldera </w:t>
      </w:r>
    </w:p>
    <w:p w14:paraId="0D674579"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Project pursuant to previously executed option agreements. The Company and </w:t>
      </w:r>
    </w:p>
    <w:p w14:paraId="5A726FF2"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each Optionor have now entered into an amended option agreement whereby any </w:t>
      </w:r>
    </w:p>
    <w:p w14:paraId="60B3E7DB"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annual exploration expenditure requirements by the Company on the Projects in </w:t>
      </w:r>
    </w:p>
    <w:p w14:paraId="5271324D"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2023 will not be required and will be delayed, or ‘pushed’ forward to the following </w:t>
      </w:r>
    </w:p>
    <w:p w14:paraId="6ED19F18"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year. Any subsequent annual exploration expenditure requirements on the Projects </w:t>
      </w:r>
    </w:p>
    <w:p w14:paraId="7742EBB9"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by the Company will also be pushed forward by one year, creating a grace period </w:t>
      </w:r>
    </w:p>
    <w:p w14:paraId="23938848" w14:textId="77777777" w:rsid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 xml:space="preserve">with no annual exploration expenditures required to be made by the Company on </w:t>
      </w:r>
    </w:p>
    <w:p w14:paraId="5CAA2AAD" w14:textId="56A112A3" w:rsidR="00707C05" w:rsidRPr="00FF30CF" w:rsidRDefault="00FF30CF" w:rsidP="00707C05">
      <w:pPr>
        <w:jc w:val="both"/>
        <w:rPr>
          <w:rFonts w:ascii="Arial" w:hAnsi="Arial" w:cs="Arial"/>
          <w:sz w:val="24"/>
          <w:szCs w:val="24"/>
        </w:rPr>
      </w:pPr>
      <w:r>
        <w:rPr>
          <w:rFonts w:ascii="Arial" w:hAnsi="Arial" w:cs="Arial"/>
          <w:sz w:val="24"/>
          <w:szCs w:val="24"/>
        </w:rPr>
        <w:t xml:space="preserve">          </w:t>
      </w:r>
      <w:r w:rsidR="00707C05" w:rsidRPr="00FF30CF">
        <w:rPr>
          <w:rFonts w:ascii="Arial" w:hAnsi="Arial" w:cs="Arial"/>
          <w:sz w:val="24"/>
          <w:szCs w:val="24"/>
        </w:rPr>
        <w:t>the Projects in 2023. All properties remain in good standing.</w:t>
      </w:r>
    </w:p>
    <w:p w14:paraId="692A4DD7" w14:textId="77777777" w:rsidR="00F2730D" w:rsidRPr="003326BD" w:rsidRDefault="00F2730D" w:rsidP="005E61E1">
      <w:pPr>
        <w:pStyle w:val="List"/>
        <w:spacing w:before="120"/>
        <w:ind w:left="720" w:firstLine="0"/>
        <w:jc w:val="both"/>
        <w:rPr>
          <w:rFonts w:ascii="Arial" w:hAnsi="Arial" w:cs="Arial"/>
          <w:szCs w:val="24"/>
        </w:rPr>
      </w:pPr>
    </w:p>
    <w:p w14:paraId="3505C409" w14:textId="7F16EAE0" w:rsidR="009063CF" w:rsidRPr="00F36949"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37BE5" w:rsidRPr="00737BE5">
        <w:rPr>
          <w:rFonts w:ascii="Arial" w:hAnsi="Arial" w:cs="Arial"/>
          <w:b/>
          <w:bCs/>
          <w:szCs w:val="24"/>
        </w:rPr>
        <w:t>Not Applicable</w:t>
      </w:r>
    </w:p>
    <w:p w14:paraId="0FFABE9E" w14:textId="70494A52" w:rsidR="00EB5DC9" w:rsidRPr="00973541" w:rsidRDefault="00640E94" w:rsidP="0097354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r w:rsidR="0099618B" w:rsidRPr="00973541">
        <w:rPr>
          <w:rFonts w:ascii="Arial" w:hAnsi="Arial" w:cs="Arial"/>
          <w:b/>
          <w:szCs w:val="24"/>
        </w:rPr>
        <w:t>Not Applicable</w:t>
      </w:r>
      <w:r w:rsidR="00395374" w:rsidRPr="00973541">
        <w:rPr>
          <w:rFonts w:ascii="Arial" w:hAnsi="Arial" w:cs="Arial"/>
          <w:b/>
          <w:szCs w:val="24"/>
        </w:rPr>
        <w:t>.</w:t>
      </w:r>
    </w:p>
    <w:p w14:paraId="45D5955C" w14:textId="77777777" w:rsidR="00F2730D" w:rsidRPr="00F36949" w:rsidRDefault="00F2730D" w:rsidP="00F36949">
      <w:pPr>
        <w:pStyle w:val="List"/>
        <w:spacing w:before="120"/>
        <w:ind w:left="720" w:firstLine="0"/>
        <w:jc w:val="both"/>
        <w:rPr>
          <w:rFonts w:ascii="Arial" w:hAnsi="Arial" w:cs="Arial"/>
          <w:b/>
          <w:szCs w:val="24"/>
        </w:rPr>
      </w:pPr>
    </w:p>
    <w:p w14:paraId="7B327712" w14:textId="7A33C76E" w:rsidR="00E260CA"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2F76C956" w14:textId="77777777" w:rsidR="00F2730D" w:rsidRPr="00100832" w:rsidRDefault="00F2730D" w:rsidP="00F36949">
      <w:pPr>
        <w:pStyle w:val="List"/>
        <w:spacing w:before="120"/>
        <w:ind w:left="720" w:firstLine="0"/>
        <w:jc w:val="both"/>
        <w:rPr>
          <w:rFonts w:ascii="Arial" w:hAnsi="Arial" w:cs="Arial"/>
          <w:b/>
          <w:szCs w:val="24"/>
        </w:rPr>
      </w:pPr>
    </w:p>
    <w:p w14:paraId="3BFE519C" w14:textId="2DE998CE"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A67CB7">
        <w:rPr>
          <w:rFonts w:ascii="Arial" w:hAnsi="Arial" w:cs="Arial"/>
          <w:b/>
          <w:bCs/>
          <w:szCs w:val="24"/>
        </w:rPr>
        <w:t xml:space="preserve"> 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0874FF8A" w:rsidR="001040B2" w:rsidRPr="00CB0811" w:rsidRDefault="005B651A" w:rsidP="000F46D2">
      <w:pPr>
        <w:pStyle w:val="List"/>
        <w:spacing w:before="120"/>
        <w:ind w:left="720" w:firstLine="0"/>
        <w:jc w:val="both"/>
        <w:rPr>
          <w:rFonts w:ascii="Arial" w:hAnsi="Arial" w:cs="Arial"/>
          <w:szCs w:val="24"/>
        </w:rPr>
      </w:pPr>
      <w:r>
        <w:rPr>
          <w:rFonts w:ascii="Arial" w:hAnsi="Arial" w:cs="Arial"/>
          <w:szCs w:val="24"/>
        </w:rPr>
        <w:t xml:space="preserve">December 6, </w:t>
      </w:r>
      <w:proofErr w:type="gramStart"/>
      <w:r>
        <w:rPr>
          <w:rFonts w:ascii="Arial" w:hAnsi="Arial" w:cs="Arial"/>
          <w:szCs w:val="24"/>
        </w:rPr>
        <w:t>2022</w:t>
      </w:r>
      <w:proofErr w:type="gramEnd"/>
      <w:r>
        <w:rPr>
          <w:rFonts w:ascii="Arial" w:hAnsi="Arial" w:cs="Arial"/>
          <w:szCs w:val="24"/>
        </w:rPr>
        <w:t xml:space="preserve"> treasury order.</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8980256" w14:textId="77777777" w:rsidR="0073102C" w:rsidRPr="00FD3C75" w:rsidRDefault="0073102C" w:rsidP="00BC0385">
            <w:pPr>
              <w:pStyle w:val="List"/>
              <w:tabs>
                <w:tab w:val="left" w:pos="360"/>
              </w:tabs>
              <w:spacing w:before="0" w:line="280" w:lineRule="exact"/>
              <w:ind w:left="0" w:firstLine="0"/>
              <w:rPr>
                <w:rFonts w:ascii="Arial" w:hAnsi="Arial" w:cs="Arial"/>
                <w:sz w:val="20"/>
              </w:rPr>
            </w:pPr>
          </w:p>
          <w:p w14:paraId="3AEFF583" w14:textId="77777777" w:rsidR="00A67CB7" w:rsidRPr="00FD3C75" w:rsidRDefault="00A67CB7" w:rsidP="00BC0385">
            <w:pPr>
              <w:pStyle w:val="List"/>
              <w:tabs>
                <w:tab w:val="left" w:pos="360"/>
              </w:tabs>
              <w:spacing w:before="0" w:line="280" w:lineRule="exact"/>
              <w:ind w:left="0" w:firstLine="0"/>
              <w:rPr>
                <w:rFonts w:ascii="Arial" w:hAnsi="Arial" w:cs="Arial"/>
                <w:sz w:val="20"/>
              </w:rPr>
            </w:pPr>
          </w:p>
          <w:p w14:paraId="3A5F0D96" w14:textId="1F6B6576" w:rsidR="00A67CB7" w:rsidRPr="00FD3C75" w:rsidRDefault="00A67CB7" w:rsidP="00BC0385">
            <w:pPr>
              <w:pStyle w:val="List"/>
              <w:tabs>
                <w:tab w:val="left" w:pos="360"/>
              </w:tabs>
              <w:spacing w:before="0" w:line="280" w:lineRule="exact"/>
              <w:ind w:left="0" w:firstLine="0"/>
              <w:rPr>
                <w:rFonts w:ascii="Arial" w:hAnsi="Arial" w:cs="Arial"/>
                <w:sz w:val="20"/>
              </w:rPr>
            </w:pPr>
            <w:r w:rsidRPr="00FD3C75">
              <w:rPr>
                <w:rFonts w:ascii="Arial" w:hAnsi="Arial" w:cs="Arial"/>
                <w:sz w:val="20"/>
              </w:rPr>
              <w:t>Common Shares</w:t>
            </w:r>
          </w:p>
        </w:tc>
        <w:tc>
          <w:tcPr>
            <w:tcW w:w="2266" w:type="dxa"/>
          </w:tcPr>
          <w:p w14:paraId="63FD3C04" w14:textId="77777777" w:rsidR="0073102C" w:rsidRPr="00FD3C75" w:rsidRDefault="0073102C" w:rsidP="00933A25">
            <w:pPr>
              <w:pStyle w:val="List"/>
              <w:tabs>
                <w:tab w:val="left" w:pos="360"/>
              </w:tabs>
              <w:spacing w:before="0" w:line="280" w:lineRule="exact"/>
              <w:ind w:left="0" w:firstLine="0"/>
              <w:rPr>
                <w:rFonts w:ascii="Arial" w:hAnsi="Arial" w:cs="Arial"/>
                <w:sz w:val="20"/>
              </w:rPr>
            </w:pPr>
          </w:p>
          <w:p w14:paraId="01E12168" w14:textId="77777777" w:rsidR="001E0165" w:rsidRPr="00FD3C75" w:rsidRDefault="001E0165" w:rsidP="00933A25">
            <w:pPr>
              <w:pStyle w:val="List"/>
              <w:tabs>
                <w:tab w:val="left" w:pos="360"/>
              </w:tabs>
              <w:spacing w:before="0" w:line="280" w:lineRule="exact"/>
              <w:ind w:left="0" w:firstLine="0"/>
              <w:rPr>
                <w:rFonts w:ascii="Arial" w:hAnsi="Arial" w:cs="Arial"/>
                <w:sz w:val="20"/>
              </w:rPr>
            </w:pPr>
          </w:p>
          <w:p w14:paraId="6B991532" w14:textId="06A4C42E" w:rsidR="001E0165" w:rsidRPr="00FD3C75" w:rsidRDefault="001E0165" w:rsidP="00933A25">
            <w:pPr>
              <w:pStyle w:val="List"/>
              <w:tabs>
                <w:tab w:val="left" w:pos="360"/>
              </w:tabs>
              <w:spacing w:before="0" w:line="280" w:lineRule="exact"/>
              <w:ind w:left="0" w:firstLine="0"/>
              <w:rPr>
                <w:rFonts w:ascii="Arial" w:hAnsi="Arial" w:cs="Arial"/>
                <w:sz w:val="20"/>
              </w:rPr>
            </w:pPr>
            <w:r w:rsidRPr="00FD3C75">
              <w:rPr>
                <w:rFonts w:ascii="Arial" w:hAnsi="Arial" w:cs="Arial"/>
                <w:sz w:val="20"/>
              </w:rPr>
              <w:t>750,000</w:t>
            </w:r>
          </w:p>
        </w:tc>
        <w:tc>
          <w:tcPr>
            <w:tcW w:w="2610" w:type="dxa"/>
          </w:tcPr>
          <w:p w14:paraId="73DA5B6C" w14:textId="77777777" w:rsidR="00AD64BB" w:rsidRPr="00FD3C75" w:rsidRDefault="00AD64BB" w:rsidP="00933A25">
            <w:pPr>
              <w:pStyle w:val="List"/>
              <w:tabs>
                <w:tab w:val="left" w:pos="360"/>
              </w:tabs>
              <w:spacing w:before="0" w:line="280" w:lineRule="exact"/>
              <w:ind w:left="0" w:firstLine="0"/>
              <w:rPr>
                <w:rFonts w:ascii="Arial" w:hAnsi="Arial" w:cs="Arial"/>
                <w:sz w:val="20"/>
              </w:rPr>
            </w:pPr>
          </w:p>
          <w:p w14:paraId="6ACF19F8" w14:textId="656BCE68" w:rsidR="006F090B" w:rsidRPr="00FD3C75" w:rsidRDefault="006F090B" w:rsidP="00933A25">
            <w:pPr>
              <w:pStyle w:val="List"/>
              <w:tabs>
                <w:tab w:val="left" w:pos="360"/>
              </w:tabs>
              <w:spacing w:before="0" w:line="280" w:lineRule="exact"/>
              <w:ind w:left="0" w:firstLine="0"/>
              <w:rPr>
                <w:rFonts w:ascii="Arial" w:hAnsi="Arial" w:cs="Arial"/>
                <w:sz w:val="20"/>
              </w:rPr>
            </w:pPr>
            <w:r w:rsidRPr="00FD3C75">
              <w:rPr>
                <w:rFonts w:ascii="Arial" w:hAnsi="Arial" w:cs="Arial"/>
                <w:sz w:val="20"/>
              </w:rPr>
              <w:t xml:space="preserve">Shares issued to Tenacity Gold </w:t>
            </w:r>
            <w:r w:rsidR="008310DE" w:rsidRPr="00FD3C75">
              <w:rPr>
                <w:rFonts w:ascii="Arial" w:hAnsi="Arial" w:cs="Arial"/>
                <w:sz w:val="20"/>
              </w:rPr>
              <w:t xml:space="preserve">as part of Paradise Lake, </w:t>
            </w:r>
            <w:proofErr w:type="spellStart"/>
            <w:r w:rsidR="008310DE" w:rsidRPr="00FD3C75">
              <w:rPr>
                <w:rFonts w:ascii="Arial" w:hAnsi="Arial" w:cs="Arial"/>
                <w:sz w:val="20"/>
              </w:rPr>
              <w:t>Miguels</w:t>
            </w:r>
            <w:proofErr w:type="spellEnd"/>
            <w:r w:rsidR="008310DE" w:rsidRPr="00FD3C75">
              <w:rPr>
                <w:rFonts w:ascii="Arial" w:hAnsi="Arial" w:cs="Arial"/>
                <w:sz w:val="20"/>
              </w:rPr>
              <w:t xml:space="preserve"> Lake option agreements</w:t>
            </w:r>
          </w:p>
        </w:tc>
        <w:tc>
          <w:tcPr>
            <w:tcW w:w="2420" w:type="dxa"/>
          </w:tcPr>
          <w:p w14:paraId="757F8786" w14:textId="77777777" w:rsidR="00DF3576" w:rsidRPr="00FD3C75" w:rsidRDefault="00DF3576" w:rsidP="00424E51">
            <w:pPr>
              <w:pStyle w:val="List"/>
              <w:tabs>
                <w:tab w:val="right" w:pos="2204"/>
              </w:tabs>
              <w:spacing w:before="0" w:line="280" w:lineRule="exact"/>
              <w:ind w:left="0" w:firstLine="0"/>
              <w:rPr>
                <w:rFonts w:ascii="Arial" w:hAnsi="Arial" w:cs="Arial"/>
                <w:sz w:val="20"/>
              </w:rPr>
            </w:pPr>
          </w:p>
          <w:p w14:paraId="4F5B322F" w14:textId="77777777" w:rsidR="00AD64BB" w:rsidRPr="00FD3C75" w:rsidRDefault="00AD64BB" w:rsidP="00424E51">
            <w:pPr>
              <w:pStyle w:val="List"/>
              <w:tabs>
                <w:tab w:val="right" w:pos="2204"/>
              </w:tabs>
              <w:spacing w:before="0" w:line="280" w:lineRule="exact"/>
              <w:ind w:left="0" w:firstLine="0"/>
              <w:rPr>
                <w:rFonts w:ascii="Arial" w:hAnsi="Arial" w:cs="Arial"/>
                <w:sz w:val="20"/>
              </w:rPr>
            </w:pPr>
          </w:p>
          <w:p w14:paraId="26243435" w14:textId="3A5192B8" w:rsidR="00AD64BB" w:rsidRPr="00FD3C75" w:rsidRDefault="00AD64BB" w:rsidP="00424E51">
            <w:pPr>
              <w:pStyle w:val="List"/>
              <w:tabs>
                <w:tab w:val="right" w:pos="2204"/>
              </w:tabs>
              <w:spacing w:before="0" w:line="280" w:lineRule="exact"/>
              <w:ind w:left="0" w:firstLine="0"/>
              <w:rPr>
                <w:rFonts w:ascii="Arial" w:hAnsi="Arial" w:cs="Arial"/>
                <w:sz w:val="20"/>
              </w:rPr>
            </w:pPr>
            <w:r w:rsidRPr="00FD3C75">
              <w:rPr>
                <w:rFonts w:ascii="Arial" w:hAnsi="Arial" w:cs="Arial"/>
                <w:sz w:val="20"/>
              </w:rPr>
              <w:t>Nil</w:t>
            </w:r>
          </w:p>
        </w:tc>
      </w:tr>
      <w:tr w:rsidR="00B8380B" w:rsidRPr="00CB0811" w14:paraId="5CA7D925" w14:textId="77777777" w:rsidTr="00CB0811">
        <w:trPr>
          <w:trHeight w:val="871"/>
        </w:trPr>
        <w:tc>
          <w:tcPr>
            <w:tcW w:w="2432" w:type="dxa"/>
          </w:tcPr>
          <w:p w14:paraId="07CEEDC0" w14:textId="77777777" w:rsidR="00B8380B" w:rsidRPr="00FD3C75" w:rsidRDefault="00B8380B" w:rsidP="00CB0811">
            <w:pPr>
              <w:pStyle w:val="List"/>
              <w:tabs>
                <w:tab w:val="left" w:pos="360"/>
              </w:tabs>
              <w:spacing w:before="0" w:line="280" w:lineRule="exact"/>
              <w:ind w:left="0" w:firstLine="0"/>
              <w:rPr>
                <w:rFonts w:ascii="Arial" w:hAnsi="Arial" w:cs="Arial"/>
                <w:sz w:val="20"/>
              </w:rPr>
            </w:pPr>
          </w:p>
          <w:p w14:paraId="08CCE60B" w14:textId="4E5A381F" w:rsidR="00AD64BB" w:rsidRPr="00FD3C75" w:rsidRDefault="00AD64BB"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Common Shares</w:t>
            </w:r>
          </w:p>
        </w:tc>
        <w:tc>
          <w:tcPr>
            <w:tcW w:w="2266" w:type="dxa"/>
          </w:tcPr>
          <w:p w14:paraId="2C0C3033" w14:textId="77777777" w:rsidR="00B8380B" w:rsidRPr="00FD3C75" w:rsidRDefault="00B8380B">
            <w:pPr>
              <w:pStyle w:val="List"/>
              <w:tabs>
                <w:tab w:val="left" w:pos="360"/>
              </w:tabs>
              <w:spacing w:before="0" w:line="280" w:lineRule="exact"/>
              <w:ind w:left="0" w:firstLine="0"/>
              <w:rPr>
                <w:rFonts w:ascii="Arial" w:hAnsi="Arial" w:cs="Arial"/>
                <w:bCs/>
                <w:sz w:val="20"/>
              </w:rPr>
            </w:pPr>
          </w:p>
          <w:p w14:paraId="37A1E1A1" w14:textId="0D0EAC90" w:rsidR="00AD64BB" w:rsidRPr="00FD3C75" w:rsidRDefault="00AD64BB">
            <w:pPr>
              <w:pStyle w:val="List"/>
              <w:tabs>
                <w:tab w:val="left" w:pos="360"/>
              </w:tabs>
              <w:spacing w:before="0" w:line="280" w:lineRule="exact"/>
              <w:ind w:left="0" w:firstLine="0"/>
              <w:rPr>
                <w:rFonts w:ascii="Arial" w:hAnsi="Arial" w:cs="Arial"/>
                <w:bCs/>
                <w:sz w:val="20"/>
              </w:rPr>
            </w:pPr>
            <w:r w:rsidRPr="00FD3C75">
              <w:rPr>
                <w:rFonts w:ascii="Arial" w:hAnsi="Arial" w:cs="Arial"/>
                <w:bCs/>
                <w:sz w:val="20"/>
              </w:rPr>
              <w:t>100,000</w:t>
            </w:r>
          </w:p>
        </w:tc>
        <w:tc>
          <w:tcPr>
            <w:tcW w:w="2610" w:type="dxa"/>
          </w:tcPr>
          <w:p w14:paraId="5859A8B7" w14:textId="1EB77E9C" w:rsidR="00B8380B" w:rsidRPr="00FD3C75" w:rsidRDefault="00AD64BB"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 xml:space="preserve">Shares issued to Sandy </w:t>
            </w:r>
            <w:proofErr w:type="spellStart"/>
            <w:r w:rsidRPr="00FD3C75">
              <w:rPr>
                <w:rFonts w:ascii="Arial" w:hAnsi="Arial" w:cs="Arial"/>
                <w:sz w:val="20"/>
              </w:rPr>
              <w:t>Duffit</w:t>
            </w:r>
            <w:proofErr w:type="spellEnd"/>
            <w:r w:rsidRPr="00FD3C75">
              <w:rPr>
                <w:rFonts w:ascii="Arial" w:hAnsi="Arial" w:cs="Arial"/>
                <w:sz w:val="20"/>
              </w:rPr>
              <w:t xml:space="preserve"> as part of </w:t>
            </w:r>
            <w:proofErr w:type="spellStart"/>
            <w:r w:rsidRPr="00FD3C75">
              <w:rPr>
                <w:rFonts w:ascii="Arial" w:hAnsi="Arial" w:cs="Arial"/>
                <w:sz w:val="20"/>
              </w:rPr>
              <w:t>Miguels</w:t>
            </w:r>
            <w:proofErr w:type="spellEnd"/>
            <w:r w:rsidRPr="00FD3C75">
              <w:rPr>
                <w:rFonts w:ascii="Arial" w:hAnsi="Arial" w:cs="Arial"/>
                <w:sz w:val="20"/>
              </w:rPr>
              <w:t xml:space="preserve"> Lake option agreement</w:t>
            </w:r>
          </w:p>
        </w:tc>
        <w:tc>
          <w:tcPr>
            <w:tcW w:w="2420" w:type="dxa"/>
          </w:tcPr>
          <w:p w14:paraId="17275963" w14:textId="77777777" w:rsidR="00B8380B" w:rsidRPr="00FD3C75" w:rsidRDefault="00B8380B" w:rsidP="00FC210A">
            <w:pPr>
              <w:pStyle w:val="List"/>
              <w:tabs>
                <w:tab w:val="right" w:pos="2204"/>
              </w:tabs>
              <w:spacing w:before="0" w:line="280" w:lineRule="exact"/>
              <w:ind w:left="0" w:firstLine="0"/>
              <w:rPr>
                <w:rFonts w:ascii="Arial" w:hAnsi="Arial" w:cs="Arial"/>
                <w:sz w:val="20"/>
              </w:rPr>
            </w:pPr>
          </w:p>
          <w:p w14:paraId="02AA5C69" w14:textId="7F725E31" w:rsidR="00716F6C" w:rsidRPr="00FD3C75" w:rsidRDefault="00AD64BB" w:rsidP="00FC210A">
            <w:pPr>
              <w:pStyle w:val="List"/>
              <w:tabs>
                <w:tab w:val="right" w:pos="2204"/>
              </w:tabs>
              <w:spacing w:before="0" w:line="280" w:lineRule="exact"/>
              <w:ind w:left="0" w:firstLine="0"/>
              <w:rPr>
                <w:rFonts w:ascii="Arial" w:hAnsi="Arial" w:cs="Arial"/>
                <w:sz w:val="20"/>
              </w:rPr>
            </w:pPr>
            <w:r w:rsidRPr="00FD3C75">
              <w:rPr>
                <w:rFonts w:ascii="Arial" w:hAnsi="Arial" w:cs="Arial"/>
                <w:sz w:val="20"/>
              </w:rPr>
              <w:t>Nil</w:t>
            </w:r>
          </w:p>
        </w:tc>
      </w:tr>
      <w:tr w:rsidR="00B8380B" w:rsidRPr="00CB0811" w14:paraId="090CBCC3" w14:textId="77777777" w:rsidTr="00CB0811">
        <w:trPr>
          <w:trHeight w:val="871"/>
        </w:trPr>
        <w:tc>
          <w:tcPr>
            <w:tcW w:w="2432" w:type="dxa"/>
          </w:tcPr>
          <w:p w14:paraId="7F08FEF8" w14:textId="77777777" w:rsidR="00B8380B" w:rsidRPr="00FD3C75" w:rsidRDefault="00B8380B" w:rsidP="00CB0811">
            <w:pPr>
              <w:pStyle w:val="List"/>
              <w:tabs>
                <w:tab w:val="left" w:pos="360"/>
              </w:tabs>
              <w:spacing w:before="0" w:line="280" w:lineRule="exact"/>
              <w:ind w:left="0" w:firstLine="0"/>
              <w:rPr>
                <w:rFonts w:ascii="Arial" w:hAnsi="Arial" w:cs="Arial"/>
                <w:sz w:val="20"/>
              </w:rPr>
            </w:pPr>
          </w:p>
          <w:p w14:paraId="2E72998B" w14:textId="68B6DDCF" w:rsidR="00740727" w:rsidRPr="00FD3C75" w:rsidRDefault="00740727"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Warrants</w:t>
            </w:r>
          </w:p>
        </w:tc>
        <w:tc>
          <w:tcPr>
            <w:tcW w:w="2266" w:type="dxa"/>
          </w:tcPr>
          <w:p w14:paraId="7A195BB0" w14:textId="77777777" w:rsidR="00142DC4" w:rsidRPr="00FD3C75" w:rsidRDefault="00142DC4" w:rsidP="00CB0811">
            <w:pPr>
              <w:pStyle w:val="List"/>
              <w:tabs>
                <w:tab w:val="left" w:pos="360"/>
              </w:tabs>
              <w:spacing w:before="0" w:line="280" w:lineRule="exact"/>
              <w:ind w:left="0" w:firstLine="0"/>
              <w:rPr>
                <w:rFonts w:ascii="Arial" w:hAnsi="Arial" w:cs="Arial"/>
                <w:sz w:val="20"/>
              </w:rPr>
            </w:pPr>
          </w:p>
          <w:p w14:paraId="7D792BF4" w14:textId="4E0D94FC" w:rsidR="00B8380B" w:rsidRPr="00FD3C75" w:rsidRDefault="00740727"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 xml:space="preserve">375,000 </w:t>
            </w:r>
          </w:p>
        </w:tc>
        <w:tc>
          <w:tcPr>
            <w:tcW w:w="2610" w:type="dxa"/>
          </w:tcPr>
          <w:p w14:paraId="2C983444" w14:textId="42716DDB" w:rsidR="00B8380B" w:rsidRPr="00FD3C75" w:rsidRDefault="00653203"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 xml:space="preserve">Warrants issued to Tenacity Gold as part of </w:t>
            </w:r>
            <w:r w:rsidR="00CC6555" w:rsidRPr="00FD3C75">
              <w:rPr>
                <w:rFonts w:ascii="Arial" w:hAnsi="Arial" w:cs="Arial"/>
                <w:sz w:val="20"/>
              </w:rPr>
              <w:t xml:space="preserve">Paradise Lake, </w:t>
            </w:r>
            <w:proofErr w:type="spellStart"/>
            <w:r w:rsidR="00CC6555" w:rsidRPr="00FD3C75">
              <w:rPr>
                <w:rFonts w:ascii="Arial" w:hAnsi="Arial" w:cs="Arial"/>
                <w:sz w:val="20"/>
              </w:rPr>
              <w:t>Miguels</w:t>
            </w:r>
            <w:proofErr w:type="spellEnd"/>
            <w:r w:rsidR="00CC6555" w:rsidRPr="00FD3C75">
              <w:rPr>
                <w:rFonts w:ascii="Arial" w:hAnsi="Arial" w:cs="Arial"/>
                <w:sz w:val="20"/>
              </w:rPr>
              <w:t xml:space="preserve"> Lake option agreement. </w:t>
            </w:r>
            <w:proofErr w:type="spellStart"/>
            <w:r w:rsidR="00CC6555" w:rsidRPr="00FD3C75">
              <w:rPr>
                <w:rFonts w:ascii="Arial" w:hAnsi="Arial" w:cs="Arial"/>
                <w:sz w:val="20"/>
              </w:rPr>
              <w:t>Wts</w:t>
            </w:r>
            <w:proofErr w:type="spellEnd"/>
            <w:r w:rsidR="00CC6555" w:rsidRPr="00FD3C75">
              <w:rPr>
                <w:rFonts w:ascii="Arial" w:hAnsi="Arial" w:cs="Arial"/>
                <w:sz w:val="20"/>
              </w:rPr>
              <w:t xml:space="preserve"> are </w:t>
            </w:r>
            <w:proofErr w:type="spellStart"/>
            <w:r w:rsidR="00CC6555" w:rsidRPr="00FD3C75">
              <w:rPr>
                <w:rFonts w:ascii="Arial" w:hAnsi="Arial" w:cs="Arial"/>
                <w:sz w:val="20"/>
              </w:rPr>
              <w:t>exerciseable</w:t>
            </w:r>
            <w:proofErr w:type="spellEnd"/>
            <w:r w:rsidR="00CC6555" w:rsidRPr="00FD3C75">
              <w:rPr>
                <w:rFonts w:ascii="Arial" w:hAnsi="Arial" w:cs="Arial"/>
                <w:sz w:val="20"/>
              </w:rPr>
              <w:t xml:space="preserve"> at $0.055</w:t>
            </w:r>
            <w:r w:rsidR="00142DC4" w:rsidRPr="00FD3C75">
              <w:rPr>
                <w:rFonts w:ascii="Arial" w:hAnsi="Arial" w:cs="Arial"/>
                <w:sz w:val="20"/>
              </w:rPr>
              <w:t xml:space="preserve"> per share for two years</w:t>
            </w:r>
          </w:p>
        </w:tc>
        <w:tc>
          <w:tcPr>
            <w:tcW w:w="2420" w:type="dxa"/>
          </w:tcPr>
          <w:p w14:paraId="6619DBA9" w14:textId="24403B35" w:rsidR="00B8380B" w:rsidRPr="00FD3C75" w:rsidRDefault="00B8380B" w:rsidP="00FC210A">
            <w:pPr>
              <w:pStyle w:val="List"/>
              <w:tabs>
                <w:tab w:val="right" w:pos="2204"/>
              </w:tabs>
              <w:spacing w:before="0" w:line="280" w:lineRule="exact"/>
              <w:ind w:left="0" w:firstLine="0"/>
              <w:rPr>
                <w:rFonts w:ascii="Arial" w:hAnsi="Arial" w:cs="Arial"/>
                <w:sz w:val="20"/>
              </w:rPr>
            </w:pPr>
          </w:p>
        </w:tc>
      </w:tr>
      <w:tr w:rsidR="00B8380B" w:rsidRPr="00CB0811" w14:paraId="3FF8FCC5" w14:textId="77777777" w:rsidTr="00444542">
        <w:trPr>
          <w:trHeight w:val="99"/>
        </w:trPr>
        <w:tc>
          <w:tcPr>
            <w:tcW w:w="2432" w:type="dxa"/>
          </w:tcPr>
          <w:p w14:paraId="48B23A90" w14:textId="5D380848" w:rsidR="00B8380B" w:rsidRPr="00FD3C75" w:rsidRDefault="00853FAF"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Warrants</w:t>
            </w:r>
          </w:p>
        </w:tc>
        <w:tc>
          <w:tcPr>
            <w:tcW w:w="2266" w:type="dxa"/>
          </w:tcPr>
          <w:p w14:paraId="787D8937" w14:textId="5E6F6673" w:rsidR="00B8380B" w:rsidRPr="00FD3C75" w:rsidRDefault="00853FAF"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 xml:space="preserve">50,000 </w:t>
            </w:r>
          </w:p>
        </w:tc>
        <w:tc>
          <w:tcPr>
            <w:tcW w:w="2610" w:type="dxa"/>
          </w:tcPr>
          <w:p w14:paraId="0305FA32" w14:textId="0BF1E1E0" w:rsidR="00B8380B" w:rsidRPr="00FD3C75" w:rsidRDefault="00853FAF" w:rsidP="00CB0811">
            <w:pPr>
              <w:pStyle w:val="List"/>
              <w:tabs>
                <w:tab w:val="left" w:pos="360"/>
              </w:tabs>
              <w:spacing w:before="0" w:line="280" w:lineRule="exact"/>
              <w:ind w:left="0" w:firstLine="0"/>
              <w:rPr>
                <w:rFonts w:ascii="Arial" w:hAnsi="Arial" w:cs="Arial"/>
                <w:sz w:val="20"/>
              </w:rPr>
            </w:pPr>
            <w:r w:rsidRPr="00FD3C75">
              <w:rPr>
                <w:rFonts w:ascii="Arial" w:hAnsi="Arial" w:cs="Arial"/>
                <w:sz w:val="20"/>
              </w:rPr>
              <w:t xml:space="preserve">Warrants issued to Sandy </w:t>
            </w:r>
            <w:proofErr w:type="spellStart"/>
            <w:r w:rsidRPr="00FD3C75">
              <w:rPr>
                <w:rFonts w:ascii="Arial" w:hAnsi="Arial" w:cs="Arial"/>
                <w:sz w:val="20"/>
              </w:rPr>
              <w:t>Duffitt</w:t>
            </w:r>
            <w:proofErr w:type="spellEnd"/>
            <w:r w:rsidRPr="00FD3C75">
              <w:rPr>
                <w:rFonts w:ascii="Arial" w:hAnsi="Arial" w:cs="Arial"/>
                <w:sz w:val="20"/>
              </w:rPr>
              <w:t xml:space="preserve"> as part of </w:t>
            </w:r>
            <w:proofErr w:type="spellStart"/>
            <w:r w:rsidRPr="00FD3C75">
              <w:rPr>
                <w:rFonts w:ascii="Arial" w:hAnsi="Arial" w:cs="Arial"/>
                <w:sz w:val="20"/>
              </w:rPr>
              <w:t>Miguels</w:t>
            </w:r>
            <w:proofErr w:type="spellEnd"/>
            <w:r w:rsidRPr="00FD3C75">
              <w:rPr>
                <w:rFonts w:ascii="Arial" w:hAnsi="Arial" w:cs="Arial"/>
                <w:sz w:val="20"/>
              </w:rPr>
              <w:t xml:space="preserve"> Lake option agreement</w:t>
            </w:r>
            <w:r w:rsidR="00581C52">
              <w:rPr>
                <w:rFonts w:ascii="Arial" w:hAnsi="Arial" w:cs="Arial"/>
                <w:sz w:val="20"/>
              </w:rPr>
              <w:t xml:space="preserve">. </w:t>
            </w:r>
            <w:proofErr w:type="spellStart"/>
            <w:r w:rsidR="00581C52">
              <w:rPr>
                <w:rFonts w:ascii="Arial" w:hAnsi="Arial" w:cs="Arial"/>
                <w:sz w:val="20"/>
              </w:rPr>
              <w:t>Wts</w:t>
            </w:r>
            <w:proofErr w:type="spellEnd"/>
            <w:r w:rsidR="00581C52">
              <w:rPr>
                <w:rFonts w:ascii="Arial" w:hAnsi="Arial" w:cs="Arial"/>
                <w:sz w:val="20"/>
              </w:rPr>
              <w:t xml:space="preserve"> are </w:t>
            </w:r>
            <w:proofErr w:type="spellStart"/>
            <w:r w:rsidR="00581C52">
              <w:rPr>
                <w:rFonts w:ascii="Arial" w:hAnsi="Arial" w:cs="Arial"/>
                <w:sz w:val="20"/>
              </w:rPr>
              <w:t>exerciseable</w:t>
            </w:r>
            <w:proofErr w:type="spellEnd"/>
            <w:r w:rsidR="00581C52">
              <w:rPr>
                <w:rFonts w:ascii="Arial" w:hAnsi="Arial" w:cs="Arial"/>
                <w:sz w:val="20"/>
              </w:rPr>
              <w:t xml:space="preserve"> at $0.055 per share for two years.</w:t>
            </w:r>
          </w:p>
        </w:tc>
        <w:tc>
          <w:tcPr>
            <w:tcW w:w="2420" w:type="dxa"/>
          </w:tcPr>
          <w:p w14:paraId="175C0358" w14:textId="03E5B3BC" w:rsidR="00B8380B" w:rsidRPr="00FD3C75" w:rsidRDefault="00B8380B" w:rsidP="00FC210A">
            <w:pPr>
              <w:pStyle w:val="List"/>
              <w:tabs>
                <w:tab w:val="right" w:pos="2204"/>
              </w:tabs>
              <w:spacing w:before="0" w:line="280" w:lineRule="exact"/>
              <w:ind w:left="0" w:firstLine="0"/>
              <w:rPr>
                <w:rFonts w:ascii="Arial" w:hAnsi="Arial" w:cs="Arial"/>
                <w:sz w:val="20"/>
              </w:rPr>
            </w:pPr>
          </w:p>
        </w:tc>
      </w:tr>
    </w:tbl>
    <w:p w14:paraId="7ADDA005" w14:textId="2DE0A2BC" w:rsidR="00EB5DC9" w:rsidRPr="00FD72BD" w:rsidRDefault="00640E94" w:rsidP="00FD72BD">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r w:rsidR="00FD72BD">
        <w:rPr>
          <w:rFonts w:ascii="Arial" w:hAnsi="Arial" w:cs="Arial"/>
          <w:szCs w:val="24"/>
        </w:rPr>
        <w:t xml:space="preserve"> </w:t>
      </w:r>
      <w:r w:rsidR="005746EE" w:rsidRPr="00FD72BD">
        <w:rPr>
          <w:rFonts w:ascii="Arial" w:hAnsi="Arial" w:cs="Arial"/>
          <w:b/>
          <w:szCs w:val="24"/>
        </w:rPr>
        <w:t xml:space="preserve">Not </w:t>
      </w:r>
      <w:r w:rsidR="00FA2D61" w:rsidRPr="00FD72BD">
        <w:rPr>
          <w:rFonts w:ascii="Arial" w:hAnsi="Arial" w:cs="Arial"/>
          <w:b/>
          <w:szCs w:val="24"/>
        </w:rPr>
        <w:t>A</w:t>
      </w:r>
      <w:r w:rsidR="005746EE" w:rsidRPr="00FD72BD">
        <w:rPr>
          <w:rFonts w:ascii="Arial" w:hAnsi="Arial" w:cs="Arial"/>
          <w:b/>
          <w:szCs w:val="24"/>
        </w:rPr>
        <w:t>pplicable</w:t>
      </w:r>
      <w:r w:rsidR="005746EE" w:rsidRPr="00FD72BD">
        <w:rPr>
          <w:rFonts w:ascii="Arial" w:hAnsi="Arial" w:cs="Arial"/>
          <w:szCs w:val="24"/>
        </w:rPr>
        <w:t>.</w:t>
      </w:r>
    </w:p>
    <w:p w14:paraId="49852404" w14:textId="42DC3247" w:rsidR="00D4664D" w:rsidRPr="00D4664D" w:rsidRDefault="00640E94" w:rsidP="0010073D">
      <w:pPr>
        <w:pStyle w:val="List"/>
        <w:keepNext/>
        <w:keepLines/>
        <w:numPr>
          <w:ilvl w:val="0"/>
          <w:numId w:val="28"/>
        </w:numPr>
        <w:spacing w:before="120"/>
        <w:jc w:val="both"/>
        <w:rPr>
          <w:rFonts w:ascii="Arial" w:hAnsi="Arial" w:cs="Arial"/>
          <w:b/>
          <w:bCs/>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r w:rsidR="00D4664D" w:rsidRPr="00D4664D">
        <w:rPr>
          <w:rFonts w:ascii="Arial" w:hAnsi="Arial" w:cs="Arial"/>
          <w:b/>
          <w:bCs/>
          <w:szCs w:val="24"/>
        </w:rPr>
        <w:t>Not Applicable</w:t>
      </w:r>
    </w:p>
    <w:p w14:paraId="1A081D01" w14:textId="301FA837" w:rsidR="000B14BE" w:rsidRPr="0010073D" w:rsidRDefault="00640E94" w:rsidP="0010073D">
      <w:pPr>
        <w:pStyle w:val="List"/>
        <w:keepNext/>
        <w:keepLines/>
        <w:numPr>
          <w:ilvl w:val="0"/>
          <w:numId w:val="28"/>
        </w:numPr>
        <w:spacing w:before="120"/>
        <w:jc w:val="both"/>
        <w:rPr>
          <w:rFonts w:ascii="Arial" w:hAnsi="Arial" w:cs="Arial"/>
          <w:szCs w:val="24"/>
        </w:rPr>
      </w:pPr>
      <w:r w:rsidRPr="0010073D">
        <w:rPr>
          <w:rFonts w:ascii="Arial" w:hAnsi="Arial" w:cs="Arial"/>
          <w:szCs w:val="24"/>
        </w:rPr>
        <w:t>Discuss any trends which are likely to impact the Issuer including trends in</w:t>
      </w:r>
      <w:r w:rsidR="00985F7F" w:rsidRPr="0010073D">
        <w:rPr>
          <w:rFonts w:ascii="Arial" w:hAnsi="Arial" w:cs="Arial"/>
          <w:szCs w:val="24"/>
        </w:rPr>
        <w:t xml:space="preserve"> the </w:t>
      </w:r>
      <w:r w:rsidR="000B14BE" w:rsidRPr="0010073D">
        <w:rPr>
          <w:rFonts w:ascii="Arial" w:hAnsi="Arial" w:cs="Arial"/>
          <w:szCs w:val="24"/>
        </w:rPr>
        <w:t xml:space="preserve">    </w:t>
      </w:r>
    </w:p>
    <w:p w14:paraId="70F067CE" w14:textId="2B3B89F3" w:rsidR="00FA2D61" w:rsidRPr="00BB15CB" w:rsidRDefault="000B14BE" w:rsidP="001B7168">
      <w:pPr>
        <w:pStyle w:val="List"/>
        <w:keepNext/>
        <w:keepLines/>
        <w:spacing w:before="120"/>
        <w:ind w:left="0" w:firstLine="0"/>
        <w:jc w:val="both"/>
        <w:rPr>
          <w:rFonts w:ascii="Arial" w:hAnsi="Arial" w:cs="Arial"/>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r w:rsidR="00097EBA">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1103A0C6"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A01931">
        <w:rPr>
          <w:rFonts w:ascii="Arial" w:hAnsi="Arial" w:cs="Arial"/>
          <w:szCs w:val="24"/>
          <w:u w:val="single"/>
        </w:rPr>
        <w:t xml:space="preserve">January </w:t>
      </w:r>
      <w:r w:rsidR="00D5547E">
        <w:rPr>
          <w:rFonts w:ascii="Arial" w:hAnsi="Arial" w:cs="Arial"/>
          <w:szCs w:val="24"/>
          <w:u w:val="single"/>
        </w:rPr>
        <w:t xml:space="preserve">6, 2023 </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3565FAE2" w:rsidR="000B6FF9" w:rsidRPr="00CB0811" w:rsidRDefault="00022E42">
            <w:pPr>
              <w:pStyle w:val="BodyText"/>
              <w:spacing w:before="0"/>
              <w:rPr>
                <w:rFonts w:ascii="Arial" w:hAnsi="Arial" w:cs="Arial"/>
                <w:szCs w:val="24"/>
              </w:rPr>
            </w:pPr>
            <w:r>
              <w:rPr>
                <w:rFonts w:ascii="Arial" w:hAnsi="Arial" w:cs="Arial"/>
                <w:szCs w:val="24"/>
              </w:rPr>
              <w:t xml:space="preserve">December </w:t>
            </w:r>
            <w:r w:rsidR="009A0E2A">
              <w:rPr>
                <w:rFonts w:ascii="Arial" w:hAnsi="Arial" w:cs="Arial"/>
                <w:szCs w:val="24"/>
              </w:rPr>
              <w:t>31</w:t>
            </w:r>
            <w:r w:rsidR="00E807A8" w:rsidRPr="00D82B47">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6B3F99DA" w:rsidR="000B6FF9" w:rsidRPr="00CB0811" w:rsidRDefault="00E43E42" w:rsidP="000F20AE">
            <w:pPr>
              <w:pStyle w:val="BodyText"/>
              <w:spacing w:before="0"/>
              <w:rPr>
                <w:rFonts w:ascii="Arial" w:hAnsi="Arial" w:cs="Arial"/>
                <w:szCs w:val="24"/>
              </w:rPr>
            </w:pPr>
            <w:r w:rsidRPr="00D82B47">
              <w:rPr>
                <w:rFonts w:ascii="Arial" w:hAnsi="Arial" w:cs="Arial"/>
                <w:szCs w:val="24"/>
              </w:rPr>
              <w:t>2</w:t>
            </w:r>
            <w:r w:rsidR="00022E42">
              <w:rPr>
                <w:rFonts w:ascii="Arial" w:hAnsi="Arial" w:cs="Arial"/>
                <w:szCs w:val="24"/>
              </w:rPr>
              <w:t>3</w:t>
            </w:r>
            <w:r w:rsidRPr="00D82B47">
              <w:rPr>
                <w:rFonts w:ascii="Arial" w:hAnsi="Arial" w:cs="Arial"/>
                <w:szCs w:val="24"/>
              </w:rPr>
              <w:t>/</w:t>
            </w:r>
            <w:r w:rsidR="00E075D6" w:rsidRPr="00D82B47">
              <w:rPr>
                <w:rFonts w:ascii="Arial" w:hAnsi="Arial" w:cs="Arial"/>
                <w:szCs w:val="24"/>
              </w:rPr>
              <w:t>0</w:t>
            </w:r>
            <w:r w:rsidR="00E933DC" w:rsidRPr="00D82B47">
              <w:rPr>
                <w:rFonts w:ascii="Arial" w:hAnsi="Arial" w:cs="Arial"/>
                <w:szCs w:val="24"/>
              </w:rPr>
              <w:t>1</w:t>
            </w:r>
            <w:r w:rsidR="005571E2" w:rsidRPr="00D82B47">
              <w:rPr>
                <w:rFonts w:ascii="Arial" w:hAnsi="Arial" w:cs="Arial"/>
                <w:szCs w:val="24"/>
              </w:rPr>
              <w:t>/0</w:t>
            </w:r>
            <w:r w:rsidR="00022E42">
              <w:rPr>
                <w:rFonts w:ascii="Arial" w:hAnsi="Arial" w:cs="Arial"/>
                <w:szCs w:val="24"/>
              </w:rPr>
              <w:t>6</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3D25" w14:textId="77777777" w:rsidR="00502973" w:rsidRDefault="00502973">
      <w:r>
        <w:separator/>
      </w:r>
    </w:p>
  </w:endnote>
  <w:endnote w:type="continuationSeparator" w:id="0">
    <w:p w14:paraId="49CC0559" w14:textId="77777777" w:rsidR="00502973" w:rsidRDefault="0050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FDA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6E1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01D3" w14:textId="77777777" w:rsidR="00502973" w:rsidRDefault="00502973">
      <w:r>
        <w:separator/>
      </w:r>
    </w:p>
  </w:footnote>
  <w:footnote w:type="continuationSeparator" w:id="0">
    <w:p w14:paraId="13035092" w14:textId="77777777" w:rsidR="00502973" w:rsidRDefault="0050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12F"/>
    <w:rsid w:val="000045CC"/>
    <w:rsid w:val="0001302E"/>
    <w:rsid w:val="00014E93"/>
    <w:rsid w:val="00020F7B"/>
    <w:rsid w:val="00022E42"/>
    <w:rsid w:val="00025011"/>
    <w:rsid w:val="00026D35"/>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19CB"/>
    <w:rsid w:val="000D3460"/>
    <w:rsid w:val="000D3F3D"/>
    <w:rsid w:val="000D5E13"/>
    <w:rsid w:val="000E0B50"/>
    <w:rsid w:val="000E5251"/>
    <w:rsid w:val="000E6C4B"/>
    <w:rsid w:val="000E74C1"/>
    <w:rsid w:val="000F0E72"/>
    <w:rsid w:val="000F20AE"/>
    <w:rsid w:val="000F39AE"/>
    <w:rsid w:val="000F46D2"/>
    <w:rsid w:val="000F7FDA"/>
    <w:rsid w:val="00100499"/>
    <w:rsid w:val="00100729"/>
    <w:rsid w:val="0010073D"/>
    <w:rsid w:val="00100832"/>
    <w:rsid w:val="0010117C"/>
    <w:rsid w:val="001040B2"/>
    <w:rsid w:val="00104AD3"/>
    <w:rsid w:val="001052D9"/>
    <w:rsid w:val="001070CB"/>
    <w:rsid w:val="0011181F"/>
    <w:rsid w:val="001166A2"/>
    <w:rsid w:val="0012063E"/>
    <w:rsid w:val="001216A0"/>
    <w:rsid w:val="001267AE"/>
    <w:rsid w:val="0013112E"/>
    <w:rsid w:val="00131452"/>
    <w:rsid w:val="00133220"/>
    <w:rsid w:val="00133F2B"/>
    <w:rsid w:val="001361FD"/>
    <w:rsid w:val="00136F5F"/>
    <w:rsid w:val="00137429"/>
    <w:rsid w:val="001409DB"/>
    <w:rsid w:val="00141244"/>
    <w:rsid w:val="00142B9E"/>
    <w:rsid w:val="00142DC4"/>
    <w:rsid w:val="00144270"/>
    <w:rsid w:val="0014564C"/>
    <w:rsid w:val="001462B3"/>
    <w:rsid w:val="001502B0"/>
    <w:rsid w:val="00150846"/>
    <w:rsid w:val="00152DD9"/>
    <w:rsid w:val="00154370"/>
    <w:rsid w:val="00160105"/>
    <w:rsid w:val="00166659"/>
    <w:rsid w:val="00170246"/>
    <w:rsid w:val="001721E7"/>
    <w:rsid w:val="00173947"/>
    <w:rsid w:val="0017524D"/>
    <w:rsid w:val="00184EDD"/>
    <w:rsid w:val="00194308"/>
    <w:rsid w:val="0019614F"/>
    <w:rsid w:val="001A6218"/>
    <w:rsid w:val="001A7AE8"/>
    <w:rsid w:val="001B057C"/>
    <w:rsid w:val="001B0678"/>
    <w:rsid w:val="001B2D86"/>
    <w:rsid w:val="001B7168"/>
    <w:rsid w:val="001B78F4"/>
    <w:rsid w:val="001C0507"/>
    <w:rsid w:val="001C050B"/>
    <w:rsid w:val="001C5BA8"/>
    <w:rsid w:val="001C5D13"/>
    <w:rsid w:val="001D2DD9"/>
    <w:rsid w:val="001D3BCA"/>
    <w:rsid w:val="001E0165"/>
    <w:rsid w:val="001E153B"/>
    <w:rsid w:val="001E2896"/>
    <w:rsid w:val="001E606E"/>
    <w:rsid w:val="001E7244"/>
    <w:rsid w:val="001F0EF7"/>
    <w:rsid w:val="001F11E2"/>
    <w:rsid w:val="001F20D3"/>
    <w:rsid w:val="001F4180"/>
    <w:rsid w:val="001F4ECD"/>
    <w:rsid w:val="001F788C"/>
    <w:rsid w:val="002025F0"/>
    <w:rsid w:val="00202CFB"/>
    <w:rsid w:val="00212C38"/>
    <w:rsid w:val="00222BBF"/>
    <w:rsid w:val="00223388"/>
    <w:rsid w:val="00225183"/>
    <w:rsid w:val="00227466"/>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6F1"/>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D7838"/>
    <w:rsid w:val="002E2584"/>
    <w:rsid w:val="002E456C"/>
    <w:rsid w:val="002E6EA9"/>
    <w:rsid w:val="002F00EB"/>
    <w:rsid w:val="002F04F6"/>
    <w:rsid w:val="002F1149"/>
    <w:rsid w:val="002F146E"/>
    <w:rsid w:val="002F53FC"/>
    <w:rsid w:val="002F605C"/>
    <w:rsid w:val="00304BD2"/>
    <w:rsid w:val="003058E3"/>
    <w:rsid w:val="0030657B"/>
    <w:rsid w:val="00311E1F"/>
    <w:rsid w:val="00312B69"/>
    <w:rsid w:val="00316C0C"/>
    <w:rsid w:val="00325AA5"/>
    <w:rsid w:val="003266C1"/>
    <w:rsid w:val="003311E4"/>
    <w:rsid w:val="003326BD"/>
    <w:rsid w:val="003338D4"/>
    <w:rsid w:val="0033457C"/>
    <w:rsid w:val="00335879"/>
    <w:rsid w:val="00336DE6"/>
    <w:rsid w:val="0033721D"/>
    <w:rsid w:val="00337ABB"/>
    <w:rsid w:val="003456C5"/>
    <w:rsid w:val="003476C7"/>
    <w:rsid w:val="00354C67"/>
    <w:rsid w:val="003551D0"/>
    <w:rsid w:val="00355D37"/>
    <w:rsid w:val="00356916"/>
    <w:rsid w:val="0036456E"/>
    <w:rsid w:val="00364699"/>
    <w:rsid w:val="003669A9"/>
    <w:rsid w:val="003706DE"/>
    <w:rsid w:val="00370C9E"/>
    <w:rsid w:val="00371A64"/>
    <w:rsid w:val="00371BBF"/>
    <w:rsid w:val="0037236D"/>
    <w:rsid w:val="003723BF"/>
    <w:rsid w:val="003741F2"/>
    <w:rsid w:val="00375298"/>
    <w:rsid w:val="00381B28"/>
    <w:rsid w:val="00384E23"/>
    <w:rsid w:val="00385316"/>
    <w:rsid w:val="00387FA8"/>
    <w:rsid w:val="0039325C"/>
    <w:rsid w:val="00393EEF"/>
    <w:rsid w:val="00394883"/>
    <w:rsid w:val="00394A68"/>
    <w:rsid w:val="00395374"/>
    <w:rsid w:val="003968C6"/>
    <w:rsid w:val="00396D3A"/>
    <w:rsid w:val="003975DD"/>
    <w:rsid w:val="003A4DD0"/>
    <w:rsid w:val="003B1EA8"/>
    <w:rsid w:val="003B77D9"/>
    <w:rsid w:val="003C1265"/>
    <w:rsid w:val="003C1C28"/>
    <w:rsid w:val="003D0FFE"/>
    <w:rsid w:val="003D1DC3"/>
    <w:rsid w:val="003D5B0F"/>
    <w:rsid w:val="003D7E42"/>
    <w:rsid w:val="003E0EC9"/>
    <w:rsid w:val="003E5114"/>
    <w:rsid w:val="003F055B"/>
    <w:rsid w:val="003F07C6"/>
    <w:rsid w:val="003F1A28"/>
    <w:rsid w:val="003F1AC6"/>
    <w:rsid w:val="003F29B2"/>
    <w:rsid w:val="00402A86"/>
    <w:rsid w:val="00403FA9"/>
    <w:rsid w:val="0040730C"/>
    <w:rsid w:val="00411AA5"/>
    <w:rsid w:val="00414704"/>
    <w:rsid w:val="00416B87"/>
    <w:rsid w:val="00422C25"/>
    <w:rsid w:val="00423726"/>
    <w:rsid w:val="00424E51"/>
    <w:rsid w:val="0042539C"/>
    <w:rsid w:val="00427EEC"/>
    <w:rsid w:val="00435701"/>
    <w:rsid w:val="00442ACB"/>
    <w:rsid w:val="00442E94"/>
    <w:rsid w:val="00443457"/>
    <w:rsid w:val="00444542"/>
    <w:rsid w:val="004572F7"/>
    <w:rsid w:val="00460CEA"/>
    <w:rsid w:val="00460FE2"/>
    <w:rsid w:val="0046528B"/>
    <w:rsid w:val="0046542D"/>
    <w:rsid w:val="0046654C"/>
    <w:rsid w:val="0047574C"/>
    <w:rsid w:val="00477E06"/>
    <w:rsid w:val="00480C1E"/>
    <w:rsid w:val="00482478"/>
    <w:rsid w:val="00484A1D"/>
    <w:rsid w:val="004926D9"/>
    <w:rsid w:val="004A0A78"/>
    <w:rsid w:val="004A3438"/>
    <w:rsid w:val="004A4726"/>
    <w:rsid w:val="004B515E"/>
    <w:rsid w:val="004B55F4"/>
    <w:rsid w:val="004B6373"/>
    <w:rsid w:val="004C49E8"/>
    <w:rsid w:val="004C6E25"/>
    <w:rsid w:val="004C7BE7"/>
    <w:rsid w:val="004D1872"/>
    <w:rsid w:val="004D316C"/>
    <w:rsid w:val="004D438D"/>
    <w:rsid w:val="004D4460"/>
    <w:rsid w:val="004E7681"/>
    <w:rsid w:val="004F1D7E"/>
    <w:rsid w:val="004F1F38"/>
    <w:rsid w:val="004F2875"/>
    <w:rsid w:val="004F7CED"/>
    <w:rsid w:val="005007EA"/>
    <w:rsid w:val="00502973"/>
    <w:rsid w:val="00503FEE"/>
    <w:rsid w:val="0050587B"/>
    <w:rsid w:val="00506181"/>
    <w:rsid w:val="005121EF"/>
    <w:rsid w:val="005131AF"/>
    <w:rsid w:val="00521AF5"/>
    <w:rsid w:val="00523A72"/>
    <w:rsid w:val="00530871"/>
    <w:rsid w:val="005348FD"/>
    <w:rsid w:val="00536841"/>
    <w:rsid w:val="005377C0"/>
    <w:rsid w:val="00540170"/>
    <w:rsid w:val="00541E85"/>
    <w:rsid w:val="005453C8"/>
    <w:rsid w:val="00545C5F"/>
    <w:rsid w:val="00546216"/>
    <w:rsid w:val="00546764"/>
    <w:rsid w:val="0055019B"/>
    <w:rsid w:val="005571E2"/>
    <w:rsid w:val="0056247F"/>
    <w:rsid w:val="00564415"/>
    <w:rsid w:val="0056490F"/>
    <w:rsid w:val="00564973"/>
    <w:rsid w:val="005746EE"/>
    <w:rsid w:val="0057693F"/>
    <w:rsid w:val="00581C52"/>
    <w:rsid w:val="00582CA2"/>
    <w:rsid w:val="00586906"/>
    <w:rsid w:val="005A5F53"/>
    <w:rsid w:val="005B17A0"/>
    <w:rsid w:val="005B1B04"/>
    <w:rsid w:val="005B2A8B"/>
    <w:rsid w:val="005B651A"/>
    <w:rsid w:val="005C4D96"/>
    <w:rsid w:val="005C4E7F"/>
    <w:rsid w:val="005D3649"/>
    <w:rsid w:val="005D3DF0"/>
    <w:rsid w:val="005D4759"/>
    <w:rsid w:val="005D5706"/>
    <w:rsid w:val="005D5A80"/>
    <w:rsid w:val="005E1B21"/>
    <w:rsid w:val="005E61E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06F"/>
    <w:rsid w:val="00630B4D"/>
    <w:rsid w:val="00633ED3"/>
    <w:rsid w:val="00635E9A"/>
    <w:rsid w:val="00636465"/>
    <w:rsid w:val="00640786"/>
    <w:rsid w:val="00640E94"/>
    <w:rsid w:val="00641079"/>
    <w:rsid w:val="006420C4"/>
    <w:rsid w:val="00647428"/>
    <w:rsid w:val="00653203"/>
    <w:rsid w:val="006532E0"/>
    <w:rsid w:val="006608E2"/>
    <w:rsid w:val="00661CB7"/>
    <w:rsid w:val="0066512C"/>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090B"/>
    <w:rsid w:val="006F1E65"/>
    <w:rsid w:val="006F39D8"/>
    <w:rsid w:val="006F56F0"/>
    <w:rsid w:val="006F6F0F"/>
    <w:rsid w:val="006F747B"/>
    <w:rsid w:val="00701AD4"/>
    <w:rsid w:val="00703534"/>
    <w:rsid w:val="00707C05"/>
    <w:rsid w:val="0071214B"/>
    <w:rsid w:val="007136CE"/>
    <w:rsid w:val="00715832"/>
    <w:rsid w:val="00716F6C"/>
    <w:rsid w:val="007274B9"/>
    <w:rsid w:val="0073102C"/>
    <w:rsid w:val="00732E83"/>
    <w:rsid w:val="00735B2C"/>
    <w:rsid w:val="00737BE5"/>
    <w:rsid w:val="00740727"/>
    <w:rsid w:val="007412CE"/>
    <w:rsid w:val="0074290B"/>
    <w:rsid w:val="00745EB9"/>
    <w:rsid w:val="00747D0F"/>
    <w:rsid w:val="00751C39"/>
    <w:rsid w:val="007557E0"/>
    <w:rsid w:val="00755CD2"/>
    <w:rsid w:val="00757A6A"/>
    <w:rsid w:val="00765129"/>
    <w:rsid w:val="00772AE9"/>
    <w:rsid w:val="00774AA1"/>
    <w:rsid w:val="007772B1"/>
    <w:rsid w:val="00780544"/>
    <w:rsid w:val="00784727"/>
    <w:rsid w:val="00787376"/>
    <w:rsid w:val="00787FA5"/>
    <w:rsid w:val="007922E4"/>
    <w:rsid w:val="007923D5"/>
    <w:rsid w:val="00794D83"/>
    <w:rsid w:val="007962AF"/>
    <w:rsid w:val="007A39E0"/>
    <w:rsid w:val="007A4030"/>
    <w:rsid w:val="007A4EE9"/>
    <w:rsid w:val="007B716D"/>
    <w:rsid w:val="007C16BA"/>
    <w:rsid w:val="007C226A"/>
    <w:rsid w:val="007C22C4"/>
    <w:rsid w:val="007D0874"/>
    <w:rsid w:val="007D2129"/>
    <w:rsid w:val="007D555F"/>
    <w:rsid w:val="007E143C"/>
    <w:rsid w:val="007E1769"/>
    <w:rsid w:val="007E3298"/>
    <w:rsid w:val="007E57C0"/>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10DE"/>
    <w:rsid w:val="0083402F"/>
    <w:rsid w:val="0083491C"/>
    <w:rsid w:val="00836B94"/>
    <w:rsid w:val="0084026A"/>
    <w:rsid w:val="00844802"/>
    <w:rsid w:val="00844E96"/>
    <w:rsid w:val="00851629"/>
    <w:rsid w:val="00853FAF"/>
    <w:rsid w:val="008544BD"/>
    <w:rsid w:val="00855369"/>
    <w:rsid w:val="00862065"/>
    <w:rsid w:val="00871EA6"/>
    <w:rsid w:val="0087394C"/>
    <w:rsid w:val="00876A0A"/>
    <w:rsid w:val="008867DA"/>
    <w:rsid w:val="008914C9"/>
    <w:rsid w:val="00892707"/>
    <w:rsid w:val="00893594"/>
    <w:rsid w:val="008959D6"/>
    <w:rsid w:val="00895E7F"/>
    <w:rsid w:val="00896872"/>
    <w:rsid w:val="00897C50"/>
    <w:rsid w:val="008A0466"/>
    <w:rsid w:val="008A0E5E"/>
    <w:rsid w:val="008A42CC"/>
    <w:rsid w:val="008A5E82"/>
    <w:rsid w:val="008A6397"/>
    <w:rsid w:val="008A6DE6"/>
    <w:rsid w:val="008A6EE6"/>
    <w:rsid w:val="008A7E86"/>
    <w:rsid w:val="008B097E"/>
    <w:rsid w:val="008B43FC"/>
    <w:rsid w:val="008B7E92"/>
    <w:rsid w:val="008C2349"/>
    <w:rsid w:val="008C4D00"/>
    <w:rsid w:val="008C6DC5"/>
    <w:rsid w:val="008C7202"/>
    <w:rsid w:val="008D3F16"/>
    <w:rsid w:val="008E6A10"/>
    <w:rsid w:val="008F1D40"/>
    <w:rsid w:val="009001D3"/>
    <w:rsid w:val="009040D7"/>
    <w:rsid w:val="009041BD"/>
    <w:rsid w:val="009063CF"/>
    <w:rsid w:val="00906A36"/>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35ABA"/>
    <w:rsid w:val="00940736"/>
    <w:rsid w:val="009461F4"/>
    <w:rsid w:val="009557E7"/>
    <w:rsid w:val="0095591F"/>
    <w:rsid w:val="00955EAF"/>
    <w:rsid w:val="009562A0"/>
    <w:rsid w:val="00960870"/>
    <w:rsid w:val="00964537"/>
    <w:rsid w:val="00965FE1"/>
    <w:rsid w:val="009670C7"/>
    <w:rsid w:val="00970D0A"/>
    <w:rsid w:val="00973541"/>
    <w:rsid w:val="009814F8"/>
    <w:rsid w:val="009832F0"/>
    <w:rsid w:val="00985F7F"/>
    <w:rsid w:val="00986481"/>
    <w:rsid w:val="00986896"/>
    <w:rsid w:val="00990659"/>
    <w:rsid w:val="009932F4"/>
    <w:rsid w:val="0099529C"/>
    <w:rsid w:val="00995CA9"/>
    <w:rsid w:val="00995CF2"/>
    <w:rsid w:val="0099618B"/>
    <w:rsid w:val="009A0E2A"/>
    <w:rsid w:val="009B49F5"/>
    <w:rsid w:val="009B51C0"/>
    <w:rsid w:val="009B7B60"/>
    <w:rsid w:val="009B7BC3"/>
    <w:rsid w:val="009C1778"/>
    <w:rsid w:val="009C2089"/>
    <w:rsid w:val="009C3C15"/>
    <w:rsid w:val="009C58C3"/>
    <w:rsid w:val="009C5933"/>
    <w:rsid w:val="009C7354"/>
    <w:rsid w:val="009C7396"/>
    <w:rsid w:val="009C7CBB"/>
    <w:rsid w:val="009C7E45"/>
    <w:rsid w:val="009D1B5A"/>
    <w:rsid w:val="009D4F85"/>
    <w:rsid w:val="009D677E"/>
    <w:rsid w:val="009D7655"/>
    <w:rsid w:val="009E2CDA"/>
    <w:rsid w:val="009E2D10"/>
    <w:rsid w:val="009E68A2"/>
    <w:rsid w:val="009E6FC8"/>
    <w:rsid w:val="009E7116"/>
    <w:rsid w:val="009F01E9"/>
    <w:rsid w:val="009F2E3A"/>
    <w:rsid w:val="00A00699"/>
    <w:rsid w:val="00A01931"/>
    <w:rsid w:val="00A02118"/>
    <w:rsid w:val="00A02296"/>
    <w:rsid w:val="00A1258D"/>
    <w:rsid w:val="00A13829"/>
    <w:rsid w:val="00A16777"/>
    <w:rsid w:val="00A20368"/>
    <w:rsid w:val="00A20619"/>
    <w:rsid w:val="00A20A90"/>
    <w:rsid w:val="00A21FAC"/>
    <w:rsid w:val="00A229BF"/>
    <w:rsid w:val="00A23061"/>
    <w:rsid w:val="00A23CB4"/>
    <w:rsid w:val="00A3013D"/>
    <w:rsid w:val="00A3370D"/>
    <w:rsid w:val="00A37CB0"/>
    <w:rsid w:val="00A42410"/>
    <w:rsid w:val="00A44211"/>
    <w:rsid w:val="00A45196"/>
    <w:rsid w:val="00A47914"/>
    <w:rsid w:val="00A47A26"/>
    <w:rsid w:val="00A51C90"/>
    <w:rsid w:val="00A52871"/>
    <w:rsid w:val="00A55B10"/>
    <w:rsid w:val="00A57D0E"/>
    <w:rsid w:val="00A65651"/>
    <w:rsid w:val="00A665D8"/>
    <w:rsid w:val="00A66E6C"/>
    <w:rsid w:val="00A67CB7"/>
    <w:rsid w:val="00A83E32"/>
    <w:rsid w:val="00A9045A"/>
    <w:rsid w:val="00A9662D"/>
    <w:rsid w:val="00AA7A52"/>
    <w:rsid w:val="00AB0B88"/>
    <w:rsid w:val="00AB26B2"/>
    <w:rsid w:val="00AB3238"/>
    <w:rsid w:val="00AB384E"/>
    <w:rsid w:val="00AB478D"/>
    <w:rsid w:val="00AB5DF6"/>
    <w:rsid w:val="00AC0837"/>
    <w:rsid w:val="00AC09DF"/>
    <w:rsid w:val="00AC3071"/>
    <w:rsid w:val="00AC481C"/>
    <w:rsid w:val="00AD3353"/>
    <w:rsid w:val="00AD483A"/>
    <w:rsid w:val="00AD64BB"/>
    <w:rsid w:val="00AD66D9"/>
    <w:rsid w:val="00AE0007"/>
    <w:rsid w:val="00AE256D"/>
    <w:rsid w:val="00AE28BC"/>
    <w:rsid w:val="00AE3326"/>
    <w:rsid w:val="00AE4140"/>
    <w:rsid w:val="00AE469D"/>
    <w:rsid w:val="00AE4C9A"/>
    <w:rsid w:val="00AE67D4"/>
    <w:rsid w:val="00AF0547"/>
    <w:rsid w:val="00AF1102"/>
    <w:rsid w:val="00B01136"/>
    <w:rsid w:val="00B018A7"/>
    <w:rsid w:val="00B01E52"/>
    <w:rsid w:val="00B02AD0"/>
    <w:rsid w:val="00B11C64"/>
    <w:rsid w:val="00B11D6E"/>
    <w:rsid w:val="00B1221E"/>
    <w:rsid w:val="00B12B27"/>
    <w:rsid w:val="00B13613"/>
    <w:rsid w:val="00B1407D"/>
    <w:rsid w:val="00B16A24"/>
    <w:rsid w:val="00B16A30"/>
    <w:rsid w:val="00B20492"/>
    <w:rsid w:val="00B23370"/>
    <w:rsid w:val="00B243D3"/>
    <w:rsid w:val="00B31280"/>
    <w:rsid w:val="00B32D2F"/>
    <w:rsid w:val="00B3310D"/>
    <w:rsid w:val="00B437A4"/>
    <w:rsid w:val="00B47567"/>
    <w:rsid w:val="00B47C41"/>
    <w:rsid w:val="00B47C49"/>
    <w:rsid w:val="00B50BA6"/>
    <w:rsid w:val="00B51B2D"/>
    <w:rsid w:val="00B52877"/>
    <w:rsid w:val="00B53A36"/>
    <w:rsid w:val="00B547F1"/>
    <w:rsid w:val="00B54C4D"/>
    <w:rsid w:val="00B57CC0"/>
    <w:rsid w:val="00B61CCE"/>
    <w:rsid w:val="00B6255D"/>
    <w:rsid w:val="00B62581"/>
    <w:rsid w:val="00B631D5"/>
    <w:rsid w:val="00B6561C"/>
    <w:rsid w:val="00B661AA"/>
    <w:rsid w:val="00B671E8"/>
    <w:rsid w:val="00B7114A"/>
    <w:rsid w:val="00B7184B"/>
    <w:rsid w:val="00B71CBC"/>
    <w:rsid w:val="00B75897"/>
    <w:rsid w:val="00B77976"/>
    <w:rsid w:val="00B8380B"/>
    <w:rsid w:val="00B83D40"/>
    <w:rsid w:val="00B92090"/>
    <w:rsid w:val="00B92B39"/>
    <w:rsid w:val="00B967D0"/>
    <w:rsid w:val="00B974C7"/>
    <w:rsid w:val="00BA6449"/>
    <w:rsid w:val="00BA7463"/>
    <w:rsid w:val="00BB15CB"/>
    <w:rsid w:val="00BC0076"/>
    <w:rsid w:val="00BC0385"/>
    <w:rsid w:val="00BC143A"/>
    <w:rsid w:val="00BC49FC"/>
    <w:rsid w:val="00BC5EB8"/>
    <w:rsid w:val="00BD18B7"/>
    <w:rsid w:val="00BE623F"/>
    <w:rsid w:val="00BE72D3"/>
    <w:rsid w:val="00BF1311"/>
    <w:rsid w:val="00BF3D8C"/>
    <w:rsid w:val="00BF4570"/>
    <w:rsid w:val="00BF54BE"/>
    <w:rsid w:val="00C01DF4"/>
    <w:rsid w:val="00C0646E"/>
    <w:rsid w:val="00C06CDD"/>
    <w:rsid w:val="00C106E7"/>
    <w:rsid w:val="00C12FF2"/>
    <w:rsid w:val="00C15117"/>
    <w:rsid w:val="00C164DD"/>
    <w:rsid w:val="00C16DDB"/>
    <w:rsid w:val="00C24F6C"/>
    <w:rsid w:val="00C258DB"/>
    <w:rsid w:val="00C27A18"/>
    <w:rsid w:val="00C3555A"/>
    <w:rsid w:val="00C40258"/>
    <w:rsid w:val="00C46B8A"/>
    <w:rsid w:val="00C56D9B"/>
    <w:rsid w:val="00C6383E"/>
    <w:rsid w:val="00C63DBD"/>
    <w:rsid w:val="00C66146"/>
    <w:rsid w:val="00C6634B"/>
    <w:rsid w:val="00C6719F"/>
    <w:rsid w:val="00C73D78"/>
    <w:rsid w:val="00C74CBF"/>
    <w:rsid w:val="00C7593E"/>
    <w:rsid w:val="00C75A0D"/>
    <w:rsid w:val="00C75EBC"/>
    <w:rsid w:val="00C82688"/>
    <w:rsid w:val="00C82C54"/>
    <w:rsid w:val="00C86304"/>
    <w:rsid w:val="00C94DB9"/>
    <w:rsid w:val="00C96292"/>
    <w:rsid w:val="00CA0249"/>
    <w:rsid w:val="00CB0811"/>
    <w:rsid w:val="00CB1EBC"/>
    <w:rsid w:val="00CB2F42"/>
    <w:rsid w:val="00CB3A51"/>
    <w:rsid w:val="00CB6E83"/>
    <w:rsid w:val="00CB7B71"/>
    <w:rsid w:val="00CC0A4D"/>
    <w:rsid w:val="00CC57DC"/>
    <w:rsid w:val="00CC5AB3"/>
    <w:rsid w:val="00CC6555"/>
    <w:rsid w:val="00CC692F"/>
    <w:rsid w:val="00CD06E8"/>
    <w:rsid w:val="00CD23C0"/>
    <w:rsid w:val="00CD2814"/>
    <w:rsid w:val="00CD3EAC"/>
    <w:rsid w:val="00CD54A8"/>
    <w:rsid w:val="00CD5DAF"/>
    <w:rsid w:val="00CD6B9B"/>
    <w:rsid w:val="00CE0567"/>
    <w:rsid w:val="00CE0C60"/>
    <w:rsid w:val="00CE127C"/>
    <w:rsid w:val="00CE414E"/>
    <w:rsid w:val="00CE5B23"/>
    <w:rsid w:val="00CE6A12"/>
    <w:rsid w:val="00CE6C96"/>
    <w:rsid w:val="00CE7648"/>
    <w:rsid w:val="00D07168"/>
    <w:rsid w:val="00D10574"/>
    <w:rsid w:val="00D14A8C"/>
    <w:rsid w:val="00D15681"/>
    <w:rsid w:val="00D2144C"/>
    <w:rsid w:val="00D242F6"/>
    <w:rsid w:val="00D34D21"/>
    <w:rsid w:val="00D43DFB"/>
    <w:rsid w:val="00D4533C"/>
    <w:rsid w:val="00D4664D"/>
    <w:rsid w:val="00D46A78"/>
    <w:rsid w:val="00D50B9B"/>
    <w:rsid w:val="00D510BA"/>
    <w:rsid w:val="00D53B32"/>
    <w:rsid w:val="00D5547E"/>
    <w:rsid w:val="00D55B7C"/>
    <w:rsid w:val="00D57C7A"/>
    <w:rsid w:val="00D637CE"/>
    <w:rsid w:val="00D63DA5"/>
    <w:rsid w:val="00D64E85"/>
    <w:rsid w:val="00D652A9"/>
    <w:rsid w:val="00D66F3D"/>
    <w:rsid w:val="00D67DA1"/>
    <w:rsid w:val="00D75053"/>
    <w:rsid w:val="00D76175"/>
    <w:rsid w:val="00D76415"/>
    <w:rsid w:val="00D8247F"/>
    <w:rsid w:val="00D82B47"/>
    <w:rsid w:val="00D82F5B"/>
    <w:rsid w:val="00D870AB"/>
    <w:rsid w:val="00D927A0"/>
    <w:rsid w:val="00D93640"/>
    <w:rsid w:val="00D93D2D"/>
    <w:rsid w:val="00D95C4B"/>
    <w:rsid w:val="00D97756"/>
    <w:rsid w:val="00DA0901"/>
    <w:rsid w:val="00DA17A0"/>
    <w:rsid w:val="00DB0AD9"/>
    <w:rsid w:val="00DB13E9"/>
    <w:rsid w:val="00DB3F06"/>
    <w:rsid w:val="00DB6FE4"/>
    <w:rsid w:val="00DC12EC"/>
    <w:rsid w:val="00DC564C"/>
    <w:rsid w:val="00DC6480"/>
    <w:rsid w:val="00DD0D6B"/>
    <w:rsid w:val="00DD7C32"/>
    <w:rsid w:val="00DE2405"/>
    <w:rsid w:val="00DE278B"/>
    <w:rsid w:val="00DE44D6"/>
    <w:rsid w:val="00DE6CF5"/>
    <w:rsid w:val="00DF06FF"/>
    <w:rsid w:val="00DF3576"/>
    <w:rsid w:val="00DF4537"/>
    <w:rsid w:val="00E05067"/>
    <w:rsid w:val="00E075D6"/>
    <w:rsid w:val="00E16D01"/>
    <w:rsid w:val="00E17437"/>
    <w:rsid w:val="00E208B4"/>
    <w:rsid w:val="00E260CA"/>
    <w:rsid w:val="00E2651F"/>
    <w:rsid w:val="00E27DB0"/>
    <w:rsid w:val="00E3068F"/>
    <w:rsid w:val="00E36141"/>
    <w:rsid w:val="00E371CA"/>
    <w:rsid w:val="00E374EC"/>
    <w:rsid w:val="00E40F7A"/>
    <w:rsid w:val="00E41A79"/>
    <w:rsid w:val="00E42578"/>
    <w:rsid w:val="00E43E42"/>
    <w:rsid w:val="00E44893"/>
    <w:rsid w:val="00E462F6"/>
    <w:rsid w:val="00E4655E"/>
    <w:rsid w:val="00E5501F"/>
    <w:rsid w:val="00E56E66"/>
    <w:rsid w:val="00E62244"/>
    <w:rsid w:val="00E62306"/>
    <w:rsid w:val="00E638D1"/>
    <w:rsid w:val="00E64F66"/>
    <w:rsid w:val="00E703A4"/>
    <w:rsid w:val="00E7376C"/>
    <w:rsid w:val="00E807A8"/>
    <w:rsid w:val="00E82ECE"/>
    <w:rsid w:val="00E83E58"/>
    <w:rsid w:val="00E84938"/>
    <w:rsid w:val="00E8535B"/>
    <w:rsid w:val="00E933DC"/>
    <w:rsid w:val="00E94A5F"/>
    <w:rsid w:val="00EA0F67"/>
    <w:rsid w:val="00EB035B"/>
    <w:rsid w:val="00EB0A19"/>
    <w:rsid w:val="00EB4925"/>
    <w:rsid w:val="00EB5DC9"/>
    <w:rsid w:val="00EC0FB9"/>
    <w:rsid w:val="00EC1481"/>
    <w:rsid w:val="00EC4B34"/>
    <w:rsid w:val="00EC5248"/>
    <w:rsid w:val="00ED2762"/>
    <w:rsid w:val="00ED423B"/>
    <w:rsid w:val="00ED460F"/>
    <w:rsid w:val="00ED5438"/>
    <w:rsid w:val="00ED60E9"/>
    <w:rsid w:val="00EE0956"/>
    <w:rsid w:val="00EE19D9"/>
    <w:rsid w:val="00EE1BA3"/>
    <w:rsid w:val="00EE2944"/>
    <w:rsid w:val="00EE40AB"/>
    <w:rsid w:val="00EE4288"/>
    <w:rsid w:val="00EE5FDF"/>
    <w:rsid w:val="00EE716D"/>
    <w:rsid w:val="00EE7BB9"/>
    <w:rsid w:val="00EF5ACA"/>
    <w:rsid w:val="00F00E14"/>
    <w:rsid w:val="00F01E20"/>
    <w:rsid w:val="00F0385F"/>
    <w:rsid w:val="00F053E6"/>
    <w:rsid w:val="00F05B88"/>
    <w:rsid w:val="00F0732F"/>
    <w:rsid w:val="00F104B2"/>
    <w:rsid w:val="00F11064"/>
    <w:rsid w:val="00F1376A"/>
    <w:rsid w:val="00F20982"/>
    <w:rsid w:val="00F22B8A"/>
    <w:rsid w:val="00F25297"/>
    <w:rsid w:val="00F25CD0"/>
    <w:rsid w:val="00F260BD"/>
    <w:rsid w:val="00F262EF"/>
    <w:rsid w:val="00F26EC4"/>
    <w:rsid w:val="00F2730D"/>
    <w:rsid w:val="00F36187"/>
    <w:rsid w:val="00F36949"/>
    <w:rsid w:val="00F4152B"/>
    <w:rsid w:val="00F46C6E"/>
    <w:rsid w:val="00F53BA2"/>
    <w:rsid w:val="00F57ACD"/>
    <w:rsid w:val="00F57CB8"/>
    <w:rsid w:val="00F6516D"/>
    <w:rsid w:val="00F672A4"/>
    <w:rsid w:val="00F70EB2"/>
    <w:rsid w:val="00F73905"/>
    <w:rsid w:val="00F763B0"/>
    <w:rsid w:val="00F80260"/>
    <w:rsid w:val="00F807BD"/>
    <w:rsid w:val="00F93751"/>
    <w:rsid w:val="00FA0BC0"/>
    <w:rsid w:val="00FA2D61"/>
    <w:rsid w:val="00FA5CA4"/>
    <w:rsid w:val="00FA6A8F"/>
    <w:rsid w:val="00FA72F1"/>
    <w:rsid w:val="00FB1815"/>
    <w:rsid w:val="00FB1D45"/>
    <w:rsid w:val="00FB24AF"/>
    <w:rsid w:val="00FB66FB"/>
    <w:rsid w:val="00FC210A"/>
    <w:rsid w:val="00FC35CB"/>
    <w:rsid w:val="00FC3877"/>
    <w:rsid w:val="00FC682D"/>
    <w:rsid w:val="00FC7D1B"/>
    <w:rsid w:val="00FC7FE9"/>
    <w:rsid w:val="00FD0C0F"/>
    <w:rsid w:val="00FD3C75"/>
    <w:rsid w:val="00FD45CF"/>
    <w:rsid w:val="00FD72BD"/>
    <w:rsid w:val="00FD79B6"/>
    <w:rsid w:val="00FE720D"/>
    <w:rsid w:val="00FF30CF"/>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848">
      <w:bodyDiv w:val="1"/>
      <w:marLeft w:val="0"/>
      <w:marRight w:val="0"/>
      <w:marTop w:val="0"/>
      <w:marBottom w:val="0"/>
      <w:divBdr>
        <w:top w:val="none" w:sz="0" w:space="0" w:color="auto"/>
        <w:left w:val="none" w:sz="0" w:space="0" w:color="auto"/>
        <w:bottom w:val="none" w:sz="0" w:space="0" w:color="auto"/>
        <w:right w:val="none" w:sz="0" w:space="0" w:color="auto"/>
      </w:divBdr>
    </w:div>
    <w:div w:id="1319533649">
      <w:bodyDiv w:val="1"/>
      <w:marLeft w:val="0"/>
      <w:marRight w:val="0"/>
      <w:marTop w:val="0"/>
      <w:marBottom w:val="0"/>
      <w:divBdr>
        <w:top w:val="none" w:sz="0" w:space="0" w:color="auto"/>
        <w:left w:val="none" w:sz="0" w:space="0" w:color="auto"/>
        <w:bottom w:val="none" w:sz="0" w:space="0" w:color="auto"/>
        <w:right w:val="none" w:sz="0" w:space="0" w:color="auto"/>
      </w:divBdr>
    </w:div>
    <w:div w:id="1528983505">
      <w:bodyDiv w:val="1"/>
      <w:marLeft w:val="0"/>
      <w:marRight w:val="0"/>
      <w:marTop w:val="0"/>
      <w:marBottom w:val="0"/>
      <w:divBdr>
        <w:top w:val="none" w:sz="0" w:space="0" w:color="auto"/>
        <w:left w:val="none" w:sz="0" w:space="0" w:color="auto"/>
        <w:bottom w:val="none" w:sz="0" w:space="0" w:color="auto"/>
        <w:right w:val="none" w:sz="0" w:space="0" w:color="auto"/>
      </w:divBdr>
    </w:div>
    <w:div w:id="15729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5</Pages>
  <Words>1339</Words>
  <Characters>7633</Characters>
  <Application>Microsoft Office Word</Application>
  <DocSecurity>0</DocSecurity>
  <PresentationFormat>15|.DOCX</PresentationFormat>
  <Lines>63</Lines>
  <Paragraphs>17</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46</cp:revision>
  <cp:lastPrinted>2021-08-04T19:39:00Z</cp:lastPrinted>
  <dcterms:created xsi:type="dcterms:W3CDTF">2022-12-05T16:37:00Z</dcterms:created>
  <dcterms:modified xsi:type="dcterms:W3CDTF">2023-01-07T23:31:00Z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