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1C5" w14:textId="77777777" w:rsidR="007B1496" w:rsidRDefault="007B1496">
      <w:pPr>
        <w:pStyle w:val="BodyText"/>
        <w:rPr>
          <w:rFonts w:ascii="Times New Roman"/>
          <w:sz w:val="20"/>
        </w:rPr>
      </w:pPr>
    </w:p>
    <w:p w14:paraId="1BEC61C7" w14:textId="77777777" w:rsidR="007B1496" w:rsidRDefault="00EB4A09">
      <w:pPr>
        <w:pStyle w:val="Title"/>
        <w:spacing w:before="91"/>
        <w:rPr>
          <w:u w:val="none"/>
        </w:rPr>
      </w:pPr>
      <w:r>
        <w:rPr>
          <w:u w:val="none"/>
        </w:rPr>
        <w:t>FORM</w:t>
      </w:r>
      <w:r>
        <w:rPr>
          <w:spacing w:val="1"/>
          <w:u w:val="none"/>
        </w:rPr>
        <w:t xml:space="preserve"> </w:t>
      </w:r>
      <w:r>
        <w:rPr>
          <w:u w:val="none"/>
        </w:rPr>
        <w:t>7</w:t>
      </w:r>
    </w:p>
    <w:p w14:paraId="1BEC61C8" w14:textId="77777777" w:rsidR="007B1496" w:rsidRDefault="007B1496">
      <w:pPr>
        <w:pStyle w:val="BodyText"/>
        <w:spacing w:before="2"/>
        <w:rPr>
          <w:b/>
          <w:sz w:val="28"/>
        </w:rPr>
      </w:pPr>
    </w:p>
    <w:p w14:paraId="1BEC61C9" w14:textId="77777777" w:rsidR="007B1496" w:rsidRDefault="00EB4A09">
      <w:pPr>
        <w:pStyle w:val="Title"/>
        <w:ind w:right="3277"/>
        <w:rPr>
          <w:u w:val="none"/>
        </w:rPr>
      </w:pPr>
      <w:r>
        <w:rPr>
          <w:u w:val="thick"/>
        </w:rPr>
        <w:t>MONTHLY</w:t>
      </w:r>
      <w:r>
        <w:rPr>
          <w:spacing w:val="-3"/>
          <w:u w:val="thick"/>
        </w:rPr>
        <w:t xml:space="preserve"> </w:t>
      </w:r>
      <w:r>
        <w:rPr>
          <w:u w:val="thick"/>
        </w:rPr>
        <w:t>PROGRESS</w:t>
      </w:r>
      <w:r>
        <w:rPr>
          <w:spacing w:val="-5"/>
          <w:u w:val="thick"/>
        </w:rPr>
        <w:t xml:space="preserve"> </w:t>
      </w:r>
      <w:r>
        <w:rPr>
          <w:u w:val="thick"/>
        </w:rPr>
        <w:t>REPORT</w:t>
      </w:r>
    </w:p>
    <w:p w14:paraId="1BEC61CA" w14:textId="77777777" w:rsidR="007B1496" w:rsidRDefault="00EB4A09">
      <w:pPr>
        <w:pStyle w:val="BodyText"/>
        <w:tabs>
          <w:tab w:val="left" w:pos="2920"/>
        </w:tabs>
        <w:spacing w:before="241"/>
        <w:ind w:left="119"/>
      </w:pPr>
      <w:r>
        <w:t>Name</w:t>
      </w:r>
      <w:r>
        <w:rPr>
          <w:spacing w:val="-4"/>
        </w:rPr>
        <w:t xml:space="preserve"> </w:t>
      </w:r>
      <w:r>
        <w:t>of</w:t>
      </w:r>
      <w:r>
        <w:rPr>
          <w:spacing w:val="-9"/>
        </w:rPr>
        <w:t xml:space="preserve"> </w:t>
      </w:r>
      <w:r>
        <w:t>Listed</w:t>
      </w:r>
      <w:r>
        <w:rPr>
          <w:spacing w:val="-3"/>
        </w:rPr>
        <w:t xml:space="preserve"> </w:t>
      </w:r>
      <w:r>
        <w:t>Issuer:</w:t>
      </w:r>
      <w:r>
        <w:rPr>
          <w:u w:val="single"/>
        </w:rPr>
        <w:tab/>
        <w:t>Canada</w:t>
      </w:r>
      <w:r>
        <w:rPr>
          <w:spacing w:val="-1"/>
          <w:u w:val="single"/>
        </w:rPr>
        <w:t xml:space="preserve"> </w:t>
      </w:r>
      <w:r>
        <w:rPr>
          <w:u w:val="single"/>
        </w:rPr>
        <w:t>House</w:t>
      </w:r>
      <w:r>
        <w:rPr>
          <w:spacing w:val="-3"/>
          <w:u w:val="single"/>
        </w:rPr>
        <w:t xml:space="preserve"> </w:t>
      </w:r>
      <w:r>
        <w:rPr>
          <w:u w:val="single"/>
        </w:rPr>
        <w:t>Wellness</w:t>
      </w:r>
      <w:r>
        <w:rPr>
          <w:spacing w:val="-1"/>
          <w:u w:val="single"/>
        </w:rPr>
        <w:t xml:space="preserve"> </w:t>
      </w:r>
      <w:r>
        <w:rPr>
          <w:u w:val="single"/>
        </w:rPr>
        <w:t>Group</w:t>
      </w:r>
      <w:r>
        <w:rPr>
          <w:spacing w:val="-2"/>
          <w:u w:val="single"/>
        </w:rPr>
        <w:t xml:space="preserve"> </w:t>
      </w:r>
      <w:r>
        <w:rPr>
          <w:u w:val="single"/>
        </w:rPr>
        <w:t>Inc.</w:t>
      </w:r>
    </w:p>
    <w:p w14:paraId="1BEC61CB" w14:textId="77777777" w:rsidR="007B1496" w:rsidRDefault="007B1496">
      <w:pPr>
        <w:pStyle w:val="BodyText"/>
        <w:spacing w:before="10"/>
        <w:rPr>
          <w:sz w:val="20"/>
        </w:rPr>
      </w:pPr>
    </w:p>
    <w:p w14:paraId="1875F3E2" w14:textId="77777777" w:rsidR="00C508E5" w:rsidRDefault="00EB4A09">
      <w:pPr>
        <w:pStyle w:val="BodyText"/>
        <w:tabs>
          <w:tab w:val="left" w:pos="9214"/>
        </w:tabs>
        <w:spacing w:line="448" w:lineRule="auto"/>
        <w:ind w:left="119" w:right="943"/>
        <w:rPr>
          <w:spacing w:val="-2"/>
        </w:rPr>
      </w:pPr>
      <w:r>
        <w:t>Trading</w:t>
      </w:r>
      <w:r>
        <w:rPr>
          <w:spacing w:val="-8"/>
        </w:rPr>
        <w:t xml:space="preserve"> </w:t>
      </w:r>
      <w:r>
        <w:t>Symbol:</w:t>
      </w:r>
      <w:r>
        <w:rPr>
          <w:spacing w:val="-9"/>
        </w:rPr>
        <w:t xml:space="preserve"> </w:t>
      </w:r>
      <w:r>
        <w:rPr>
          <w:u w:val="single"/>
        </w:rPr>
        <w:t>CHV</w:t>
      </w:r>
      <w:r>
        <w:rPr>
          <w:u w:val="single"/>
        </w:rPr>
        <w:tab/>
      </w:r>
      <w:r>
        <w:t xml:space="preserve"> </w:t>
      </w:r>
      <w:r>
        <w:rPr>
          <w:spacing w:val="-2"/>
        </w:rPr>
        <w:t xml:space="preserve">  </w:t>
      </w:r>
    </w:p>
    <w:p w14:paraId="1BEC61CC" w14:textId="5CDAEF56" w:rsidR="007B1496" w:rsidRDefault="00C508E5" w:rsidP="00C508E5">
      <w:pPr>
        <w:pStyle w:val="BodyText"/>
        <w:tabs>
          <w:tab w:val="left" w:pos="9214"/>
        </w:tabs>
        <w:spacing w:line="448" w:lineRule="auto"/>
        <w:ind w:right="943"/>
      </w:pPr>
      <w:r>
        <w:rPr>
          <w:spacing w:val="-2"/>
        </w:rPr>
        <w:t xml:space="preserve">  </w:t>
      </w:r>
      <w:r w:rsidR="00EB4A09">
        <w:rPr>
          <w:spacing w:val="-2"/>
        </w:rPr>
        <w:t>Number</w:t>
      </w:r>
      <w:r w:rsidR="00EB4A09">
        <w:rPr>
          <w:spacing w:val="1"/>
        </w:rPr>
        <w:t xml:space="preserve"> </w:t>
      </w:r>
      <w:r w:rsidR="00EB4A09">
        <w:rPr>
          <w:spacing w:val="-2"/>
        </w:rPr>
        <w:t>of</w:t>
      </w:r>
      <w:r w:rsidR="00EB4A09">
        <w:rPr>
          <w:spacing w:val="-1"/>
        </w:rPr>
        <w:t xml:space="preserve"> </w:t>
      </w:r>
      <w:r w:rsidR="00EB4A09">
        <w:rPr>
          <w:spacing w:val="-2"/>
        </w:rPr>
        <w:t>Outstanding</w:t>
      </w:r>
      <w:r w:rsidR="00EB4A09">
        <w:rPr>
          <w:spacing w:val="1"/>
        </w:rPr>
        <w:t xml:space="preserve"> </w:t>
      </w:r>
      <w:r w:rsidR="00EB4A09">
        <w:rPr>
          <w:spacing w:val="-2"/>
        </w:rPr>
        <w:t>Listed</w:t>
      </w:r>
      <w:r w:rsidR="00EB4A09">
        <w:rPr>
          <w:spacing w:val="1"/>
        </w:rPr>
        <w:t xml:space="preserve"> </w:t>
      </w:r>
      <w:r w:rsidR="00EB4A09">
        <w:rPr>
          <w:spacing w:val="-1"/>
        </w:rPr>
        <w:t>Securities:</w:t>
      </w:r>
      <w:r w:rsidR="00EB4A09">
        <w:rPr>
          <w:spacing w:val="-24"/>
        </w:rPr>
        <w:t xml:space="preserve"> </w:t>
      </w:r>
      <w:r w:rsidR="00EB4A09" w:rsidRPr="00F1141B">
        <w:rPr>
          <w:spacing w:val="-1"/>
          <w:u w:val="single"/>
        </w:rPr>
        <w:t>683,653,630</w:t>
      </w:r>
      <w:r w:rsidR="00EB4A09">
        <w:rPr>
          <w:spacing w:val="-1"/>
          <w:u w:val="single"/>
        </w:rPr>
        <w:tab/>
      </w:r>
    </w:p>
    <w:p w14:paraId="1BEC61CD" w14:textId="6E84E4C7" w:rsidR="007B1496" w:rsidRDefault="00EB4A09">
      <w:pPr>
        <w:pStyle w:val="BodyText"/>
        <w:spacing w:before="1"/>
        <w:ind w:left="119"/>
      </w:pPr>
      <w:r>
        <w:t xml:space="preserve">Date: </w:t>
      </w:r>
      <w:r w:rsidR="00062816" w:rsidRPr="00062816">
        <w:rPr>
          <w:u w:val="single"/>
        </w:rPr>
        <w:t>September 7</w:t>
      </w:r>
      <w:r w:rsidR="00D915D2">
        <w:rPr>
          <w:u w:val="single"/>
        </w:rPr>
        <w:t>,</w:t>
      </w:r>
      <w:r w:rsidRPr="00062816">
        <w:rPr>
          <w:u w:val="single"/>
        </w:rPr>
        <w:t xml:space="preserve"> </w:t>
      </w:r>
      <w:r>
        <w:rPr>
          <w:u w:val="single"/>
        </w:rPr>
        <w:t>2021</w:t>
      </w:r>
    </w:p>
    <w:p w14:paraId="1BEC61CE" w14:textId="77777777" w:rsidR="007B1496" w:rsidRDefault="00EB4A09">
      <w:pPr>
        <w:pStyle w:val="Heading1"/>
        <w:spacing w:before="120"/>
        <w:ind w:left="119"/>
      </w:pPr>
      <w:r>
        <w:t>Report</w:t>
      </w:r>
      <w:r>
        <w:rPr>
          <w:spacing w:val="-1"/>
        </w:rPr>
        <w:t xml:space="preserve"> </w:t>
      </w:r>
      <w:r>
        <w:t>on Business</w:t>
      </w:r>
    </w:p>
    <w:p w14:paraId="1BEC61CF" w14:textId="0131E69D" w:rsidR="007B1496" w:rsidRDefault="00EB4A09">
      <w:pPr>
        <w:pStyle w:val="ListParagraph"/>
        <w:numPr>
          <w:ilvl w:val="0"/>
          <w:numId w:val="2"/>
        </w:numPr>
        <w:tabs>
          <w:tab w:val="left" w:pos="660"/>
        </w:tabs>
        <w:spacing w:before="120"/>
        <w:ind w:right="686"/>
        <w:rPr>
          <w:sz w:val="24"/>
        </w:rPr>
      </w:pPr>
      <w:r>
        <w:rPr>
          <w:sz w:val="24"/>
        </w:rPr>
        <w:t>Provide a general overview and discussion of the development of the Issuer’s</w:t>
      </w:r>
      <w:r>
        <w:rPr>
          <w:spacing w:val="1"/>
          <w:sz w:val="24"/>
        </w:rPr>
        <w:t xml:space="preserve"> </w:t>
      </w:r>
      <w:r>
        <w:rPr>
          <w:sz w:val="24"/>
        </w:rPr>
        <w:t>business and operations over the previous month. Where the Issuer was inactive</w:t>
      </w:r>
      <w:r>
        <w:rPr>
          <w:spacing w:val="1"/>
          <w:sz w:val="24"/>
        </w:rPr>
        <w:t xml:space="preserve"> </w:t>
      </w:r>
      <w:r>
        <w:rPr>
          <w:sz w:val="24"/>
        </w:rPr>
        <w:t>disclose</w:t>
      </w:r>
      <w:r>
        <w:rPr>
          <w:spacing w:val="-1"/>
          <w:sz w:val="24"/>
        </w:rPr>
        <w:t xml:space="preserve"> </w:t>
      </w:r>
      <w:r>
        <w:rPr>
          <w:sz w:val="24"/>
        </w:rPr>
        <w:t>this fact.</w:t>
      </w:r>
    </w:p>
    <w:p w14:paraId="038530BE" w14:textId="1E6B45D2" w:rsidR="002A19C0" w:rsidRPr="002A19C0" w:rsidRDefault="002A19C0" w:rsidP="00CF390A">
      <w:pPr>
        <w:pStyle w:val="ListParagraph"/>
        <w:ind w:left="630" w:right="670" w:firstLine="0"/>
        <w:rPr>
          <w:b/>
          <w:bCs/>
        </w:rPr>
      </w:pPr>
      <w:r w:rsidRPr="002A19C0">
        <w:rPr>
          <w:b/>
          <w:bCs/>
          <w:i/>
          <w:iCs/>
        </w:rPr>
        <w:t>On August 9, 2021,</w:t>
      </w:r>
      <w:r w:rsidRPr="002A19C0">
        <w:rPr>
          <w:b/>
          <w:bCs/>
          <w:lang w:val="en-US"/>
        </w:rPr>
        <w:t xml:space="preserve"> </w:t>
      </w:r>
      <w:r w:rsidR="00A24321" w:rsidRPr="00A24321">
        <w:rPr>
          <w:b/>
          <w:bCs/>
        </w:rPr>
        <w:t>Canada House Wellness Group Inc. (“</w:t>
      </w:r>
      <w:r w:rsidRPr="002A19C0">
        <w:rPr>
          <w:b/>
          <w:bCs/>
        </w:rPr>
        <w:t>Canada House</w:t>
      </w:r>
      <w:r w:rsidR="00A24321">
        <w:rPr>
          <w:b/>
          <w:bCs/>
        </w:rPr>
        <w:t>”)</w:t>
      </w:r>
      <w:r w:rsidRPr="002A19C0">
        <w:rPr>
          <w:b/>
          <w:bCs/>
        </w:rPr>
        <w:t xml:space="preserve"> and Montréal Cannabis </w:t>
      </w:r>
      <w:proofErr w:type="spellStart"/>
      <w:r w:rsidRPr="002A19C0">
        <w:rPr>
          <w:b/>
          <w:bCs/>
        </w:rPr>
        <w:t>Médical</w:t>
      </w:r>
      <w:proofErr w:type="spellEnd"/>
      <w:r w:rsidRPr="002A19C0">
        <w:rPr>
          <w:b/>
          <w:bCs/>
        </w:rPr>
        <w:t xml:space="preserve"> Inc. (“MTL Cannabis”), a Montréal-based “flower-first” Licensed Producer entered into a definitive share exchange agreement dated August 9, 2021 (the “Agreement”) for Canada House’s acquisition of </w:t>
      </w:r>
      <w:proofErr w:type="gramStart"/>
      <w:r w:rsidRPr="002A19C0">
        <w:rPr>
          <w:b/>
          <w:bCs/>
        </w:rPr>
        <w:t>all of</w:t>
      </w:r>
      <w:proofErr w:type="gramEnd"/>
      <w:r w:rsidRPr="002A19C0">
        <w:rPr>
          <w:b/>
          <w:bCs/>
        </w:rPr>
        <w:t xml:space="preserve"> the issued and outstanding shares of MTL Cannabis (the “Transaction”). The Transaction is between arm’s length parties and constitutes a “reverse takeover” of the Company, and it is anticipated that the Company will operate under the MTL Cannabis corporate name with shares trading on the CSE under a related ticker symbol following the closing of the Transaction (the “Closing”). </w:t>
      </w:r>
    </w:p>
    <w:p w14:paraId="31587755" w14:textId="77777777" w:rsidR="002A19C0" w:rsidRPr="002A19C0" w:rsidRDefault="002A19C0" w:rsidP="00CF390A">
      <w:pPr>
        <w:pStyle w:val="ListParagraph"/>
        <w:ind w:left="630" w:right="670" w:firstLine="0"/>
        <w:rPr>
          <w:b/>
          <w:bCs/>
        </w:rPr>
      </w:pPr>
    </w:p>
    <w:p w14:paraId="27ABADBC" w14:textId="44190580" w:rsidR="002A19C0" w:rsidRDefault="002A19C0" w:rsidP="00CF390A">
      <w:pPr>
        <w:ind w:left="630" w:right="670"/>
        <w:jc w:val="both"/>
      </w:pPr>
      <w:r w:rsidRPr="002A19C0">
        <w:rPr>
          <w:b/>
          <w:bCs/>
        </w:rPr>
        <w:t>The deal also provides the group with the ability to build upon MTL’s current brand portfolio, and develop a diverse flower menu bringing premium, accessible products to cannabis consumers while maintaining existing supply agreements. Since its recreational market launch in October 2020, MTL Cannabis has emerged as one of Canada’s fastest-growing dried flower consumer brands, placing in the top five in dried flower sales in most provinces. MTL Cannabis will continue to focus on its long-term CPG portfolio strategy for current and upcoming brands, supporting both the adult-use and medical markets. The transaction will provide MTL Cannabis with immediate access to additional licensed cultivation space, more than doubling the company’s current 57,000 sq. ft. footprint and annual production capacity of 13,000 kilograms of high-quality dried flower, to 120,000 sq. ft. and 30,000 kilograms of annual production. MTL Cannabis has further expansion capabilities with an additional 58,000 sq. ft. of cultivation and production space through a second building situated at MTL’s Pointe-Claire location. Following the Closing, MTL Cannabis’ wholly owned subsidiaries will hold cultivation, processing, and sales licences for plants/seeds, flower, oil, concentrate, topical and edible products and will have existing supply agreements with nine Canadian provinces including British Columbia, Alberta, Ontario, and Québec.</w:t>
      </w:r>
    </w:p>
    <w:p w14:paraId="0034CE6E" w14:textId="77777777" w:rsidR="002A19C0" w:rsidRDefault="002A19C0" w:rsidP="002A19C0">
      <w:pPr>
        <w:ind w:left="270" w:right="804"/>
        <w:jc w:val="both"/>
      </w:pPr>
    </w:p>
    <w:p w14:paraId="04E0103B" w14:textId="77777777" w:rsidR="002A19C0" w:rsidRPr="002A19C0" w:rsidRDefault="002A19C0" w:rsidP="00CF390A">
      <w:pPr>
        <w:ind w:left="630" w:right="670"/>
        <w:jc w:val="both"/>
        <w:rPr>
          <w:b/>
          <w:bCs/>
        </w:rPr>
      </w:pPr>
      <w:r w:rsidRPr="002A19C0">
        <w:rPr>
          <w:b/>
          <w:bCs/>
        </w:rPr>
        <w:t xml:space="preserve">Dried flower continues to dominate in the Veteran medical cannabis segment, accounting for over 60% of sales according to Canada House’s sales data. As the </w:t>
      </w:r>
      <w:r w:rsidRPr="002A19C0">
        <w:rPr>
          <w:b/>
          <w:bCs/>
        </w:rPr>
        <w:lastRenderedPageBreak/>
        <w:t>Canadian medical cannabis market matures, coverage programs will help to ensure long-term sales growth for this segment. Through the patient care teams in place across CHC and Abba Medix; MTL Cannabis will continue to serve Veteran and non-Veteran medical patients by providing a robust dried flower menu, along with other formats through third-party partners and suppliers.</w:t>
      </w:r>
    </w:p>
    <w:p w14:paraId="22DB58BD" w14:textId="77777777" w:rsidR="002A19C0" w:rsidRPr="002A19C0" w:rsidRDefault="002A19C0" w:rsidP="00CF390A">
      <w:pPr>
        <w:ind w:left="270" w:right="670"/>
        <w:jc w:val="both"/>
        <w:rPr>
          <w:b/>
          <w:bCs/>
        </w:rPr>
      </w:pPr>
    </w:p>
    <w:p w14:paraId="53E82070" w14:textId="77777777" w:rsidR="002A19C0" w:rsidRPr="002A19C0" w:rsidRDefault="002A19C0" w:rsidP="002A19C0">
      <w:pPr>
        <w:ind w:left="270" w:right="804" w:firstLine="360"/>
        <w:jc w:val="both"/>
        <w:rPr>
          <w:b/>
          <w:bCs/>
          <w:u w:val="single"/>
        </w:rPr>
      </w:pPr>
      <w:r w:rsidRPr="002A19C0">
        <w:rPr>
          <w:b/>
          <w:bCs/>
          <w:u w:val="single"/>
        </w:rPr>
        <w:t>Transaction Highlights:</w:t>
      </w:r>
    </w:p>
    <w:p w14:paraId="0B31512E" w14:textId="77777777" w:rsidR="002A19C0" w:rsidRPr="002A19C0" w:rsidRDefault="002A19C0" w:rsidP="002A19C0">
      <w:pPr>
        <w:ind w:left="270" w:right="804"/>
        <w:jc w:val="both"/>
        <w:rPr>
          <w:b/>
          <w:bCs/>
          <w:u w:val="single"/>
        </w:rPr>
      </w:pPr>
    </w:p>
    <w:p w14:paraId="7E03FD77" w14:textId="77777777" w:rsidR="002A19C0" w:rsidRPr="002A19C0" w:rsidRDefault="002A19C0" w:rsidP="00CF390A">
      <w:pPr>
        <w:pStyle w:val="ListParagraph"/>
        <w:numPr>
          <w:ilvl w:val="0"/>
          <w:numId w:val="3"/>
        </w:numPr>
        <w:tabs>
          <w:tab w:val="left" w:pos="8910"/>
        </w:tabs>
        <w:ind w:left="810" w:right="490" w:hanging="180"/>
        <w:rPr>
          <w:b/>
          <w:bCs/>
        </w:rPr>
      </w:pPr>
      <w:r w:rsidRPr="002A19C0">
        <w:rPr>
          <w:b/>
          <w:bCs/>
        </w:rPr>
        <w:t xml:space="preserve">Significant combined sales: MTL has already achieved profitability via its ability to meet consumer’s needs at an affordable price. Based on recent results, MTL Cannabis and Canada House generate annualized aggregate sales of over $24 Million, with additional upside stemming from MTL’s ability to leverage existing sales licences and distribution of Abba Medix and increased production from IsoCanMed’s facility. </w:t>
      </w:r>
    </w:p>
    <w:p w14:paraId="7A1FC16D" w14:textId="77777777" w:rsidR="002A19C0" w:rsidRPr="002A19C0" w:rsidRDefault="002A19C0" w:rsidP="00CF390A">
      <w:pPr>
        <w:pStyle w:val="ListParagraph"/>
        <w:ind w:left="270" w:right="490" w:firstLine="0"/>
        <w:rPr>
          <w:b/>
          <w:bCs/>
        </w:rPr>
      </w:pPr>
    </w:p>
    <w:p w14:paraId="2F4C74E6" w14:textId="77777777" w:rsidR="002A19C0" w:rsidRPr="002A19C0" w:rsidRDefault="002A19C0" w:rsidP="00CF390A">
      <w:pPr>
        <w:pStyle w:val="ListParagraph"/>
        <w:numPr>
          <w:ilvl w:val="0"/>
          <w:numId w:val="3"/>
        </w:numPr>
        <w:ind w:left="810" w:right="490" w:hanging="180"/>
        <w:rPr>
          <w:b/>
          <w:bCs/>
        </w:rPr>
      </w:pPr>
      <w:r w:rsidRPr="002A19C0">
        <w:rPr>
          <w:b/>
          <w:bCs/>
        </w:rPr>
        <w:t>Enhanced cultivation and distribution capabilities: Leveraging low-cost-per-gram production rates enhanced by the province’s operational advantages, MTL Cannabis will expand their total cultivation capacity to 120,000 sq. ft. providing approx. 30,000 kilograms of dried flower annually. Additionally, MTL will leverage the packaging and distribution capabilities of Abba Medix’s fully licensed 20,000 sq. ft. facility located in Pickering, ON.</w:t>
      </w:r>
    </w:p>
    <w:p w14:paraId="232D709A" w14:textId="77777777" w:rsidR="002A19C0" w:rsidRPr="002A19C0" w:rsidRDefault="002A19C0" w:rsidP="00CF390A">
      <w:pPr>
        <w:pStyle w:val="ListParagraph"/>
        <w:ind w:right="490"/>
        <w:rPr>
          <w:b/>
          <w:bCs/>
        </w:rPr>
      </w:pPr>
    </w:p>
    <w:p w14:paraId="21457DA4" w14:textId="77777777" w:rsidR="002A19C0" w:rsidRPr="002A19C0" w:rsidRDefault="002A19C0" w:rsidP="00CF390A">
      <w:pPr>
        <w:pStyle w:val="ListParagraph"/>
        <w:numPr>
          <w:ilvl w:val="0"/>
          <w:numId w:val="3"/>
        </w:numPr>
        <w:ind w:left="810" w:right="490" w:hanging="180"/>
        <w:rPr>
          <w:b/>
          <w:bCs/>
        </w:rPr>
      </w:pPr>
      <w:r w:rsidRPr="002A19C0">
        <w:rPr>
          <w:b/>
          <w:bCs/>
        </w:rPr>
        <w:t>Builds on an already strong management team: Canada House’s management team brings extensive medical, clinic, financial and strong industry relationships to complement MTL’s strengths in operations, cultivation, brand development, marketing, retail, and sales. Following Closing, Canada House’s executive management team will join MTL’s executive management team with current Canada House CEO Chris Churchill-Smith continuing in the CEO role of MTL Cannabis.</w:t>
      </w:r>
    </w:p>
    <w:p w14:paraId="01F1D12D" w14:textId="77777777" w:rsidR="002A19C0" w:rsidRPr="002A19C0" w:rsidRDefault="002A19C0" w:rsidP="00CF390A">
      <w:pPr>
        <w:pStyle w:val="ListParagraph"/>
        <w:ind w:right="490"/>
        <w:rPr>
          <w:b/>
          <w:bCs/>
        </w:rPr>
      </w:pPr>
    </w:p>
    <w:p w14:paraId="34F26199" w14:textId="77777777" w:rsidR="002A19C0" w:rsidRPr="002A19C0" w:rsidRDefault="002A19C0" w:rsidP="00CF390A">
      <w:pPr>
        <w:pStyle w:val="ListParagraph"/>
        <w:numPr>
          <w:ilvl w:val="0"/>
          <w:numId w:val="3"/>
        </w:numPr>
        <w:ind w:left="810" w:right="490" w:hanging="180"/>
        <w:rPr>
          <w:b/>
          <w:bCs/>
        </w:rPr>
      </w:pPr>
      <w:r w:rsidRPr="002A19C0">
        <w:rPr>
          <w:b/>
          <w:bCs/>
        </w:rPr>
        <w:t xml:space="preserve">Leverage proven medical cannabis expertise and distribution: CHC has operated medical cannabis clinics for over 7 years, and Abba Medix has quickly built a significant medical business. CHC clients purchase over $30 M of legal medical cannabis each year. </w:t>
      </w:r>
    </w:p>
    <w:p w14:paraId="5196F18A" w14:textId="77777777" w:rsidR="002A19C0" w:rsidRPr="002A19C0" w:rsidRDefault="002A19C0" w:rsidP="00CF390A">
      <w:pPr>
        <w:pStyle w:val="ListParagraph"/>
        <w:ind w:right="490"/>
        <w:rPr>
          <w:b/>
          <w:bCs/>
        </w:rPr>
      </w:pPr>
    </w:p>
    <w:p w14:paraId="26BD2C80" w14:textId="77777777" w:rsidR="002A19C0" w:rsidRPr="002A19C0" w:rsidRDefault="002A19C0" w:rsidP="00CF390A">
      <w:pPr>
        <w:pStyle w:val="ListParagraph"/>
        <w:ind w:left="810" w:right="490" w:firstLine="0"/>
        <w:rPr>
          <w:b/>
          <w:bCs/>
        </w:rPr>
      </w:pPr>
      <w:r w:rsidRPr="002A19C0">
        <w:rPr>
          <w:b/>
          <w:bCs/>
        </w:rPr>
        <w:t xml:space="preserve">The Transaction solidifies the relationship established by an exclusive medical distribution agreement entered between the Companies in June 2021. </w:t>
      </w:r>
    </w:p>
    <w:p w14:paraId="4260FD85" w14:textId="77777777" w:rsidR="002A19C0" w:rsidRPr="002A19C0" w:rsidRDefault="002A19C0" w:rsidP="00CF390A">
      <w:pPr>
        <w:ind w:right="490"/>
        <w:jc w:val="both"/>
        <w:rPr>
          <w:b/>
          <w:bCs/>
        </w:rPr>
      </w:pPr>
    </w:p>
    <w:p w14:paraId="1DEABB0C" w14:textId="77777777" w:rsidR="002A19C0" w:rsidRPr="002A19C0" w:rsidRDefault="002A19C0" w:rsidP="00CF390A">
      <w:pPr>
        <w:pStyle w:val="ListParagraph"/>
        <w:numPr>
          <w:ilvl w:val="0"/>
          <w:numId w:val="3"/>
        </w:numPr>
        <w:ind w:left="810" w:right="490" w:hanging="180"/>
        <w:rPr>
          <w:b/>
          <w:bCs/>
        </w:rPr>
      </w:pPr>
      <w:r w:rsidRPr="002A19C0">
        <w:rPr>
          <w:b/>
          <w:bCs/>
        </w:rPr>
        <w:t>Advancement of brand portfolio: By ensuring consistency, quality, and maintaining its commitment to the craft, MTL will continue to deliver high-quality cannabis for current and future product offerings. This Transaction will increase MTL’s retail footprint by combining brand portfolios under both MTL Cannabis and Canada House, and through the development of new commercially viable genetics and brands.</w:t>
      </w:r>
    </w:p>
    <w:p w14:paraId="51168C22" w14:textId="77777777" w:rsidR="002A19C0" w:rsidRPr="002A19C0" w:rsidRDefault="002A19C0" w:rsidP="002A19C0">
      <w:pPr>
        <w:ind w:left="270" w:right="804"/>
        <w:jc w:val="both"/>
        <w:rPr>
          <w:b/>
          <w:bCs/>
        </w:rPr>
      </w:pPr>
    </w:p>
    <w:p w14:paraId="690AC6D8" w14:textId="77777777" w:rsidR="002A19C0" w:rsidRPr="002A19C0" w:rsidRDefault="002A19C0" w:rsidP="002A19C0">
      <w:pPr>
        <w:ind w:left="630" w:right="804"/>
        <w:jc w:val="both"/>
        <w:rPr>
          <w:b/>
          <w:bCs/>
        </w:rPr>
      </w:pPr>
      <w:r w:rsidRPr="002A19C0">
        <w:rPr>
          <w:b/>
          <w:bCs/>
          <w:u w:val="single"/>
        </w:rPr>
        <w:t>Terms of the Transaction</w:t>
      </w:r>
      <w:r w:rsidRPr="002A19C0">
        <w:rPr>
          <w:b/>
          <w:bCs/>
        </w:rPr>
        <w:t>:</w:t>
      </w:r>
    </w:p>
    <w:p w14:paraId="5D7B4C25" w14:textId="77777777" w:rsidR="002A19C0" w:rsidRPr="002A19C0" w:rsidRDefault="002A19C0" w:rsidP="002A19C0">
      <w:pPr>
        <w:ind w:left="270" w:right="804"/>
        <w:jc w:val="both"/>
        <w:rPr>
          <w:b/>
          <w:bCs/>
        </w:rPr>
      </w:pPr>
    </w:p>
    <w:p w14:paraId="5E25150F" w14:textId="21B4FE84" w:rsidR="002A19C0" w:rsidRPr="002A19C0" w:rsidRDefault="002A19C0" w:rsidP="00CF390A">
      <w:pPr>
        <w:ind w:left="630" w:right="310"/>
        <w:jc w:val="both"/>
        <w:rPr>
          <w:b/>
          <w:bCs/>
        </w:rPr>
      </w:pPr>
      <w:r w:rsidRPr="002A19C0">
        <w:rPr>
          <w:b/>
          <w:bCs/>
        </w:rPr>
        <w:t xml:space="preserve">The Transaction is conditional upon the Company completing the consolidation of the Company’s issued and outstanding Common Shares </w:t>
      </w:r>
      <w:proofErr w:type="gramStart"/>
      <w:r w:rsidRPr="002A19C0">
        <w:rPr>
          <w:b/>
          <w:bCs/>
        </w:rPr>
        <w:t>on the basis of</w:t>
      </w:r>
      <w:proofErr w:type="gramEnd"/>
      <w:r w:rsidRPr="002A19C0">
        <w:rPr>
          <w:b/>
          <w:bCs/>
        </w:rPr>
        <w:t xml:space="preserve"> thirty pre-consolidation shares for one post consolidation share (the “Share Consolidation”). Upon Closing, the vendors of MTL Cannabis (the “Vendors”), collectively, will be issued shares (the “Consideration Shares”) amounting to approximately 80% of the </w:t>
      </w:r>
      <w:r w:rsidRPr="002A19C0">
        <w:rPr>
          <w:b/>
          <w:bCs/>
        </w:rPr>
        <w:lastRenderedPageBreak/>
        <w:t>issued and outstanding common shares of Canada House immediately post</w:t>
      </w:r>
      <w:r w:rsidR="001E5CCB">
        <w:rPr>
          <w:b/>
          <w:bCs/>
        </w:rPr>
        <w:t xml:space="preserve"> </w:t>
      </w:r>
      <w:r w:rsidRPr="002A19C0">
        <w:rPr>
          <w:b/>
          <w:bCs/>
        </w:rPr>
        <w:t>Closing, assuming the conversion of the principal and accrued interest of the Company’s $6.5 million convertible debenture issued on August 5, 2020, but no other convertible securities of the Company. The Consideration Shares will be subject to lock-up agreements pursuant to which the Vendors will covenant not to sell, transfer, or otherwise dispose of the Consideration Shares prior to the 6-month anniversary of the Closing. On the 6-month anniversary of the Closing, 25% of the Consideration Shares will be released from lock-up, with the remaining Consideration Shares released in three equal tranches every six months following the first release, subject to customary resale restrictions under applicable law.</w:t>
      </w:r>
    </w:p>
    <w:p w14:paraId="4FA5D6AF" w14:textId="77777777" w:rsidR="002A19C0" w:rsidRPr="002A19C0" w:rsidRDefault="002A19C0" w:rsidP="00CF390A">
      <w:pPr>
        <w:ind w:left="270" w:right="310"/>
        <w:jc w:val="both"/>
        <w:rPr>
          <w:b/>
          <w:bCs/>
        </w:rPr>
      </w:pPr>
    </w:p>
    <w:p w14:paraId="2829E98B" w14:textId="77777777" w:rsidR="002A19C0" w:rsidRPr="002A19C0" w:rsidRDefault="002A19C0" w:rsidP="00CF390A">
      <w:pPr>
        <w:ind w:left="630" w:right="310"/>
        <w:jc w:val="both"/>
        <w:rPr>
          <w:b/>
          <w:bCs/>
        </w:rPr>
      </w:pPr>
      <w:r w:rsidRPr="002A19C0">
        <w:rPr>
          <w:b/>
          <w:bCs/>
        </w:rPr>
        <w:t xml:space="preserve">The purchase price also includes a performance-based cash earnout payment of $5 million, conditional upon MTL Cannabis achieving certain agreed upon milestones. </w:t>
      </w:r>
    </w:p>
    <w:p w14:paraId="6AF13789" w14:textId="77777777" w:rsidR="002A19C0" w:rsidRPr="002A19C0" w:rsidRDefault="002A19C0" w:rsidP="00CF390A">
      <w:pPr>
        <w:ind w:left="630" w:right="310"/>
        <w:jc w:val="both"/>
        <w:rPr>
          <w:b/>
          <w:bCs/>
        </w:rPr>
      </w:pPr>
    </w:p>
    <w:p w14:paraId="42EC6BE5" w14:textId="77777777" w:rsidR="002A19C0" w:rsidRPr="002A19C0" w:rsidRDefault="002A19C0" w:rsidP="00CF390A">
      <w:pPr>
        <w:ind w:left="630" w:right="310"/>
        <w:jc w:val="both"/>
        <w:rPr>
          <w:b/>
          <w:bCs/>
        </w:rPr>
      </w:pPr>
      <w:r w:rsidRPr="002A19C0">
        <w:rPr>
          <w:b/>
          <w:bCs/>
        </w:rPr>
        <w:t xml:space="preserve">The acquisition is expected to close in the fourth quarter of calendar 2021 and is subject to a number of conditions customary for a transaction of this nature, including but not limited to (i) approval by the shareholders of Canada House of the acquisition at a special meeting to be called for these purposes, (ii) the completion of the Share Consolidation, (iii) there being no material adverse change in the business of Canada House or MTL Cannabis (as applicable) prior to Closing, and (iv) receipt of applicable third party and regulatory approvals including the approval of the CSE. </w:t>
      </w:r>
    </w:p>
    <w:p w14:paraId="02F4040A" w14:textId="77777777" w:rsidR="002A19C0" w:rsidRPr="002A19C0" w:rsidRDefault="002A19C0" w:rsidP="00CF390A">
      <w:pPr>
        <w:ind w:left="630" w:right="310"/>
        <w:jc w:val="both"/>
        <w:rPr>
          <w:b/>
          <w:bCs/>
        </w:rPr>
      </w:pPr>
    </w:p>
    <w:p w14:paraId="664BB0EC" w14:textId="77777777" w:rsidR="002A19C0" w:rsidRPr="002A19C0" w:rsidRDefault="002A19C0" w:rsidP="00CF390A">
      <w:pPr>
        <w:ind w:left="630" w:right="310"/>
        <w:jc w:val="both"/>
        <w:rPr>
          <w:b/>
          <w:bCs/>
        </w:rPr>
      </w:pPr>
      <w:r w:rsidRPr="002A19C0">
        <w:rPr>
          <w:b/>
          <w:bCs/>
        </w:rPr>
        <w:t xml:space="preserve">On the Closing of the Transaction, the Company will pay a finder’s fee of $100,000 and issue approximately 14,285,715 common shares (the “Finder’s Fee Shares”) to certain arms’-length third parties who assisted in introducing the Transaction to the Company. The Finder’s Fee Shares will be subject to a four-month-and-one-day statutory hold period in accordance with applicable securities laws. </w:t>
      </w:r>
    </w:p>
    <w:p w14:paraId="00CF3DE9" w14:textId="77777777" w:rsidR="002A19C0" w:rsidRPr="002A19C0" w:rsidRDefault="002A19C0" w:rsidP="00CF390A">
      <w:pPr>
        <w:ind w:left="630" w:right="310"/>
        <w:jc w:val="both"/>
        <w:rPr>
          <w:b/>
          <w:bCs/>
        </w:rPr>
      </w:pPr>
    </w:p>
    <w:p w14:paraId="2986B48A" w14:textId="77777777" w:rsidR="002A19C0" w:rsidRPr="002A19C0" w:rsidRDefault="002A19C0" w:rsidP="00CF390A">
      <w:pPr>
        <w:ind w:left="630" w:right="310"/>
        <w:jc w:val="both"/>
        <w:rPr>
          <w:b/>
          <w:bCs/>
        </w:rPr>
      </w:pPr>
      <w:r w:rsidRPr="002A19C0">
        <w:rPr>
          <w:b/>
          <w:bCs/>
        </w:rPr>
        <w:t xml:space="preserve">The Company will prepare and file with the CSE a CSE Form 2A listing statement providing comprehensive disclosure on MTL Cannabis and the Transaction </w:t>
      </w:r>
      <w:proofErr w:type="gramStart"/>
      <w:r w:rsidRPr="002A19C0">
        <w:rPr>
          <w:b/>
          <w:bCs/>
        </w:rPr>
        <w:t>in order to</w:t>
      </w:r>
      <w:proofErr w:type="gramEnd"/>
      <w:r w:rsidRPr="002A19C0">
        <w:rPr>
          <w:b/>
          <w:bCs/>
        </w:rPr>
        <w:t xml:space="preserve"> seek the continued listing of Company common shares following the closing of the Transaction. </w:t>
      </w:r>
    </w:p>
    <w:p w14:paraId="2FC8E202" w14:textId="77777777" w:rsidR="002A19C0" w:rsidRPr="002A19C0" w:rsidRDefault="002A19C0" w:rsidP="002A19C0">
      <w:pPr>
        <w:ind w:left="630" w:right="40"/>
        <w:jc w:val="both"/>
        <w:rPr>
          <w:b/>
          <w:bCs/>
        </w:rPr>
      </w:pPr>
    </w:p>
    <w:p w14:paraId="48933DD5" w14:textId="66FB0233" w:rsidR="002A19C0" w:rsidRPr="002A19C0" w:rsidRDefault="002A19C0" w:rsidP="002A19C0">
      <w:pPr>
        <w:ind w:left="630" w:right="804"/>
        <w:jc w:val="both"/>
        <w:rPr>
          <w:b/>
          <w:bCs/>
          <w:u w:val="single"/>
        </w:rPr>
      </w:pPr>
      <w:r w:rsidRPr="002A19C0">
        <w:rPr>
          <w:b/>
          <w:bCs/>
          <w:u w:val="single"/>
        </w:rPr>
        <w:t xml:space="preserve">Fairness Opinion and Shareholder Meeting on the </w:t>
      </w:r>
      <w:r w:rsidR="00B854FF" w:rsidRPr="002A19C0">
        <w:rPr>
          <w:b/>
          <w:bCs/>
          <w:u w:val="single"/>
        </w:rPr>
        <w:t>Transaction</w:t>
      </w:r>
      <w:r w:rsidRPr="002A19C0">
        <w:rPr>
          <w:b/>
          <w:bCs/>
          <w:u w:val="single"/>
        </w:rPr>
        <w:t>:</w:t>
      </w:r>
    </w:p>
    <w:p w14:paraId="53B7E111" w14:textId="77777777" w:rsidR="002A19C0" w:rsidRPr="002A19C0" w:rsidRDefault="002A19C0" w:rsidP="002A19C0">
      <w:pPr>
        <w:ind w:left="270" w:right="804"/>
        <w:jc w:val="both"/>
        <w:rPr>
          <w:b/>
          <w:bCs/>
        </w:rPr>
      </w:pPr>
    </w:p>
    <w:p w14:paraId="504232AD" w14:textId="77777777" w:rsidR="002A19C0" w:rsidRPr="002A19C0" w:rsidRDefault="002A19C0" w:rsidP="00CF390A">
      <w:pPr>
        <w:tabs>
          <w:tab w:val="left" w:pos="8910"/>
        </w:tabs>
        <w:ind w:left="630" w:right="310"/>
        <w:jc w:val="both"/>
        <w:rPr>
          <w:b/>
          <w:bCs/>
        </w:rPr>
      </w:pPr>
      <w:r w:rsidRPr="002A19C0">
        <w:rPr>
          <w:b/>
          <w:bCs/>
        </w:rPr>
        <w:t>Canada House’s board of directors has unanimously approved the Agreement and the Transaction and determined that the Transaction is in the best interests of Canada House and its shareholders. Cormark Securities Inc. provided a fairness opinion to the board of directors of Canada House on August 8,</w:t>
      </w:r>
    </w:p>
    <w:p w14:paraId="169EE719" w14:textId="77777777" w:rsidR="002A19C0" w:rsidRPr="002A19C0" w:rsidRDefault="002A19C0" w:rsidP="00CF390A">
      <w:pPr>
        <w:tabs>
          <w:tab w:val="left" w:pos="8910"/>
        </w:tabs>
        <w:ind w:left="630" w:right="310"/>
        <w:jc w:val="both"/>
        <w:rPr>
          <w:b/>
          <w:bCs/>
        </w:rPr>
      </w:pPr>
    </w:p>
    <w:p w14:paraId="69147229" w14:textId="77777777" w:rsidR="002A19C0" w:rsidRPr="002A19C0" w:rsidRDefault="002A19C0" w:rsidP="00CF390A">
      <w:pPr>
        <w:tabs>
          <w:tab w:val="left" w:pos="8910"/>
        </w:tabs>
        <w:ind w:left="630" w:right="310"/>
        <w:jc w:val="both"/>
        <w:rPr>
          <w:b/>
          <w:bCs/>
        </w:rPr>
      </w:pPr>
      <w:r w:rsidRPr="002A19C0">
        <w:rPr>
          <w:b/>
          <w:bCs/>
        </w:rPr>
        <w:t xml:space="preserve"> 2021, stating that, based upon and subject to the assumptions, qualifications and limitations contained in its fairness opinion, the consideration to be paid by Canada House to MTL Cannabis shareholders pursuant to the Transaction is fair, from a financial point of view to Canada House shareholders. </w:t>
      </w:r>
    </w:p>
    <w:p w14:paraId="506C850E" w14:textId="77777777" w:rsidR="002A19C0" w:rsidRPr="002A19C0" w:rsidRDefault="002A19C0" w:rsidP="00CF390A">
      <w:pPr>
        <w:ind w:left="270" w:right="310"/>
        <w:jc w:val="both"/>
        <w:rPr>
          <w:b/>
          <w:bCs/>
        </w:rPr>
      </w:pPr>
    </w:p>
    <w:p w14:paraId="6E395515" w14:textId="77777777" w:rsidR="002A19C0" w:rsidRPr="002A19C0" w:rsidRDefault="002A19C0" w:rsidP="00CF390A">
      <w:pPr>
        <w:tabs>
          <w:tab w:val="left" w:pos="8910"/>
        </w:tabs>
        <w:ind w:left="630" w:right="310"/>
        <w:jc w:val="both"/>
        <w:rPr>
          <w:b/>
          <w:bCs/>
        </w:rPr>
      </w:pPr>
      <w:r w:rsidRPr="002A19C0">
        <w:rPr>
          <w:b/>
          <w:bCs/>
        </w:rPr>
        <w:t xml:space="preserve">The Company will be calling a special meeting of its shareholders, to be held virtually via an electronic meeting platform, </w:t>
      </w:r>
      <w:proofErr w:type="gramStart"/>
      <w:r w:rsidRPr="002A19C0">
        <w:rPr>
          <w:b/>
          <w:bCs/>
        </w:rPr>
        <w:t>in order to</w:t>
      </w:r>
      <w:proofErr w:type="gramEnd"/>
      <w:r w:rsidRPr="002A19C0">
        <w:rPr>
          <w:b/>
          <w:bCs/>
        </w:rPr>
        <w:t xml:space="preserve"> seek approval of the Transaction and related proposals. Materials for the meeting will be mailed to shareholders of the Company and posted under the Company's SEDAR profile at www.sedar.com. </w:t>
      </w:r>
    </w:p>
    <w:p w14:paraId="2881EF28" w14:textId="77777777" w:rsidR="002A19C0" w:rsidRPr="002A19C0" w:rsidRDefault="002A19C0" w:rsidP="00CF390A">
      <w:pPr>
        <w:ind w:left="270" w:right="310"/>
        <w:jc w:val="both"/>
        <w:rPr>
          <w:b/>
          <w:bCs/>
        </w:rPr>
      </w:pPr>
    </w:p>
    <w:p w14:paraId="1BC093FF" w14:textId="77777777" w:rsidR="002A19C0" w:rsidRPr="002A19C0" w:rsidRDefault="002A19C0" w:rsidP="00CF390A">
      <w:pPr>
        <w:ind w:left="630" w:right="310"/>
        <w:jc w:val="both"/>
        <w:rPr>
          <w:b/>
          <w:bCs/>
        </w:rPr>
      </w:pPr>
      <w:r w:rsidRPr="002A19C0">
        <w:rPr>
          <w:b/>
          <w:bCs/>
          <w:u w:val="single"/>
        </w:rPr>
        <w:lastRenderedPageBreak/>
        <w:t>Trading Halt:</w:t>
      </w:r>
      <w:r w:rsidRPr="002A19C0">
        <w:rPr>
          <w:b/>
          <w:bCs/>
        </w:rPr>
        <w:t xml:space="preserve"> The Transaction constitutes a "fundamental change" within the meaning of CSE policies, and therefore, the shares of Canada House have been halted from trading and will remain halted until the resumption of trading is approved by the CSE, which is not expected to occur until completion of the Transaction. </w:t>
      </w:r>
    </w:p>
    <w:p w14:paraId="45FA5588" w14:textId="77777777" w:rsidR="002A19C0" w:rsidRPr="002A19C0" w:rsidRDefault="002A19C0" w:rsidP="00CF390A">
      <w:pPr>
        <w:ind w:left="630" w:right="310" w:hanging="360"/>
        <w:jc w:val="both"/>
        <w:rPr>
          <w:b/>
          <w:bCs/>
        </w:rPr>
      </w:pPr>
    </w:p>
    <w:p w14:paraId="2FB02F94" w14:textId="2756373C" w:rsidR="002A19C0" w:rsidRDefault="002A19C0" w:rsidP="00CF390A">
      <w:pPr>
        <w:ind w:left="630" w:right="310"/>
        <w:jc w:val="both"/>
        <w:rPr>
          <w:b/>
          <w:bCs/>
        </w:rPr>
      </w:pPr>
      <w:r w:rsidRPr="002A19C0">
        <w:rPr>
          <w:b/>
          <w:bCs/>
          <w:u w:val="single"/>
        </w:rPr>
        <w:t>Advisors:</w:t>
      </w:r>
      <w:r w:rsidRPr="002A19C0">
        <w:rPr>
          <w:b/>
          <w:bCs/>
        </w:rPr>
        <w:t xml:space="preserve"> Haywood Securities Inc. served as financial advisor, and Caravel Law Professional Corporation acted as legal counsel to Canada House on the entering into of the Agreement. Spiegel Sohmer Inc. acted as legal counsel to MTL Cannabis on the entering into of the Agreement.</w:t>
      </w:r>
    </w:p>
    <w:p w14:paraId="3191C6A6" w14:textId="407E9D94" w:rsidR="002A19C0" w:rsidRDefault="002A19C0" w:rsidP="00CF390A">
      <w:pPr>
        <w:ind w:left="630" w:right="310"/>
        <w:jc w:val="both"/>
        <w:rPr>
          <w:b/>
          <w:bCs/>
        </w:rPr>
      </w:pPr>
    </w:p>
    <w:p w14:paraId="29B0B484" w14:textId="18777DB6" w:rsidR="00463BE8" w:rsidRDefault="002A19C0" w:rsidP="00CF390A">
      <w:pPr>
        <w:ind w:left="630" w:right="310"/>
        <w:jc w:val="both"/>
        <w:rPr>
          <w:b/>
          <w:bCs/>
        </w:rPr>
      </w:pPr>
      <w:r>
        <w:rPr>
          <w:b/>
          <w:bCs/>
        </w:rPr>
        <w:t xml:space="preserve">On August 30, 2021, </w:t>
      </w:r>
      <w:r w:rsidR="00575A87">
        <w:rPr>
          <w:b/>
          <w:bCs/>
        </w:rPr>
        <w:t>Canada House</w:t>
      </w:r>
      <w:r w:rsidR="00220AA5">
        <w:rPr>
          <w:b/>
          <w:bCs/>
        </w:rPr>
        <w:t xml:space="preserve"> reported </w:t>
      </w:r>
      <w:r w:rsidR="00463BE8">
        <w:rPr>
          <w:b/>
          <w:bCs/>
        </w:rPr>
        <w:t xml:space="preserve">its financial results for the year ended </w:t>
      </w:r>
    </w:p>
    <w:p w14:paraId="255FAFA0" w14:textId="77777777" w:rsidR="00184126" w:rsidRDefault="00463BE8" w:rsidP="00DF561F">
      <w:pPr>
        <w:ind w:left="630" w:right="310"/>
        <w:jc w:val="both"/>
        <w:rPr>
          <w:b/>
          <w:bCs/>
        </w:rPr>
      </w:pPr>
      <w:r>
        <w:rPr>
          <w:b/>
          <w:bCs/>
        </w:rPr>
        <w:t>April 30, 2021.</w:t>
      </w:r>
      <w:r w:rsidR="00C422BB">
        <w:rPr>
          <w:b/>
          <w:bCs/>
        </w:rPr>
        <w:t xml:space="preserve"> </w:t>
      </w:r>
      <w:r w:rsidR="00DF561F" w:rsidRPr="00184126">
        <w:rPr>
          <w:b/>
          <w:bCs/>
        </w:rPr>
        <w:t xml:space="preserve">All amounts are stated in thousands of Canadian dollars. Complete details may be found at www.sedar.com. </w:t>
      </w:r>
    </w:p>
    <w:p w14:paraId="7777FA1B" w14:textId="77777777" w:rsidR="00184126" w:rsidRDefault="00184126" w:rsidP="00DF561F">
      <w:pPr>
        <w:ind w:left="630" w:right="310"/>
        <w:jc w:val="both"/>
        <w:rPr>
          <w:b/>
          <w:bCs/>
        </w:rPr>
      </w:pPr>
    </w:p>
    <w:p w14:paraId="5B81B0CD" w14:textId="5ACC5747" w:rsidR="00184126" w:rsidRDefault="00DF561F" w:rsidP="00DF561F">
      <w:pPr>
        <w:ind w:left="630" w:right="310"/>
        <w:jc w:val="both"/>
        <w:rPr>
          <w:b/>
          <w:bCs/>
        </w:rPr>
      </w:pPr>
      <w:r w:rsidRPr="00184126">
        <w:rPr>
          <w:b/>
          <w:bCs/>
        </w:rPr>
        <w:t xml:space="preserve">Compared to the 12 months ending April 30, 2020: </w:t>
      </w:r>
    </w:p>
    <w:p w14:paraId="6C3D20CC" w14:textId="77777777" w:rsidR="00184126" w:rsidRDefault="00184126" w:rsidP="00DF561F">
      <w:pPr>
        <w:ind w:left="630" w:right="310"/>
        <w:jc w:val="both"/>
        <w:rPr>
          <w:b/>
          <w:bCs/>
        </w:rPr>
      </w:pPr>
    </w:p>
    <w:p w14:paraId="5E1BF207" w14:textId="77777777" w:rsidR="00184126" w:rsidRDefault="00DF561F" w:rsidP="00DF561F">
      <w:pPr>
        <w:ind w:left="630" w:right="310"/>
        <w:jc w:val="both"/>
        <w:rPr>
          <w:b/>
          <w:bCs/>
        </w:rPr>
      </w:pPr>
      <w:r w:rsidRPr="00184126">
        <w:rPr>
          <w:b/>
          <w:bCs/>
        </w:rPr>
        <w:t>• Revenue was $10,560, an increase of $5,250 or 99%, compared to $5,310 during the same period in the prior year.</w:t>
      </w:r>
    </w:p>
    <w:p w14:paraId="50D8BF2B" w14:textId="77777777" w:rsidR="00184126" w:rsidRDefault="00DF561F" w:rsidP="00DF561F">
      <w:pPr>
        <w:ind w:left="630" w:right="310"/>
        <w:jc w:val="both"/>
        <w:rPr>
          <w:b/>
          <w:bCs/>
        </w:rPr>
      </w:pPr>
      <w:r w:rsidRPr="00184126">
        <w:rPr>
          <w:b/>
          <w:bCs/>
        </w:rPr>
        <w:t>• Cash flow used in operating activities was $3,355, a decrease of $1,924 or 36%, compared to $5,279 during the same period in 2020.</w:t>
      </w:r>
    </w:p>
    <w:p w14:paraId="31EC98A5" w14:textId="77777777" w:rsidR="00184126" w:rsidRDefault="00DF561F" w:rsidP="00DF561F">
      <w:pPr>
        <w:ind w:left="630" w:right="310"/>
        <w:jc w:val="both"/>
        <w:rPr>
          <w:b/>
          <w:bCs/>
        </w:rPr>
      </w:pPr>
      <w:r w:rsidRPr="00184126">
        <w:rPr>
          <w:b/>
          <w:bCs/>
        </w:rPr>
        <w:t xml:space="preserve">• Net cash provided by financing activities was $4,087 compared to $4,366 during the same period in 2020. </w:t>
      </w:r>
    </w:p>
    <w:p w14:paraId="518A95BE" w14:textId="77777777" w:rsidR="00184126" w:rsidRDefault="00DF561F" w:rsidP="00DF561F">
      <w:pPr>
        <w:ind w:left="630" w:right="310"/>
        <w:jc w:val="both"/>
        <w:rPr>
          <w:b/>
          <w:bCs/>
        </w:rPr>
      </w:pPr>
      <w:r w:rsidRPr="00184126">
        <w:rPr>
          <w:b/>
          <w:bCs/>
        </w:rPr>
        <w:t xml:space="preserve">• Loss and Comprehensive Loss for the year was $11,365, an increase of $1,845 or 19% compared to a loss of $9,520 during the same period in 2020. Loss and Comprehensive Loss for the year ended April 30, </w:t>
      </w:r>
      <w:proofErr w:type="gramStart"/>
      <w:r w:rsidRPr="00184126">
        <w:rPr>
          <w:b/>
          <w:bCs/>
        </w:rPr>
        <w:t>2021</w:t>
      </w:r>
      <w:proofErr w:type="gramEnd"/>
      <w:r w:rsidRPr="00184126">
        <w:rPr>
          <w:b/>
          <w:bCs/>
        </w:rPr>
        <w:t xml:space="preserve"> included a one-time inventory impairment of $2,266 </w:t>
      </w:r>
    </w:p>
    <w:p w14:paraId="1DE7630B" w14:textId="77777777" w:rsidR="00184126" w:rsidRDefault="00DF561F" w:rsidP="00DF561F">
      <w:pPr>
        <w:ind w:left="630" w:right="310"/>
        <w:jc w:val="both"/>
        <w:rPr>
          <w:b/>
          <w:bCs/>
        </w:rPr>
      </w:pPr>
      <w:r w:rsidRPr="00184126">
        <w:rPr>
          <w:b/>
          <w:bCs/>
        </w:rPr>
        <w:t xml:space="preserve">• Shareholder's equity was a surplus of $6,873 compared to $5,074 as of April 30, 2020. </w:t>
      </w:r>
    </w:p>
    <w:p w14:paraId="3EDE6625" w14:textId="77777777" w:rsidR="00184126" w:rsidRDefault="00184126" w:rsidP="00DF561F">
      <w:pPr>
        <w:ind w:left="630" w:right="310"/>
        <w:jc w:val="both"/>
        <w:rPr>
          <w:b/>
          <w:bCs/>
        </w:rPr>
      </w:pPr>
    </w:p>
    <w:p w14:paraId="50CAC432" w14:textId="0020226E" w:rsidR="00184126" w:rsidRDefault="00DF561F" w:rsidP="00DF561F">
      <w:pPr>
        <w:ind w:left="630" w:right="310"/>
        <w:jc w:val="both"/>
        <w:rPr>
          <w:b/>
          <w:bCs/>
        </w:rPr>
      </w:pPr>
      <w:r w:rsidRPr="00184126">
        <w:rPr>
          <w:b/>
          <w:bCs/>
        </w:rPr>
        <w:t xml:space="preserve">Comparison of three months ending April 30, 2021, and April 30, 2020: </w:t>
      </w:r>
    </w:p>
    <w:p w14:paraId="6BD59439" w14:textId="77777777" w:rsidR="00184126" w:rsidRDefault="00184126" w:rsidP="00DF561F">
      <w:pPr>
        <w:ind w:left="630" w:right="310"/>
        <w:jc w:val="both"/>
        <w:rPr>
          <w:b/>
          <w:bCs/>
        </w:rPr>
      </w:pPr>
    </w:p>
    <w:p w14:paraId="52B3E7B1" w14:textId="77777777" w:rsidR="00184126" w:rsidRDefault="00DF561F" w:rsidP="00DF561F">
      <w:pPr>
        <w:ind w:left="630" w:right="310"/>
        <w:jc w:val="both"/>
        <w:rPr>
          <w:b/>
          <w:bCs/>
        </w:rPr>
      </w:pPr>
      <w:r w:rsidRPr="00184126">
        <w:rPr>
          <w:b/>
          <w:bCs/>
        </w:rPr>
        <w:t xml:space="preserve">• Revenue of $2,898, an increase of $1,511 or 109%, compared to $1,387 in the same quarter of last year. </w:t>
      </w:r>
    </w:p>
    <w:p w14:paraId="6561757C" w14:textId="0DD5809E" w:rsidR="002A19C0" w:rsidRDefault="00DF561F" w:rsidP="00DF561F">
      <w:pPr>
        <w:ind w:left="630" w:right="310"/>
        <w:jc w:val="both"/>
        <w:rPr>
          <w:b/>
          <w:bCs/>
        </w:rPr>
      </w:pPr>
      <w:r w:rsidRPr="00184126">
        <w:rPr>
          <w:b/>
          <w:bCs/>
        </w:rPr>
        <w:t>• Loss and Comprehensive Loss of $6,156, an increase of $439 or 8%, compared to $5,717 in the same quarter of last year. Loss and Comprehensive Loss for the three months ended April 30, 2021, included the one-time inventory impairment of $1,834.</w:t>
      </w:r>
    </w:p>
    <w:p w14:paraId="1BEC61D9" w14:textId="0031A297" w:rsidR="007B1496" w:rsidRDefault="00EB4A09" w:rsidP="00CF390A">
      <w:pPr>
        <w:pStyle w:val="ListParagraph"/>
        <w:numPr>
          <w:ilvl w:val="0"/>
          <w:numId w:val="2"/>
        </w:numPr>
        <w:tabs>
          <w:tab w:val="left" w:pos="660"/>
        </w:tabs>
        <w:spacing w:before="120"/>
        <w:ind w:right="400"/>
        <w:rPr>
          <w:sz w:val="24"/>
        </w:rPr>
      </w:pPr>
      <w:r w:rsidRPr="00894DA0">
        <w:rPr>
          <w:sz w:val="24"/>
        </w:rPr>
        <w:t>Provide a</w:t>
      </w:r>
      <w:r>
        <w:rPr>
          <w:sz w:val="24"/>
        </w:rPr>
        <w:t xml:space="preserve"> </w:t>
      </w:r>
      <w:r w:rsidRPr="00894DA0">
        <w:rPr>
          <w:sz w:val="24"/>
        </w:rPr>
        <w:t xml:space="preserve">general </w:t>
      </w:r>
      <w:r>
        <w:rPr>
          <w:sz w:val="24"/>
        </w:rPr>
        <w:t>overview</w:t>
      </w:r>
      <w:r w:rsidRPr="00894DA0">
        <w:rPr>
          <w:sz w:val="24"/>
        </w:rPr>
        <w:t xml:space="preserve"> </w:t>
      </w:r>
      <w:r>
        <w:rPr>
          <w:sz w:val="24"/>
        </w:rPr>
        <w:t>and</w:t>
      </w:r>
      <w:r w:rsidRPr="00894DA0">
        <w:rPr>
          <w:sz w:val="24"/>
        </w:rPr>
        <w:t xml:space="preserve"> </w:t>
      </w:r>
      <w:r>
        <w:rPr>
          <w:sz w:val="24"/>
        </w:rPr>
        <w:t>discussion of</w:t>
      </w:r>
      <w:r w:rsidRPr="00894DA0">
        <w:rPr>
          <w:sz w:val="24"/>
        </w:rPr>
        <w:t xml:space="preserve"> </w:t>
      </w:r>
      <w:r>
        <w:rPr>
          <w:sz w:val="24"/>
        </w:rPr>
        <w:t>the</w:t>
      </w:r>
      <w:r w:rsidRPr="00894DA0">
        <w:rPr>
          <w:sz w:val="24"/>
        </w:rPr>
        <w:t xml:space="preserve"> </w:t>
      </w:r>
      <w:r>
        <w:rPr>
          <w:sz w:val="24"/>
        </w:rPr>
        <w:t>activities</w:t>
      </w:r>
      <w:r w:rsidRPr="00894DA0">
        <w:rPr>
          <w:sz w:val="24"/>
        </w:rPr>
        <w:t xml:space="preserve"> </w:t>
      </w:r>
      <w:r>
        <w:rPr>
          <w:sz w:val="24"/>
        </w:rPr>
        <w:t>of</w:t>
      </w:r>
      <w:r w:rsidRPr="00894DA0">
        <w:rPr>
          <w:sz w:val="24"/>
        </w:rPr>
        <w:t xml:space="preserve"> </w:t>
      </w:r>
      <w:r>
        <w:rPr>
          <w:sz w:val="24"/>
        </w:rPr>
        <w:t>management.</w:t>
      </w:r>
    </w:p>
    <w:p w14:paraId="1BEC61DA" w14:textId="77777777" w:rsidR="007B1496" w:rsidRDefault="007B1496" w:rsidP="00CF390A">
      <w:pPr>
        <w:pStyle w:val="BodyText"/>
        <w:spacing w:before="10"/>
        <w:ind w:right="400"/>
        <w:rPr>
          <w:sz w:val="20"/>
        </w:rPr>
      </w:pPr>
    </w:p>
    <w:p w14:paraId="7356F0F6" w14:textId="498F6202" w:rsidR="00B97634" w:rsidRDefault="00B97634" w:rsidP="00CF390A">
      <w:pPr>
        <w:pStyle w:val="Heading1"/>
        <w:spacing w:before="1"/>
        <w:ind w:right="400"/>
      </w:pPr>
      <w:r>
        <w:t>See</w:t>
      </w:r>
      <w:r>
        <w:rPr>
          <w:spacing w:val="-1"/>
        </w:rPr>
        <w:t xml:space="preserve"> </w:t>
      </w:r>
      <w:r>
        <w:t>responses</w:t>
      </w:r>
      <w:r>
        <w:rPr>
          <w:spacing w:val="-1"/>
        </w:rPr>
        <w:t xml:space="preserve"> </w:t>
      </w:r>
      <w:r>
        <w:t>to</w:t>
      </w:r>
      <w:r>
        <w:rPr>
          <w:spacing w:val="-1"/>
        </w:rPr>
        <w:t xml:space="preserve"> </w:t>
      </w:r>
      <w:r>
        <w:t>questions</w:t>
      </w:r>
      <w:r>
        <w:rPr>
          <w:spacing w:val="-1"/>
        </w:rPr>
        <w:t xml:space="preserve"> </w:t>
      </w:r>
      <w:r>
        <w:t>#1</w:t>
      </w:r>
      <w:r>
        <w:rPr>
          <w:spacing w:val="-1"/>
        </w:rPr>
        <w:t xml:space="preserve"> </w:t>
      </w:r>
      <w:r>
        <w:t>and</w:t>
      </w:r>
      <w:r>
        <w:rPr>
          <w:spacing w:val="-4"/>
        </w:rPr>
        <w:t xml:space="preserve"> </w:t>
      </w:r>
      <w:r>
        <w:t>10.</w:t>
      </w:r>
    </w:p>
    <w:p w14:paraId="1BEC61DC" w14:textId="77777777" w:rsidR="007B1496" w:rsidRDefault="00EB4A09" w:rsidP="00CF390A">
      <w:pPr>
        <w:pStyle w:val="ListParagraph"/>
        <w:numPr>
          <w:ilvl w:val="0"/>
          <w:numId w:val="2"/>
        </w:numPr>
        <w:tabs>
          <w:tab w:val="left" w:pos="660"/>
        </w:tabs>
        <w:spacing w:before="216"/>
        <w:ind w:right="400"/>
        <w:rPr>
          <w:sz w:val="24"/>
        </w:rPr>
      </w:pPr>
      <w:r>
        <w:rPr>
          <w:spacing w:val="-1"/>
          <w:sz w:val="24"/>
        </w:rPr>
        <w:t>Describe</w:t>
      </w:r>
      <w:r>
        <w:rPr>
          <w:spacing w:val="-11"/>
          <w:sz w:val="24"/>
        </w:rPr>
        <w:t xml:space="preserve"> </w:t>
      </w:r>
      <w:r>
        <w:rPr>
          <w:spacing w:val="-1"/>
          <w:sz w:val="24"/>
        </w:rPr>
        <w:t>and</w:t>
      </w:r>
      <w:r>
        <w:rPr>
          <w:spacing w:val="-16"/>
          <w:sz w:val="24"/>
        </w:rPr>
        <w:t xml:space="preserve"> </w:t>
      </w:r>
      <w:r>
        <w:rPr>
          <w:spacing w:val="-1"/>
          <w:sz w:val="24"/>
        </w:rPr>
        <w:t>provide</w:t>
      </w:r>
      <w:r>
        <w:rPr>
          <w:spacing w:val="-15"/>
          <w:sz w:val="24"/>
        </w:rPr>
        <w:t xml:space="preserve"> </w:t>
      </w:r>
      <w:r>
        <w:rPr>
          <w:spacing w:val="-1"/>
          <w:sz w:val="24"/>
        </w:rPr>
        <w:t>details</w:t>
      </w:r>
      <w:r>
        <w:rPr>
          <w:spacing w:val="-11"/>
          <w:sz w:val="24"/>
        </w:rPr>
        <w:t xml:space="preserve"> </w:t>
      </w:r>
      <w:r>
        <w:rPr>
          <w:spacing w:val="-1"/>
          <w:sz w:val="24"/>
        </w:rPr>
        <w:t>of</w:t>
      </w:r>
      <w:r>
        <w:rPr>
          <w:spacing w:val="-10"/>
          <w:sz w:val="24"/>
        </w:rPr>
        <w:t xml:space="preserve"> </w:t>
      </w:r>
      <w:r>
        <w:rPr>
          <w:spacing w:val="-1"/>
          <w:sz w:val="24"/>
        </w:rPr>
        <w:t>any</w:t>
      </w:r>
      <w:r>
        <w:rPr>
          <w:spacing w:val="-17"/>
          <w:sz w:val="24"/>
        </w:rPr>
        <w:t xml:space="preserve"> </w:t>
      </w:r>
      <w:r>
        <w:rPr>
          <w:sz w:val="24"/>
        </w:rPr>
        <w:t>new</w:t>
      </w:r>
      <w:r>
        <w:rPr>
          <w:spacing w:val="-17"/>
          <w:sz w:val="24"/>
        </w:rPr>
        <w:t xml:space="preserve"> </w:t>
      </w:r>
      <w:r>
        <w:rPr>
          <w:sz w:val="24"/>
        </w:rPr>
        <w:t>products</w:t>
      </w:r>
      <w:r>
        <w:rPr>
          <w:spacing w:val="-11"/>
          <w:sz w:val="24"/>
        </w:rPr>
        <w:t xml:space="preserve"> </w:t>
      </w:r>
      <w:r>
        <w:rPr>
          <w:sz w:val="24"/>
        </w:rPr>
        <w:t>or</w:t>
      </w:r>
      <w:r>
        <w:rPr>
          <w:spacing w:val="-15"/>
          <w:sz w:val="24"/>
        </w:rPr>
        <w:t xml:space="preserve"> </w:t>
      </w:r>
      <w:r>
        <w:rPr>
          <w:sz w:val="24"/>
        </w:rPr>
        <w:t>services</w:t>
      </w:r>
      <w:r>
        <w:rPr>
          <w:spacing w:val="-9"/>
          <w:sz w:val="24"/>
        </w:rPr>
        <w:t xml:space="preserve"> </w:t>
      </w:r>
      <w:r>
        <w:rPr>
          <w:sz w:val="24"/>
        </w:rPr>
        <w:t>developed</w:t>
      </w:r>
      <w:r>
        <w:rPr>
          <w:spacing w:val="-9"/>
          <w:sz w:val="24"/>
        </w:rPr>
        <w:t xml:space="preserve"> </w:t>
      </w:r>
      <w:r>
        <w:rPr>
          <w:sz w:val="24"/>
        </w:rPr>
        <w:t>or</w:t>
      </w:r>
      <w:r>
        <w:rPr>
          <w:spacing w:val="-17"/>
          <w:sz w:val="24"/>
        </w:rPr>
        <w:t xml:space="preserve"> </w:t>
      </w:r>
      <w:r>
        <w:rPr>
          <w:sz w:val="24"/>
        </w:rPr>
        <w:t>offered.</w:t>
      </w:r>
      <w:r>
        <w:rPr>
          <w:spacing w:val="-64"/>
          <w:sz w:val="24"/>
        </w:rPr>
        <w:t xml:space="preserve"> </w:t>
      </w:r>
      <w:r>
        <w:rPr>
          <w:sz w:val="24"/>
        </w:rPr>
        <w:t>For resource companies, provide details of new drilling, exploration or production</w:t>
      </w:r>
      <w:r>
        <w:rPr>
          <w:spacing w:val="1"/>
          <w:sz w:val="24"/>
        </w:rPr>
        <w:t xml:space="preserve"> </w:t>
      </w:r>
      <w:r>
        <w:rPr>
          <w:sz w:val="24"/>
        </w:rPr>
        <w:t>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9"/>
          <w:sz w:val="24"/>
        </w:rPr>
        <w:t xml:space="preserve"> </w:t>
      </w:r>
      <w:r>
        <w:rPr>
          <w:sz w:val="24"/>
        </w:rPr>
        <w:t>any</w:t>
      </w:r>
      <w:r>
        <w:rPr>
          <w:spacing w:val="-9"/>
          <w:sz w:val="24"/>
        </w:rPr>
        <w:t xml:space="preserve"> </w:t>
      </w:r>
      <w:r>
        <w:rPr>
          <w:sz w:val="24"/>
        </w:rPr>
        <w:t>new</w:t>
      </w:r>
      <w:r>
        <w:rPr>
          <w:spacing w:val="-12"/>
          <w:sz w:val="24"/>
        </w:rPr>
        <w:t xml:space="preserve"> </w:t>
      </w:r>
      <w:r>
        <w:rPr>
          <w:sz w:val="24"/>
        </w:rPr>
        <w:t>properties</w:t>
      </w:r>
      <w:r>
        <w:rPr>
          <w:spacing w:val="-3"/>
          <w:sz w:val="24"/>
        </w:rPr>
        <w:t xml:space="preserve"> </w:t>
      </w:r>
      <w:r>
        <w:rPr>
          <w:sz w:val="24"/>
        </w:rPr>
        <w:t>and</w:t>
      </w:r>
      <w:r>
        <w:rPr>
          <w:spacing w:val="-6"/>
          <w:sz w:val="24"/>
        </w:rPr>
        <w:t xml:space="preserve"> </w:t>
      </w:r>
      <w:r>
        <w:rPr>
          <w:sz w:val="24"/>
        </w:rPr>
        <w:t>attach</w:t>
      </w:r>
      <w:r>
        <w:rPr>
          <w:spacing w:val="-7"/>
          <w:sz w:val="24"/>
        </w:rPr>
        <w:t xml:space="preserve"> </w:t>
      </w:r>
      <w:r>
        <w:rPr>
          <w:sz w:val="24"/>
        </w:rPr>
        <w:t>any</w:t>
      </w:r>
      <w:r>
        <w:rPr>
          <w:spacing w:val="-9"/>
          <w:sz w:val="24"/>
        </w:rPr>
        <w:t xml:space="preserve"> </w:t>
      </w:r>
      <w:r>
        <w:rPr>
          <w:sz w:val="24"/>
        </w:rPr>
        <w:t>mineral</w:t>
      </w:r>
      <w:r>
        <w:rPr>
          <w:spacing w:val="-6"/>
          <w:sz w:val="24"/>
        </w:rPr>
        <w:t xml:space="preserve"> </w:t>
      </w:r>
      <w:r>
        <w:rPr>
          <w:sz w:val="24"/>
        </w:rPr>
        <w:t>or</w:t>
      </w:r>
      <w:r>
        <w:rPr>
          <w:spacing w:val="-10"/>
          <w:sz w:val="24"/>
        </w:rPr>
        <w:t xml:space="preserve"> </w:t>
      </w:r>
      <w:r>
        <w:rPr>
          <w:sz w:val="24"/>
        </w:rPr>
        <w:t>oil</w:t>
      </w:r>
      <w:r>
        <w:rPr>
          <w:spacing w:val="-7"/>
          <w:sz w:val="24"/>
        </w:rPr>
        <w:t xml:space="preserve"> </w:t>
      </w:r>
      <w:r>
        <w:rPr>
          <w:sz w:val="24"/>
        </w:rPr>
        <w:t>and</w:t>
      </w:r>
      <w:r>
        <w:rPr>
          <w:spacing w:val="-64"/>
          <w:sz w:val="24"/>
        </w:rPr>
        <w:t xml:space="preserve"> </w:t>
      </w:r>
      <w:r>
        <w:rPr>
          <w:sz w:val="24"/>
        </w:rPr>
        <w:t>gas</w:t>
      </w:r>
      <w:r>
        <w:rPr>
          <w:spacing w:val="-1"/>
          <w:sz w:val="24"/>
        </w:rPr>
        <w:t xml:space="preserve"> </w:t>
      </w:r>
      <w:r>
        <w:rPr>
          <w:sz w:val="24"/>
        </w:rPr>
        <w:t>or</w:t>
      </w:r>
      <w:r>
        <w:rPr>
          <w:spacing w:val="-3"/>
          <w:sz w:val="24"/>
        </w:rPr>
        <w:t xml:space="preserve"> </w:t>
      </w:r>
      <w:r>
        <w:rPr>
          <w:sz w:val="24"/>
        </w:rPr>
        <w:t>other</w:t>
      </w:r>
      <w:r>
        <w:rPr>
          <w:spacing w:val="-1"/>
          <w:sz w:val="24"/>
        </w:rPr>
        <w:t xml:space="preserve"> </w:t>
      </w:r>
      <w:r>
        <w:rPr>
          <w:sz w:val="24"/>
        </w:rPr>
        <w:t>reports required</w:t>
      </w:r>
      <w:r>
        <w:rPr>
          <w:spacing w:val="-3"/>
          <w:sz w:val="24"/>
        </w:rPr>
        <w:t xml:space="preserve"> </w:t>
      </w:r>
      <w:r>
        <w:rPr>
          <w:sz w:val="24"/>
        </w:rPr>
        <w:t>under Ontario securities</w:t>
      </w:r>
      <w:r>
        <w:rPr>
          <w:spacing w:val="3"/>
          <w:sz w:val="24"/>
        </w:rPr>
        <w:t xml:space="preserve"> </w:t>
      </w:r>
      <w:r>
        <w:rPr>
          <w:sz w:val="24"/>
        </w:rPr>
        <w:t>law.</w:t>
      </w:r>
    </w:p>
    <w:p w14:paraId="1BEC61DD" w14:textId="77777777" w:rsidR="007B1496" w:rsidRDefault="007B1496" w:rsidP="00CF390A">
      <w:pPr>
        <w:pStyle w:val="BodyText"/>
        <w:ind w:right="400"/>
        <w:rPr>
          <w:sz w:val="21"/>
        </w:rPr>
      </w:pPr>
    </w:p>
    <w:p w14:paraId="748BBCA5" w14:textId="686992AC" w:rsidR="002F0B21" w:rsidRDefault="00162CE3" w:rsidP="00CF390A">
      <w:pPr>
        <w:pStyle w:val="Heading1"/>
        <w:spacing w:before="1"/>
        <w:ind w:right="400"/>
      </w:pPr>
      <w:r>
        <w:t>N/A</w:t>
      </w:r>
    </w:p>
    <w:p w14:paraId="352CBA6F" w14:textId="0FF90806" w:rsidR="00A24321" w:rsidRDefault="00A24321" w:rsidP="00CF390A">
      <w:pPr>
        <w:pStyle w:val="Heading1"/>
        <w:spacing w:before="1"/>
        <w:ind w:right="400"/>
      </w:pPr>
    </w:p>
    <w:p w14:paraId="5FB57D88" w14:textId="509DC2D1" w:rsidR="00A24321" w:rsidRDefault="00A24321" w:rsidP="00CF390A">
      <w:pPr>
        <w:pStyle w:val="Heading1"/>
        <w:spacing w:before="1"/>
        <w:ind w:right="400"/>
      </w:pPr>
    </w:p>
    <w:p w14:paraId="4F47A1CB" w14:textId="0A16C8BC" w:rsidR="00A24321" w:rsidRDefault="00A24321" w:rsidP="00CF390A">
      <w:pPr>
        <w:pStyle w:val="Heading1"/>
        <w:spacing w:before="1"/>
        <w:ind w:right="400"/>
      </w:pPr>
    </w:p>
    <w:p w14:paraId="271F7B90" w14:textId="7DD3FDAE" w:rsidR="00A24321" w:rsidRDefault="00A24321" w:rsidP="00CF390A">
      <w:pPr>
        <w:pStyle w:val="Heading1"/>
        <w:spacing w:before="1"/>
        <w:ind w:right="400"/>
      </w:pPr>
    </w:p>
    <w:p w14:paraId="1BEC61E0" w14:textId="77777777" w:rsidR="007B1496" w:rsidRDefault="00EB4A09" w:rsidP="00CF390A">
      <w:pPr>
        <w:pStyle w:val="ListParagraph"/>
        <w:numPr>
          <w:ilvl w:val="0"/>
          <w:numId w:val="2"/>
        </w:numPr>
        <w:tabs>
          <w:tab w:val="left" w:pos="660"/>
        </w:tabs>
        <w:ind w:right="400"/>
        <w:rPr>
          <w:sz w:val="24"/>
        </w:rPr>
      </w:pPr>
      <w:r>
        <w:rPr>
          <w:sz w:val="24"/>
        </w:rPr>
        <w:lastRenderedPageBreak/>
        <w:t>Describe and provide details of any products or services that were discontinued.</w:t>
      </w:r>
      <w:r>
        <w:rPr>
          <w:spacing w:val="1"/>
          <w:sz w:val="24"/>
        </w:rPr>
        <w:t xml:space="preserve"> </w:t>
      </w:r>
      <w:r>
        <w:rPr>
          <w:sz w:val="24"/>
        </w:rPr>
        <w:t>For resource companies, provide details of any drilling, exploration or production</w:t>
      </w:r>
      <w:r>
        <w:rPr>
          <w:spacing w:val="1"/>
          <w:sz w:val="24"/>
        </w:rPr>
        <w:t xml:space="preserve"> </w:t>
      </w:r>
      <w:r>
        <w:rPr>
          <w:sz w:val="24"/>
        </w:rPr>
        <w:t>programs</w:t>
      </w:r>
      <w:r>
        <w:rPr>
          <w:spacing w:val="-1"/>
          <w:sz w:val="24"/>
        </w:rPr>
        <w:t xml:space="preserve"> </w:t>
      </w:r>
      <w:r>
        <w:rPr>
          <w:sz w:val="24"/>
        </w:rPr>
        <w:t>that</w:t>
      </w:r>
      <w:r>
        <w:rPr>
          <w:spacing w:val="-2"/>
          <w:sz w:val="24"/>
        </w:rPr>
        <w:t xml:space="preserve"> </w:t>
      </w:r>
      <w:r>
        <w:rPr>
          <w:sz w:val="24"/>
        </w:rPr>
        <w:t>have</w:t>
      </w:r>
      <w:r>
        <w:rPr>
          <w:spacing w:val="-2"/>
          <w:sz w:val="24"/>
        </w:rPr>
        <w:t xml:space="preserve"> </w:t>
      </w:r>
      <w:r>
        <w:rPr>
          <w:sz w:val="24"/>
        </w:rPr>
        <w:t>been</w:t>
      </w:r>
      <w:r>
        <w:rPr>
          <w:spacing w:val="-1"/>
          <w:sz w:val="24"/>
        </w:rPr>
        <w:t xml:space="preserve"> </w:t>
      </w:r>
      <w:r>
        <w:rPr>
          <w:sz w:val="24"/>
        </w:rPr>
        <w:t>amended</w:t>
      </w:r>
      <w:r>
        <w:rPr>
          <w:spacing w:val="-2"/>
          <w:sz w:val="24"/>
        </w:rPr>
        <w:t xml:space="preserve"> </w:t>
      </w:r>
      <w:r>
        <w:rPr>
          <w:sz w:val="24"/>
        </w:rPr>
        <w:t>or</w:t>
      </w:r>
      <w:r>
        <w:rPr>
          <w:spacing w:val="-8"/>
          <w:sz w:val="24"/>
        </w:rPr>
        <w:t xml:space="preserve"> </w:t>
      </w:r>
      <w:r>
        <w:rPr>
          <w:sz w:val="24"/>
        </w:rPr>
        <w:t>abandoned.</w:t>
      </w:r>
    </w:p>
    <w:p w14:paraId="1BEC61E1" w14:textId="77777777" w:rsidR="007B1496" w:rsidRDefault="007B1496" w:rsidP="00CF390A">
      <w:pPr>
        <w:pStyle w:val="BodyText"/>
        <w:spacing w:before="2"/>
        <w:ind w:right="400"/>
        <w:rPr>
          <w:sz w:val="31"/>
        </w:rPr>
      </w:pPr>
    </w:p>
    <w:p w14:paraId="1BEC61E2" w14:textId="77777777" w:rsidR="007B1496" w:rsidRDefault="00EB4A09" w:rsidP="00CF390A">
      <w:pPr>
        <w:pStyle w:val="Heading1"/>
        <w:ind w:right="400"/>
      </w:pPr>
      <w:r>
        <w:t>None</w:t>
      </w:r>
      <w:r>
        <w:rPr>
          <w:spacing w:val="-1"/>
        </w:rPr>
        <w:t xml:space="preserve"> </w:t>
      </w:r>
      <w:r>
        <w:t>discontinued</w:t>
      </w:r>
    </w:p>
    <w:p w14:paraId="1BEC61E4" w14:textId="77777777" w:rsidR="007B1496" w:rsidRDefault="00EB4A09" w:rsidP="00CF390A">
      <w:pPr>
        <w:pStyle w:val="ListParagraph"/>
        <w:numPr>
          <w:ilvl w:val="0"/>
          <w:numId w:val="2"/>
        </w:numPr>
        <w:tabs>
          <w:tab w:val="left" w:pos="660"/>
        </w:tabs>
        <w:spacing w:before="217"/>
        <w:ind w:right="400"/>
        <w:rPr>
          <w:sz w:val="24"/>
        </w:rPr>
      </w:pPr>
      <w:r>
        <w:rPr>
          <w:sz w:val="24"/>
        </w:rPr>
        <w:t xml:space="preserve">Describe any new business relationships </w:t>
      </w:r>
      <w:proofErr w:type="gramStart"/>
      <w:r>
        <w:rPr>
          <w:sz w:val="24"/>
        </w:rPr>
        <w:t>entered into</w:t>
      </w:r>
      <w:proofErr w:type="gramEnd"/>
      <w:r>
        <w:rPr>
          <w:sz w:val="24"/>
        </w:rPr>
        <w:t xml:space="preserve"> between the Issuer, the</w:t>
      </w:r>
      <w:r>
        <w:rPr>
          <w:spacing w:val="1"/>
          <w:sz w:val="24"/>
        </w:rPr>
        <w:t xml:space="preserve"> </w:t>
      </w:r>
      <w:r>
        <w:rPr>
          <w:sz w:val="24"/>
        </w:rPr>
        <w:t>Issuer’s</w:t>
      </w:r>
      <w:r>
        <w:rPr>
          <w:spacing w:val="-12"/>
          <w:sz w:val="24"/>
        </w:rPr>
        <w:t xml:space="preserve"> </w:t>
      </w:r>
      <w:r>
        <w:rPr>
          <w:sz w:val="24"/>
        </w:rPr>
        <w:t>affiliates</w:t>
      </w:r>
      <w:r>
        <w:rPr>
          <w:spacing w:val="-13"/>
          <w:sz w:val="24"/>
        </w:rPr>
        <w:t xml:space="preserve"> </w:t>
      </w:r>
      <w:r>
        <w:rPr>
          <w:sz w:val="24"/>
        </w:rPr>
        <w:t>or</w:t>
      </w:r>
      <w:r>
        <w:rPr>
          <w:spacing w:val="-12"/>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5"/>
          <w:sz w:val="24"/>
        </w:rPr>
        <w:t xml:space="preserve"> </w:t>
      </w:r>
      <w:r>
        <w:rPr>
          <w:sz w:val="24"/>
        </w:rPr>
        <w:t>contracts</w:t>
      </w:r>
      <w:r>
        <w:rPr>
          <w:spacing w:val="-8"/>
          <w:sz w:val="24"/>
        </w:rPr>
        <w:t xml:space="preserve"> </w:t>
      </w:r>
      <w:r>
        <w:rPr>
          <w:sz w:val="24"/>
        </w:rPr>
        <w:t>to</w:t>
      </w:r>
      <w:r>
        <w:rPr>
          <w:spacing w:val="-8"/>
          <w:sz w:val="24"/>
        </w:rPr>
        <w:t xml:space="preserve"> </w:t>
      </w:r>
      <w:r>
        <w:rPr>
          <w:sz w:val="24"/>
        </w:rPr>
        <w:t>supply</w:t>
      </w:r>
      <w:r>
        <w:rPr>
          <w:spacing w:val="-12"/>
          <w:sz w:val="24"/>
        </w:rPr>
        <w:t xml:space="preserve"> </w:t>
      </w:r>
      <w:r>
        <w:rPr>
          <w:sz w:val="24"/>
        </w:rPr>
        <w:t>products</w:t>
      </w:r>
      <w:r>
        <w:rPr>
          <w:spacing w:val="-11"/>
          <w:sz w:val="24"/>
        </w:rPr>
        <w:t xml:space="preserve"> </w:t>
      </w:r>
      <w:r>
        <w:rPr>
          <w:sz w:val="24"/>
        </w:rPr>
        <w:t>or</w:t>
      </w:r>
      <w:r>
        <w:rPr>
          <w:spacing w:val="-13"/>
          <w:sz w:val="24"/>
        </w:rPr>
        <w:t xml:space="preserve"> </w:t>
      </w:r>
      <w:r>
        <w:rPr>
          <w:sz w:val="24"/>
        </w:rPr>
        <w:t>services,</w:t>
      </w:r>
      <w:r>
        <w:rPr>
          <w:spacing w:val="-64"/>
          <w:sz w:val="24"/>
        </w:rPr>
        <w:t xml:space="preserve"> </w:t>
      </w:r>
      <w:r>
        <w:rPr>
          <w:sz w:val="24"/>
        </w:rPr>
        <w:t>joint</w:t>
      </w:r>
      <w:r>
        <w:rPr>
          <w:spacing w:val="1"/>
          <w:sz w:val="24"/>
        </w:rPr>
        <w:t xml:space="preserve"> </w:t>
      </w:r>
      <w:r>
        <w:rPr>
          <w:sz w:val="24"/>
        </w:rPr>
        <w:t>venture</w:t>
      </w:r>
      <w:r>
        <w:rPr>
          <w:spacing w:val="1"/>
          <w:sz w:val="24"/>
        </w:rPr>
        <w:t xml:space="preserve"> </w:t>
      </w:r>
      <w:r>
        <w:rPr>
          <w:sz w:val="24"/>
        </w:rPr>
        <w:t>agreements</w:t>
      </w:r>
      <w:r>
        <w:rPr>
          <w:spacing w:val="1"/>
          <w:sz w:val="24"/>
        </w:rPr>
        <w:t xml:space="preserve"> </w:t>
      </w:r>
      <w:r>
        <w:rPr>
          <w:sz w:val="24"/>
        </w:rPr>
        <w:t>and</w:t>
      </w:r>
      <w:r>
        <w:rPr>
          <w:spacing w:val="1"/>
          <w:sz w:val="24"/>
        </w:rPr>
        <w:t xml:space="preserve"> </w:t>
      </w:r>
      <w:r>
        <w:rPr>
          <w:sz w:val="24"/>
        </w:rPr>
        <w:t>licensing</w:t>
      </w:r>
      <w:r>
        <w:rPr>
          <w:spacing w:val="1"/>
          <w:sz w:val="24"/>
        </w:rPr>
        <w:t xml:space="preserve"> </w:t>
      </w:r>
      <w:r>
        <w:rPr>
          <w:sz w:val="24"/>
        </w:rPr>
        <w:t>agreements</w:t>
      </w:r>
      <w:r>
        <w:rPr>
          <w:spacing w:val="1"/>
          <w:sz w:val="24"/>
        </w:rPr>
        <w:t xml:space="preserve"> </w:t>
      </w:r>
      <w:r>
        <w:rPr>
          <w:sz w:val="24"/>
        </w:rPr>
        <w:t>etc.</w:t>
      </w:r>
      <w:r>
        <w:rPr>
          <w:spacing w:val="1"/>
          <w:sz w:val="24"/>
        </w:rPr>
        <w:t xml:space="preserve"> </w:t>
      </w:r>
      <w:r>
        <w:rPr>
          <w:sz w:val="24"/>
        </w:rPr>
        <w:t>State</w:t>
      </w:r>
      <w:r>
        <w:rPr>
          <w:spacing w:val="1"/>
          <w:sz w:val="24"/>
        </w:rPr>
        <w:t xml:space="preserve"> </w:t>
      </w:r>
      <w:r>
        <w:rPr>
          <w:sz w:val="24"/>
        </w:rPr>
        <w:t>whether</w:t>
      </w:r>
      <w:r>
        <w:rPr>
          <w:spacing w:val="1"/>
          <w:sz w:val="24"/>
        </w:rPr>
        <w:t xml:space="preserve"> </w:t>
      </w:r>
      <w:r>
        <w:rPr>
          <w:sz w:val="24"/>
        </w:rPr>
        <w:t>the</w:t>
      </w:r>
      <w:r>
        <w:rPr>
          <w:spacing w:val="1"/>
          <w:sz w:val="24"/>
        </w:rPr>
        <w:t xml:space="preserve"> </w:t>
      </w:r>
      <w:r>
        <w:rPr>
          <w:sz w:val="24"/>
        </w:rPr>
        <w:t>relationship is with a Related Person of the Issuer and provide details of the</w:t>
      </w:r>
      <w:r>
        <w:rPr>
          <w:spacing w:val="1"/>
          <w:sz w:val="24"/>
        </w:rPr>
        <w:t xml:space="preserve"> </w:t>
      </w:r>
      <w:r>
        <w:rPr>
          <w:sz w:val="24"/>
        </w:rPr>
        <w:t>relationship.</w:t>
      </w:r>
    </w:p>
    <w:p w14:paraId="1BEC61E5" w14:textId="77777777" w:rsidR="007B1496" w:rsidRDefault="007B1496">
      <w:pPr>
        <w:pStyle w:val="BodyText"/>
        <w:spacing w:before="10"/>
        <w:rPr>
          <w:sz w:val="20"/>
        </w:rPr>
      </w:pPr>
    </w:p>
    <w:p w14:paraId="67B38831" w14:textId="288B1B16" w:rsidR="00970902" w:rsidRDefault="00A24321" w:rsidP="00970902">
      <w:pPr>
        <w:pStyle w:val="Heading1"/>
        <w:spacing w:before="1"/>
      </w:pPr>
      <w:r>
        <w:t>See</w:t>
      </w:r>
      <w:r>
        <w:rPr>
          <w:spacing w:val="-1"/>
        </w:rPr>
        <w:t xml:space="preserve"> </w:t>
      </w:r>
      <w:r>
        <w:t>responses</w:t>
      </w:r>
      <w:r>
        <w:rPr>
          <w:spacing w:val="-1"/>
        </w:rPr>
        <w:t xml:space="preserve"> </w:t>
      </w:r>
      <w:r>
        <w:t>to</w:t>
      </w:r>
      <w:r>
        <w:rPr>
          <w:spacing w:val="-1"/>
        </w:rPr>
        <w:t xml:space="preserve"> </w:t>
      </w:r>
      <w:r>
        <w:t>questions</w:t>
      </w:r>
      <w:r>
        <w:rPr>
          <w:spacing w:val="-1"/>
        </w:rPr>
        <w:t xml:space="preserve"> </w:t>
      </w:r>
      <w:r>
        <w:t>#1</w:t>
      </w:r>
      <w:r>
        <w:rPr>
          <w:spacing w:val="-1"/>
        </w:rPr>
        <w:t xml:space="preserve"> </w:t>
      </w:r>
    </w:p>
    <w:p w14:paraId="1BEC61E8" w14:textId="77777777" w:rsidR="007B1496" w:rsidRDefault="00EB4A09">
      <w:pPr>
        <w:pStyle w:val="ListParagraph"/>
        <w:numPr>
          <w:ilvl w:val="0"/>
          <w:numId w:val="2"/>
        </w:numPr>
        <w:tabs>
          <w:tab w:val="left" w:pos="660"/>
        </w:tabs>
        <w:spacing w:before="219"/>
        <w:ind w:right="857"/>
        <w:rPr>
          <w:sz w:val="24"/>
        </w:rPr>
      </w:pPr>
      <w:r>
        <w:rPr>
          <w:sz w:val="24"/>
        </w:rPr>
        <w:t>Describe the expiry or termination of any contracts or agreements between the</w:t>
      </w:r>
      <w:r>
        <w:rPr>
          <w:spacing w:val="1"/>
          <w:sz w:val="24"/>
        </w:rPr>
        <w:t xml:space="preserve"> </w:t>
      </w:r>
      <w:r>
        <w:rPr>
          <w:sz w:val="24"/>
        </w:rPr>
        <w:t>Issuer,</w:t>
      </w:r>
      <w:r>
        <w:rPr>
          <w:spacing w:val="1"/>
          <w:sz w:val="24"/>
        </w:rPr>
        <w:t xml:space="preserve"> </w:t>
      </w:r>
      <w:r>
        <w:rPr>
          <w:sz w:val="24"/>
        </w:rPr>
        <w:t>the</w:t>
      </w:r>
      <w:r>
        <w:rPr>
          <w:spacing w:val="1"/>
          <w:sz w:val="24"/>
        </w:rPr>
        <w:t xml:space="preserve"> </w:t>
      </w:r>
      <w:r>
        <w:rPr>
          <w:sz w:val="24"/>
        </w:rPr>
        <w:t>Issuer’s</w:t>
      </w:r>
      <w:r>
        <w:rPr>
          <w:spacing w:val="1"/>
          <w:sz w:val="24"/>
        </w:rPr>
        <w:t xml:space="preserve"> </w:t>
      </w:r>
      <w:r>
        <w:rPr>
          <w:sz w:val="24"/>
        </w:rPr>
        <w:t>affiliates</w:t>
      </w:r>
      <w:r>
        <w:rPr>
          <w:spacing w:val="1"/>
          <w:sz w:val="24"/>
        </w:rPr>
        <w:t xml:space="preserve"> </w:t>
      </w:r>
      <w:r>
        <w:rPr>
          <w:sz w:val="24"/>
        </w:rPr>
        <w:t>or third</w:t>
      </w:r>
      <w:r>
        <w:rPr>
          <w:spacing w:val="1"/>
          <w:sz w:val="24"/>
        </w:rPr>
        <w:t xml:space="preserve"> </w:t>
      </w:r>
      <w:r>
        <w:rPr>
          <w:sz w:val="24"/>
        </w:rPr>
        <w:t>parties</w:t>
      </w:r>
      <w:r>
        <w:rPr>
          <w:spacing w:val="1"/>
          <w:sz w:val="24"/>
        </w:rPr>
        <w:t xml:space="preserve"> </w:t>
      </w:r>
      <w:r>
        <w:rPr>
          <w:sz w:val="24"/>
        </w:rPr>
        <w:t>or cancellation of any</w:t>
      </w:r>
      <w:r>
        <w:rPr>
          <w:spacing w:val="1"/>
          <w:sz w:val="24"/>
        </w:rPr>
        <w:t xml:space="preserve"> </w:t>
      </w:r>
      <w:r>
        <w:rPr>
          <w:sz w:val="24"/>
        </w:rPr>
        <w:t>financing</w:t>
      </w:r>
      <w:r>
        <w:rPr>
          <w:spacing w:val="1"/>
          <w:sz w:val="24"/>
        </w:rPr>
        <w:t xml:space="preserve"> </w:t>
      </w:r>
      <w:r>
        <w:rPr>
          <w:sz w:val="24"/>
        </w:rPr>
        <w:t>arrangements</w:t>
      </w:r>
      <w:r>
        <w:rPr>
          <w:spacing w:val="-1"/>
          <w:sz w:val="24"/>
        </w:rPr>
        <w:t xml:space="preserve"> </w:t>
      </w:r>
      <w:r>
        <w:rPr>
          <w:sz w:val="24"/>
        </w:rPr>
        <w:t>that</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previously</w:t>
      </w:r>
      <w:r>
        <w:rPr>
          <w:spacing w:val="-12"/>
          <w:sz w:val="24"/>
        </w:rPr>
        <w:t xml:space="preserve"> </w:t>
      </w:r>
      <w:r>
        <w:rPr>
          <w:sz w:val="24"/>
        </w:rPr>
        <w:t>announced.</w:t>
      </w:r>
    </w:p>
    <w:p w14:paraId="1BEC61E9" w14:textId="77777777" w:rsidR="007B1496" w:rsidRDefault="007B1496">
      <w:pPr>
        <w:pStyle w:val="BodyText"/>
        <w:spacing w:before="10"/>
        <w:rPr>
          <w:sz w:val="20"/>
        </w:rPr>
      </w:pPr>
    </w:p>
    <w:p w14:paraId="1BEC61EA" w14:textId="5BEB4303" w:rsidR="007B1496" w:rsidRPr="0099575D" w:rsidRDefault="00EB4A09">
      <w:pPr>
        <w:pStyle w:val="Heading1"/>
        <w:rPr>
          <w:i/>
          <w:iCs/>
          <w:color w:val="FF0000"/>
        </w:rPr>
      </w:pPr>
      <w:r w:rsidRPr="00CF7C03">
        <w:t>No</w:t>
      </w:r>
      <w:r w:rsidRPr="00CF7C03">
        <w:rPr>
          <w:spacing w:val="-2"/>
        </w:rPr>
        <w:t xml:space="preserve"> </w:t>
      </w:r>
      <w:r w:rsidRPr="00CF7C03">
        <w:t>expired</w:t>
      </w:r>
      <w:r w:rsidRPr="00CF7C03">
        <w:rPr>
          <w:spacing w:val="-1"/>
        </w:rPr>
        <w:t xml:space="preserve"> </w:t>
      </w:r>
      <w:r w:rsidRPr="00CF7C03">
        <w:t>or</w:t>
      </w:r>
      <w:r w:rsidRPr="00CF7C03">
        <w:rPr>
          <w:spacing w:val="-3"/>
        </w:rPr>
        <w:t xml:space="preserve"> </w:t>
      </w:r>
      <w:r w:rsidRPr="00CF7C03">
        <w:t>terminated</w:t>
      </w:r>
      <w:r w:rsidRPr="00CF7C03">
        <w:rPr>
          <w:spacing w:val="-1"/>
        </w:rPr>
        <w:t xml:space="preserve"> </w:t>
      </w:r>
      <w:r w:rsidRPr="00CF7C03">
        <w:t>contracts</w:t>
      </w:r>
      <w:r w:rsidRPr="00CF7C03">
        <w:rPr>
          <w:spacing w:val="-4"/>
        </w:rPr>
        <w:t xml:space="preserve"> </w:t>
      </w:r>
      <w:r w:rsidRPr="00CF7C03">
        <w:t>or agreements.</w:t>
      </w:r>
    </w:p>
    <w:p w14:paraId="1BEC61EC" w14:textId="77777777" w:rsidR="007B1496" w:rsidRDefault="00EB4A09">
      <w:pPr>
        <w:pStyle w:val="ListParagraph"/>
        <w:numPr>
          <w:ilvl w:val="0"/>
          <w:numId w:val="2"/>
        </w:numPr>
        <w:tabs>
          <w:tab w:val="left" w:pos="660"/>
        </w:tabs>
        <w:spacing w:before="220"/>
        <w:ind w:right="846"/>
        <w:rPr>
          <w:sz w:val="24"/>
        </w:rPr>
      </w:pPr>
      <w:r>
        <w:rPr>
          <w:sz w:val="24"/>
        </w:rPr>
        <w:t>Describe any acquisitions by the Issuer or dispositions of the Issuer’s assets that</w:t>
      </w:r>
      <w:r>
        <w:rPr>
          <w:spacing w:val="1"/>
          <w:sz w:val="24"/>
        </w:rPr>
        <w:t xml:space="preserve"> </w:t>
      </w:r>
      <w:r>
        <w:rPr>
          <w:sz w:val="24"/>
        </w:rPr>
        <w:t>occurred during the preceding month. Provide details of the nature of the assets</w:t>
      </w:r>
      <w:r>
        <w:rPr>
          <w:spacing w:val="1"/>
          <w:sz w:val="24"/>
        </w:rPr>
        <w:t xml:space="preserve"> </w:t>
      </w:r>
      <w:r>
        <w:rPr>
          <w:sz w:val="24"/>
        </w:rPr>
        <w:t>acquired or disposed of and provide details of the consideration paid or payable</w:t>
      </w:r>
      <w:r>
        <w:rPr>
          <w:spacing w:val="1"/>
          <w:sz w:val="24"/>
        </w:rPr>
        <w:t xml:space="preserve"> </w:t>
      </w:r>
      <w:r>
        <w:rPr>
          <w:sz w:val="24"/>
        </w:rPr>
        <w:t>together</w:t>
      </w:r>
      <w:r>
        <w:rPr>
          <w:spacing w:val="-17"/>
          <w:sz w:val="24"/>
        </w:rPr>
        <w:t xml:space="preserve"> </w:t>
      </w:r>
      <w:r>
        <w:rPr>
          <w:sz w:val="24"/>
        </w:rPr>
        <w:t>with</w:t>
      </w:r>
      <w:r>
        <w:rPr>
          <w:spacing w:val="-13"/>
          <w:sz w:val="24"/>
        </w:rPr>
        <w:t xml:space="preserve"> </w:t>
      </w:r>
      <w:r>
        <w:rPr>
          <w:sz w:val="24"/>
        </w:rPr>
        <w:t>a</w:t>
      </w:r>
      <w:r>
        <w:rPr>
          <w:spacing w:val="-13"/>
          <w:sz w:val="24"/>
        </w:rPr>
        <w:t xml:space="preserve"> </w:t>
      </w:r>
      <w:r>
        <w:rPr>
          <w:sz w:val="24"/>
        </w:rPr>
        <w:t>schedule</w:t>
      </w:r>
      <w:r>
        <w:rPr>
          <w:spacing w:val="-7"/>
          <w:sz w:val="24"/>
        </w:rPr>
        <w:t xml:space="preserve"> </w:t>
      </w:r>
      <w:r>
        <w:rPr>
          <w:sz w:val="24"/>
        </w:rPr>
        <w:t>of</w:t>
      </w:r>
      <w:r>
        <w:rPr>
          <w:spacing w:val="-16"/>
          <w:sz w:val="24"/>
        </w:rPr>
        <w:t xml:space="preserve"> </w:t>
      </w:r>
      <w:r>
        <w:rPr>
          <w:sz w:val="24"/>
        </w:rPr>
        <w:t>payments</w:t>
      </w:r>
      <w:r>
        <w:rPr>
          <w:spacing w:val="-10"/>
          <w:sz w:val="24"/>
        </w:rPr>
        <w:t xml:space="preserve"> </w:t>
      </w:r>
      <w:r>
        <w:rPr>
          <w:sz w:val="24"/>
        </w:rPr>
        <w:t>if</w:t>
      </w:r>
      <w:r>
        <w:rPr>
          <w:spacing w:val="-14"/>
          <w:sz w:val="24"/>
        </w:rPr>
        <w:t xml:space="preserve"> </w:t>
      </w:r>
      <w:r>
        <w:rPr>
          <w:sz w:val="24"/>
        </w:rPr>
        <w:t>applicable,</w:t>
      </w:r>
      <w:r>
        <w:rPr>
          <w:spacing w:val="-14"/>
          <w:sz w:val="24"/>
        </w:rPr>
        <w:t xml:space="preserve"> </w:t>
      </w:r>
      <w:r>
        <w:rPr>
          <w:sz w:val="24"/>
        </w:rPr>
        <w:t>and</w:t>
      </w:r>
      <w:r>
        <w:rPr>
          <w:spacing w:val="-15"/>
          <w:sz w:val="24"/>
        </w:rPr>
        <w:t xml:space="preserve"> </w:t>
      </w:r>
      <w:r>
        <w:rPr>
          <w:sz w:val="24"/>
        </w:rPr>
        <w:t>of</w:t>
      </w:r>
      <w:r>
        <w:rPr>
          <w:spacing w:val="-16"/>
          <w:sz w:val="24"/>
        </w:rPr>
        <w:t xml:space="preserve"> </w:t>
      </w:r>
      <w:r>
        <w:rPr>
          <w:sz w:val="24"/>
        </w:rPr>
        <w:t>any</w:t>
      </w:r>
      <w:r>
        <w:rPr>
          <w:spacing w:val="-14"/>
          <w:sz w:val="24"/>
        </w:rPr>
        <w:t xml:space="preserve"> </w:t>
      </w:r>
      <w:r>
        <w:rPr>
          <w:sz w:val="24"/>
        </w:rPr>
        <w:t>valuation.</w:t>
      </w:r>
      <w:r>
        <w:rPr>
          <w:spacing w:val="-9"/>
          <w:sz w:val="24"/>
        </w:rPr>
        <w:t xml:space="preserve"> </w:t>
      </w:r>
      <w:r>
        <w:rPr>
          <w:sz w:val="24"/>
        </w:rPr>
        <w:t>State</w:t>
      </w:r>
      <w:r>
        <w:rPr>
          <w:spacing w:val="-11"/>
          <w:sz w:val="24"/>
        </w:rPr>
        <w:t xml:space="preserve"> </w:t>
      </w:r>
      <w:r>
        <w:rPr>
          <w:sz w:val="24"/>
        </w:rPr>
        <w:t>how</w:t>
      </w:r>
      <w:r>
        <w:rPr>
          <w:spacing w:val="-64"/>
          <w:sz w:val="24"/>
        </w:rPr>
        <w:t xml:space="preserve"> </w:t>
      </w:r>
      <w:r>
        <w:rPr>
          <w:sz w:val="24"/>
        </w:rPr>
        <w:t xml:space="preserve">the consideration was determined and whether the acquisition was </w:t>
      </w:r>
      <w:proofErr w:type="gramStart"/>
      <w:r>
        <w:rPr>
          <w:sz w:val="24"/>
        </w:rPr>
        <w:t>from</w:t>
      </w:r>
      <w:proofErr w:type="gramEnd"/>
      <w:r>
        <w:rPr>
          <w:sz w:val="24"/>
        </w:rPr>
        <w:t xml:space="preserve"> or the</w:t>
      </w:r>
      <w:r>
        <w:rPr>
          <w:spacing w:val="1"/>
          <w:sz w:val="24"/>
        </w:rPr>
        <w:t xml:space="preserve"> </w:t>
      </w:r>
      <w:r>
        <w:rPr>
          <w:sz w:val="24"/>
        </w:rPr>
        <w:t>disposition was to a Related Person of the Issuer and provide details of the</w:t>
      </w:r>
      <w:r>
        <w:rPr>
          <w:spacing w:val="1"/>
          <w:sz w:val="24"/>
        </w:rPr>
        <w:t xml:space="preserve"> </w:t>
      </w:r>
      <w:r>
        <w:rPr>
          <w:sz w:val="24"/>
        </w:rPr>
        <w:t>relationship.</w:t>
      </w:r>
    </w:p>
    <w:p w14:paraId="1BEC61ED" w14:textId="77777777" w:rsidR="007B1496" w:rsidRDefault="007B1496">
      <w:pPr>
        <w:pStyle w:val="BodyText"/>
      </w:pPr>
    </w:p>
    <w:p w14:paraId="1BEC61EE" w14:textId="2C7168CB" w:rsidR="007B1496" w:rsidRDefault="00EB4A09" w:rsidP="00847AD4">
      <w:pPr>
        <w:pStyle w:val="Heading1"/>
        <w:ind w:right="1066"/>
        <w:jc w:val="both"/>
      </w:pPr>
      <w:r w:rsidRPr="004449D9">
        <w:t xml:space="preserve">The Company’s </w:t>
      </w:r>
      <w:proofErr w:type="gramStart"/>
      <w:r w:rsidRPr="004449D9">
        <w:t>wholly-owned</w:t>
      </w:r>
      <w:proofErr w:type="gramEnd"/>
      <w:r w:rsidRPr="004449D9">
        <w:t xml:space="preserve"> subsidiary, C</w:t>
      </w:r>
      <w:r w:rsidR="001E5CCB">
        <w:t xml:space="preserve">anada House </w:t>
      </w:r>
      <w:r w:rsidRPr="004449D9">
        <w:t>C</w:t>
      </w:r>
      <w:r w:rsidR="001E5CCB">
        <w:t>linics</w:t>
      </w:r>
      <w:r w:rsidRPr="004449D9">
        <w:t>,</w:t>
      </w:r>
      <w:r w:rsidR="00953851">
        <w:rPr>
          <w:spacing w:val="-64"/>
        </w:rPr>
        <w:t xml:space="preserve"> </w:t>
      </w:r>
      <w:r w:rsidRPr="004449D9">
        <w:t>received</w:t>
      </w:r>
      <w:r w:rsidRPr="004449D9">
        <w:rPr>
          <w:spacing w:val="-5"/>
        </w:rPr>
        <w:t xml:space="preserve"> </w:t>
      </w:r>
      <w:r w:rsidRPr="004449D9">
        <w:t>a</w:t>
      </w:r>
      <w:r w:rsidRPr="004449D9">
        <w:rPr>
          <w:spacing w:val="-2"/>
        </w:rPr>
        <w:t xml:space="preserve"> </w:t>
      </w:r>
      <w:r w:rsidRPr="004449D9">
        <w:t>$</w:t>
      </w:r>
      <w:r w:rsidR="00730991">
        <w:t>700</w:t>
      </w:r>
      <w:r w:rsidR="004A57A8" w:rsidRPr="004449D9">
        <w:t xml:space="preserve"> </w:t>
      </w:r>
      <w:r w:rsidRPr="004449D9">
        <w:t>credit</w:t>
      </w:r>
      <w:r w:rsidRPr="004449D9">
        <w:rPr>
          <w:spacing w:val="-2"/>
        </w:rPr>
        <w:t xml:space="preserve"> </w:t>
      </w:r>
      <w:r w:rsidRPr="004449D9">
        <w:t>for</w:t>
      </w:r>
      <w:r w:rsidRPr="004449D9">
        <w:rPr>
          <w:spacing w:val="-2"/>
        </w:rPr>
        <w:t xml:space="preserve"> </w:t>
      </w:r>
      <w:r w:rsidRPr="004449D9">
        <w:t>leasehold</w:t>
      </w:r>
      <w:r w:rsidRPr="004449D9">
        <w:rPr>
          <w:spacing w:val="-2"/>
        </w:rPr>
        <w:t xml:space="preserve"> </w:t>
      </w:r>
      <w:r w:rsidRPr="004449D9">
        <w:t>improvements</w:t>
      </w:r>
      <w:r w:rsidR="00255B49">
        <w:t xml:space="preserve">, </w:t>
      </w:r>
      <w:r w:rsidR="00255B49" w:rsidRPr="007E3534">
        <w:t xml:space="preserve">had </w:t>
      </w:r>
      <w:r w:rsidR="00255B49" w:rsidRPr="00E64AD2">
        <w:t>$</w:t>
      </w:r>
      <w:r w:rsidR="00AB30F8">
        <w:t>2,100</w:t>
      </w:r>
      <w:r w:rsidR="00255B49" w:rsidRPr="00E64AD2">
        <w:rPr>
          <w:spacing w:val="1"/>
        </w:rPr>
        <w:t xml:space="preserve"> </w:t>
      </w:r>
      <w:r w:rsidR="00255B49" w:rsidRPr="00E64AD2">
        <w:t>of</w:t>
      </w:r>
      <w:r w:rsidR="00255B49" w:rsidRPr="00E64AD2">
        <w:rPr>
          <w:spacing w:val="1"/>
        </w:rPr>
        <w:t xml:space="preserve"> </w:t>
      </w:r>
      <w:r w:rsidR="00255B49" w:rsidRPr="00E64AD2">
        <w:t xml:space="preserve">additions to </w:t>
      </w:r>
      <w:r w:rsidR="00255B49">
        <w:t>leasehold improvements</w:t>
      </w:r>
      <w:r w:rsidRPr="004449D9">
        <w:rPr>
          <w:spacing w:val="-2"/>
        </w:rPr>
        <w:t xml:space="preserve"> </w:t>
      </w:r>
      <w:r w:rsidRPr="004449D9">
        <w:t>on</w:t>
      </w:r>
      <w:r w:rsidRPr="004449D9">
        <w:rPr>
          <w:spacing w:val="-3"/>
        </w:rPr>
        <w:t xml:space="preserve"> </w:t>
      </w:r>
      <w:r w:rsidRPr="004449D9">
        <w:t>its</w:t>
      </w:r>
      <w:r w:rsidRPr="004449D9">
        <w:rPr>
          <w:spacing w:val="-2"/>
        </w:rPr>
        <w:t xml:space="preserve"> </w:t>
      </w:r>
      <w:r w:rsidRPr="004449D9">
        <w:t>Edmonton</w:t>
      </w:r>
      <w:r w:rsidRPr="004449D9">
        <w:rPr>
          <w:spacing w:val="-2"/>
        </w:rPr>
        <w:t xml:space="preserve"> </w:t>
      </w:r>
      <w:r w:rsidRPr="004449D9">
        <w:t>office.</w:t>
      </w:r>
    </w:p>
    <w:p w14:paraId="24103BB2" w14:textId="77777777" w:rsidR="00164B1E" w:rsidRDefault="00164B1E">
      <w:pPr>
        <w:pStyle w:val="Heading1"/>
        <w:ind w:right="1066"/>
      </w:pPr>
    </w:p>
    <w:p w14:paraId="1BEC61F2" w14:textId="77777777" w:rsidR="007B1496" w:rsidRDefault="00EB4A09">
      <w:pPr>
        <w:pStyle w:val="ListParagraph"/>
        <w:numPr>
          <w:ilvl w:val="0"/>
          <w:numId w:val="2"/>
        </w:numPr>
        <w:tabs>
          <w:tab w:val="left" w:pos="659"/>
          <w:tab w:val="left" w:pos="660"/>
        </w:tabs>
        <w:ind w:hanging="543"/>
        <w:rPr>
          <w:sz w:val="24"/>
        </w:rPr>
      </w:pPr>
      <w:r>
        <w:rPr>
          <w:sz w:val="24"/>
        </w:rPr>
        <w:t>Describe</w:t>
      </w:r>
      <w:r>
        <w:rPr>
          <w:spacing w:val="-1"/>
          <w:sz w:val="24"/>
        </w:rPr>
        <w:t xml:space="preserve"> </w:t>
      </w:r>
      <w:r>
        <w:rPr>
          <w:sz w:val="24"/>
        </w:rPr>
        <w:t>the</w:t>
      </w:r>
      <w:r>
        <w:rPr>
          <w:spacing w:val="-1"/>
          <w:sz w:val="24"/>
        </w:rPr>
        <w:t xml:space="preserve"> </w:t>
      </w:r>
      <w:r>
        <w:rPr>
          <w:sz w:val="24"/>
        </w:rPr>
        <w:t>acquisition</w:t>
      </w:r>
      <w:r>
        <w:rPr>
          <w:spacing w:val="-1"/>
          <w:sz w:val="24"/>
        </w:rPr>
        <w:t xml:space="preserve"> </w:t>
      </w:r>
      <w:r>
        <w:rPr>
          <w:sz w:val="24"/>
        </w:rPr>
        <w:t>of</w:t>
      </w:r>
      <w:r>
        <w:rPr>
          <w:spacing w:val="-3"/>
          <w:sz w:val="24"/>
        </w:rPr>
        <w:t xml:space="preserve"> </w:t>
      </w:r>
      <w:r>
        <w:rPr>
          <w:sz w:val="24"/>
        </w:rPr>
        <w:t>new</w:t>
      </w:r>
      <w:r>
        <w:rPr>
          <w:spacing w:val="-1"/>
          <w:sz w:val="24"/>
        </w:rPr>
        <w:t xml:space="preserve"> </w:t>
      </w:r>
      <w:r>
        <w:rPr>
          <w:sz w:val="24"/>
        </w:rPr>
        <w:t>customers</w:t>
      </w:r>
      <w:r>
        <w:rPr>
          <w:spacing w:val="-1"/>
          <w:sz w:val="24"/>
        </w:rPr>
        <w:t xml:space="preserve"> </w:t>
      </w:r>
      <w:r>
        <w:rPr>
          <w:sz w:val="24"/>
        </w:rPr>
        <w:t>or</w:t>
      </w:r>
      <w:r>
        <w:rPr>
          <w:spacing w:val="-4"/>
          <w:sz w:val="24"/>
        </w:rPr>
        <w:t xml:space="preserve"> </w:t>
      </w:r>
      <w:r>
        <w:rPr>
          <w:sz w:val="24"/>
        </w:rPr>
        <w:t>loss</w:t>
      </w:r>
      <w:r>
        <w:rPr>
          <w:spacing w:val="-1"/>
          <w:sz w:val="24"/>
        </w:rPr>
        <w:t xml:space="preserve"> </w:t>
      </w:r>
      <w:r>
        <w:rPr>
          <w:sz w:val="24"/>
        </w:rPr>
        <w:t>of</w:t>
      </w:r>
      <w:r>
        <w:rPr>
          <w:spacing w:val="-5"/>
          <w:sz w:val="24"/>
        </w:rPr>
        <w:t xml:space="preserve"> </w:t>
      </w:r>
      <w:r>
        <w:rPr>
          <w:sz w:val="24"/>
        </w:rPr>
        <w:t>customers.</w:t>
      </w:r>
    </w:p>
    <w:p w14:paraId="1BEC61F3" w14:textId="77777777" w:rsidR="007B1496" w:rsidRDefault="007B1496">
      <w:pPr>
        <w:pStyle w:val="BodyText"/>
        <w:spacing w:before="10"/>
        <w:rPr>
          <w:sz w:val="20"/>
        </w:rPr>
      </w:pPr>
    </w:p>
    <w:p w14:paraId="1BEC61F4" w14:textId="4D9B4393" w:rsidR="007B1496" w:rsidRPr="00A1471D" w:rsidRDefault="00EB4A09">
      <w:pPr>
        <w:pStyle w:val="Heading1"/>
        <w:jc w:val="both"/>
      </w:pPr>
      <w:r w:rsidRPr="00A1471D">
        <w:t>Abba</w:t>
      </w:r>
      <w:r w:rsidRPr="00A1471D">
        <w:rPr>
          <w:spacing w:val="-1"/>
        </w:rPr>
        <w:t xml:space="preserve"> </w:t>
      </w:r>
      <w:r w:rsidRPr="00A1471D">
        <w:t xml:space="preserve">Medix </w:t>
      </w:r>
      <w:r w:rsidR="00676087">
        <w:t xml:space="preserve">Corp’s </w:t>
      </w:r>
      <w:r w:rsidRPr="00A1471D">
        <w:t>medical</w:t>
      </w:r>
      <w:r w:rsidRPr="00A1471D">
        <w:rPr>
          <w:spacing w:val="-3"/>
        </w:rPr>
        <w:t xml:space="preserve"> </w:t>
      </w:r>
      <w:r w:rsidRPr="00A1471D">
        <w:t>patients</w:t>
      </w:r>
      <w:r w:rsidRPr="00A1471D">
        <w:rPr>
          <w:spacing w:val="-1"/>
        </w:rPr>
        <w:t xml:space="preserve"> </w:t>
      </w:r>
      <w:r w:rsidRPr="00A1471D">
        <w:t>increased</w:t>
      </w:r>
      <w:r w:rsidRPr="00A1471D">
        <w:rPr>
          <w:spacing w:val="3"/>
        </w:rPr>
        <w:t xml:space="preserve"> </w:t>
      </w:r>
      <w:r w:rsidRPr="00A1471D">
        <w:t>by</w:t>
      </w:r>
      <w:r w:rsidRPr="00A1471D">
        <w:rPr>
          <w:spacing w:val="-2"/>
        </w:rPr>
        <w:t xml:space="preserve"> </w:t>
      </w:r>
      <w:r w:rsidR="00442940" w:rsidRPr="00A1471D">
        <w:rPr>
          <w:spacing w:val="-2"/>
        </w:rPr>
        <w:t>7</w:t>
      </w:r>
      <w:r w:rsidRPr="00A1471D">
        <w:t>%</w:t>
      </w:r>
      <w:r w:rsidRPr="00A1471D">
        <w:rPr>
          <w:spacing w:val="-1"/>
        </w:rPr>
        <w:t xml:space="preserve"> </w:t>
      </w:r>
      <w:r w:rsidRPr="00A1471D">
        <w:t>during</w:t>
      </w:r>
      <w:r w:rsidRPr="00A1471D">
        <w:rPr>
          <w:spacing w:val="-1"/>
        </w:rPr>
        <w:t xml:space="preserve"> </w:t>
      </w:r>
      <w:r w:rsidRPr="00A1471D">
        <w:t>the</w:t>
      </w:r>
      <w:r w:rsidRPr="00A1471D">
        <w:rPr>
          <w:spacing w:val="-3"/>
        </w:rPr>
        <w:t xml:space="preserve"> </w:t>
      </w:r>
      <w:r w:rsidRPr="00A1471D">
        <w:t>month.</w:t>
      </w:r>
    </w:p>
    <w:p w14:paraId="677A8431" w14:textId="2CDE1262" w:rsidR="00C6608B" w:rsidRDefault="00C6608B" w:rsidP="00C6608B">
      <w:pPr>
        <w:pStyle w:val="Heading1"/>
        <w:jc w:val="both"/>
      </w:pPr>
      <w:r w:rsidRPr="00A1471D">
        <w:rPr>
          <w:spacing w:val="-1"/>
        </w:rPr>
        <w:t xml:space="preserve">CHC </w:t>
      </w:r>
      <w:r w:rsidR="004C1BED" w:rsidRPr="00A1471D">
        <w:rPr>
          <w:spacing w:val="-1"/>
        </w:rPr>
        <w:t>medical patients</w:t>
      </w:r>
      <w:r w:rsidRPr="00A1471D">
        <w:rPr>
          <w:spacing w:val="-1"/>
        </w:rPr>
        <w:t xml:space="preserve"> </w:t>
      </w:r>
      <w:r w:rsidRPr="00A1471D">
        <w:t>increased</w:t>
      </w:r>
      <w:r w:rsidRPr="00A1471D">
        <w:rPr>
          <w:spacing w:val="3"/>
        </w:rPr>
        <w:t xml:space="preserve"> </w:t>
      </w:r>
      <w:r w:rsidRPr="00A1471D">
        <w:t>by</w:t>
      </w:r>
      <w:r w:rsidRPr="00A1471D">
        <w:rPr>
          <w:spacing w:val="-2"/>
        </w:rPr>
        <w:t xml:space="preserve"> 1</w:t>
      </w:r>
      <w:r w:rsidRPr="00A1471D">
        <w:t>%</w:t>
      </w:r>
      <w:r w:rsidRPr="00A1471D">
        <w:rPr>
          <w:spacing w:val="-1"/>
        </w:rPr>
        <w:t xml:space="preserve"> </w:t>
      </w:r>
      <w:r w:rsidRPr="00A1471D">
        <w:t>during</w:t>
      </w:r>
      <w:r w:rsidRPr="00A1471D">
        <w:rPr>
          <w:spacing w:val="-1"/>
        </w:rPr>
        <w:t xml:space="preserve"> </w:t>
      </w:r>
      <w:r w:rsidRPr="00A1471D">
        <w:t>the</w:t>
      </w:r>
      <w:r w:rsidRPr="00A1471D">
        <w:rPr>
          <w:spacing w:val="-3"/>
        </w:rPr>
        <w:t xml:space="preserve"> </w:t>
      </w:r>
      <w:r w:rsidRPr="00A1471D">
        <w:t>month.</w:t>
      </w:r>
    </w:p>
    <w:p w14:paraId="1BEC61F5" w14:textId="77777777" w:rsidR="007B1496" w:rsidRDefault="007B1496">
      <w:pPr>
        <w:pStyle w:val="BodyText"/>
        <w:spacing w:before="5"/>
        <w:rPr>
          <w:b/>
          <w:sz w:val="34"/>
        </w:rPr>
      </w:pPr>
    </w:p>
    <w:p w14:paraId="1BEC61F6" w14:textId="77777777" w:rsidR="007B1496" w:rsidRDefault="00EB4A09">
      <w:pPr>
        <w:pStyle w:val="ListParagraph"/>
        <w:numPr>
          <w:ilvl w:val="0"/>
          <w:numId w:val="2"/>
        </w:numPr>
        <w:tabs>
          <w:tab w:val="left" w:pos="660"/>
        </w:tabs>
        <w:ind w:right="858"/>
        <w:rPr>
          <w:sz w:val="24"/>
        </w:rPr>
      </w:pPr>
      <w:r>
        <w:rPr>
          <w:sz w:val="24"/>
        </w:rPr>
        <w:t>Describe any new developments or effects on intangible products such as brand</w:t>
      </w:r>
      <w:r>
        <w:rPr>
          <w:spacing w:val="1"/>
          <w:sz w:val="24"/>
        </w:rPr>
        <w:t xml:space="preserve"> </w:t>
      </w:r>
      <w:r>
        <w:rPr>
          <w:sz w:val="24"/>
        </w:rPr>
        <w:t>names,</w:t>
      </w:r>
      <w:r>
        <w:rPr>
          <w:spacing w:val="1"/>
          <w:sz w:val="24"/>
        </w:rPr>
        <w:t xml:space="preserve"> </w:t>
      </w:r>
      <w:r>
        <w:rPr>
          <w:sz w:val="24"/>
        </w:rPr>
        <w:t>circulation</w:t>
      </w:r>
      <w:r>
        <w:rPr>
          <w:spacing w:val="1"/>
          <w:sz w:val="24"/>
        </w:rPr>
        <w:t xml:space="preserve"> </w:t>
      </w:r>
      <w:r>
        <w:rPr>
          <w:sz w:val="24"/>
        </w:rPr>
        <w:t>lists,</w:t>
      </w:r>
      <w:r>
        <w:rPr>
          <w:spacing w:val="1"/>
          <w:sz w:val="24"/>
        </w:rPr>
        <w:t xml:space="preserve"> </w:t>
      </w:r>
      <w:r>
        <w:rPr>
          <w:sz w:val="24"/>
        </w:rPr>
        <w:t>copyrights,</w:t>
      </w:r>
      <w:r>
        <w:rPr>
          <w:spacing w:val="1"/>
          <w:sz w:val="24"/>
        </w:rPr>
        <w:t xml:space="preserve"> </w:t>
      </w:r>
      <w:r>
        <w:rPr>
          <w:sz w:val="24"/>
        </w:rPr>
        <w:t>franchises,</w:t>
      </w:r>
      <w:r>
        <w:rPr>
          <w:spacing w:val="1"/>
          <w:sz w:val="24"/>
        </w:rPr>
        <w:t xml:space="preserve"> </w:t>
      </w:r>
      <w:r>
        <w:rPr>
          <w:sz w:val="24"/>
        </w:rPr>
        <w:t>licenses,</w:t>
      </w:r>
      <w:r>
        <w:rPr>
          <w:spacing w:val="1"/>
          <w:sz w:val="24"/>
        </w:rPr>
        <w:t xml:space="preserve"> </w:t>
      </w:r>
      <w:r>
        <w:rPr>
          <w:sz w:val="24"/>
        </w:rPr>
        <w:t>patents,</w:t>
      </w:r>
      <w:r>
        <w:rPr>
          <w:spacing w:val="1"/>
          <w:sz w:val="24"/>
        </w:rPr>
        <w:t xml:space="preserve"> </w:t>
      </w:r>
      <w:r>
        <w:rPr>
          <w:sz w:val="24"/>
        </w:rPr>
        <w:t>software,</w:t>
      </w:r>
      <w:r>
        <w:rPr>
          <w:spacing w:val="1"/>
          <w:sz w:val="24"/>
        </w:rPr>
        <w:t xml:space="preserve"> </w:t>
      </w:r>
      <w:r>
        <w:rPr>
          <w:sz w:val="24"/>
        </w:rPr>
        <w:t>subscription</w:t>
      </w:r>
      <w:r>
        <w:rPr>
          <w:spacing w:val="-3"/>
          <w:sz w:val="24"/>
        </w:rPr>
        <w:t xml:space="preserve"> </w:t>
      </w:r>
      <w:r>
        <w:rPr>
          <w:sz w:val="24"/>
        </w:rPr>
        <w:t>lists and trademarks.</w:t>
      </w:r>
    </w:p>
    <w:p w14:paraId="1BEC61F7" w14:textId="77777777" w:rsidR="007B1496" w:rsidRDefault="007B1496">
      <w:pPr>
        <w:pStyle w:val="BodyText"/>
        <w:spacing w:before="11"/>
        <w:rPr>
          <w:sz w:val="20"/>
        </w:rPr>
      </w:pPr>
    </w:p>
    <w:p w14:paraId="209F660A" w14:textId="0CCFF383" w:rsidR="003F3C9C" w:rsidRDefault="003F3C9C" w:rsidP="003F3C9C">
      <w:pPr>
        <w:pStyle w:val="Heading1"/>
        <w:ind w:right="1066"/>
        <w:jc w:val="both"/>
      </w:pPr>
      <w:r w:rsidRPr="004449D9">
        <w:t xml:space="preserve">The Company’s </w:t>
      </w:r>
      <w:proofErr w:type="gramStart"/>
      <w:r w:rsidRPr="004449D9">
        <w:t>wholly-owned</w:t>
      </w:r>
      <w:proofErr w:type="gramEnd"/>
      <w:r w:rsidRPr="004449D9">
        <w:t xml:space="preserve"> subsidiary, </w:t>
      </w:r>
      <w:r>
        <w:t>Abba Medix Corp.,</w:t>
      </w:r>
      <w:r>
        <w:rPr>
          <w:spacing w:val="-64"/>
        </w:rPr>
        <w:t xml:space="preserve"> </w:t>
      </w:r>
      <w:r w:rsidRPr="007E3534">
        <w:t xml:space="preserve">had </w:t>
      </w:r>
      <w:r w:rsidRPr="00E64AD2">
        <w:t>$</w:t>
      </w:r>
      <w:r>
        <w:t>12,700</w:t>
      </w:r>
      <w:r w:rsidRPr="00E64AD2">
        <w:rPr>
          <w:spacing w:val="1"/>
        </w:rPr>
        <w:t xml:space="preserve"> </w:t>
      </w:r>
      <w:r w:rsidRPr="00E64AD2">
        <w:t>of</w:t>
      </w:r>
      <w:r w:rsidRPr="00E64AD2">
        <w:rPr>
          <w:spacing w:val="1"/>
        </w:rPr>
        <w:t xml:space="preserve"> </w:t>
      </w:r>
      <w:r w:rsidRPr="00E64AD2">
        <w:t xml:space="preserve">additions to </w:t>
      </w:r>
      <w:r>
        <w:t>its</w:t>
      </w:r>
      <w:r w:rsidR="00C60FF5">
        <w:t xml:space="preserve"> website development</w:t>
      </w:r>
      <w:r>
        <w:t>.</w:t>
      </w:r>
    </w:p>
    <w:p w14:paraId="1BEC61F9" w14:textId="77777777" w:rsidR="007B1496" w:rsidRDefault="007B1496">
      <w:pPr>
        <w:pStyle w:val="BodyText"/>
        <w:spacing w:before="2"/>
        <w:rPr>
          <w:b/>
          <w:sz w:val="29"/>
        </w:rPr>
      </w:pPr>
    </w:p>
    <w:p w14:paraId="1BEC61FA" w14:textId="77777777" w:rsidR="007B1496" w:rsidRDefault="00EB4A09">
      <w:pPr>
        <w:pStyle w:val="ListParagraph"/>
        <w:numPr>
          <w:ilvl w:val="0"/>
          <w:numId w:val="2"/>
        </w:numPr>
        <w:tabs>
          <w:tab w:val="left" w:pos="660"/>
        </w:tabs>
        <w:ind w:right="856"/>
        <w:rPr>
          <w:sz w:val="24"/>
        </w:rPr>
      </w:pPr>
      <w:r>
        <w:rPr>
          <w:sz w:val="24"/>
        </w:rPr>
        <w:t>Report on any employee hiring, terminations or lay-offs with details of anticipated</w:t>
      </w:r>
      <w:r>
        <w:rPr>
          <w:spacing w:val="1"/>
          <w:sz w:val="24"/>
        </w:rPr>
        <w:t xml:space="preserve"> </w:t>
      </w:r>
      <w:r>
        <w:rPr>
          <w:sz w:val="24"/>
        </w:rPr>
        <w:t>length</w:t>
      </w:r>
      <w:r>
        <w:rPr>
          <w:spacing w:val="-1"/>
          <w:sz w:val="24"/>
        </w:rPr>
        <w:t xml:space="preserve"> </w:t>
      </w:r>
      <w:r>
        <w:rPr>
          <w:sz w:val="24"/>
        </w:rPr>
        <w:t>of</w:t>
      </w:r>
      <w:r>
        <w:rPr>
          <w:spacing w:val="-1"/>
          <w:sz w:val="24"/>
        </w:rPr>
        <w:t xml:space="preserve"> </w:t>
      </w:r>
      <w:proofErr w:type="gramStart"/>
      <w:r>
        <w:rPr>
          <w:sz w:val="24"/>
        </w:rPr>
        <w:t>lay-offs</w:t>
      </w:r>
      <w:proofErr w:type="gramEnd"/>
      <w:r>
        <w:rPr>
          <w:sz w:val="24"/>
        </w:rPr>
        <w:t>.</w:t>
      </w:r>
    </w:p>
    <w:p w14:paraId="1BEC61FB" w14:textId="77777777" w:rsidR="007B1496" w:rsidRDefault="007B1496">
      <w:pPr>
        <w:pStyle w:val="BodyText"/>
        <w:spacing w:before="10"/>
        <w:rPr>
          <w:sz w:val="20"/>
        </w:rPr>
      </w:pPr>
    </w:p>
    <w:p w14:paraId="1BEC61FD" w14:textId="11C0E252" w:rsidR="007B1496" w:rsidRDefault="00C60E88" w:rsidP="00AB712A">
      <w:pPr>
        <w:pStyle w:val="Heading1"/>
        <w:ind w:right="1198"/>
        <w:jc w:val="both"/>
      </w:pPr>
      <w:r>
        <w:t>One</w:t>
      </w:r>
      <w:r w:rsidR="00C53227" w:rsidRPr="007A67D5">
        <w:t xml:space="preserve"> </w:t>
      </w:r>
      <w:r w:rsidR="00040DBB" w:rsidRPr="007A67D5">
        <w:t xml:space="preserve">new </w:t>
      </w:r>
      <w:r w:rsidR="00056E2A" w:rsidRPr="007A67D5">
        <w:t>hire</w:t>
      </w:r>
      <w:r w:rsidR="00040DBB" w:rsidRPr="007A67D5">
        <w:t xml:space="preserve"> </w:t>
      </w:r>
      <w:r w:rsidR="004E1DFF">
        <w:t>and one termination at Abba</w:t>
      </w:r>
    </w:p>
    <w:p w14:paraId="42A537B0" w14:textId="77777777" w:rsidR="00AB712A" w:rsidRDefault="00AB712A" w:rsidP="00AB712A">
      <w:pPr>
        <w:pStyle w:val="Heading1"/>
        <w:ind w:right="1198"/>
        <w:jc w:val="both"/>
        <w:rPr>
          <w:b w:val="0"/>
          <w:sz w:val="22"/>
        </w:rPr>
      </w:pPr>
    </w:p>
    <w:p w14:paraId="1BEC61FE" w14:textId="3447D90A" w:rsidR="007B1496" w:rsidRDefault="00EB4A09">
      <w:pPr>
        <w:pStyle w:val="ListParagraph"/>
        <w:numPr>
          <w:ilvl w:val="0"/>
          <w:numId w:val="2"/>
        </w:numPr>
        <w:tabs>
          <w:tab w:val="left" w:pos="659"/>
          <w:tab w:val="left" w:pos="660"/>
        </w:tabs>
        <w:ind w:hanging="543"/>
        <w:rPr>
          <w:sz w:val="24"/>
        </w:rPr>
      </w:pPr>
      <w:r>
        <w:rPr>
          <w:spacing w:val="-1"/>
          <w:sz w:val="24"/>
        </w:rPr>
        <w:t>Report</w:t>
      </w:r>
      <w:r>
        <w:rPr>
          <w:sz w:val="24"/>
        </w:rPr>
        <w:t xml:space="preserve"> </w:t>
      </w:r>
      <w:r>
        <w:rPr>
          <w:spacing w:val="-1"/>
          <w:sz w:val="24"/>
        </w:rPr>
        <w:t>on</w:t>
      </w:r>
      <w:r>
        <w:rPr>
          <w:sz w:val="24"/>
        </w:rPr>
        <w:t xml:space="preserve"> </w:t>
      </w:r>
      <w:r>
        <w:rPr>
          <w:spacing w:val="-1"/>
          <w:sz w:val="24"/>
        </w:rPr>
        <w:t>any</w:t>
      </w:r>
      <w:r>
        <w:rPr>
          <w:sz w:val="24"/>
        </w:rPr>
        <w:t xml:space="preserve"> </w:t>
      </w:r>
      <w:r>
        <w:rPr>
          <w:spacing w:val="-1"/>
          <w:sz w:val="24"/>
        </w:rPr>
        <w:t>labour</w:t>
      </w:r>
      <w:r>
        <w:rPr>
          <w:spacing w:val="-2"/>
          <w:sz w:val="24"/>
        </w:rPr>
        <w:t xml:space="preserve"> </w:t>
      </w:r>
      <w:r>
        <w:rPr>
          <w:sz w:val="24"/>
        </w:rPr>
        <w:t>disputes</w:t>
      </w:r>
      <w:r>
        <w:rPr>
          <w:spacing w:val="-2"/>
          <w:sz w:val="24"/>
        </w:rPr>
        <w:t xml:space="preserve"> </w:t>
      </w:r>
      <w:r>
        <w:rPr>
          <w:sz w:val="24"/>
        </w:rPr>
        <w:t>and</w:t>
      </w:r>
      <w:r>
        <w:rPr>
          <w:spacing w:val="-2"/>
          <w:sz w:val="24"/>
        </w:rPr>
        <w:t xml:space="preserve"> </w:t>
      </w:r>
      <w:r>
        <w:rPr>
          <w:sz w:val="24"/>
        </w:rPr>
        <w:t>resolutions</w:t>
      </w:r>
      <w:r>
        <w:rPr>
          <w:spacing w:val="-3"/>
          <w:sz w:val="24"/>
        </w:rPr>
        <w:t xml:space="preserve"> </w:t>
      </w:r>
      <w:r>
        <w:rPr>
          <w:sz w:val="24"/>
        </w:rPr>
        <w:t>of those</w:t>
      </w:r>
      <w:r>
        <w:rPr>
          <w:spacing w:val="-1"/>
          <w:sz w:val="24"/>
        </w:rPr>
        <w:t xml:space="preserve"> </w:t>
      </w:r>
      <w:r>
        <w:rPr>
          <w:sz w:val="24"/>
        </w:rPr>
        <w:t>disputes if</w:t>
      </w:r>
      <w:r>
        <w:rPr>
          <w:spacing w:val="-20"/>
          <w:sz w:val="24"/>
        </w:rPr>
        <w:t xml:space="preserve"> </w:t>
      </w:r>
      <w:r>
        <w:rPr>
          <w:sz w:val="24"/>
        </w:rPr>
        <w:t>applicable.</w:t>
      </w:r>
    </w:p>
    <w:p w14:paraId="435E1C6A" w14:textId="77777777" w:rsidR="007A67D5" w:rsidRDefault="007A67D5" w:rsidP="007A67D5">
      <w:pPr>
        <w:pStyle w:val="ListParagraph"/>
        <w:tabs>
          <w:tab w:val="left" w:pos="659"/>
          <w:tab w:val="left" w:pos="660"/>
        </w:tabs>
        <w:ind w:firstLine="0"/>
        <w:jc w:val="left"/>
        <w:rPr>
          <w:sz w:val="24"/>
        </w:rPr>
      </w:pPr>
    </w:p>
    <w:p w14:paraId="46F80796" w14:textId="57562497" w:rsidR="007A67D5" w:rsidRDefault="007A67D5" w:rsidP="007A67D5">
      <w:pPr>
        <w:pStyle w:val="Heading1"/>
      </w:pPr>
      <w:r>
        <w:t>N/A</w:t>
      </w:r>
    </w:p>
    <w:p w14:paraId="1EC6A3E7" w14:textId="458A8FBD" w:rsidR="00AB712A" w:rsidRDefault="00AB712A" w:rsidP="007A67D5">
      <w:pPr>
        <w:pStyle w:val="Heading1"/>
      </w:pPr>
    </w:p>
    <w:p w14:paraId="1BEC6202" w14:textId="77777777" w:rsidR="007B1496" w:rsidRDefault="00EB4A09">
      <w:pPr>
        <w:pStyle w:val="ListParagraph"/>
        <w:numPr>
          <w:ilvl w:val="0"/>
          <w:numId w:val="2"/>
        </w:numPr>
        <w:tabs>
          <w:tab w:val="left" w:pos="660"/>
        </w:tabs>
        <w:spacing w:before="215"/>
        <w:ind w:right="855"/>
        <w:rPr>
          <w:sz w:val="24"/>
        </w:rPr>
      </w:pPr>
      <w:r>
        <w:rPr>
          <w:sz w:val="24"/>
        </w:rPr>
        <w:t>Describe and provide details of legal proceedings to which the Issuer became a</w:t>
      </w:r>
      <w:r>
        <w:rPr>
          <w:spacing w:val="1"/>
          <w:sz w:val="24"/>
        </w:rPr>
        <w:t xml:space="preserve"> </w:t>
      </w:r>
      <w:r>
        <w:rPr>
          <w:sz w:val="24"/>
        </w:rPr>
        <w:t>party, including the name of the court or agency, the date instituted, the principal</w:t>
      </w:r>
      <w:r>
        <w:rPr>
          <w:spacing w:val="1"/>
          <w:sz w:val="24"/>
        </w:rPr>
        <w:t xml:space="preserve"> </w:t>
      </w:r>
      <w:r>
        <w:rPr>
          <w:sz w:val="24"/>
        </w:rPr>
        <w:t>parties to the proceedings, the nature of the claim, the amount claimed, if any, if</w:t>
      </w:r>
      <w:r>
        <w:rPr>
          <w:spacing w:val="1"/>
          <w:sz w:val="24"/>
        </w:rPr>
        <w:t xml:space="preserve"> </w:t>
      </w:r>
      <w:r>
        <w:rPr>
          <w:spacing w:val="-1"/>
          <w:sz w:val="24"/>
        </w:rPr>
        <w:t>the</w:t>
      </w:r>
      <w:r>
        <w:rPr>
          <w:spacing w:val="-2"/>
          <w:sz w:val="24"/>
        </w:rPr>
        <w:t xml:space="preserve"> </w:t>
      </w:r>
      <w:r>
        <w:rPr>
          <w:spacing w:val="-1"/>
          <w:sz w:val="24"/>
        </w:rPr>
        <w:t>proceedings</w:t>
      </w:r>
      <w:r>
        <w:rPr>
          <w:spacing w:val="-3"/>
          <w:sz w:val="24"/>
        </w:rPr>
        <w:t xml:space="preserve"> </w:t>
      </w:r>
      <w:r>
        <w:rPr>
          <w:sz w:val="24"/>
        </w:rPr>
        <w:t>are</w:t>
      </w:r>
      <w:r>
        <w:rPr>
          <w:spacing w:val="-2"/>
          <w:sz w:val="24"/>
        </w:rPr>
        <w:t xml:space="preserve"> </w:t>
      </w:r>
      <w:r>
        <w:rPr>
          <w:sz w:val="24"/>
        </w:rPr>
        <w:t>being</w:t>
      </w:r>
      <w:r>
        <w:rPr>
          <w:spacing w:val="1"/>
          <w:sz w:val="24"/>
        </w:rPr>
        <w:t xml:space="preserve"> </w:t>
      </w:r>
      <w:r>
        <w:rPr>
          <w:sz w:val="24"/>
        </w:rPr>
        <w:t>contested,</w:t>
      </w:r>
      <w:r>
        <w:rPr>
          <w:spacing w:val="-2"/>
          <w:sz w:val="24"/>
        </w:rPr>
        <w:t xml:space="preserve"> </w:t>
      </w:r>
      <w:r>
        <w:rPr>
          <w:sz w:val="24"/>
        </w:rPr>
        <w:t>and the</w:t>
      </w:r>
      <w:r>
        <w:rPr>
          <w:spacing w:val="-2"/>
          <w:sz w:val="24"/>
        </w:rPr>
        <w:t xml:space="preserve"> </w:t>
      </w:r>
      <w:r>
        <w:rPr>
          <w:sz w:val="24"/>
        </w:rPr>
        <w:t>present</w:t>
      </w:r>
      <w:r>
        <w:rPr>
          <w:spacing w:val="-1"/>
          <w:sz w:val="24"/>
        </w:rPr>
        <w:t xml:space="preserve"> </w:t>
      </w:r>
      <w:r>
        <w:rPr>
          <w:sz w:val="24"/>
        </w:rPr>
        <w:t>status of the</w:t>
      </w:r>
      <w:r>
        <w:rPr>
          <w:spacing w:val="-33"/>
          <w:sz w:val="24"/>
        </w:rPr>
        <w:t xml:space="preserve"> </w:t>
      </w:r>
      <w:r>
        <w:rPr>
          <w:sz w:val="24"/>
        </w:rPr>
        <w:t>proceedings.</w:t>
      </w:r>
    </w:p>
    <w:p w14:paraId="1BEC6203" w14:textId="77777777" w:rsidR="007B1496" w:rsidRDefault="007B1496">
      <w:pPr>
        <w:pStyle w:val="BodyText"/>
        <w:spacing w:before="1"/>
        <w:rPr>
          <w:sz w:val="21"/>
        </w:rPr>
      </w:pPr>
    </w:p>
    <w:p w14:paraId="6D6AFA20" w14:textId="7FEE7DC8" w:rsidR="00061748" w:rsidRDefault="00EB4A09" w:rsidP="00061748">
      <w:pPr>
        <w:pStyle w:val="Heading1"/>
      </w:pPr>
      <w:r w:rsidRPr="00716761">
        <w:t>No</w:t>
      </w:r>
      <w:r w:rsidRPr="00716761">
        <w:rPr>
          <w:spacing w:val="-3"/>
        </w:rPr>
        <w:t xml:space="preserve"> </w:t>
      </w:r>
      <w:r w:rsidRPr="00716761">
        <w:t>new</w:t>
      </w:r>
      <w:r w:rsidRPr="00716761">
        <w:rPr>
          <w:spacing w:val="-1"/>
        </w:rPr>
        <w:t xml:space="preserve"> </w:t>
      </w:r>
      <w:r w:rsidRPr="00716761">
        <w:t>legal</w:t>
      </w:r>
      <w:r w:rsidRPr="00716761">
        <w:rPr>
          <w:spacing w:val="-1"/>
        </w:rPr>
        <w:t xml:space="preserve"> </w:t>
      </w:r>
      <w:r w:rsidRPr="00716761">
        <w:t>proceedings</w:t>
      </w:r>
      <w:r w:rsidRPr="00716761">
        <w:rPr>
          <w:spacing w:val="-1"/>
        </w:rPr>
        <w:t xml:space="preserve"> </w:t>
      </w:r>
      <w:r w:rsidRPr="00716761">
        <w:t>during</w:t>
      </w:r>
      <w:r w:rsidRPr="00716761">
        <w:rPr>
          <w:spacing w:val="-1"/>
        </w:rPr>
        <w:t xml:space="preserve"> </w:t>
      </w:r>
      <w:r w:rsidRPr="00716761">
        <w:t>the</w:t>
      </w:r>
      <w:r w:rsidRPr="00716761">
        <w:rPr>
          <w:spacing w:val="-1"/>
        </w:rPr>
        <w:t xml:space="preserve"> </w:t>
      </w:r>
      <w:r w:rsidRPr="00716761">
        <w:t>month.</w:t>
      </w:r>
      <w:r w:rsidR="00061748">
        <w:t xml:space="preserve"> </w:t>
      </w:r>
    </w:p>
    <w:p w14:paraId="7B5C5412" w14:textId="20121E78" w:rsidR="00BC16E2" w:rsidRDefault="00BC16E2" w:rsidP="00061748">
      <w:pPr>
        <w:pStyle w:val="Heading1"/>
      </w:pPr>
    </w:p>
    <w:p w14:paraId="1BEC6205" w14:textId="77777777" w:rsidR="007B1496" w:rsidRDefault="00EB4A09">
      <w:pPr>
        <w:pStyle w:val="ListParagraph"/>
        <w:numPr>
          <w:ilvl w:val="0"/>
          <w:numId w:val="2"/>
        </w:numPr>
        <w:tabs>
          <w:tab w:val="left" w:pos="660"/>
        </w:tabs>
        <w:spacing w:before="120"/>
        <w:ind w:right="870"/>
        <w:rPr>
          <w:sz w:val="24"/>
        </w:rPr>
      </w:pPr>
      <w:r>
        <w:rPr>
          <w:sz w:val="24"/>
        </w:rPr>
        <w:t>Provide details of any indebtedness incurred or repaid by the Issuer together with</w:t>
      </w:r>
      <w:r>
        <w:rPr>
          <w:spacing w:val="-64"/>
          <w:sz w:val="24"/>
        </w:rPr>
        <w:t xml:space="preserve"> </w:t>
      </w:r>
      <w:r>
        <w:rPr>
          <w:sz w:val="24"/>
        </w:rPr>
        <w:t>the</w:t>
      </w:r>
      <w:r>
        <w:rPr>
          <w:spacing w:val="-1"/>
          <w:sz w:val="24"/>
        </w:rPr>
        <w:t xml:space="preserve"> </w:t>
      </w:r>
      <w:r>
        <w:rPr>
          <w:sz w:val="24"/>
        </w:rPr>
        <w:t>terms</w:t>
      </w:r>
      <w:r>
        <w:rPr>
          <w:spacing w:val="-2"/>
          <w:sz w:val="24"/>
        </w:rPr>
        <w:t xml:space="preserve"> </w:t>
      </w:r>
      <w:r>
        <w:rPr>
          <w:sz w:val="24"/>
        </w:rPr>
        <w:t>of such</w:t>
      </w:r>
      <w:r>
        <w:rPr>
          <w:spacing w:val="-2"/>
          <w:sz w:val="24"/>
        </w:rPr>
        <w:t xml:space="preserve"> </w:t>
      </w:r>
      <w:r>
        <w:rPr>
          <w:sz w:val="24"/>
        </w:rPr>
        <w:t>indebtedness.</w:t>
      </w:r>
    </w:p>
    <w:p w14:paraId="1BEC6206" w14:textId="77777777" w:rsidR="007B1496" w:rsidRDefault="007B1496">
      <w:pPr>
        <w:pStyle w:val="BodyText"/>
        <w:spacing w:before="11"/>
        <w:rPr>
          <w:sz w:val="21"/>
        </w:rPr>
      </w:pPr>
    </w:p>
    <w:p w14:paraId="1BEC6207" w14:textId="77777777" w:rsidR="007B1496" w:rsidRDefault="00EB4A09">
      <w:pPr>
        <w:pStyle w:val="Heading1"/>
      </w:pPr>
      <w:r>
        <w:t>N/A</w:t>
      </w:r>
    </w:p>
    <w:p w14:paraId="1BEC6208" w14:textId="77777777" w:rsidR="007B1496" w:rsidRDefault="007B1496">
      <w:pPr>
        <w:pStyle w:val="BodyText"/>
        <w:spacing w:before="5"/>
        <w:rPr>
          <w:b/>
          <w:sz w:val="34"/>
        </w:rPr>
      </w:pPr>
    </w:p>
    <w:p w14:paraId="1BEC6209" w14:textId="77777777" w:rsidR="007B1496" w:rsidRDefault="00EB4A09">
      <w:pPr>
        <w:pStyle w:val="ListParagraph"/>
        <w:numPr>
          <w:ilvl w:val="0"/>
          <w:numId w:val="2"/>
        </w:numPr>
        <w:tabs>
          <w:tab w:val="left" w:pos="659"/>
          <w:tab w:val="left" w:pos="660"/>
        </w:tabs>
        <w:ind w:hanging="543"/>
        <w:rPr>
          <w:sz w:val="24"/>
        </w:rPr>
      </w:pPr>
      <w:r>
        <w:rPr>
          <w:spacing w:val="-1"/>
          <w:sz w:val="24"/>
        </w:rPr>
        <w:t>Provide</w:t>
      </w:r>
      <w:r>
        <w:rPr>
          <w:spacing w:val="-2"/>
          <w:sz w:val="24"/>
        </w:rPr>
        <w:t xml:space="preserve"> </w:t>
      </w:r>
      <w:r>
        <w:rPr>
          <w:spacing w:val="-1"/>
          <w:sz w:val="24"/>
        </w:rPr>
        <w:t>details</w:t>
      </w:r>
      <w:r>
        <w:rPr>
          <w:spacing w:val="-2"/>
          <w:sz w:val="24"/>
        </w:rPr>
        <w:t xml:space="preserve"> </w:t>
      </w:r>
      <w:r>
        <w:rPr>
          <w:spacing w:val="-1"/>
          <w:sz w:val="24"/>
        </w:rPr>
        <w:t>of</w:t>
      </w:r>
      <w:r>
        <w:rPr>
          <w:sz w:val="24"/>
        </w:rPr>
        <w:t xml:space="preserve"> any</w:t>
      </w:r>
      <w:r>
        <w:rPr>
          <w:spacing w:val="-2"/>
          <w:sz w:val="24"/>
        </w:rPr>
        <w:t xml:space="preserve"> </w:t>
      </w:r>
      <w:r>
        <w:rPr>
          <w:sz w:val="24"/>
        </w:rPr>
        <w:t>securities issued and</w:t>
      </w:r>
      <w:r>
        <w:rPr>
          <w:spacing w:val="-2"/>
          <w:sz w:val="24"/>
        </w:rPr>
        <w:t xml:space="preserve"> </w:t>
      </w:r>
      <w:r>
        <w:rPr>
          <w:sz w:val="24"/>
        </w:rPr>
        <w:t>options</w:t>
      </w:r>
      <w:r>
        <w:rPr>
          <w:spacing w:val="-1"/>
          <w:sz w:val="24"/>
        </w:rPr>
        <w:t xml:space="preserve"> </w:t>
      </w:r>
      <w:r>
        <w:rPr>
          <w:sz w:val="24"/>
        </w:rPr>
        <w:t>or warrants</w:t>
      </w:r>
      <w:r>
        <w:rPr>
          <w:spacing w:val="-19"/>
          <w:sz w:val="24"/>
        </w:rPr>
        <w:t xml:space="preserve"> </w:t>
      </w:r>
      <w:r>
        <w:rPr>
          <w:sz w:val="24"/>
        </w:rPr>
        <w:t>granted.</w:t>
      </w:r>
    </w:p>
    <w:p w14:paraId="1BEC620A" w14:textId="77777777" w:rsidR="007B1496" w:rsidRDefault="00EB4A09">
      <w:pPr>
        <w:pStyle w:val="Heading1"/>
      </w:pPr>
      <w:r>
        <w:t>N/A</w:t>
      </w:r>
    </w:p>
    <w:p w14:paraId="1BEC620B" w14:textId="77777777" w:rsidR="007B1496" w:rsidRDefault="007B1496">
      <w:pPr>
        <w:pStyle w:val="BodyText"/>
        <w:rPr>
          <w:b/>
          <w:sz w:val="20"/>
        </w:rPr>
      </w:pPr>
    </w:p>
    <w:p w14:paraId="1BEC620C" w14:textId="77777777" w:rsidR="007B1496" w:rsidRDefault="007B1496">
      <w:pPr>
        <w:pStyle w:val="BodyText"/>
        <w:spacing w:before="5"/>
        <w:rPr>
          <w:b/>
          <w:sz w:val="1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2340"/>
        <w:gridCol w:w="2340"/>
        <w:gridCol w:w="2340"/>
      </w:tblGrid>
      <w:tr w:rsidR="007B1496" w14:paraId="1BEC6211" w14:textId="77777777">
        <w:trPr>
          <w:trHeight w:val="839"/>
        </w:trPr>
        <w:tc>
          <w:tcPr>
            <w:tcW w:w="2045" w:type="dxa"/>
          </w:tcPr>
          <w:p w14:paraId="1BEC620D" w14:textId="77777777" w:rsidR="007B1496" w:rsidRDefault="00EB4A09">
            <w:pPr>
              <w:pStyle w:val="TableParagraph"/>
              <w:ind w:left="585"/>
              <w:rPr>
                <w:b/>
                <w:sz w:val="24"/>
              </w:rPr>
            </w:pPr>
            <w:r>
              <w:rPr>
                <w:b/>
                <w:sz w:val="24"/>
              </w:rPr>
              <w:t>Security</w:t>
            </w:r>
          </w:p>
        </w:tc>
        <w:tc>
          <w:tcPr>
            <w:tcW w:w="2340" w:type="dxa"/>
          </w:tcPr>
          <w:p w14:paraId="1BEC620E" w14:textId="77777777" w:rsidR="007B1496" w:rsidRDefault="00EB4A09">
            <w:pPr>
              <w:pStyle w:val="TableParagraph"/>
              <w:spacing w:before="2" w:line="235" w:lineRule="auto"/>
              <w:ind w:left="280" w:right="246"/>
              <w:jc w:val="center"/>
              <w:rPr>
                <w:b/>
                <w:sz w:val="24"/>
              </w:rPr>
            </w:pPr>
            <w:r>
              <w:rPr>
                <w:b/>
                <w:sz w:val="24"/>
              </w:rPr>
              <w:t>Number Issued/</w:t>
            </w:r>
            <w:r>
              <w:rPr>
                <w:b/>
                <w:spacing w:val="-64"/>
                <w:sz w:val="24"/>
              </w:rPr>
              <w:t xml:space="preserve"> </w:t>
            </w:r>
            <w:r>
              <w:rPr>
                <w:b/>
                <w:sz w:val="24"/>
              </w:rPr>
              <w:t>(returned to</w:t>
            </w:r>
            <w:r>
              <w:rPr>
                <w:b/>
                <w:spacing w:val="1"/>
                <w:sz w:val="24"/>
              </w:rPr>
              <w:t xml:space="preserve"> </w:t>
            </w:r>
            <w:r>
              <w:rPr>
                <w:b/>
                <w:sz w:val="24"/>
              </w:rPr>
              <w:t>treasury)</w:t>
            </w:r>
          </w:p>
        </w:tc>
        <w:tc>
          <w:tcPr>
            <w:tcW w:w="2340" w:type="dxa"/>
          </w:tcPr>
          <w:p w14:paraId="1BEC620F" w14:textId="77777777" w:rsidR="007B1496" w:rsidRDefault="00EB4A09">
            <w:pPr>
              <w:pStyle w:val="TableParagraph"/>
              <w:ind w:left="749" w:right="507" w:hanging="27"/>
              <w:rPr>
                <w:b/>
                <w:sz w:val="24"/>
              </w:rPr>
            </w:pPr>
            <w:r>
              <w:rPr>
                <w:b/>
                <w:sz w:val="24"/>
              </w:rPr>
              <w:t>Details of</w:t>
            </w:r>
            <w:r>
              <w:rPr>
                <w:b/>
                <w:spacing w:val="-64"/>
                <w:sz w:val="24"/>
              </w:rPr>
              <w:t xml:space="preserve"> </w:t>
            </w:r>
            <w:r>
              <w:rPr>
                <w:b/>
                <w:sz w:val="24"/>
              </w:rPr>
              <w:t>Issuance</w:t>
            </w:r>
          </w:p>
        </w:tc>
        <w:tc>
          <w:tcPr>
            <w:tcW w:w="2340" w:type="dxa"/>
          </w:tcPr>
          <w:p w14:paraId="1BEC6210" w14:textId="77777777" w:rsidR="007B1496" w:rsidRDefault="00EB4A09">
            <w:pPr>
              <w:pStyle w:val="TableParagraph"/>
              <w:spacing w:line="269" w:lineRule="exact"/>
              <w:ind w:left="226"/>
              <w:rPr>
                <w:b/>
                <w:sz w:val="16"/>
              </w:rPr>
            </w:pPr>
            <w:r>
              <w:rPr>
                <w:b/>
                <w:sz w:val="24"/>
              </w:rPr>
              <w:t>Use of</w:t>
            </w:r>
            <w:r>
              <w:rPr>
                <w:b/>
                <w:spacing w:val="-1"/>
                <w:sz w:val="24"/>
              </w:rPr>
              <w:t xml:space="preserve"> </w:t>
            </w:r>
            <w:proofErr w:type="gramStart"/>
            <w:r>
              <w:rPr>
                <w:b/>
                <w:sz w:val="24"/>
              </w:rPr>
              <w:t>Proceeds</w:t>
            </w:r>
            <w:r>
              <w:rPr>
                <w:b/>
                <w:position w:val="8"/>
                <w:sz w:val="16"/>
              </w:rPr>
              <w:t>(</w:t>
            </w:r>
            <w:proofErr w:type="gramEnd"/>
            <w:r>
              <w:rPr>
                <w:b/>
                <w:position w:val="8"/>
                <w:sz w:val="16"/>
              </w:rPr>
              <w:t>1)</w:t>
            </w:r>
          </w:p>
        </w:tc>
      </w:tr>
      <w:tr w:rsidR="007B1496" w14:paraId="1BEC6216" w14:textId="77777777">
        <w:trPr>
          <w:trHeight w:val="280"/>
        </w:trPr>
        <w:tc>
          <w:tcPr>
            <w:tcW w:w="2045" w:type="dxa"/>
          </w:tcPr>
          <w:p w14:paraId="1BEC6212" w14:textId="1C2461C1" w:rsidR="007B1496" w:rsidRPr="00DC0D44" w:rsidRDefault="007B1496" w:rsidP="00C02BEE">
            <w:pPr>
              <w:pStyle w:val="TableParagraph"/>
              <w:jc w:val="center"/>
              <w:rPr>
                <w:b/>
                <w:bCs/>
                <w:sz w:val="24"/>
                <w:szCs w:val="24"/>
              </w:rPr>
            </w:pPr>
          </w:p>
        </w:tc>
        <w:tc>
          <w:tcPr>
            <w:tcW w:w="2340" w:type="dxa"/>
          </w:tcPr>
          <w:p w14:paraId="1BEC6213" w14:textId="7E256F31" w:rsidR="007B1496" w:rsidRPr="00DC0D44" w:rsidRDefault="007B1496" w:rsidP="00C02BEE">
            <w:pPr>
              <w:pStyle w:val="TableParagraph"/>
              <w:jc w:val="center"/>
              <w:rPr>
                <w:b/>
                <w:bCs/>
                <w:sz w:val="24"/>
                <w:szCs w:val="24"/>
              </w:rPr>
            </w:pPr>
          </w:p>
        </w:tc>
        <w:tc>
          <w:tcPr>
            <w:tcW w:w="2340" w:type="dxa"/>
          </w:tcPr>
          <w:p w14:paraId="1BEC6214" w14:textId="3AC6F803" w:rsidR="007B1496" w:rsidRPr="00DC0D44" w:rsidRDefault="007B1496" w:rsidP="00EA32A5">
            <w:pPr>
              <w:pStyle w:val="TableParagraph"/>
              <w:rPr>
                <w:b/>
                <w:bCs/>
                <w:sz w:val="24"/>
                <w:szCs w:val="24"/>
              </w:rPr>
            </w:pPr>
          </w:p>
        </w:tc>
        <w:tc>
          <w:tcPr>
            <w:tcW w:w="2340" w:type="dxa"/>
          </w:tcPr>
          <w:p w14:paraId="1BEC6215" w14:textId="7D279E69" w:rsidR="007B1496" w:rsidRPr="00DC0D44" w:rsidRDefault="007B1496" w:rsidP="00C02BEE">
            <w:pPr>
              <w:pStyle w:val="TableParagraph"/>
              <w:jc w:val="center"/>
              <w:rPr>
                <w:b/>
                <w:bCs/>
                <w:sz w:val="24"/>
                <w:szCs w:val="24"/>
              </w:rPr>
            </w:pPr>
          </w:p>
        </w:tc>
      </w:tr>
      <w:tr w:rsidR="007F536E" w14:paraId="33AFEB7C" w14:textId="77777777">
        <w:trPr>
          <w:trHeight w:val="280"/>
        </w:trPr>
        <w:tc>
          <w:tcPr>
            <w:tcW w:w="2045" w:type="dxa"/>
          </w:tcPr>
          <w:p w14:paraId="780040BF" w14:textId="77777777" w:rsidR="007F536E" w:rsidRPr="00DC0D44" w:rsidRDefault="007F536E" w:rsidP="00C02BEE">
            <w:pPr>
              <w:pStyle w:val="TableParagraph"/>
              <w:jc w:val="center"/>
              <w:rPr>
                <w:b/>
                <w:bCs/>
                <w:sz w:val="24"/>
                <w:szCs w:val="24"/>
              </w:rPr>
            </w:pPr>
          </w:p>
        </w:tc>
        <w:tc>
          <w:tcPr>
            <w:tcW w:w="2340" w:type="dxa"/>
          </w:tcPr>
          <w:p w14:paraId="3CC0E343" w14:textId="77777777" w:rsidR="007F536E" w:rsidRPr="00DC0D44" w:rsidRDefault="007F536E" w:rsidP="00C02BEE">
            <w:pPr>
              <w:pStyle w:val="TableParagraph"/>
              <w:jc w:val="center"/>
              <w:rPr>
                <w:b/>
                <w:bCs/>
                <w:sz w:val="24"/>
                <w:szCs w:val="24"/>
              </w:rPr>
            </w:pPr>
          </w:p>
        </w:tc>
        <w:tc>
          <w:tcPr>
            <w:tcW w:w="2340" w:type="dxa"/>
          </w:tcPr>
          <w:p w14:paraId="4EDB4F31" w14:textId="77777777" w:rsidR="007F536E" w:rsidRPr="00DC0D44" w:rsidRDefault="007F536E" w:rsidP="00EA32A5">
            <w:pPr>
              <w:pStyle w:val="TableParagraph"/>
              <w:rPr>
                <w:b/>
                <w:bCs/>
                <w:sz w:val="24"/>
                <w:szCs w:val="24"/>
              </w:rPr>
            </w:pPr>
          </w:p>
        </w:tc>
        <w:tc>
          <w:tcPr>
            <w:tcW w:w="2340" w:type="dxa"/>
          </w:tcPr>
          <w:p w14:paraId="4E79DA13" w14:textId="77777777" w:rsidR="007F536E" w:rsidRPr="00DC0D44" w:rsidRDefault="007F536E" w:rsidP="00C02BEE">
            <w:pPr>
              <w:pStyle w:val="TableParagraph"/>
              <w:jc w:val="center"/>
              <w:rPr>
                <w:b/>
                <w:bCs/>
                <w:sz w:val="24"/>
                <w:szCs w:val="24"/>
              </w:rPr>
            </w:pPr>
          </w:p>
        </w:tc>
      </w:tr>
    </w:tbl>
    <w:p w14:paraId="7C13AF39" w14:textId="77777777" w:rsidR="007A67D5" w:rsidRDefault="007A67D5" w:rsidP="007F536E">
      <w:pPr>
        <w:pStyle w:val="ListParagraph"/>
        <w:tabs>
          <w:tab w:val="left" w:pos="659"/>
          <w:tab w:val="left" w:pos="660"/>
        </w:tabs>
        <w:spacing w:before="93"/>
        <w:ind w:firstLine="0"/>
        <w:jc w:val="left"/>
        <w:rPr>
          <w:sz w:val="24"/>
        </w:rPr>
      </w:pPr>
    </w:p>
    <w:p w14:paraId="1BEC621D" w14:textId="57A39D74"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 any</w:t>
      </w:r>
      <w:r>
        <w:rPr>
          <w:spacing w:val="-1"/>
          <w:sz w:val="24"/>
        </w:rPr>
        <w:t xml:space="preserve"> </w:t>
      </w:r>
      <w:r>
        <w:rPr>
          <w:sz w:val="24"/>
        </w:rPr>
        <w:t>loans</w:t>
      </w:r>
      <w:r>
        <w:rPr>
          <w:spacing w:val="-2"/>
          <w:sz w:val="24"/>
        </w:rPr>
        <w:t xml:space="preserve"> </w:t>
      </w:r>
      <w:r>
        <w:rPr>
          <w:sz w:val="24"/>
        </w:rPr>
        <w:t>to</w:t>
      </w:r>
      <w:r>
        <w:rPr>
          <w:spacing w:val="-2"/>
          <w:sz w:val="24"/>
        </w:rPr>
        <w:t xml:space="preserve"> </w:t>
      </w:r>
      <w:r>
        <w:rPr>
          <w:sz w:val="24"/>
        </w:rPr>
        <w:t>or by</w:t>
      </w:r>
      <w:r>
        <w:rPr>
          <w:spacing w:val="-1"/>
          <w:sz w:val="24"/>
        </w:rPr>
        <w:t xml:space="preserve"> </w:t>
      </w:r>
      <w:r>
        <w:rPr>
          <w:sz w:val="24"/>
        </w:rPr>
        <w:t>Related</w:t>
      </w:r>
      <w:r>
        <w:rPr>
          <w:spacing w:val="-4"/>
          <w:sz w:val="24"/>
        </w:rPr>
        <w:t xml:space="preserve"> </w:t>
      </w:r>
      <w:r>
        <w:rPr>
          <w:sz w:val="24"/>
        </w:rPr>
        <w:t>Persons.</w:t>
      </w:r>
    </w:p>
    <w:p w14:paraId="1BEC621F" w14:textId="77777777" w:rsidR="007B1496" w:rsidRDefault="007B1496">
      <w:pPr>
        <w:pStyle w:val="BodyText"/>
        <w:rPr>
          <w:sz w:val="20"/>
        </w:rPr>
      </w:pPr>
    </w:p>
    <w:p w14:paraId="1BEC6220" w14:textId="77777777" w:rsidR="007B1496" w:rsidRDefault="007B1496">
      <w:pPr>
        <w:pStyle w:val="BodyText"/>
        <w:spacing w:before="11"/>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25" w14:textId="77777777">
        <w:trPr>
          <w:trHeight w:val="395"/>
        </w:trPr>
        <w:tc>
          <w:tcPr>
            <w:tcW w:w="2516" w:type="dxa"/>
          </w:tcPr>
          <w:p w14:paraId="1BEC6221" w14:textId="77777777" w:rsidR="007B1496" w:rsidRDefault="00EB4A09">
            <w:pPr>
              <w:pStyle w:val="TableParagraph"/>
              <w:spacing w:before="98"/>
              <w:ind w:left="117"/>
              <w:rPr>
                <w:b/>
                <w:sz w:val="24"/>
              </w:rPr>
            </w:pPr>
            <w:r>
              <w:rPr>
                <w:b/>
                <w:sz w:val="24"/>
              </w:rPr>
              <w:t>Nature of loan</w:t>
            </w:r>
          </w:p>
        </w:tc>
        <w:tc>
          <w:tcPr>
            <w:tcW w:w="1711" w:type="dxa"/>
          </w:tcPr>
          <w:p w14:paraId="1BEC6222" w14:textId="77777777" w:rsidR="007B1496" w:rsidRDefault="00EB4A09">
            <w:pPr>
              <w:pStyle w:val="TableParagraph"/>
              <w:spacing w:before="98"/>
              <w:ind w:left="119"/>
              <w:rPr>
                <w:b/>
                <w:sz w:val="24"/>
              </w:rPr>
            </w:pPr>
            <w:r>
              <w:rPr>
                <w:b/>
                <w:sz w:val="24"/>
              </w:rPr>
              <w:t>Receivable</w:t>
            </w:r>
          </w:p>
        </w:tc>
        <w:tc>
          <w:tcPr>
            <w:tcW w:w="1433" w:type="dxa"/>
          </w:tcPr>
          <w:p w14:paraId="1BEC6223" w14:textId="77777777" w:rsidR="007B1496" w:rsidRDefault="00EB4A09">
            <w:pPr>
              <w:pStyle w:val="TableParagraph"/>
              <w:spacing w:before="98"/>
              <w:ind w:left="117"/>
              <w:rPr>
                <w:b/>
                <w:sz w:val="24"/>
              </w:rPr>
            </w:pPr>
            <w:r>
              <w:rPr>
                <w:b/>
                <w:sz w:val="24"/>
              </w:rPr>
              <w:t>Payable</w:t>
            </w:r>
          </w:p>
        </w:tc>
        <w:tc>
          <w:tcPr>
            <w:tcW w:w="3036" w:type="dxa"/>
          </w:tcPr>
          <w:p w14:paraId="1BEC6224" w14:textId="77777777" w:rsidR="007B1496" w:rsidRDefault="00EB4A09">
            <w:pPr>
              <w:pStyle w:val="TableParagraph"/>
              <w:spacing w:before="98"/>
              <w:ind w:left="1136" w:right="1115"/>
              <w:jc w:val="center"/>
              <w:rPr>
                <w:b/>
                <w:sz w:val="24"/>
              </w:rPr>
            </w:pPr>
            <w:r>
              <w:rPr>
                <w:b/>
                <w:sz w:val="24"/>
              </w:rPr>
              <w:t>Status</w:t>
            </w:r>
          </w:p>
        </w:tc>
      </w:tr>
      <w:tr w:rsidR="007B1496" w14:paraId="1BEC6231" w14:textId="77777777">
        <w:trPr>
          <w:trHeight w:val="2532"/>
        </w:trPr>
        <w:tc>
          <w:tcPr>
            <w:tcW w:w="2516" w:type="dxa"/>
          </w:tcPr>
          <w:p w14:paraId="1BEC6226"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27" w14:textId="77777777" w:rsidR="007B1496" w:rsidRDefault="00EB4A09">
            <w:pPr>
              <w:pStyle w:val="TableParagraph"/>
              <w:spacing w:before="120"/>
              <w:ind w:left="117" w:right="94"/>
              <w:rPr>
                <w:b/>
                <w:sz w:val="24"/>
              </w:rPr>
            </w:pPr>
            <w:r>
              <w:rPr>
                <w:b/>
                <w:sz w:val="24"/>
              </w:rPr>
              <w:t>Non-interest</w:t>
            </w:r>
            <w:r>
              <w:rPr>
                <w:b/>
                <w:spacing w:val="1"/>
                <w:sz w:val="24"/>
              </w:rPr>
              <w:t xml:space="preserve"> </w:t>
            </w:r>
            <w:r>
              <w:rPr>
                <w:b/>
                <w:sz w:val="24"/>
              </w:rPr>
              <w:t>bearing,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1BEC6228" w14:textId="77777777" w:rsidR="007B1496" w:rsidRDefault="007B1496">
            <w:pPr>
              <w:pStyle w:val="TableParagraph"/>
              <w:rPr>
                <w:sz w:val="26"/>
              </w:rPr>
            </w:pPr>
          </w:p>
          <w:p w14:paraId="1BEC6229" w14:textId="77777777" w:rsidR="007B1496" w:rsidRDefault="007B1496">
            <w:pPr>
              <w:pStyle w:val="TableParagraph"/>
              <w:rPr>
                <w:sz w:val="26"/>
              </w:rPr>
            </w:pPr>
          </w:p>
          <w:p w14:paraId="1BEC622A" w14:textId="77777777" w:rsidR="007B1496" w:rsidRDefault="007B1496">
            <w:pPr>
              <w:pStyle w:val="TableParagraph"/>
              <w:rPr>
                <w:sz w:val="26"/>
              </w:rPr>
            </w:pPr>
          </w:p>
          <w:p w14:paraId="1BEC622B" w14:textId="77777777" w:rsidR="007B1496" w:rsidRDefault="00EB4A09">
            <w:pPr>
              <w:pStyle w:val="TableParagraph"/>
              <w:spacing w:before="171"/>
              <w:ind w:left="30"/>
              <w:jc w:val="center"/>
              <w:rPr>
                <w:b/>
                <w:sz w:val="24"/>
              </w:rPr>
            </w:pPr>
            <w:r>
              <w:rPr>
                <w:b/>
                <w:w w:val="95"/>
                <w:sz w:val="24"/>
              </w:rPr>
              <w:t>-</w:t>
            </w:r>
          </w:p>
        </w:tc>
        <w:tc>
          <w:tcPr>
            <w:tcW w:w="1433" w:type="dxa"/>
          </w:tcPr>
          <w:p w14:paraId="1BEC622C" w14:textId="77777777" w:rsidR="007B1496" w:rsidRDefault="007B1496">
            <w:pPr>
              <w:pStyle w:val="TableParagraph"/>
              <w:rPr>
                <w:sz w:val="26"/>
              </w:rPr>
            </w:pPr>
          </w:p>
          <w:p w14:paraId="1BEC622D" w14:textId="77777777" w:rsidR="007B1496" w:rsidRDefault="007B1496">
            <w:pPr>
              <w:pStyle w:val="TableParagraph"/>
              <w:rPr>
                <w:sz w:val="26"/>
              </w:rPr>
            </w:pPr>
          </w:p>
          <w:p w14:paraId="1BEC622E" w14:textId="77777777" w:rsidR="007B1496" w:rsidRDefault="007B1496">
            <w:pPr>
              <w:pStyle w:val="TableParagraph"/>
              <w:rPr>
                <w:sz w:val="26"/>
              </w:rPr>
            </w:pPr>
          </w:p>
          <w:p w14:paraId="1BEC622F" w14:textId="6B138C18" w:rsidR="007B1496" w:rsidRDefault="00EB4A09">
            <w:pPr>
              <w:pStyle w:val="TableParagraph"/>
              <w:spacing w:before="171"/>
              <w:ind w:left="290"/>
              <w:rPr>
                <w:b/>
                <w:sz w:val="24"/>
              </w:rPr>
            </w:pPr>
            <w:r>
              <w:rPr>
                <w:b/>
                <w:sz w:val="24"/>
              </w:rPr>
              <w:t>$</w:t>
            </w:r>
            <w:r w:rsidR="00871BD2">
              <w:rPr>
                <w:b/>
                <w:sz w:val="24"/>
              </w:rPr>
              <w:t>3</w:t>
            </w:r>
            <w:r>
              <w:rPr>
                <w:b/>
                <w:sz w:val="24"/>
              </w:rPr>
              <w:t>,</w:t>
            </w:r>
            <w:r w:rsidR="00871BD2">
              <w:rPr>
                <w:b/>
                <w:sz w:val="24"/>
              </w:rPr>
              <w:t>048</w:t>
            </w:r>
          </w:p>
        </w:tc>
        <w:tc>
          <w:tcPr>
            <w:tcW w:w="3036" w:type="dxa"/>
          </w:tcPr>
          <w:p w14:paraId="1BEC6230" w14:textId="77777777" w:rsidR="007B1496" w:rsidRDefault="007B1496">
            <w:pPr>
              <w:pStyle w:val="TableParagraph"/>
              <w:rPr>
                <w:rFonts w:ascii="Times New Roman"/>
              </w:rPr>
            </w:pPr>
          </w:p>
        </w:tc>
      </w:tr>
      <w:tr w:rsidR="001F3015" w14:paraId="256EC768" w14:textId="77777777" w:rsidTr="00DC5141">
        <w:trPr>
          <w:trHeight w:val="1408"/>
        </w:trPr>
        <w:tc>
          <w:tcPr>
            <w:tcW w:w="2516" w:type="dxa"/>
          </w:tcPr>
          <w:p w14:paraId="4DD977E2" w14:textId="77777777" w:rsidR="001F3015" w:rsidRDefault="001F3015" w:rsidP="001F3015">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7B06262" w14:textId="4C25ABF4" w:rsidR="001F3015" w:rsidRDefault="001F3015" w:rsidP="001F3015">
            <w:pPr>
              <w:pStyle w:val="TableParagraph"/>
              <w:spacing w:before="120"/>
              <w:ind w:left="117" w:right="537"/>
              <w:rPr>
                <w:b/>
                <w:sz w:val="24"/>
                <w:u w:val="thick"/>
              </w:rPr>
            </w:pPr>
            <w:r>
              <w:rPr>
                <w:b/>
                <w:sz w:val="24"/>
              </w:rPr>
              <w:t>Interest is</w:t>
            </w:r>
            <w:r>
              <w:rPr>
                <w:b/>
                <w:spacing w:val="1"/>
                <w:sz w:val="24"/>
              </w:rPr>
              <w:t xml:space="preserve"> </w:t>
            </w:r>
            <w:r>
              <w:rPr>
                <w:b/>
                <w:sz w:val="24"/>
              </w:rPr>
              <w:lastRenderedPageBreak/>
              <w:t>payable</w:t>
            </w:r>
            <w:r>
              <w:rPr>
                <w:b/>
                <w:spacing w:val="1"/>
                <w:sz w:val="24"/>
              </w:rPr>
              <w:t xml:space="preserve"> </w:t>
            </w:r>
            <w:r>
              <w:rPr>
                <w:b/>
                <w:sz w:val="24"/>
              </w:rPr>
              <w:t>annually at a</w:t>
            </w:r>
            <w:r>
              <w:rPr>
                <w:b/>
                <w:spacing w:val="1"/>
                <w:sz w:val="24"/>
              </w:rPr>
              <w:t xml:space="preserve"> </w:t>
            </w:r>
            <w:r>
              <w:rPr>
                <w:b/>
                <w:sz w:val="24"/>
              </w:rPr>
              <w:t xml:space="preserve">rate of </w:t>
            </w:r>
            <w:r w:rsidR="00DC5141">
              <w:rPr>
                <w:b/>
                <w:sz w:val="24"/>
              </w:rPr>
              <w:t>eight</w:t>
            </w:r>
            <w:r>
              <w:rPr>
                <w:b/>
                <w:spacing w:val="1"/>
                <w:sz w:val="24"/>
              </w:rPr>
              <w:t xml:space="preserve"> </w:t>
            </w:r>
            <w:r>
              <w:rPr>
                <w:b/>
                <w:sz w:val="24"/>
              </w:rPr>
              <w:t>percent</w:t>
            </w:r>
            <w:r>
              <w:rPr>
                <w:b/>
                <w:spacing w:val="3"/>
                <w:sz w:val="24"/>
              </w:rPr>
              <w:t xml:space="preserve"> </w:t>
            </w:r>
            <w:r>
              <w:rPr>
                <w:b/>
                <w:sz w:val="24"/>
              </w:rPr>
              <w:t>(8%)</w:t>
            </w:r>
            <w:r>
              <w:rPr>
                <w:b/>
                <w:spacing w:val="1"/>
                <w:sz w:val="24"/>
              </w:rPr>
              <w:t xml:space="preserve"> </w:t>
            </w:r>
            <w:r>
              <w:rPr>
                <w:b/>
                <w:sz w:val="24"/>
              </w:rPr>
              <w:t>per annum.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66EA694A" w14:textId="77777777" w:rsidR="001F3015" w:rsidRDefault="001F3015" w:rsidP="001F3015">
            <w:pPr>
              <w:pStyle w:val="TableParagraph"/>
              <w:rPr>
                <w:sz w:val="26"/>
              </w:rPr>
            </w:pPr>
          </w:p>
          <w:p w14:paraId="49D637E4" w14:textId="77777777" w:rsidR="001F3015" w:rsidRDefault="001F3015" w:rsidP="001F3015">
            <w:pPr>
              <w:pStyle w:val="TableParagraph"/>
              <w:rPr>
                <w:sz w:val="26"/>
              </w:rPr>
            </w:pPr>
          </w:p>
          <w:p w14:paraId="3A2AF0E8" w14:textId="77777777" w:rsidR="001F3015" w:rsidRDefault="001F3015" w:rsidP="001F3015">
            <w:pPr>
              <w:pStyle w:val="TableParagraph"/>
              <w:rPr>
                <w:sz w:val="26"/>
              </w:rPr>
            </w:pPr>
          </w:p>
          <w:p w14:paraId="64BB1893" w14:textId="1C68CE46" w:rsidR="001F3015" w:rsidRDefault="001F3015" w:rsidP="000F2E81">
            <w:pPr>
              <w:pStyle w:val="TableParagraph"/>
              <w:jc w:val="center"/>
              <w:rPr>
                <w:sz w:val="26"/>
              </w:rPr>
            </w:pPr>
            <w:r>
              <w:rPr>
                <w:b/>
                <w:w w:val="95"/>
                <w:sz w:val="24"/>
              </w:rPr>
              <w:t>-</w:t>
            </w:r>
          </w:p>
        </w:tc>
        <w:tc>
          <w:tcPr>
            <w:tcW w:w="1433" w:type="dxa"/>
          </w:tcPr>
          <w:p w14:paraId="7BBE0CAC" w14:textId="77777777" w:rsidR="001F3015" w:rsidRDefault="001F3015" w:rsidP="001F3015">
            <w:pPr>
              <w:pStyle w:val="TableParagraph"/>
              <w:rPr>
                <w:sz w:val="26"/>
              </w:rPr>
            </w:pPr>
          </w:p>
          <w:p w14:paraId="44F919FF" w14:textId="77777777" w:rsidR="001F3015" w:rsidRDefault="001F3015" w:rsidP="001F3015">
            <w:pPr>
              <w:pStyle w:val="TableParagraph"/>
              <w:rPr>
                <w:sz w:val="26"/>
              </w:rPr>
            </w:pPr>
          </w:p>
          <w:p w14:paraId="23671AB0" w14:textId="77777777" w:rsidR="001F3015" w:rsidRDefault="001F3015" w:rsidP="001F3015">
            <w:pPr>
              <w:pStyle w:val="TableParagraph"/>
              <w:rPr>
                <w:sz w:val="26"/>
              </w:rPr>
            </w:pPr>
          </w:p>
          <w:p w14:paraId="78AAAA79" w14:textId="0E2E67CB" w:rsidR="001F3015" w:rsidRDefault="001F3015" w:rsidP="001F3015">
            <w:pPr>
              <w:pStyle w:val="TableParagraph"/>
              <w:jc w:val="center"/>
              <w:rPr>
                <w:sz w:val="26"/>
              </w:rPr>
            </w:pPr>
            <w:r>
              <w:rPr>
                <w:b/>
                <w:sz w:val="24"/>
              </w:rPr>
              <w:t>$</w:t>
            </w:r>
            <w:r w:rsidR="00D31FA3">
              <w:rPr>
                <w:b/>
                <w:sz w:val="24"/>
              </w:rPr>
              <w:t>68</w:t>
            </w:r>
            <w:r>
              <w:rPr>
                <w:b/>
                <w:sz w:val="24"/>
              </w:rPr>
              <w:t>,</w:t>
            </w:r>
            <w:r w:rsidR="00D31FA3">
              <w:rPr>
                <w:b/>
                <w:sz w:val="24"/>
              </w:rPr>
              <w:t>345</w:t>
            </w:r>
          </w:p>
        </w:tc>
        <w:tc>
          <w:tcPr>
            <w:tcW w:w="3036" w:type="dxa"/>
          </w:tcPr>
          <w:p w14:paraId="465AD373" w14:textId="77777777" w:rsidR="001F3015" w:rsidRDefault="001F3015" w:rsidP="001F3015">
            <w:pPr>
              <w:pStyle w:val="TableParagraph"/>
              <w:rPr>
                <w:rFonts w:ascii="Times New Roman"/>
              </w:rPr>
            </w:pPr>
          </w:p>
        </w:tc>
      </w:tr>
      <w:tr w:rsidR="007B1496" w14:paraId="1BEC6240" w14:textId="77777777">
        <w:trPr>
          <w:trHeight w:val="4658"/>
        </w:trPr>
        <w:tc>
          <w:tcPr>
            <w:tcW w:w="2516" w:type="dxa"/>
          </w:tcPr>
          <w:p w14:paraId="1BEC6233"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34" w14:textId="77777777" w:rsidR="007B1496" w:rsidRDefault="00EB4A09">
            <w:pPr>
              <w:pStyle w:val="TableParagraph"/>
              <w:spacing w:before="125" w:line="237" w:lineRule="auto"/>
              <w:ind w:left="117" w:right="572"/>
              <w:rPr>
                <w:b/>
                <w:sz w:val="24"/>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rate of five</w:t>
            </w:r>
            <w:r>
              <w:rPr>
                <w:b/>
                <w:spacing w:val="1"/>
                <w:sz w:val="24"/>
              </w:rPr>
              <w:t xml:space="preserve"> </w:t>
            </w:r>
            <w:r>
              <w:rPr>
                <w:b/>
                <w:sz w:val="24"/>
              </w:rPr>
              <w:t>percent</w:t>
            </w:r>
            <w:r>
              <w:rPr>
                <w:b/>
                <w:spacing w:val="3"/>
                <w:sz w:val="24"/>
              </w:rPr>
              <w:t xml:space="preserve"> </w:t>
            </w:r>
            <w:r>
              <w:rPr>
                <w:b/>
                <w:sz w:val="24"/>
              </w:rPr>
              <w:t>(5%)</w:t>
            </w:r>
            <w:r>
              <w:rPr>
                <w:b/>
                <w:spacing w:val="1"/>
                <w:sz w:val="24"/>
              </w:rPr>
              <w:t xml:space="preserve"> </w:t>
            </w:r>
            <w:r>
              <w:rPr>
                <w:b/>
                <w:sz w:val="24"/>
              </w:rPr>
              <w:t>per annum. The</w:t>
            </w:r>
            <w:r>
              <w:rPr>
                <w:b/>
                <w:spacing w:val="-64"/>
                <w:sz w:val="24"/>
              </w:rPr>
              <w:t xml:space="preserve"> </w:t>
            </w:r>
            <w:r>
              <w:rPr>
                <w:b/>
                <w:sz w:val="24"/>
              </w:rPr>
              <w:t>notes are</w:t>
            </w:r>
            <w:r>
              <w:rPr>
                <w:b/>
                <w:spacing w:val="1"/>
                <w:sz w:val="24"/>
              </w:rPr>
              <w:t xml:space="preserve"> </w:t>
            </w:r>
            <w:r>
              <w:rPr>
                <w:b/>
                <w:sz w:val="24"/>
              </w:rPr>
              <w:t>secured by a</w:t>
            </w:r>
            <w:r>
              <w:rPr>
                <w:b/>
                <w:spacing w:val="1"/>
                <w:sz w:val="24"/>
              </w:rPr>
              <w:t xml:space="preserve"> </w:t>
            </w:r>
            <w:r>
              <w:rPr>
                <w:b/>
                <w:sz w:val="24"/>
              </w:rPr>
              <w:t>General</w:t>
            </w:r>
            <w:r>
              <w:rPr>
                <w:b/>
                <w:spacing w:val="1"/>
                <w:sz w:val="24"/>
              </w:rPr>
              <w:t xml:space="preserve"> </w:t>
            </w:r>
            <w:r>
              <w:rPr>
                <w:b/>
                <w:sz w:val="24"/>
              </w:rPr>
              <w:t>Security</w:t>
            </w:r>
            <w:r>
              <w:rPr>
                <w:b/>
                <w:spacing w:val="1"/>
                <w:sz w:val="24"/>
              </w:rPr>
              <w:t xml:space="preserve"> </w:t>
            </w:r>
            <w:r>
              <w:rPr>
                <w:b/>
                <w:spacing w:val="-1"/>
                <w:sz w:val="24"/>
              </w:rPr>
              <w:t>Agreement over</w:t>
            </w:r>
            <w:r>
              <w:rPr>
                <w:b/>
                <w:spacing w:val="-64"/>
                <w:sz w:val="24"/>
              </w:rPr>
              <w:t xml:space="preserve"> </w:t>
            </w:r>
            <w:r>
              <w:rPr>
                <w:b/>
                <w:sz w:val="24"/>
              </w:rPr>
              <w:t>the assets of</w:t>
            </w:r>
            <w:r>
              <w:rPr>
                <w:b/>
                <w:spacing w:val="1"/>
                <w:sz w:val="24"/>
              </w:rPr>
              <w:t xml:space="preserve"> </w:t>
            </w:r>
            <w:r>
              <w:rPr>
                <w:b/>
                <w:sz w:val="24"/>
              </w:rPr>
              <w:t>ICM.</w:t>
            </w:r>
          </w:p>
        </w:tc>
        <w:tc>
          <w:tcPr>
            <w:tcW w:w="1711" w:type="dxa"/>
          </w:tcPr>
          <w:p w14:paraId="1BEC6235" w14:textId="77777777" w:rsidR="007B1496" w:rsidRDefault="007B1496">
            <w:pPr>
              <w:pStyle w:val="TableParagraph"/>
              <w:rPr>
                <w:sz w:val="26"/>
              </w:rPr>
            </w:pPr>
          </w:p>
          <w:p w14:paraId="1BEC6236" w14:textId="77777777" w:rsidR="007B1496" w:rsidRDefault="007B1496">
            <w:pPr>
              <w:pStyle w:val="TableParagraph"/>
              <w:rPr>
                <w:sz w:val="26"/>
              </w:rPr>
            </w:pPr>
          </w:p>
          <w:p w14:paraId="1BEC6237" w14:textId="77777777" w:rsidR="007B1496" w:rsidRDefault="007B1496">
            <w:pPr>
              <w:pStyle w:val="TableParagraph"/>
              <w:rPr>
                <w:sz w:val="26"/>
              </w:rPr>
            </w:pPr>
          </w:p>
          <w:p w14:paraId="1BEC6238" w14:textId="77777777" w:rsidR="007B1496" w:rsidRDefault="007B1496">
            <w:pPr>
              <w:pStyle w:val="TableParagraph"/>
              <w:rPr>
                <w:sz w:val="26"/>
              </w:rPr>
            </w:pPr>
          </w:p>
          <w:p w14:paraId="1BEC6239" w14:textId="77777777" w:rsidR="007B1496" w:rsidRDefault="007B1496">
            <w:pPr>
              <w:pStyle w:val="TableParagraph"/>
              <w:spacing w:before="10"/>
              <w:rPr>
                <w:sz w:val="27"/>
              </w:rPr>
            </w:pPr>
          </w:p>
          <w:p w14:paraId="1BEC623A" w14:textId="77777777" w:rsidR="007B1496" w:rsidRDefault="00EB4A09">
            <w:pPr>
              <w:pStyle w:val="TableParagraph"/>
              <w:ind w:left="30"/>
              <w:jc w:val="center"/>
              <w:rPr>
                <w:b/>
                <w:sz w:val="24"/>
              </w:rPr>
            </w:pPr>
            <w:r>
              <w:rPr>
                <w:b/>
                <w:w w:val="95"/>
                <w:sz w:val="24"/>
              </w:rPr>
              <w:t>-</w:t>
            </w:r>
          </w:p>
        </w:tc>
        <w:tc>
          <w:tcPr>
            <w:tcW w:w="1433" w:type="dxa"/>
          </w:tcPr>
          <w:p w14:paraId="1BEC623B" w14:textId="77777777" w:rsidR="007B1496" w:rsidRDefault="007B1496">
            <w:pPr>
              <w:pStyle w:val="TableParagraph"/>
              <w:rPr>
                <w:sz w:val="26"/>
              </w:rPr>
            </w:pPr>
          </w:p>
          <w:p w14:paraId="1BEC623C" w14:textId="77777777" w:rsidR="007B1496" w:rsidRDefault="007B1496">
            <w:pPr>
              <w:pStyle w:val="TableParagraph"/>
              <w:rPr>
                <w:sz w:val="26"/>
              </w:rPr>
            </w:pPr>
          </w:p>
          <w:p w14:paraId="1BEC623D" w14:textId="77777777" w:rsidR="007B1496" w:rsidRDefault="007B1496">
            <w:pPr>
              <w:pStyle w:val="TableParagraph"/>
              <w:rPr>
                <w:sz w:val="26"/>
              </w:rPr>
            </w:pPr>
          </w:p>
          <w:p w14:paraId="1BEC623E" w14:textId="77777777" w:rsidR="007B1496" w:rsidRDefault="00EB4A09">
            <w:pPr>
              <w:pStyle w:val="TableParagraph"/>
              <w:spacing w:before="1"/>
              <w:ind w:left="11"/>
              <w:rPr>
                <w:b/>
                <w:sz w:val="24"/>
              </w:rPr>
            </w:pPr>
            <w:r>
              <w:rPr>
                <w:b/>
                <w:sz w:val="24"/>
              </w:rPr>
              <w:t>$12,500,000</w:t>
            </w:r>
          </w:p>
        </w:tc>
        <w:tc>
          <w:tcPr>
            <w:tcW w:w="3036" w:type="dxa"/>
          </w:tcPr>
          <w:p w14:paraId="1BEC623F" w14:textId="77777777" w:rsidR="007B1496" w:rsidRDefault="00EB4A09">
            <w:pPr>
              <w:pStyle w:val="TableParagraph"/>
              <w:spacing w:before="120"/>
              <w:ind w:left="120" w:right="244"/>
              <w:rPr>
                <w:b/>
                <w:sz w:val="24"/>
              </w:rPr>
            </w:pPr>
            <w:r>
              <w:rPr>
                <w:b/>
                <w:sz w:val="24"/>
              </w:rPr>
              <w:t>Promissory notes were</w:t>
            </w:r>
            <w:r>
              <w:rPr>
                <w:b/>
                <w:spacing w:val="-64"/>
                <w:sz w:val="24"/>
              </w:rPr>
              <w:t xml:space="preserve"> </w:t>
            </w:r>
            <w:r>
              <w:rPr>
                <w:b/>
                <w:sz w:val="24"/>
              </w:rPr>
              <w:t>issued upon closing of</w:t>
            </w:r>
            <w:r>
              <w:rPr>
                <w:b/>
                <w:spacing w:val="-64"/>
                <w:sz w:val="24"/>
              </w:rPr>
              <w:t xml:space="preserve"> </w:t>
            </w:r>
            <w:r>
              <w:rPr>
                <w:b/>
                <w:sz w:val="24"/>
              </w:rPr>
              <w:t>the acquisition of the</w:t>
            </w:r>
            <w:r>
              <w:rPr>
                <w:b/>
                <w:spacing w:val="1"/>
                <w:sz w:val="24"/>
              </w:rPr>
              <w:t xml:space="preserve"> </w:t>
            </w:r>
            <w:r>
              <w:rPr>
                <w:b/>
                <w:sz w:val="24"/>
              </w:rPr>
              <w:t>shares of ICM by</w:t>
            </w:r>
            <w:r>
              <w:rPr>
                <w:b/>
                <w:spacing w:val="1"/>
                <w:sz w:val="24"/>
              </w:rPr>
              <w:t xml:space="preserve"> </w:t>
            </w:r>
            <w:r>
              <w:rPr>
                <w:b/>
                <w:sz w:val="24"/>
              </w:rPr>
              <w:t>Canada</w:t>
            </w:r>
            <w:r>
              <w:rPr>
                <w:b/>
                <w:spacing w:val="-6"/>
                <w:sz w:val="24"/>
              </w:rPr>
              <w:t xml:space="preserve"> </w:t>
            </w:r>
            <w:r>
              <w:rPr>
                <w:b/>
                <w:sz w:val="24"/>
              </w:rPr>
              <w:t>House</w:t>
            </w:r>
            <w:r>
              <w:rPr>
                <w:b/>
                <w:spacing w:val="-6"/>
                <w:sz w:val="24"/>
              </w:rPr>
              <w:t xml:space="preserve"> </w:t>
            </w:r>
            <w:r>
              <w:rPr>
                <w:b/>
                <w:sz w:val="24"/>
              </w:rPr>
              <w:t>on</w:t>
            </w:r>
            <w:r>
              <w:rPr>
                <w:b/>
                <w:spacing w:val="-6"/>
                <w:sz w:val="24"/>
              </w:rPr>
              <w:t xml:space="preserve"> </w:t>
            </w:r>
            <w:r>
              <w:rPr>
                <w:b/>
                <w:sz w:val="24"/>
              </w:rPr>
              <w:t>June</w:t>
            </w:r>
            <w:r>
              <w:rPr>
                <w:b/>
                <w:spacing w:val="-63"/>
                <w:sz w:val="24"/>
              </w:rPr>
              <w:t xml:space="preserve"> </w:t>
            </w:r>
            <w:r>
              <w:rPr>
                <w:b/>
                <w:sz w:val="24"/>
              </w:rPr>
              <w:t>12,</w:t>
            </w:r>
            <w:r>
              <w:rPr>
                <w:b/>
                <w:spacing w:val="-3"/>
                <w:sz w:val="24"/>
              </w:rPr>
              <w:t xml:space="preserve"> </w:t>
            </w:r>
            <w:r>
              <w:rPr>
                <w:b/>
                <w:sz w:val="24"/>
              </w:rPr>
              <w:t>2020.</w:t>
            </w:r>
          </w:p>
        </w:tc>
      </w:tr>
    </w:tbl>
    <w:p w14:paraId="1BEC6241" w14:textId="77777777" w:rsidR="007B1496" w:rsidRDefault="007B1496">
      <w:pPr>
        <w:pStyle w:val="BodyText"/>
        <w:rPr>
          <w:sz w:val="20"/>
        </w:rPr>
      </w:pPr>
    </w:p>
    <w:p w14:paraId="1BEC6242" w14:textId="77777777" w:rsidR="007B1496" w:rsidRDefault="007B1496">
      <w:pPr>
        <w:pStyle w:val="BodyText"/>
        <w:spacing w:before="1"/>
        <w:rPr>
          <w:sz w:val="23"/>
        </w:rPr>
      </w:pPr>
    </w:p>
    <w:p w14:paraId="1BEC6243" w14:textId="77777777"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directors,</w:t>
      </w:r>
      <w:r>
        <w:rPr>
          <w:spacing w:val="-4"/>
          <w:sz w:val="24"/>
        </w:rPr>
        <w:t xml:space="preserve"> </w:t>
      </w:r>
      <w:proofErr w:type="gramStart"/>
      <w:r>
        <w:rPr>
          <w:sz w:val="24"/>
        </w:rPr>
        <w:t>officers</w:t>
      </w:r>
      <w:proofErr w:type="gramEnd"/>
      <w:r>
        <w:rPr>
          <w:spacing w:val="-1"/>
          <w:sz w:val="24"/>
        </w:rPr>
        <w:t xml:space="preserve"> </w:t>
      </w:r>
      <w:r>
        <w:rPr>
          <w:sz w:val="24"/>
        </w:rPr>
        <w:t>or</w:t>
      </w:r>
      <w:r>
        <w:rPr>
          <w:spacing w:val="-1"/>
          <w:sz w:val="24"/>
        </w:rPr>
        <w:t xml:space="preserve"> </w:t>
      </w:r>
      <w:r>
        <w:rPr>
          <w:sz w:val="24"/>
        </w:rPr>
        <w:t>committee</w:t>
      </w:r>
      <w:r>
        <w:rPr>
          <w:spacing w:val="-16"/>
          <w:sz w:val="24"/>
        </w:rPr>
        <w:t xml:space="preserve"> </w:t>
      </w:r>
      <w:r>
        <w:rPr>
          <w:sz w:val="24"/>
        </w:rPr>
        <w:t>members.</w:t>
      </w:r>
    </w:p>
    <w:p w14:paraId="1BEC6244" w14:textId="77777777" w:rsidR="007B1496" w:rsidRDefault="007B1496">
      <w:pPr>
        <w:pStyle w:val="BodyText"/>
      </w:pPr>
    </w:p>
    <w:p w14:paraId="1BEC6245" w14:textId="4D6FAA1C" w:rsidR="007B1496" w:rsidRDefault="00541974" w:rsidP="00162332">
      <w:pPr>
        <w:pStyle w:val="Heading1"/>
        <w:ind w:left="709" w:right="662"/>
      </w:pPr>
      <w:r>
        <w:t>None</w:t>
      </w:r>
    </w:p>
    <w:p w14:paraId="1BEC6246" w14:textId="77777777" w:rsidR="007B1496" w:rsidRDefault="00EB4A09">
      <w:pPr>
        <w:pStyle w:val="ListParagraph"/>
        <w:numPr>
          <w:ilvl w:val="0"/>
          <w:numId w:val="2"/>
        </w:numPr>
        <w:tabs>
          <w:tab w:val="left" w:pos="659"/>
          <w:tab w:val="left" w:pos="660"/>
        </w:tabs>
        <w:spacing w:before="219" w:line="242" w:lineRule="auto"/>
        <w:ind w:right="1218"/>
        <w:rPr>
          <w:sz w:val="24"/>
        </w:rPr>
      </w:pPr>
      <w:r>
        <w:rPr>
          <w:sz w:val="24"/>
        </w:rPr>
        <w:t>Discuss</w:t>
      </w:r>
      <w:r>
        <w:rPr>
          <w:spacing w:val="-2"/>
          <w:sz w:val="24"/>
        </w:rPr>
        <w:t xml:space="preserve"> </w:t>
      </w:r>
      <w:r>
        <w:rPr>
          <w:sz w:val="24"/>
        </w:rPr>
        <w:t>any</w:t>
      </w:r>
      <w:r>
        <w:rPr>
          <w:spacing w:val="-1"/>
          <w:sz w:val="24"/>
        </w:rPr>
        <w:t xml:space="preserve"> </w:t>
      </w:r>
      <w:r>
        <w:rPr>
          <w:sz w:val="24"/>
        </w:rPr>
        <w:t>trends</w:t>
      </w:r>
      <w:r>
        <w:rPr>
          <w:spacing w:val="-2"/>
          <w:sz w:val="24"/>
        </w:rPr>
        <w:t xml:space="preserve"> </w:t>
      </w:r>
      <w:r>
        <w:rPr>
          <w:sz w:val="24"/>
        </w:rPr>
        <w:t>which</w:t>
      </w:r>
      <w:r>
        <w:rPr>
          <w:spacing w:val="-1"/>
          <w:sz w:val="24"/>
        </w:rPr>
        <w:t xml:space="preserve"> </w:t>
      </w:r>
      <w:r>
        <w:rPr>
          <w:sz w:val="24"/>
        </w:rPr>
        <w:t>are</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impact</w:t>
      </w:r>
      <w:r>
        <w:rPr>
          <w:spacing w:val="-3"/>
          <w:sz w:val="24"/>
        </w:rPr>
        <w:t xml:space="preserve"> </w:t>
      </w:r>
      <w:r>
        <w:rPr>
          <w:sz w:val="24"/>
        </w:rPr>
        <w:t>the</w:t>
      </w:r>
      <w:r>
        <w:rPr>
          <w:spacing w:val="-1"/>
          <w:sz w:val="24"/>
        </w:rPr>
        <w:t xml:space="preserve"> </w:t>
      </w:r>
      <w:r>
        <w:rPr>
          <w:sz w:val="24"/>
        </w:rPr>
        <w:t>Issuer</w:t>
      </w:r>
      <w:r>
        <w:rPr>
          <w:spacing w:val="-2"/>
          <w:sz w:val="24"/>
        </w:rPr>
        <w:t xml:space="preserve"> </w:t>
      </w:r>
      <w:r>
        <w:rPr>
          <w:sz w:val="24"/>
        </w:rPr>
        <w:t>including</w:t>
      </w:r>
      <w:r>
        <w:rPr>
          <w:spacing w:val="-2"/>
          <w:sz w:val="24"/>
        </w:rPr>
        <w:t xml:space="preserve"> </w:t>
      </w:r>
      <w:r>
        <w:rPr>
          <w:sz w:val="24"/>
        </w:rPr>
        <w:t>trends</w:t>
      </w:r>
      <w:r>
        <w:rPr>
          <w:spacing w:val="-2"/>
          <w:sz w:val="24"/>
        </w:rPr>
        <w:t xml:space="preserve"> </w:t>
      </w:r>
      <w:r>
        <w:rPr>
          <w:sz w:val="24"/>
        </w:rPr>
        <w:t>in</w:t>
      </w:r>
      <w:r>
        <w:rPr>
          <w:spacing w:val="-3"/>
          <w:sz w:val="24"/>
        </w:rPr>
        <w:t xml:space="preserve"> </w:t>
      </w:r>
      <w:r>
        <w:rPr>
          <w:sz w:val="24"/>
        </w:rPr>
        <w:t>the</w:t>
      </w:r>
      <w:r>
        <w:rPr>
          <w:spacing w:val="-64"/>
          <w:sz w:val="24"/>
        </w:rPr>
        <w:t xml:space="preserve"> </w:t>
      </w:r>
      <w:r>
        <w:rPr>
          <w:sz w:val="24"/>
        </w:rPr>
        <w:t>Issuer’s</w:t>
      </w:r>
      <w:r>
        <w:rPr>
          <w:spacing w:val="-1"/>
          <w:sz w:val="24"/>
        </w:rPr>
        <w:t xml:space="preserve"> </w:t>
      </w:r>
      <w:r>
        <w:rPr>
          <w:sz w:val="24"/>
        </w:rPr>
        <w:t>market(s)</w:t>
      </w:r>
      <w:r>
        <w:rPr>
          <w:spacing w:val="-1"/>
          <w:sz w:val="24"/>
        </w:rPr>
        <w:t xml:space="preserve"> </w:t>
      </w:r>
      <w:r>
        <w:rPr>
          <w:sz w:val="24"/>
        </w:rPr>
        <w:t>or political/regulatory</w:t>
      </w:r>
      <w:r>
        <w:rPr>
          <w:spacing w:val="-2"/>
          <w:sz w:val="24"/>
        </w:rPr>
        <w:t xml:space="preserve"> </w:t>
      </w:r>
      <w:r>
        <w:rPr>
          <w:sz w:val="24"/>
        </w:rPr>
        <w:t>trends.</w:t>
      </w:r>
    </w:p>
    <w:p w14:paraId="1BEC6247" w14:textId="77777777" w:rsidR="007B1496" w:rsidRDefault="007B1496">
      <w:pPr>
        <w:pStyle w:val="BodyText"/>
        <w:spacing w:before="4"/>
        <w:rPr>
          <w:sz w:val="20"/>
        </w:rPr>
      </w:pPr>
    </w:p>
    <w:p w14:paraId="44FFEDFC" w14:textId="495BE54C" w:rsidR="00BC16E2" w:rsidRDefault="00EB4A09" w:rsidP="00AB712A">
      <w:pPr>
        <w:pStyle w:val="Heading1"/>
        <w:ind w:right="615"/>
      </w:pPr>
      <w:r>
        <w:t>Canada House regularly examines and adjusts its strategy as it pursues a</w:t>
      </w:r>
      <w:r>
        <w:rPr>
          <w:spacing w:val="1"/>
        </w:rPr>
        <w:t xml:space="preserve"> </w:t>
      </w:r>
      <w:r>
        <w:rPr>
          <w:spacing w:val="-1"/>
        </w:rPr>
        <w:t>path</w:t>
      </w:r>
      <w:r>
        <w:rPr>
          <w:spacing w:val="-17"/>
        </w:rPr>
        <w:t xml:space="preserve"> </w:t>
      </w:r>
      <w:r>
        <w:rPr>
          <w:spacing w:val="-1"/>
        </w:rPr>
        <w:t>to</w:t>
      </w:r>
      <w:r>
        <w:rPr>
          <w:spacing w:val="-16"/>
        </w:rPr>
        <w:t xml:space="preserve"> </w:t>
      </w:r>
      <w:r>
        <w:rPr>
          <w:spacing w:val="-1"/>
        </w:rPr>
        <w:t>profitability,</w:t>
      </w:r>
      <w:r>
        <w:rPr>
          <w:spacing w:val="-13"/>
        </w:rPr>
        <w:t xml:space="preserve"> </w:t>
      </w:r>
      <w:r>
        <w:t>in</w:t>
      </w:r>
      <w:r>
        <w:rPr>
          <w:spacing w:val="-14"/>
        </w:rPr>
        <w:t xml:space="preserve"> </w:t>
      </w:r>
      <w:r>
        <w:t>response</w:t>
      </w:r>
      <w:r>
        <w:rPr>
          <w:spacing w:val="-12"/>
        </w:rPr>
        <w:t xml:space="preserve"> </w:t>
      </w:r>
      <w:r>
        <w:t>to</w:t>
      </w:r>
      <w:r>
        <w:rPr>
          <w:spacing w:val="-17"/>
        </w:rPr>
        <w:t xml:space="preserve"> </w:t>
      </w:r>
      <w:r>
        <w:t>market</w:t>
      </w:r>
      <w:r>
        <w:rPr>
          <w:spacing w:val="-16"/>
        </w:rPr>
        <w:t xml:space="preserve"> </w:t>
      </w:r>
      <w:r>
        <w:t>conditions</w:t>
      </w:r>
      <w:r>
        <w:rPr>
          <w:spacing w:val="-12"/>
        </w:rPr>
        <w:t xml:space="preserve"> </w:t>
      </w:r>
      <w:r>
        <w:t>and</w:t>
      </w:r>
      <w:r>
        <w:rPr>
          <w:spacing w:val="-15"/>
        </w:rPr>
        <w:t xml:space="preserve"> </w:t>
      </w:r>
      <w:r>
        <w:t>new</w:t>
      </w:r>
      <w:r>
        <w:rPr>
          <w:spacing w:val="-15"/>
        </w:rPr>
        <w:t xml:space="preserve"> </w:t>
      </w:r>
      <w:r>
        <w:t>opportunities.</w:t>
      </w:r>
    </w:p>
    <w:p w14:paraId="65786B4D" w14:textId="57B948E1" w:rsidR="00AB712A" w:rsidRDefault="00AB712A" w:rsidP="00AB712A">
      <w:pPr>
        <w:pStyle w:val="Heading1"/>
        <w:ind w:right="615"/>
      </w:pPr>
    </w:p>
    <w:p w14:paraId="7A2DCCC1" w14:textId="4A151354" w:rsidR="00AB712A" w:rsidRDefault="00AB712A" w:rsidP="00AB712A">
      <w:pPr>
        <w:pStyle w:val="Heading1"/>
        <w:ind w:right="615"/>
      </w:pPr>
    </w:p>
    <w:p w14:paraId="25936A3D" w14:textId="77777777" w:rsidR="00AB712A" w:rsidRDefault="00AB712A" w:rsidP="00AB712A">
      <w:pPr>
        <w:pStyle w:val="Heading1"/>
        <w:ind w:right="615"/>
        <w:rPr>
          <w:b w:val="0"/>
          <w:sz w:val="8"/>
        </w:rPr>
      </w:pPr>
    </w:p>
    <w:p w14:paraId="70E7CEF2" w14:textId="07FB0F7B" w:rsidR="00BC16E2" w:rsidRDefault="00BC16E2">
      <w:pPr>
        <w:pStyle w:val="BodyText"/>
        <w:spacing w:before="8"/>
        <w:rPr>
          <w:b/>
          <w:sz w:val="8"/>
        </w:rPr>
      </w:pPr>
    </w:p>
    <w:p w14:paraId="458D9502" w14:textId="639A57D3" w:rsidR="00BC16E2" w:rsidRDefault="00BC16E2">
      <w:pPr>
        <w:pStyle w:val="BodyText"/>
        <w:spacing w:before="8"/>
        <w:rPr>
          <w:b/>
          <w:sz w:val="8"/>
        </w:rPr>
      </w:pPr>
    </w:p>
    <w:p w14:paraId="33281B49" w14:textId="24AB8CFF" w:rsidR="00BC16E2" w:rsidRDefault="00BC16E2">
      <w:pPr>
        <w:pStyle w:val="BodyText"/>
        <w:spacing w:before="8"/>
        <w:rPr>
          <w:b/>
          <w:sz w:val="8"/>
        </w:rPr>
      </w:pPr>
    </w:p>
    <w:p w14:paraId="644CE56E" w14:textId="750AA225" w:rsidR="00BC16E2" w:rsidRDefault="00BC16E2">
      <w:pPr>
        <w:pStyle w:val="BodyText"/>
        <w:spacing w:before="8"/>
        <w:rPr>
          <w:b/>
          <w:sz w:val="8"/>
        </w:rPr>
      </w:pPr>
    </w:p>
    <w:p w14:paraId="33FB68F1" w14:textId="5A3ACF54" w:rsidR="00BC16E2" w:rsidRDefault="00BC16E2">
      <w:pPr>
        <w:pStyle w:val="BodyText"/>
        <w:spacing w:before="8"/>
        <w:rPr>
          <w:b/>
          <w:sz w:val="8"/>
        </w:rPr>
      </w:pPr>
    </w:p>
    <w:p w14:paraId="1D30A694" w14:textId="6E73462B" w:rsidR="00344EAC" w:rsidRDefault="00344EAC">
      <w:pPr>
        <w:pStyle w:val="BodyText"/>
        <w:spacing w:before="8"/>
        <w:rPr>
          <w:b/>
          <w:sz w:val="8"/>
        </w:rPr>
      </w:pPr>
    </w:p>
    <w:p w14:paraId="5757C79F" w14:textId="5D91FD18" w:rsidR="00344EAC" w:rsidRDefault="00344EAC">
      <w:pPr>
        <w:pStyle w:val="BodyText"/>
        <w:spacing w:before="8"/>
        <w:rPr>
          <w:b/>
          <w:sz w:val="8"/>
        </w:rPr>
      </w:pPr>
    </w:p>
    <w:p w14:paraId="44A775DC" w14:textId="6761413A" w:rsidR="00344EAC" w:rsidRDefault="00344EAC">
      <w:pPr>
        <w:pStyle w:val="BodyText"/>
        <w:spacing w:before="8"/>
        <w:rPr>
          <w:b/>
          <w:sz w:val="8"/>
        </w:rPr>
      </w:pPr>
    </w:p>
    <w:p w14:paraId="191032C7" w14:textId="1D78B491" w:rsidR="00344EAC" w:rsidRDefault="00344EAC">
      <w:pPr>
        <w:pStyle w:val="BodyText"/>
        <w:spacing w:before="8"/>
        <w:rPr>
          <w:b/>
          <w:sz w:val="8"/>
        </w:rPr>
      </w:pPr>
    </w:p>
    <w:p w14:paraId="3AB3E1F6" w14:textId="21F0788E" w:rsidR="00344EAC" w:rsidRDefault="00344EAC">
      <w:pPr>
        <w:pStyle w:val="BodyText"/>
        <w:spacing w:before="8"/>
        <w:rPr>
          <w:b/>
          <w:sz w:val="8"/>
        </w:rPr>
      </w:pPr>
    </w:p>
    <w:p w14:paraId="214D9F6D" w14:textId="39E9E925" w:rsidR="00344EAC" w:rsidRDefault="00344EAC">
      <w:pPr>
        <w:pStyle w:val="BodyText"/>
        <w:spacing w:before="8"/>
        <w:rPr>
          <w:b/>
          <w:sz w:val="8"/>
        </w:rPr>
      </w:pPr>
    </w:p>
    <w:p w14:paraId="5DA21465" w14:textId="2DF54C5F" w:rsidR="00344EAC" w:rsidRDefault="00344EAC">
      <w:pPr>
        <w:pStyle w:val="BodyText"/>
        <w:spacing w:before="8"/>
        <w:rPr>
          <w:b/>
          <w:sz w:val="8"/>
        </w:rPr>
      </w:pPr>
    </w:p>
    <w:p w14:paraId="367F9EA5" w14:textId="58F5FA61" w:rsidR="00344EAC" w:rsidRDefault="00344EAC">
      <w:pPr>
        <w:pStyle w:val="BodyText"/>
        <w:spacing w:before="8"/>
        <w:rPr>
          <w:b/>
          <w:sz w:val="8"/>
        </w:rPr>
      </w:pPr>
    </w:p>
    <w:p w14:paraId="6F933E4A" w14:textId="7EC9A207" w:rsidR="00344EAC" w:rsidRDefault="00344EAC">
      <w:pPr>
        <w:pStyle w:val="BodyText"/>
        <w:spacing w:before="8"/>
        <w:rPr>
          <w:b/>
          <w:sz w:val="8"/>
        </w:rPr>
      </w:pPr>
    </w:p>
    <w:p w14:paraId="1859DE35" w14:textId="4AAE4DE0" w:rsidR="00344EAC" w:rsidRDefault="00344EAC">
      <w:pPr>
        <w:pStyle w:val="BodyText"/>
        <w:spacing w:before="8"/>
        <w:rPr>
          <w:b/>
          <w:sz w:val="8"/>
        </w:rPr>
      </w:pPr>
    </w:p>
    <w:p w14:paraId="1BEE742D" w14:textId="77777777" w:rsidR="00344EAC" w:rsidRDefault="00344EAC">
      <w:pPr>
        <w:pStyle w:val="BodyText"/>
        <w:spacing w:before="8"/>
        <w:rPr>
          <w:b/>
          <w:sz w:val="8"/>
        </w:rPr>
      </w:pPr>
    </w:p>
    <w:p w14:paraId="437A3F7C" w14:textId="43E252A3" w:rsidR="00BC16E2" w:rsidRDefault="00BC16E2">
      <w:pPr>
        <w:pStyle w:val="BodyText"/>
        <w:spacing w:before="8"/>
        <w:rPr>
          <w:b/>
          <w:sz w:val="8"/>
        </w:rPr>
      </w:pPr>
    </w:p>
    <w:p w14:paraId="5C8901D8" w14:textId="0F189204" w:rsidR="00BC16E2" w:rsidRDefault="00BC16E2">
      <w:pPr>
        <w:pStyle w:val="BodyText"/>
        <w:spacing w:before="8"/>
        <w:rPr>
          <w:b/>
          <w:sz w:val="8"/>
        </w:rPr>
      </w:pPr>
    </w:p>
    <w:p w14:paraId="3CA64F10" w14:textId="5333E7B6" w:rsidR="00BC16E2" w:rsidRDefault="00BC16E2">
      <w:pPr>
        <w:pStyle w:val="BodyText"/>
        <w:spacing w:before="8"/>
        <w:rPr>
          <w:b/>
          <w:sz w:val="8"/>
        </w:rPr>
      </w:pPr>
    </w:p>
    <w:p w14:paraId="094D153A" w14:textId="6D33F8F5" w:rsidR="00BC16E2" w:rsidRDefault="00BC16E2">
      <w:pPr>
        <w:pStyle w:val="BodyText"/>
        <w:spacing w:before="8"/>
        <w:rPr>
          <w:b/>
          <w:sz w:val="8"/>
        </w:rPr>
      </w:pPr>
    </w:p>
    <w:p w14:paraId="1BEC624B" w14:textId="33F857E3" w:rsidR="007B1496" w:rsidRDefault="00C01DA6" w:rsidP="00C01DA6">
      <w:pPr>
        <w:spacing w:before="93"/>
        <w:rPr>
          <w:b/>
          <w:sz w:val="24"/>
        </w:rPr>
      </w:pPr>
      <w:r>
        <w:rPr>
          <w:b/>
          <w:sz w:val="24"/>
        </w:rPr>
        <w:lastRenderedPageBreak/>
        <w:t xml:space="preserve">  </w:t>
      </w:r>
      <w:r w:rsidR="00107E5B">
        <w:rPr>
          <w:b/>
          <w:sz w:val="24"/>
        </w:rPr>
        <w:t>C</w:t>
      </w:r>
      <w:r w:rsidR="00EB4A09">
        <w:rPr>
          <w:b/>
          <w:sz w:val="24"/>
        </w:rPr>
        <w:t>ertificate</w:t>
      </w:r>
      <w:r w:rsidR="00EB4A09">
        <w:rPr>
          <w:b/>
          <w:spacing w:val="-1"/>
          <w:sz w:val="24"/>
        </w:rPr>
        <w:t xml:space="preserve"> </w:t>
      </w:r>
      <w:r w:rsidR="00EB4A09">
        <w:rPr>
          <w:b/>
          <w:sz w:val="24"/>
        </w:rPr>
        <w:t>Of</w:t>
      </w:r>
      <w:r w:rsidR="00EB4A09">
        <w:rPr>
          <w:b/>
          <w:spacing w:val="-1"/>
          <w:sz w:val="24"/>
        </w:rPr>
        <w:t xml:space="preserve"> </w:t>
      </w:r>
      <w:r w:rsidR="00EB4A09">
        <w:rPr>
          <w:b/>
          <w:sz w:val="24"/>
        </w:rPr>
        <w:t>Compliance</w:t>
      </w:r>
    </w:p>
    <w:p w14:paraId="1BEC624C" w14:textId="77777777" w:rsidR="007B1496" w:rsidRDefault="007B1496">
      <w:pPr>
        <w:pStyle w:val="BodyText"/>
        <w:rPr>
          <w:b/>
          <w:sz w:val="21"/>
        </w:rPr>
      </w:pPr>
    </w:p>
    <w:p w14:paraId="1BEC624D" w14:textId="77777777" w:rsidR="007B1496" w:rsidRDefault="00EB4A09">
      <w:pPr>
        <w:pStyle w:val="BodyText"/>
        <w:spacing w:before="1"/>
        <w:ind w:left="119"/>
      </w:pPr>
      <w:r>
        <w:t>The</w:t>
      </w:r>
      <w:r>
        <w:rPr>
          <w:spacing w:val="-2"/>
        </w:rPr>
        <w:t xml:space="preserve"> </w:t>
      </w:r>
      <w:r>
        <w:t>undersigned</w:t>
      </w:r>
      <w:r>
        <w:rPr>
          <w:spacing w:val="-3"/>
        </w:rPr>
        <w:t xml:space="preserve"> </w:t>
      </w:r>
      <w:r>
        <w:t>hereby</w:t>
      </w:r>
      <w:r>
        <w:rPr>
          <w:spacing w:val="-2"/>
        </w:rPr>
        <w:t xml:space="preserve"> </w:t>
      </w:r>
      <w:r>
        <w:t>certifies</w:t>
      </w:r>
      <w:r>
        <w:rPr>
          <w:spacing w:val="-2"/>
        </w:rPr>
        <w:t xml:space="preserve"> </w:t>
      </w:r>
      <w:r>
        <w:t>that:</w:t>
      </w:r>
    </w:p>
    <w:p w14:paraId="1BEC624E" w14:textId="77777777" w:rsidR="007B1496" w:rsidRDefault="007B1496">
      <w:pPr>
        <w:pStyle w:val="BodyText"/>
        <w:spacing w:before="9"/>
        <w:rPr>
          <w:sz w:val="20"/>
        </w:rPr>
      </w:pPr>
    </w:p>
    <w:p w14:paraId="1BEC624F" w14:textId="77777777" w:rsidR="007B1496" w:rsidRDefault="00EB4A09">
      <w:pPr>
        <w:pStyle w:val="ListParagraph"/>
        <w:numPr>
          <w:ilvl w:val="0"/>
          <w:numId w:val="1"/>
        </w:numPr>
        <w:tabs>
          <w:tab w:val="left" w:pos="660"/>
        </w:tabs>
        <w:spacing w:before="1"/>
        <w:ind w:right="849"/>
        <w:rPr>
          <w:sz w:val="24"/>
        </w:rPr>
      </w:pPr>
      <w:r>
        <w:rPr>
          <w:sz w:val="24"/>
        </w:rPr>
        <w:t>The</w:t>
      </w:r>
      <w:r>
        <w:rPr>
          <w:spacing w:val="-6"/>
          <w:sz w:val="24"/>
        </w:rPr>
        <w:t xml:space="preserve"> </w:t>
      </w:r>
      <w:r>
        <w:rPr>
          <w:sz w:val="24"/>
        </w:rPr>
        <w:t>undersigned</w:t>
      </w:r>
      <w:r>
        <w:rPr>
          <w:spacing w:val="-2"/>
          <w:sz w:val="24"/>
        </w:rPr>
        <w:t xml:space="preserve"> </w:t>
      </w:r>
      <w:r>
        <w:rPr>
          <w:sz w:val="24"/>
        </w:rPr>
        <w:t>is</w:t>
      </w:r>
      <w:r>
        <w:rPr>
          <w:spacing w:val="-5"/>
          <w:sz w:val="24"/>
        </w:rPr>
        <w:t xml:space="preserve"> </w:t>
      </w:r>
      <w:r>
        <w:rPr>
          <w:sz w:val="24"/>
        </w:rPr>
        <w:t>a</w:t>
      </w:r>
      <w:r>
        <w:rPr>
          <w:spacing w:val="-8"/>
          <w:sz w:val="24"/>
        </w:rPr>
        <w:t xml:space="preserve"> </w:t>
      </w:r>
      <w:r>
        <w:rPr>
          <w:sz w:val="24"/>
        </w:rPr>
        <w:t>director</w:t>
      </w:r>
      <w:r>
        <w:rPr>
          <w:spacing w:val="-6"/>
          <w:sz w:val="24"/>
        </w:rPr>
        <w:t xml:space="preserve"> </w:t>
      </w:r>
      <w:r>
        <w:rPr>
          <w:sz w:val="24"/>
        </w:rPr>
        <w:t>and/or</w:t>
      </w:r>
      <w:r>
        <w:rPr>
          <w:spacing w:val="-7"/>
          <w:sz w:val="24"/>
        </w:rPr>
        <w:t xml:space="preserve"> </w:t>
      </w:r>
      <w:r>
        <w:rPr>
          <w:sz w:val="24"/>
        </w:rPr>
        <w:t>senior</w:t>
      </w:r>
      <w:r>
        <w:rPr>
          <w:spacing w:val="-10"/>
          <w:sz w:val="24"/>
        </w:rPr>
        <w:t xml:space="preserve"> </w:t>
      </w:r>
      <w:r>
        <w:rPr>
          <w:sz w:val="24"/>
        </w:rPr>
        <w:t>officer</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Issuer</w:t>
      </w:r>
      <w:r>
        <w:rPr>
          <w:spacing w:val="-11"/>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8"/>
          <w:sz w:val="24"/>
        </w:rPr>
        <w:t xml:space="preserve"> </w:t>
      </w:r>
      <w:r>
        <w:rPr>
          <w:sz w:val="24"/>
        </w:rPr>
        <w:t>duly</w:t>
      </w:r>
      <w:r>
        <w:rPr>
          <w:spacing w:val="-64"/>
          <w:sz w:val="24"/>
        </w:rPr>
        <w:t xml:space="preserve"> </w:t>
      </w:r>
      <w:r>
        <w:rPr>
          <w:sz w:val="24"/>
        </w:rPr>
        <w:t>authorized by a resolution of the board of directors of the Issuer to sign this</w:t>
      </w:r>
      <w:r>
        <w:rPr>
          <w:spacing w:val="1"/>
          <w:sz w:val="24"/>
        </w:rPr>
        <w:t xml:space="preserve"> </w:t>
      </w:r>
      <w:r>
        <w:rPr>
          <w:sz w:val="24"/>
        </w:rPr>
        <w:t>Certificate of</w:t>
      </w:r>
      <w:r>
        <w:rPr>
          <w:spacing w:val="1"/>
          <w:sz w:val="24"/>
        </w:rPr>
        <w:t xml:space="preserve"> </w:t>
      </w:r>
      <w:r>
        <w:rPr>
          <w:sz w:val="24"/>
        </w:rPr>
        <w:t>Compliance.</w:t>
      </w:r>
    </w:p>
    <w:p w14:paraId="1BEC6250" w14:textId="77777777" w:rsidR="007B1496" w:rsidRDefault="007B1496">
      <w:pPr>
        <w:pStyle w:val="BodyText"/>
        <w:spacing w:before="10"/>
        <w:rPr>
          <w:sz w:val="20"/>
        </w:rPr>
      </w:pPr>
    </w:p>
    <w:p w14:paraId="1BEC6251" w14:textId="77777777" w:rsidR="007B1496" w:rsidRDefault="00EB4A09">
      <w:pPr>
        <w:pStyle w:val="ListParagraph"/>
        <w:numPr>
          <w:ilvl w:val="0"/>
          <w:numId w:val="1"/>
        </w:numPr>
        <w:tabs>
          <w:tab w:val="left" w:pos="660"/>
        </w:tabs>
        <w:ind w:right="867"/>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w:t>
      </w:r>
      <w:r>
        <w:rPr>
          <w:spacing w:val="1"/>
          <w:sz w:val="24"/>
        </w:rPr>
        <w:t xml:space="preserve"> </w:t>
      </w:r>
      <w:r>
        <w:rPr>
          <w:sz w:val="24"/>
        </w:rPr>
        <w:t>which</w:t>
      </w:r>
      <w:r>
        <w:rPr>
          <w:spacing w:val="-1"/>
          <w:sz w:val="24"/>
        </w:rPr>
        <w:t xml:space="preserve"> </w:t>
      </w:r>
      <w:r>
        <w:rPr>
          <w:sz w:val="24"/>
        </w:rPr>
        <w:t>has</w:t>
      </w:r>
      <w:r>
        <w:rPr>
          <w:spacing w:val="-3"/>
          <w:sz w:val="24"/>
        </w:rPr>
        <w:t xml:space="preserve"> </w:t>
      </w:r>
      <w:r>
        <w:rPr>
          <w:sz w:val="24"/>
        </w:rPr>
        <w:t>not</w:t>
      </w:r>
      <w:r>
        <w:rPr>
          <w:spacing w:val="-2"/>
          <w:sz w:val="24"/>
        </w:rPr>
        <w:t xml:space="preserve"> </w:t>
      </w:r>
      <w:r>
        <w:rPr>
          <w:sz w:val="24"/>
        </w:rPr>
        <w:t>been</w:t>
      </w:r>
      <w:r>
        <w:rPr>
          <w:spacing w:val="-2"/>
          <w:sz w:val="24"/>
        </w:rPr>
        <w:t xml:space="preserve"> </w:t>
      </w:r>
      <w:r>
        <w:rPr>
          <w:sz w:val="24"/>
        </w:rPr>
        <w:t>publicly</w:t>
      </w:r>
      <w:r>
        <w:rPr>
          <w:spacing w:val="-9"/>
          <w:sz w:val="24"/>
        </w:rPr>
        <w:t xml:space="preserve"> </w:t>
      </w:r>
      <w:r>
        <w:rPr>
          <w:sz w:val="24"/>
        </w:rPr>
        <w:t>disclosed.</w:t>
      </w:r>
    </w:p>
    <w:p w14:paraId="1BEC6252" w14:textId="77777777" w:rsidR="007B1496" w:rsidRDefault="007B1496">
      <w:pPr>
        <w:pStyle w:val="BodyText"/>
        <w:spacing w:before="10"/>
        <w:rPr>
          <w:sz w:val="20"/>
        </w:rPr>
      </w:pPr>
    </w:p>
    <w:p w14:paraId="1BEC6253" w14:textId="77777777" w:rsidR="007B1496" w:rsidRDefault="00EB4A09">
      <w:pPr>
        <w:pStyle w:val="ListParagraph"/>
        <w:numPr>
          <w:ilvl w:val="0"/>
          <w:numId w:val="1"/>
        </w:numPr>
        <w:tabs>
          <w:tab w:val="left" w:pos="660"/>
        </w:tabs>
        <w:ind w:right="852"/>
        <w:rPr>
          <w:sz w:val="24"/>
        </w:rPr>
      </w:pPr>
      <w:r>
        <w:rPr>
          <w:spacing w:val="-1"/>
          <w:sz w:val="24"/>
        </w:rPr>
        <w:t xml:space="preserve">The undersigned hereby certifies </w:t>
      </w:r>
      <w:r>
        <w:rPr>
          <w:sz w:val="24"/>
        </w:rPr>
        <w:t xml:space="preserve">to the Exchange that the Issuer </w:t>
      </w:r>
      <w:proofErr w:type="gramStart"/>
      <w:r>
        <w:rPr>
          <w:sz w:val="24"/>
        </w:rPr>
        <w:t>is in compliance</w:t>
      </w:r>
      <w:r>
        <w:rPr>
          <w:spacing w:val="-64"/>
          <w:sz w:val="24"/>
        </w:rPr>
        <w:t xml:space="preserve"> </w:t>
      </w:r>
      <w:r>
        <w:rPr>
          <w:sz w:val="24"/>
        </w:rPr>
        <w:t>with</w:t>
      </w:r>
      <w:proofErr w:type="gramEnd"/>
      <w:r>
        <w:rPr>
          <w:sz w:val="24"/>
        </w:rPr>
        <w:t xml:space="preserve"> the requirements of applicable securities legislation (as such term is defined</w:t>
      </w:r>
      <w:r>
        <w:rPr>
          <w:spacing w:val="1"/>
          <w:sz w:val="24"/>
        </w:rPr>
        <w:t xml:space="preserve"> </w:t>
      </w:r>
      <w:r>
        <w:rPr>
          <w:sz w:val="24"/>
        </w:rPr>
        <w:t>in National Instrument 14-101) and all Exchange Requirements (as defined in</w:t>
      </w:r>
      <w:r>
        <w:rPr>
          <w:spacing w:val="1"/>
          <w:sz w:val="24"/>
        </w:rPr>
        <w:t xml:space="preserve"> </w:t>
      </w:r>
      <w:r>
        <w:rPr>
          <w:sz w:val="24"/>
        </w:rPr>
        <w:t>CNSX</w:t>
      </w:r>
      <w:r>
        <w:rPr>
          <w:spacing w:val="-1"/>
          <w:sz w:val="24"/>
        </w:rPr>
        <w:t xml:space="preserve"> </w:t>
      </w:r>
      <w:r>
        <w:rPr>
          <w:sz w:val="24"/>
        </w:rPr>
        <w:t>Policy</w:t>
      </w:r>
      <w:r>
        <w:rPr>
          <w:spacing w:val="-1"/>
          <w:sz w:val="24"/>
        </w:rPr>
        <w:t xml:space="preserve"> </w:t>
      </w:r>
      <w:r>
        <w:rPr>
          <w:sz w:val="24"/>
        </w:rPr>
        <w:t>1).</w:t>
      </w:r>
    </w:p>
    <w:p w14:paraId="1BEC6254" w14:textId="77777777" w:rsidR="007B1496" w:rsidRDefault="007B1496">
      <w:pPr>
        <w:pStyle w:val="BodyText"/>
        <w:spacing w:before="1"/>
        <w:rPr>
          <w:sz w:val="21"/>
        </w:rPr>
      </w:pPr>
    </w:p>
    <w:p w14:paraId="1BEC6255" w14:textId="77777777" w:rsidR="007B1496" w:rsidRDefault="00EB4A09">
      <w:pPr>
        <w:pStyle w:val="ListParagraph"/>
        <w:numPr>
          <w:ilvl w:val="0"/>
          <w:numId w:val="1"/>
        </w:numPr>
        <w:tabs>
          <w:tab w:val="left" w:pos="659"/>
          <w:tab w:val="left" w:pos="660"/>
        </w:tabs>
        <w:ind w:hanging="543"/>
        <w:rPr>
          <w:sz w:val="24"/>
        </w:rPr>
      </w:pPr>
      <w:proofErr w:type="gramStart"/>
      <w:r>
        <w:rPr>
          <w:sz w:val="24"/>
        </w:rPr>
        <w:t>All</w:t>
      </w:r>
      <w:r>
        <w:rPr>
          <w:spacing w:val="-2"/>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information</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z w:val="24"/>
        </w:rPr>
        <w:t>Form</w:t>
      </w:r>
      <w:r>
        <w:rPr>
          <w:spacing w:val="-2"/>
          <w:sz w:val="24"/>
        </w:rPr>
        <w:t xml:space="preserve"> </w:t>
      </w:r>
      <w:r>
        <w:rPr>
          <w:sz w:val="24"/>
        </w:rPr>
        <w:t>7 Monthly</w:t>
      </w:r>
      <w:r>
        <w:rPr>
          <w:spacing w:val="-4"/>
          <w:sz w:val="24"/>
        </w:rPr>
        <w:t xml:space="preserve"> </w:t>
      </w:r>
      <w:r>
        <w:rPr>
          <w:sz w:val="24"/>
        </w:rPr>
        <w:t>Progress Report</w:t>
      </w:r>
      <w:r>
        <w:rPr>
          <w:spacing w:val="-1"/>
          <w:sz w:val="24"/>
        </w:rPr>
        <w:t xml:space="preserve"> </w:t>
      </w:r>
      <w:r>
        <w:rPr>
          <w:sz w:val="24"/>
        </w:rPr>
        <w:t>is</w:t>
      </w:r>
      <w:r>
        <w:rPr>
          <w:spacing w:val="-15"/>
          <w:sz w:val="24"/>
        </w:rPr>
        <w:t xml:space="preserve"> </w:t>
      </w:r>
      <w:r>
        <w:rPr>
          <w:sz w:val="24"/>
        </w:rPr>
        <w:t>true.</w:t>
      </w:r>
    </w:p>
    <w:p w14:paraId="1BEC6256" w14:textId="77777777" w:rsidR="007B1496" w:rsidRDefault="007B1496">
      <w:pPr>
        <w:pStyle w:val="BodyText"/>
        <w:rPr>
          <w:sz w:val="20"/>
        </w:rPr>
      </w:pPr>
    </w:p>
    <w:p w14:paraId="1BEC6257" w14:textId="77777777" w:rsidR="007B1496" w:rsidRDefault="007B1496">
      <w:pPr>
        <w:pStyle w:val="BodyText"/>
        <w:spacing w:before="10"/>
        <w:rPr>
          <w:sz w:val="16"/>
        </w:rPr>
      </w:pPr>
    </w:p>
    <w:p w14:paraId="1BEC6258" w14:textId="3DE780DB" w:rsidR="007B1496" w:rsidRPr="00541974" w:rsidRDefault="00EB4A09" w:rsidP="00541974">
      <w:pPr>
        <w:pStyle w:val="BodyText"/>
        <w:tabs>
          <w:tab w:val="left" w:pos="4720"/>
        </w:tabs>
        <w:spacing w:before="93"/>
        <w:ind w:left="119"/>
        <w:rPr>
          <w:spacing w:val="65"/>
          <w:u w:val="single"/>
        </w:rPr>
      </w:pPr>
      <w:r>
        <w:t>Dated:</w:t>
      </w:r>
      <w:r w:rsidR="006E34D3" w:rsidRPr="006E34D3">
        <w:rPr>
          <w:u w:val="single"/>
        </w:rPr>
        <w:t xml:space="preserve"> </w:t>
      </w:r>
      <w:r w:rsidR="00107E5B">
        <w:rPr>
          <w:u w:val="single"/>
        </w:rPr>
        <w:t xml:space="preserve">September </w:t>
      </w:r>
      <w:r w:rsidR="004F26C1">
        <w:rPr>
          <w:u w:val="single"/>
        </w:rPr>
        <w:t>7</w:t>
      </w:r>
      <w:r w:rsidRPr="00B742CA">
        <w:rPr>
          <w:u w:val="single"/>
        </w:rPr>
        <w:t>, 2021</w:t>
      </w:r>
      <w:r>
        <w:rPr>
          <w:u w:val="single"/>
        </w:rPr>
        <w:tab/>
      </w:r>
    </w:p>
    <w:p w14:paraId="1BEC6259" w14:textId="2FA879BC" w:rsidR="007B1496" w:rsidRDefault="006E34D3">
      <w:pPr>
        <w:pStyle w:val="BodyText"/>
        <w:tabs>
          <w:tab w:val="left" w:pos="9224"/>
        </w:tabs>
        <w:ind w:left="5803" w:right="933"/>
      </w:pPr>
      <w:r>
        <w:rPr>
          <w:u w:val="single"/>
        </w:rPr>
        <w:t>Peili Miao</w:t>
      </w:r>
      <w:r w:rsidR="00EB4A09">
        <w:rPr>
          <w:u w:val="single"/>
        </w:rPr>
        <w:tab/>
      </w:r>
      <w:r w:rsidR="00EB4A09">
        <w:t xml:space="preserve">                          Name of Director or Senior</w:t>
      </w:r>
      <w:r w:rsidR="00EB4A09">
        <w:rPr>
          <w:spacing w:val="1"/>
        </w:rPr>
        <w:t xml:space="preserve"> </w:t>
      </w:r>
      <w:r w:rsidR="00EB4A09">
        <w:t>Officer</w:t>
      </w:r>
    </w:p>
    <w:p w14:paraId="6D52E2B5" w14:textId="77777777" w:rsidR="005E0AB0" w:rsidRDefault="005E0AB0">
      <w:pPr>
        <w:pStyle w:val="BodyText"/>
        <w:tabs>
          <w:tab w:val="left" w:pos="9224"/>
        </w:tabs>
        <w:ind w:left="5803" w:right="933"/>
      </w:pPr>
    </w:p>
    <w:p w14:paraId="1BEC625A" w14:textId="58BF7FAF" w:rsidR="007B1496" w:rsidRDefault="00EB4A09">
      <w:pPr>
        <w:spacing w:line="268" w:lineRule="exact"/>
        <w:ind w:left="5803"/>
        <w:rPr>
          <w:sz w:val="24"/>
        </w:rPr>
      </w:pPr>
      <w:r>
        <w:rPr>
          <w:rFonts w:ascii="Times New Roman"/>
          <w:i/>
          <w:sz w:val="24"/>
          <w:u w:val="single"/>
        </w:rPr>
        <w:t>Signed</w:t>
      </w:r>
      <w:r>
        <w:rPr>
          <w:rFonts w:ascii="Times New Roman"/>
          <w:i/>
          <w:spacing w:val="-2"/>
          <w:sz w:val="24"/>
          <w:u w:val="single"/>
        </w:rPr>
        <w:t xml:space="preserve"> </w:t>
      </w:r>
      <w:r w:rsidR="006E34D3">
        <w:rPr>
          <w:rFonts w:ascii="Times New Roman"/>
          <w:i/>
          <w:spacing w:val="-2"/>
          <w:sz w:val="24"/>
          <w:u w:val="single"/>
        </w:rPr>
        <w:t>Peili Miao</w:t>
      </w:r>
    </w:p>
    <w:p w14:paraId="1BEC625B" w14:textId="77777777" w:rsidR="007B1496" w:rsidRDefault="00EB4A09">
      <w:pPr>
        <w:pStyle w:val="BodyText"/>
        <w:spacing w:before="6"/>
        <w:ind w:left="6535"/>
      </w:pPr>
      <w:r>
        <w:t>Signature</w:t>
      </w:r>
    </w:p>
    <w:p w14:paraId="1BEC625C" w14:textId="77777777" w:rsidR="007B1496" w:rsidRDefault="007B1496">
      <w:pPr>
        <w:pStyle w:val="BodyText"/>
        <w:spacing w:before="2"/>
      </w:pPr>
    </w:p>
    <w:p w14:paraId="1BEC625D" w14:textId="5831706D" w:rsidR="007B1496" w:rsidRDefault="0087267F" w:rsidP="004F26C1">
      <w:pPr>
        <w:pStyle w:val="BodyText"/>
        <w:tabs>
          <w:tab w:val="left" w:pos="9224"/>
        </w:tabs>
        <w:ind w:left="5803" w:right="352"/>
      </w:pPr>
      <w:r>
        <w:rPr>
          <w:u w:val="single"/>
        </w:rPr>
        <w:t xml:space="preserve">Interim </w:t>
      </w:r>
      <w:r w:rsidR="00EB4A09">
        <w:rPr>
          <w:u w:val="single"/>
        </w:rPr>
        <w:t>Chief</w:t>
      </w:r>
      <w:r w:rsidR="00EB4A09">
        <w:rPr>
          <w:spacing w:val="-7"/>
          <w:u w:val="single"/>
        </w:rPr>
        <w:t xml:space="preserve"> </w:t>
      </w:r>
      <w:r w:rsidR="00EB4A09">
        <w:rPr>
          <w:u w:val="single"/>
        </w:rPr>
        <w:t>Financial</w:t>
      </w:r>
      <w:r w:rsidR="00EB4A09">
        <w:rPr>
          <w:spacing w:val="-7"/>
          <w:u w:val="single"/>
        </w:rPr>
        <w:t xml:space="preserve"> </w:t>
      </w:r>
      <w:r w:rsidR="00EB4A09">
        <w:rPr>
          <w:u w:val="single"/>
        </w:rPr>
        <w:t>Officer</w:t>
      </w:r>
      <w:r w:rsidR="00EB4A09">
        <w:rPr>
          <w:u w:val="single"/>
        </w:rPr>
        <w:tab/>
      </w:r>
      <w:r w:rsidR="00EB4A09">
        <w:t xml:space="preserve"> Official Capacity</w:t>
      </w:r>
    </w:p>
    <w:p w14:paraId="1BEC625E" w14:textId="77777777" w:rsidR="007B1496" w:rsidRDefault="007B1496">
      <w:pPr>
        <w:pStyle w:val="BodyText"/>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21"/>
        <w:gridCol w:w="1850"/>
        <w:gridCol w:w="2985"/>
      </w:tblGrid>
      <w:tr w:rsidR="007B1496" w14:paraId="1BEC6262" w14:textId="77777777">
        <w:trPr>
          <w:trHeight w:val="281"/>
        </w:trPr>
        <w:tc>
          <w:tcPr>
            <w:tcW w:w="5021" w:type="dxa"/>
            <w:tcBorders>
              <w:bottom w:val="nil"/>
            </w:tcBorders>
          </w:tcPr>
          <w:p w14:paraId="1BEC625F" w14:textId="77777777" w:rsidR="007B1496" w:rsidRDefault="00EB4A09">
            <w:pPr>
              <w:pStyle w:val="TableParagraph"/>
              <w:spacing w:before="2" w:line="260" w:lineRule="exact"/>
              <w:ind w:left="150"/>
              <w:rPr>
                <w:b/>
                <w:i/>
                <w:sz w:val="24"/>
              </w:rPr>
            </w:pPr>
            <w:r>
              <w:rPr>
                <w:b/>
                <w:i/>
                <w:sz w:val="24"/>
              </w:rPr>
              <w:t>Issuer</w:t>
            </w:r>
            <w:r>
              <w:rPr>
                <w:b/>
                <w:i/>
                <w:spacing w:val="-4"/>
                <w:sz w:val="24"/>
              </w:rPr>
              <w:t xml:space="preserve"> </w:t>
            </w:r>
            <w:r>
              <w:rPr>
                <w:b/>
                <w:i/>
                <w:sz w:val="24"/>
              </w:rPr>
              <w:t>Details</w:t>
            </w:r>
          </w:p>
        </w:tc>
        <w:tc>
          <w:tcPr>
            <w:tcW w:w="1850" w:type="dxa"/>
            <w:tcBorders>
              <w:bottom w:val="nil"/>
            </w:tcBorders>
          </w:tcPr>
          <w:p w14:paraId="1BEC6260" w14:textId="77777777" w:rsidR="007B1496" w:rsidRDefault="00EB4A09">
            <w:pPr>
              <w:pStyle w:val="TableParagraph"/>
              <w:spacing w:before="2" w:line="260" w:lineRule="exact"/>
              <w:ind w:left="292"/>
              <w:rPr>
                <w:sz w:val="24"/>
              </w:rPr>
            </w:pPr>
            <w:r>
              <w:rPr>
                <w:sz w:val="24"/>
              </w:rPr>
              <w:t>For</w:t>
            </w:r>
            <w:r>
              <w:rPr>
                <w:spacing w:val="-1"/>
                <w:sz w:val="24"/>
              </w:rPr>
              <w:t xml:space="preserve"> </w:t>
            </w:r>
            <w:r>
              <w:rPr>
                <w:sz w:val="24"/>
              </w:rPr>
              <w:t>Month</w:t>
            </w:r>
          </w:p>
        </w:tc>
        <w:tc>
          <w:tcPr>
            <w:tcW w:w="2985" w:type="dxa"/>
            <w:tcBorders>
              <w:bottom w:val="nil"/>
            </w:tcBorders>
          </w:tcPr>
          <w:p w14:paraId="1BEC6261" w14:textId="77777777" w:rsidR="007B1496" w:rsidRDefault="00EB4A09">
            <w:pPr>
              <w:pStyle w:val="TableParagraph"/>
              <w:spacing w:before="2" w:line="260" w:lineRule="exact"/>
              <w:ind w:left="149"/>
              <w:rPr>
                <w:sz w:val="24"/>
              </w:rPr>
            </w:pPr>
            <w:r>
              <w:rPr>
                <w:sz w:val="24"/>
              </w:rPr>
              <w:t>Date</w:t>
            </w:r>
            <w:r>
              <w:rPr>
                <w:spacing w:val="-1"/>
                <w:sz w:val="24"/>
              </w:rPr>
              <w:t xml:space="preserve"> </w:t>
            </w:r>
            <w:r>
              <w:rPr>
                <w:sz w:val="24"/>
              </w:rPr>
              <w:t>of Report</w:t>
            </w:r>
          </w:p>
        </w:tc>
      </w:tr>
      <w:tr w:rsidR="007B1496" w14:paraId="1BEC6266" w14:textId="77777777">
        <w:trPr>
          <w:trHeight w:val="276"/>
        </w:trPr>
        <w:tc>
          <w:tcPr>
            <w:tcW w:w="5021" w:type="dxa"/>
            <w:tcBorders>
              <w:top w:val="nil"/>
              <w:bottom w:val="nil"/>
            </w:tcBorders>
          </w:tcPr>
          <w:p w14:paraId="1BEC6263" w14:textId="77777777" w:rsidR="007B1496" w:rsidRDefault="00EB4A09">
            <w:pPr>
              <w:pStyle w:val="TableParagraph"/>
              <w:spacing w:line="256" w:lineRule="exact"/>
              <w:ind w:left="150"/>
              <w:rPr>
                <w:sz w:val="24"/>
              </w:rPr>
            </w:pPr>
            <w:r>
              <w:rPr>
                <w:sz w:val="24"/>
              </w:rPr>
              <w:t>Name</w:t>
            </w:r>
            <w:r>
              <w:rPr>
                <w:spacing w:val="-3"/>
                <w:sz w:val="24"/>
              </w:rPr>
              <w:t xml:space="preserve"> </w:t>
            </w:r>
            <w:r>
              <w:rPr>
                <w:sz w:val="24"/>
              </w:rPr>
              <w:t>of Issuer</w:t>
            </w:r>
          </w:p>
        </w:tc>
        <w:tc>
          <w:tcPr>
            <w:tcW w:w="1850" w:type="dxa"/>
            <w:tcBorders>
              <w:top w:val="nil"/>
              <w:bottom w:val="nil"/>
            </w:tcBorders>
          </w:tcPr>
          <w:p w14:paraId="1BEC6264" w14:textId="45C816AE" w:rsidR="007B1496" w:rsidRDefault="007F536E" w:rsidP="007F536E">
            <w:pPr>
              <w:pStyle w:val="TableParagraph"/>
              <w:spacing w:line="256" w:lineRule="exact"/>
              <w:rPr>
                <w:sz w:val="24"/>
              </w:rPr>
            </w:pPr>
            <w:r>
              <w:rPr>
                <w:sz w:val="24"/>
              </w:rPr>
              <w:t xml:space="preserve">     </w:t>
            </w:r>
            <w:r w:rsidR="00EB4A09">
              <w:rPr>
                <w:sz w:val="24"/>
              </w:rPr>
              <w:t>Ending</w:t>
            </w:r>
          </w:p>
        </w:tc>
        <w:tc>
          <w:tcPr>
            <w:tcW w:w="2985" w:type="dxa"/>
            <w:tcBorders>
              <w:top w:val="nil"/>
              <w:bottom w:val="nil"/>
            </w:tcBorders>
          </w:tcPr>
          <w:p w14:paraId="1BEC6265" w14:textId="406FB6E2" w:rsidR="007B1496" w:rsidRDefault="007B1496">
            <w:pPr>
              <w:pStyle w:val="TableParagraph"/>
              <w:spacing w:line="256" w:lineRule="exact"/>
              <w:ind w:left="149"/>
              <w:rPr>
                <w:sz w:val="24"/>
              </w:rPr>
            </w:pPr>
          </w:p>
        </w:tc>
      </w:tr>
      <w:tr w:rsidR="007B1496" w14:paraId="1BEC626A" w14:textId="77777777">
        <w:trPr>
          <w:trHeight w:val="276"/>
        </w:trPr>
        <w:tc>
          <w:tcPr>
            <w:tcW w:w="5021" w:type="dxa"/>
            <w:tcBorders>
              <w:top w:val="nil"/>
              <w:bottom w:val="nil"/>
            </w:tcBorders>
          </w:tcPr>
          <w:p w14:paraId="1BEC6267" w14:textId="77777777" w:rsidR="007B1496" w:rsidRDefault="00EB4A09">
            <w:pPr>
              <w:pStyle w:val="TableParagraph"/>
              <w:spacing w:line="256" w:lineRule="exact"/>
              <w:ind w:left="150"/>
              <w:rPr>
                <w:sz w:val="24"/>
              </w:rPr>
            </w:pPr>
            <w:r>
              <w:rPr>
                <w:sz w:val="24"/>
              </w:rPr>
              <w:t>Canada</w:t>
            </w:r>
            <w:r>
              <w:rPr>
                <w:spacing w:val="-1"/>
                <w:sz w:val="24"/>
              </w:rPr>
              <w:t xml:space="preserve"> </w:t>
            </w:r>
            <w:r>
              <w:rPr>
                <w:sz w:val="24"/>
              </w:rPr>
              <w:t>House</w:t>
            </w:r>
            <w:r>
              <w:rPr>
                <w:spacing w:val="-3"/>
                <w:sz w:val="24"/>
              </w:rPr>
              <w:t xml:space="preserve"> </w:t>
            </w:r>
            <w:r>
              <w:rPr>
                <w:sz w:val="24"/>
              </w:rPr>
              <w:t>Wellness</w:t>
            </w:r>
            <w:r>
              <w:rPr>
                <w:spacing w:val="-1"/>
                <w:sz w:val="24"/>
              </w:rPr>
              <w:t xml:space="preserve"> </w:t>
            </w:r>
            <w:r>
              <w:rPr>
                <w:sz w:val="24"/>
              </w:rPr>
              <w:t>Group</w:t>
            </w:r>
            <w:r>
              <w:rPr>
                <w:spacing w:val="-2"/>
                <w:sz w:val="24"/>
              </w:rPr>
              <w:t xml:space="preserve"> </w:t>
            </w:r>
            <w:r>
              <w:rPr>
                <w:sz w:val="24"/>
              </w:rPr>
              <w:t>Inc.</w:t>
            </w:r>
          </w:p>
        </w:tc>
        <w:tc>
          <w:tcPr>
            <w:tcW w:w="1850" w:type="dxa"/>
            <w:tcBorders>
              <w:top w:val="nil"/>
              <w:bottom w:val="nil"/>
            </w:tcBorders>
          </w:tcPr>
          <w:p w14:paraId="1BEC6268" w14:textId="513E81B2" w:rsidR="007B1496" w:rsidRDefault="00107E5B">
            <w:pPr>
              <w:pStyle w:val="TableParagraph"/>
              <w:spacing w:line="256" w:lineRule="exact"/>
              <w:ind w:left="359"/>
              <w:rPr>
                <w:sz w:val="24"/>
              </w:rPr>
            </w:pPr>
            <w:r>
              <w:rPr>
                <w:sz w:val="24"/>
              </w:rPr>
              <w:t>August</w:t>
            </w:r>
            <w:r w:rsidR="005E0AB0">
              <w:rPr>
                <w:sz w:val="24"/>
              </w:rPr>
              <w:t xml:space="preserve"> 31</w:t>
            </w:r>
            <w:r w:rsidR="007F536E">
              <w:rPr>
                <w:sz w:val="24"/>
              </w:rPr>
              <w:t>,</w:t>
            </w:r>
          </w:p>
        </w:tc>
        <w:tc>
          <w:tcPr>
            <w:tcW w:w="2985" w:type="dxa"/>
            <w:tcBorders>
              <w:top w:val="nil"/>
              <w:bottom w:val="nil"/>
            </w:tcBorders>
          </w:tcPr>
          <w:p w14:paraId="1BEC6269" w14:textId="449E0DA5" w:rsidR="007B1496" w:rsidRDefault="00107E5B">
            <w:pPr>
              <w:pStyle w:val="TableParagraph"/>
              <w:spacing w:line="256" w:lineRule="exact"/>
              <w:ind w:left="149"/>
              <w:rPr>
                <w:sz w:val="24"/>
              </w:rPr>
            </w:pPr>
            <w:r>
              <w:rPr>
                <w:sz w:val="24"/>
              </w:rPr>
              <w:t xml:space="preserve">September </w:t>
            </w:r>
            <w:r w:rsidR="004F26C1">
              <w:rPr>
                <w:sz w:val="24"/>
              </w:rPr>
              <w:t>7</w:t>
            </w:r>
            <w:r w:rsidR="007F536E" w:rsidRPr="00B742CA">
              <w:rPr>
                <w:sz w:val="24"/>
              </w:rPr>
              <w:t>,</w:t>
            </w:r>
            <w:r w:rsidR="002934E0" w:rsidRPr="00B742CA">
              <w:rPr>
                <w:sz w:val="24"/>
              </w:rPr>
              <w:t xml:space="preserve"> </w:t>
            </w:r>
            <w:r w:rsidR="00EB4A09" w:rsidRPr="00B742CA">
              <w:rPr>
                <w:sz w:val="24"/>
              </w:rPr>
              <w:t>2021</w:t>
            </w:r>
          </w:p>
        </w:tc>
      </w:tr>
      <w:tr w:rsidR="007B1496" w14:paraId="1BEC626E" w14:textId="77777777">
        <w:trPr>
          <w:trHeight w:val="271"/>
        </w:trPr>
        <w:tc>
          <w:tcPr>
            <w:tcW w:w="5021" w:type="dxa"/>
            <w:tcBorders>
              <w:top w:val="nil"/>
            </w:tcBorders>
          </w:tcPr>
          <w:p w14:paraId="1BEC626B" w14:textId="77777777" w:rsidR="007B1496" w:rsidRDefault="007B1496">
            <w:pPr>
              <w:pStyle w:val="TableParagraph"/>
              <w:rPr>
                <w:rFonts w:ascii="Times New Roman"/>
                <w:sz w:val="20"/>
              </w:rPr>
            </w:pPr>
          </w:p>
        </w:tc>
        <w:tc>
          <w:tcPr>
            <w:tcW w:w="1850" w:type="dxa"/>
            <w:tcBorders>
              <w:top w:val="nil"/>
            </w:tcBorders>
          </w:tcPr>
          <w:p w14:paraId="1BEC626C" w14:textId="47E20C46" w:rsidR="007B1496" w:rsidRDefault="005C16E6" w:rsidP="005C16E6">
            <w:pPr>
              <w:pStyle w:val="TableParagraph"/>
              <w:spacing w:line="251" w:lineRule="exact"/>
              <w:rPr>
                <w:sz w:val="24"/>
              </w:rPr>
            </w:pPr>
            <w:r>
              <w:rPr>
                <w:sz w:val="24"/>
              </w:rPr>
              <w:t xml:space="preserve">     </w:t>
            </w:r>
            <w:r w:rsidR="00EB4A09">
              <w:rPr>
                <w:spacing w:val="-3"/>
                <w:sz w:val="24"/>
              </w:rPr>
              <w:t xml:space="preserve"> </w:t>
            </w:r>
            <w:r w:rsidR="00EB4A09">
              <w:rPr>
                <w:sz w:val="24"/>
              </w:rPr>
              <w:t>2021</w:t>
            </w:r>
          </w:p>
        </w:tc>
        <w:tc>
          <w:tcPr>
            <w:tcW w:w="2985" w:type="dxa"/>
            <w:tcBorders>
              <w:top w:val="nil"/>
            </w:tcBorders>
          </w:tcPr>
          <w:p w14:paraId="1BEC626D" w14:textId="77777777" w:rsidR="007B1496" w:rsidRDefault="007B1496">
            <w:pPr>
              <w:pStyle w:val="TableParagraph"/>
              <w:rPr>
                <w:rFonts w:ascii="Times New Roman"/>
                <w:sz w:val="20"/>
              </w:rPr>
            </w:pPr>
          </w:p>
        </w:tc>
      </w:tr>
      <w:tr w:rsidR="007B1496" w14:paraId="1BEC6270" w14:textId="77777777">
        <w:trPr>
          <w:trHeight w:val="557"/>
        </w:trPr>
        <w:tc>
          <w:tcPr>
            <w:tcW w:w="9856" w:type="dxa"/>
            <w:gridSpan w:val="3"/>
          </w:tcPr>
          <w:p w14:paraId="1BEC626F" w14:textId="77777777" w:rsidR="007B1496" w:rsidRDefault="00EB4A09">
            <w:pPr>
              <w:pStyle w:val="TableParagraph"/>
              <w:spacing w:line="270" w:lineRule="atLeast"/>
              <w:ind w:left="150" w:right="7762"/>
              <w:rPr>
                <w:sz w:val="24"/>
              </w:rPr>
            </w:pPr>
            <w:r>
              <w:rPr>
                <w:sz w:val="24"/>
              </w:rPr>
              <w:t>Issuer Address</w:t>
            </w:r>
            <w:r>
              <w:rPr>
                <w:spacing w:val="1"/>
                <w:sz w:val="24"/>
              </w:rPr>
              <w:t xml:space="preserve"> </w:t>
            </w:r>
            <w:r>
              <w:rPr>
                <w:sz w:val="24"/>
              </w:rPr>
              <w:t>1773</w:t>
            </w:r>
            <w:r>
              <w:rPr>
                <w:spacing w:val="-7"/>
                <w:sz w:val="24"/>
              </w:rPr>
              <w:t xml:space="preserve"> </w:t>
            </w:r>
            <w:r>
              <w:rPr>
                <w:sz w:val="24"/>
              </w:rPr>
              <w:t>Bayly</w:t>
            </w:r>
            <w:r>
              <w:rPr>
                <w:spacing w:val="-9"/>
                <w:sz w:val="24"/>
              </w:rPr>
              <w:t xml:space="preserve"> </w:t>
            </w:r>
            <w:r>
              <w:rPr>
                <w:sz w:val="24"/>
              </w:rPr>
              <w:t>Street</w:t>
            </w:r>
          </w:p>
        </w:tc>
      </w:tr>
      <w:tr w:rsidR="007B1496" w14:paraId="1BEC6274" w14:textId="77777777">
        <w:trPr>
          <w:trHeight w:val="280"/>
        </w:trPr>
        <w:tc>
          <w:tcPr>
            <w:tcW w:w="5021" w:type="dxa"/>
            <w:tcBorders>
              <w:bottom w:val="nil"/>
            </w:tcBorders>
          </w:tcPr>
          <w:p w14:paraId="1BEC6271" w14:textId="77777777" w:rsidR="007B1496" w:rsidRDefault="00EB4A09">
            <w:pPr>
              <w:pStyle w:val="TableParagraph"/>
              <w:spacing w:line="261" w:lineRule="exact"/>
              <w:ind w:left="150"/>
              <w:rPr>
                <w:sz w:val="24"/>
              </w:rPr>
            </w:pPr>
            <w:r>
              <w:rPr>
                <w:sz w:val="24"/>
              </w:rPr>
              <w:t>City/Province/Postal</w:t>
            </w:r>
            <w:r>
              <w:rPr>
                <w:spacing w:val="-2"/>
                <w:sz w:val="24"/>
              </w:rPr>
              <w:t xml:space="preserve"> </w:t>
            </w:r>
            <w:r>
              <w:rPr>
                <w:sz w:val="24"/>
              </w:rPr>
              <w:t>Code</w:t>
            </w:r>
          </w:p>
        </w:tc>
        <w:tc>
          <w:tcPr>
            <w:tcW w:w="1850" w:type="dxa"/>
            <w:tcBorders>
              <w:bottom w:val="nil"/>
            </w:tcBorders>
          </w:tcPr>
          <w:p w14:paraId="1BEC6272" w14:textId="77777777" w:rsidR="007B1496" w:rsidRDefault="00EB4A09">
            <w:pPr>
              <w:pStyle w:val="TableParagraph"/>
              <w:spacing w:line="261" w:lineRule="exact"/>
              <w:ind w:left="153"/>
              <w:rPr>
                <w:sz w:val="24"/>
              </w:rPr>
            </w:pPr>
            <w:r>
              <w:rPr>
                <w:sz w:val="24"/>
              </w:rPr>
              <w:t>Issuer</w:t>
            </w:r>
            <w:r>
              <w:rPr>
                <w:spacing w:val="-1"/>
                <w:sz w:val="24"/>
              </w:rPr>
              <w:t xml:space="preserve"> </w:t>
            </w:r>
            <w:r>
              <w:rPr>
                <w:sz w:val="24"/>
              </w:rPr>
              <w:t>Fax</w:t>
            </w:r>
            <w:r>
              <w:rPr>
                <w:spacing w:val="-1"/>
                <w:sz w:val="24"/>
              </w:rPr>
              <w:t xml:space="preserve"> </w:t>
            </w:r>
            <w:r>
              <w:rPr>
                <w:sz w:val="24"/>
              </w:rPr>
              <w:t>No.</w:t>
            </w:r>
          </w:p>
        </w:tc>
        <w:tc>
          <w:tcPr>
            <w:tcW w:w="2985" w:type="dxa"/>
            <w:tcBorders>
              <w:bottom w:val="nil"/>
            </w:tcBorders>
          </w:tcPr>
          <w:p w14:paraId="1BEC6273" w14:textId="77777777" w:rsidR="007B1496" w:rsidRDefault="00EB4A09">
            <w:pPr>
              <w:pStyle w:val="TableParagraph"/>
              <w:spacing w:line="261" w:lineRule="exact"/>
              <w:ind w:left="149"/>
              <w:rPr>
                <w:sz w:val="24"/>
              </w:rPr>
            </w:pPr>
            <w:r>
              <w:rPr>
                <w:sz w:val="24"/>
              </w:rPr>
              <w:t>Issuer</w:t>
            </w:r>
            <w:r>
              <w:rPr>
                <w:spacing w:val="-2"/>
                <w:sz w:val="24"/>
              </w:rPr>
              <w:t xml:space="preserve"> </w:t>
            </w:r>
            <w:r>
              <w:rPr>
                <w:sz w:val="24"/>
              </w:rPr>
              <w:t>Telephone</w:t>
            </w:r>
            <w:r>
              <w:rPr>
                <w:spacing w:val="-1"/>
                <w:sz w:val="24"/>
              </w:rPr>
              <w:t xml:space="preserve"> </w:t>
            </w:r>
            <w:r>
              <w:rPr>
                <w:sz w:val="24"/>
              </w:rPr>
              <w:t>No.</w:t>
            </w:r>
          </w:p>
        </w:tc>
      </w:tr>
      <w:tr w:rsidR="007B1496" w14:paraId="1BEC6279" w14:textId="77777777">
        <w:trPr>
          <w:trHeight w:val="540"/>
        </w:trPr>
        <w:tc>
          <w:tcPr>
            <w:tcW w:w="5021" w:type="dxa"/>
            <w:tcBorders>
              <w:top w:val="nil"/>
            </w:tcBorders>
          </w:tcPr>
          <w:p w14:paraId="1BEC6275" w14:textId="77777777" w:rsidR="007B1496" w:rsidRDefault="00EB4A09">
            <w:pPr>
              <w:pStyle w:val="TableParagraph"/>
              <w:spacing w:line="273" w:lineRule="exact"/>
              <w:ind w:left="150"/>
              <w:rPr>
                <w:sz w:val="24"/>
              </w:rPr>
            </w:pPr>
            <w:r>
              <w:rPr>
                <w:sz w:val="24"/>
              </w:rPr>
              <w:t>Pickering,</w:t>
            </w:r>
            <w:r>
              <w:rPr>
                <w:spacing w:val="-2"/>
                <w:sz w:val="24"/>
              </w:rPr>
              <w:t xml:space="preserve"> </w:t>
            </w:r>
            <w:r>
              <w:rPr>
                <w:sz w:val="24"/>
              </w:rPr>
              <w:t>ON</w:t>
            </w:r>
            <w:r>
              <w:rPr>
                <w:spacing w:val="-3"/>
                <w:sz w:val="24"/>
              </w:rPr>
              <w:t xml:space="preserve"> </w:t>
            </w:r>
            <w:r>
              <w:rPr>
                <w:sz w:val="24"/>
              </w:rPr>
              <w:t>L1W</w:t>
            </w:r>
            <w:r>
              <w:rPr>
                <w:spacing w:val="2"/>
                <w:sz w:val="24"/>
              </w:rPr>
              <w:t xml:space="preserve"> </w:t>
            </w:r>
            <w:r>
              <w:rPr>
                <w:sz w:val="24"/>
              </w:rPr>
              <w:t>2Y7</w:t>
            </w:r>
          </w:p>
        </w:tc>
        <w:tc>
          <w:tcPr>
            <w:tcW w:w="1850" w:type="dxa"/>
            <w:tcBorders>
              <w:top w:val="nil"/>
            </w:tcBorders>
          </w:tcPr>
          <w:p w14:paraId="1BEC6276" w14:textId="77777777" w:rsidR="007B1496" w:rsidRDefault="00EB4A09">
            <w:pPr>
              <w:pStyle w:val="TableParagraph"/>
              <w:spacing w:line="260" w:lineRule="exact"/>
              <w:ind w:left="153"/>
              <w:rPr>
                <w:sz w:val="24"/>
              </w:rPr>
            </w:pPr>
            <w:r>
              <w:rPr>
                <w:sz w:val="24"/>
              </w:rPr>
              <w:t>(905)</w:t>
            </w:r>
            <w:r>
              <w:rPr>
                <w:spacing w:val="-1"/>
                <w:sz w:val="24"/>
              </w:rPr>
              <w:t xml:space="preserve"> </w:t>
            </w:r>
            <w:r>
              <w:rPr>
                <w:sz w:val="24"/>
              </w:rPr>
              <w:t>492-</w:t>
            </w:r>
          </w:p>
          <w:p w14:paraId="1BEC6277" w14:textId="77777777" w:rsidR="007B1496" w:rsidRDefault="00EB4A09">
            <w:pPr>
              <w:pStyle w:val="TableParagraph"/>
              <w:spacing w:line="261" w:lineRule="exact"/>
              <w:ind w:left="153"/>
              <w:rPr>
                <w:sz w:val="24"/>
              </w:rPr>
            </w:pPr>
            <w:r>
              <w:rPr>
                <w:sz w:val="24"/>
              </w:rPr>
              <w:t>8420</w:t>
            </w:r>
          </w:p>
        </w:tc>
        <w:tc>
          <w:tcPr>
            <w:tcW w:w="2985" w:type="dxa"/>
            <w:tcBorders>
              <w:top w:val="nil"/>
            </w:tcBorders>
          </w:tcPr>
          <w:p w14:paraId="1BEC6278" w14:textId="77777777" w:rsidR="007B1496" w:rsidRDefault="00EB4A09">
            <w:pPr>
              <w:pStyle w:val="TableParagraph"/>
              <w:spacing w:line="273" w:lineRule="exact"/>
              <w:ind w:left="149"/>
              <w:rPr>
                <w:sz w:val="24"/>
              </w:rPr>
            </w:pPr>
            <w:r>
              <w:rPr>
                <w:sz w:val="24"/>
              </w:rPr>
              <w:t>(844)</w:t>
            </w:r>
            <w:r>
              <w:rPr>
                <w:spacing w:val="-1"/>
                <w:sz w:val="24"/>
              </w:rPr>
              <w:t xml:space="preserve"> </w:t>
            </w:r>
            <w:r>
              <w:rPr>
                <w:sz w:val="24"/>
              </w:rPr>
              <w:t>696-3349</w:t>
            </w:r>
          </w:p>
        </w:tc>
      </w:tr>
      <w:tr w:rsidR="007B1496" w14:paraId="1BEC627D" w14:textId="77777777">
        <w:trPr>
          <w:trHeight w:val="828"/>
        </w:trPr>
        <w:tc>
          <w:tcPr>
            <w:tcW w:w="5021" w:type="dxa"/>
          </w:tcPr>
          <w:p w14:paraId="1BEC627A" w14:textId="01B4FEFC" w:rsidR="007B1496" w:rsidRDefault="00EB4A09">
            <w:pPr>
              <w:pStyle w:val="TableParagraph"/>
              <w:spacing w:before="2"/>
              <w:ind w:left="150" w:right="3272"/>
              <w:rPr>
                <w:sz w:val="24"/>
              </w:rPr>
            </w:pPr>
            <w:r>
              <w:rPr>
                <w:sz w:val="24"/>
              </w:rPr>
              <w:t>Contact Name</w:t>
            </w:r>
            <w:r>
              <w:rPr>
                <w:spacing w:val="-64"/>
                <w:sz w:val="24"/>
              </w:rPr>
              <w:t xml:space="preserve"> </w:t>
            </w:r>
            <w:r w:rsidR="00C74C17">
              <w:rPr>
                <w:sz w:val="24"/>
              </w:rPr>
              <w:t>Peil Miao</w:t>
            </w:r>
          </w:p>
        </w:tc>
        <w:tc>
          <w:tcPr>
            <w:tcW w:w="1850" w:type="dxa"/>
          </w:tcPr>
          <w:p w14:paraId="1BEC627B" w14:textId="01EBE93A" w:rsidR="007B1496" w:rsidRDefault="00EB4A09">
            <w:pPr>
              <w:pStyle w:val="TableParagraph"/>
              <w:spacing w:line="270" w:lineRule="atLeast"/>
              <w:ind w:left="153" w:right="795"/>
              <w:jc w:val="both"/>
              <w:rPr>
                <w:sz w:val="24"/>
              </w:rPr>
            </w:pPr>
            <w:r>
              <w:rPr>
                <w:sz w:val="24"/>
              </w:rPr>
              <w:t>Contact</w:t>
            </w:r>
            <w:r w:rsidRPr="00C74C17">
              <w:rPr>
                <w:sz w:val="24"/>
              </w:rPr>
              <w:t xml:space="preserve"> </w:t>
            </w:r>
            <w:r>
              <w:rPr>
                <w:sz w:val="24"/>
              </w:rPr>
              <w:t>Position</w:t>
            </w:r>
            <w:r w:rsidRPr="00C74C17">
              <w:rPr>
                <w:sz w:val="24"/>
              </w:rPr>
              <w:t xml:space="preserve"> </w:t>
            </w:r>
            <w:r w:rsidR="00C74C17">
              <w:rPr>
                <w:sz w:val="24"/>
              </w:rPr>
              <w:t>Interim CFO</w:t>
            </w:r>
          </w:p>
        </w:tc>
        <w:tc>
          <w:tcPr>
            <w:tcW w:w="2985" w:type="dxa"/>
          </w:tcPr>
          <w:p w14:paraId="1BEC627C" w14:textId="17E19E24" w:rsidR="007B1496" w:rsidRDefault="00EB4A09">
            <w:pPr>
              <w:pStyle w:val="TableParagraph"/>
              <w:spacing w:before="2"/>
              <w:ind w:left="149" w:right="319"/>
              <w:rPr>
                <w:sz w:val="24"/>
              </w:rPr>
            </w:pPr>
            <w:r>
              <w:rPr>
                <w:sz w:val="24"/>
              </w:rPr>
              <w:t>Contact</w:t>
            </w:r>
            <w:r>
              <w:rPr>
                <w:spacing w:val="-9"/>
                <w:sz w:val="24"/>
              </w:rPr>
              <w:t xml:space="preserve"> </w:t>
            </w:r>
            <w:r>
              <w:rPr>
                <w:sz w:val="24"/>
              </w:rPr>
              <w:t>Telephone</w:t>
            </w:r>
            <w:r>
              <w:rPr>
                <w:spacing w:val="-8"/>
                <w:sz w:val="24"/>
              </w:rPr>
              <w:t xml:space="preserve"> </w:t>
            </w:r>
            <w:r>
              <w:rPr>
                <w:sz w:val="24"/>
              </w:rPr>
              <w:t>No.</w:t>
            </w:r>
            <w:r>
              <w:rPr>
                <w:spacing w:val="-63"/>
                <w:sz w:val="24"/>
              </w:rPr>
              <w:t xml:space="preserve"> </w:t>
            </w:r>
            <w:r>
              <w:rPr>
                <w:sz w:val="24"/>
              </w:rPr>
              <w:t>(</w:t>
            </w:r>
            <w:r w:rsidR="00C74C17">
              <w:rPr>
                <w:sz w:val="24"/>
              </w:rPr>
              <w:t>647</w:t>
            </w:r>
            <w:r>
              <w:rPr>
                <w:sz w:val="24"/>
              </w:rPr>
              <w:t>)</w:t>
            </w:r>
            <w:r>
              <w:rPr>
                <w:spacing w:val="-1"/>
                <w:sz w:val="24"/>
              </w:rPr>
              <w:t xml:space="preserve"> </w:t>
            </w:r>
            <w:r w:rsidR="00C74C17">
              <w:rPr>
                <w:spacing w:val="-1"/>
                <w:sz w:val="24"/>
              </w:rPr>
              <w:t>688</w:t>
            </w:r>
            <w:r>
              <w:rPr>
                <w:sz w:val="24"/>
              </w:rPr>
              <w:t>-</w:t>
            </w:r>
            <w:r w:rsidR="00C74C17">
              <w:rPr>
                <w:sz w:val="24"/>
              </w:rPr>
              <w:t>6066</w:t>
            </w:r>
          </w:p>
        </w:tc>
      </w:tr>
      <w:tr w:rsidR="007B1496" w14:paraId="1BEC6280" w14:textId="77777777">
        <w:trPr>
          <w:trHeight w:val="560"/>
        </w:trPr>
        <w:tc>
          <w:tcPr>
            <w:tcW w:w="5021" w:type="dxa"/>
          </w:tcPr>
          <w:p w14:paraId="4ABEFB03" w14:textId="77777777" w:rsidR="007B1496" w:rsidRDefault="00EB4A09">
            <w:pPr>
              <w:pStyle w:val="TableParagraph"/>
              <w:spacing w:line="276" w:lineRule="exact"/>
              <w:ind w:left="150"/>
              <w:rPr>
                <w:spacing w:val="-1"/>
                <w:sz w:val="24"/>
              </w:rPr>
            </w:pPr>
            <w:r>
              <w:rPr>
                <w:sz w:val="24"/>
              </w:rPr>
              <w:t>Contact Email Address</w:t>
            </w:r>
            <w:r>
              <w:rPr>
                <w:spacing w:val="1"/>
                <w:sz w:val="24"/>
              </w:rPr>
              <w:t xml:space="preserve"> </w:t>
            </w:r>
            <w:hyperlink r:id="rId10"/>
          </w:p>
          <w:p w14:paraId="1BEC627E" w14:textId="753AD116" w:rsidR="00C74C17" w:rsidRDefault="00C74C17">
            <w:pPr>
              <w:pStyle w:val="TableParagraph"/>
              <w:spacing w:line="276" w:lineRule="exact"/>
              <w:ind w:left="150"/>
              <w:rPr>
                <w:sz w:val="24"/>
              </w:rPr>
            </w:pPr>
            <w:r>
              <w:rPr>
                <w:spacing w:val="-1"/>
                <w:sz w:val="24"/>
              </w:rPr>
              <w:t>peili.miao@canadahouse.ca</w:t>
            </w:r>
          </w:p>
        </w:tc>
        <w:tc>
          <w:tcPr>
            <w:tcW w:w="4835" w:type="dxa"/>
            <w:gridSpan w:val="2"/>
          </w:tcPr>
          <w:p w14:paraId="1BEC627F" w14:textId="77777777" w:rsidR="007B1496" w:rsidRDefault="00EB4A09">
            <w:pPr>
              <w:pStyle w:val="TableParagraph"/>
              <w:spacing w:line="276" w:lineRule="exact"/>
              <w:ind w:left="153" w:right="2286"/>
              <w:rPr>
                <w:sz w:val="24"/>
              </w:rPr>
            </w:pPr>
            <w:r>
              <w:rPr>
                <w:sz w:val="24"/>
              </w:rPr>
              <w:t>Web Site Address</w:t>
            </w:r>
            <w:r>
              <w:rPr>
                <w:spacing w:val="1"/>
                <w:sz w:val="24"/>
              </w:rPr>
              <w:t xml:space="preserve"> </w:t>
            </w:r>
            <w:hyperlink r:id="rId11">
              <w:r>
                <w:rPr>
                  <w:color w:val="0000FF"/>
                  <w:spacing w:val="-1"/>
                  <w:sz w:val="24"/>
                  <w:u w:val="single" w:color="0000FF"/>
                </w:rPr>
                <w:t>www.canadahouse.ca</w:t>
              </w:r>
            </w:hyperlink>
          </w:p>
        </w:tc>
      </w:tr>
    </w:tbl>
    <w:p w14:paraId="1BEC6281" w14:textId="77777777" w:rsidR="00EB4A09" w:rsidRDefault="00EB4A09"/>
    <w:sectPr w:rsidR="00EB4A09" w:rsidSect="00CF390A">
      <w:headerReference w:type="default" r:id="rId12"/>
      <w:footerReference w:type="default" r:id="rId13"/>
      <w:pgSz w:w="12240" w:h="15840"/>
      <w:pgMar w:top="940" w:right="990" w:bottom="1560" w:left="1400" w:header="73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CE3E" w14:textId="77777777" w:rsidR="00693924" w:rsidRDefault="00693924">
      <w:r>
        <w:separator/>
      </w:r>
    </w:p>
  </w:endnote>
  <w:endnote w:type="continuationSeparator" w:id="0">
    <w:p w14:paraId="69A11217" w14:textId="77777777" w:rsidR="00693924" w:rsidRDefault="006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2" w14:textId="77777777" w:rsidR="007B1496" w:rsidRDefault="00344EAC">
    <w:pPr>
      <w:pStyle w:val="BodyText"/>
      <w:spacing w:line="14" w:lineRule="auto"/>
      <w:rPr>
        <w:sz w:val="20"/>
      </w:rPr>
    </w:pPr>
    <w:r>
      <w:pict w14:anchorId="1BEC6284">
        <v:shapetype id="_x0000_t202" coordsize="21600,21600" o:spt="202" path="m,l,21600r21600,l21600,xe">
          <v:stroke joinstyle="miter"/>
          <v:path gradientshapeok="t" o:connecttype="rect"/>
        </v:shapetype>
        <v:shape id="_x0000_s2049" type="#_x0000_t202" style="position:absolute;margin-left:203.75pt;margin-top:712.4pt;width:207pt;height:22.35pt;z-index:-15897088;mso-position-horizontal-relative:page;mso-position-vertical-relative:page" filled="f" stroked="f">
          <v:textbox style="mso-next-textbox:#_x0000_s2049" inset="0,0,0,0">
            <w:txbxContent>
              <w:p w14:paraId="1BEC6286" w14:textId="77777777" w:rsidR="007B1496" w:rsidRDefault="00EB4A09">
                <w:pPr>
                  <w:spacing w:before="12" w:line="230" w:lineRule="exact"/>
                  <w:ind w:left="5" w:right="63"/>
                  <w:jc w:val="center"/>
                  <w:rPr>
                    <w:b/>
                    <w:sz w:val="20"/>
                  </w:rPr>
                </w:pPr>
                <w:r>
                  <w:rPr>
                    <w:b/>
                    <w:sz w:val="20"/>
                  </w:rPr>
                  <w:t>FORM</w:t>
                </w:r>
                <w:r>
                  <w:rPr>
                    <w:b/>
                    <w:spacing w:val="-3"/>
                    <w:sz w:val="20"/>
                  </w:rPr>
                  <w:t xml:space="preserve"> </w:t>
                </w:r>
                <w:r>
                  <w:rPr>
                    <w:b/>
                    <w:sz w:val="20"/>
                  </w:rPr>
                  <w:t>7</w:t>
                </w:r>
                <w:r>
                  <w:rPr>
                    <w:b/>
                    <w:spacing w:val="-3"/>
                    <w:sz w:val="20"/>
                  </w:rPr>
                  <w:t xml:space="preserve"> </w:t>
                </w:r>
                <w:r>
                  <w:rPr>
                    <w:b/>
                    <w:sz w:val="20"/>
                  </w:rPr>
                  <w:t>–</w:t>
                </w:r>
                <w:r>
                  <w:rPr>
                    <w:b/>
                    <w:spacing w:val="-1"/>
                    <w:sz w:val="20"/>
                  </w:rPr>
                  <w:t xml:space="preserve"> </w:t>
                </w:r>
                <w:r>
                  <w:rPr>
                    <w:b/>
                    <w:sz w:val="20"/>
                  </w:rPr>
                  <w:t>MONTHLY</w:t>
                </w:r>
                <w:r>
                  <w:rPr>
                    <w:b/>
                    <w:spacing w:val="-3"/>
                    <w:sz w:val="20"/>
                  </w:rPr>
                  <w:t xml:space="preserve"> </w:t>
                </w:r>
                <w:r>
                  <w:rPr>
                    <w:b/>
                    <w:sz w:val="20"/>
                  </w:rPr>
                  <w:t>PROGRESS</w:t>
                </w:r>
                <w:r>
                  <w:rPr>
                    <w:b/>
                    <w:spacing w:val="-3"/>
                    <w:sz w:val="20"/>
                  </w:rPr>
                  <w:t xml:space="preserve"> </w:t>
                </w:r>
                <w:r>
                  <w:rPr>
                    <w:b/>
                    <w:sz w:val="20"/>
                  </w:rPr>
                  <w:t>REPORT</w:t>
                </w:r>
              </w:p>
              <w:p w14:paraId="1BEC6287" w14:textId="77777777" w:rsidR="007B1496" w:rsidRDefault="00EB4A09">
                <w:pPr>
                  <w:spacing w:line="184" w:lineRule="exact"/>
                  <w:ind w:left="5" w:right="40"/>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3596" w14:textId="77777777" w:rsidR="00693924" w:rsidRDefault="00693924">
      <w:r>
        <w:separator/>
      </w:r>
    </w:p>
  </w:footnote>
  <w:footnote w:type="continuationSeparator" w:id="0">
    <w:p w14:paraId="631399C4" w14:textId="77777777" w:rsidR="00693924" w:rsidRDefault="0069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1" w14:textId="77777777" w:rsidR="007B1496" w:rsidRDefault="00344EAC">
    <w:pPr>
      <w:pStyle w:val="BodyText"/>
      <w:spacing w:line="14" w:lineRule="auto"/>
      <w:rPr>
        <w:sz w:val="20"/>
      </w:rPr>
    </w:pPr>
    <w:r>
      <w:pict w14:anchorId="1BEC6283">
        <v:shapetype id="_x0000_t202" coordsize="21600,21600" o:spt="202" path="m,l,21600r21600,l21600,xe">
          <v:stroke joinstyle="miter"/>
          <v:path gradientshapeok="t" o:connecttype="rect"/>
        </v:shapetype>
        <v:shape id="_x0000_s2050" type="#_x0000_t202" style="position:absolute;margin-left:480.05pt;margin-top:35.5pt;width:60.6pt;height:13.05pt;z-index:-15897600;mso-position-horizontal-relative:page;mso-position-vertical-relative:page" filled="f" stroked="f">
          <v:textbox style="mso-next-textbox:#_x0000_s2050" inset="0,0,0,0">
            <w:txbxContent>
              <w:p w14:paraId="1BEC6285" w14:textId="36B817B7" w:rsidR="007B1496" w:rsidRDefault="00463BE8">
                <w:pPr>
                  <w:spacing w:before="10"/>
                  <w:ind w:left="20"/>
                  <w:rPr>
                    <w:rFonts w:ascii="Times New Roman"/>
                    <w:sz w:val="20"/>
                  </w:rPr>
                </w:pPr>
                <w:r>
                  <w:rPr>
                    <w:rFonts w:ascii="Times New Roman"/>
                    <w:spacing w:val="-3"/>
                    <w:sz w:val="20"/>
                  </w:rPr>
                  <w:t>August</w:t>
                </w:r>
                <w:r w:rsidR="00EB4A09">
                  <w:rPr>
                    <w:rFonts w:ascii="Times New Roman"/>
                    <w:spacing w:val="-3"/>
                    <w:sz w:val="20"/>
                  </w:rPr>
                  <w:t xml:space="preserve"> </w:t>
                </w:r>
                <w:r w:rsidR="00EB4A09">
                  <w:rPr>
                    <w:rFonts w:ascii="Times New Roman"/>
                    <w:sz w:val="20"/>
                  </w:rPr>
                  <w:t>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822"/>
    <w:multiLevelType w:val="hybridMultilevel"/>
    <w:tmpl w:val="B71A074C"/>
    <w:lvl w:ilvl="0" w:tplc="85769668">
      <w:start w:val="1"/>
      <w:numFmt w:val="decimal"/>
      <w:lvlText w:val="%1."/>
      <w:lvlJc w:val="left"/>
      <w:pPr>
        <w:ind w:left="630" w:hanging="360"/>
      </w:pPr>
      <w:rPr>
        <w:rFonts w:hint="default"/>
        <w: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1133FF9"/>
    <w:multiLevelType w:val="hybridMultilevel"/>
    <w:tmpl w:val="F9C80AF8"/>
    <w:lvl w:ilvl="0" w:tplc="2E20FAE2">
      <w:start w:val="1"/>
      <w:numFmt w:val="decimal"/>
      <w:lvlText w:val="%1."/>
      <w:lvlJc w:val="left"/>
      <w:pPr>
        <w:ind w:left="659" w:hanging="540"/>
      </w:pPr>
      <w:rPr>
        <w:rFonts w:ascii="Arial" w:eastAsia="Arial" w:hAnsi="Arial" w:cs="Arial" w:hint="default"/>
        <w:spacing w:val="-30"/>
        <w:w w:val="95"/>
        <w:sz w:val="24"/>
        <w:szCs w:val="24"/>
        <w:lang w:val="en-CA" w:eastAsia="en-US" w:bidi="ar-SA"/>
      </w:rPr>
    </w:lvl>
    <w:lvl w:ilvl="1" w:tplc="4C443F1C">
      <w:numFmt w:val="bullet"/>
      <w:lvlText w:val="•"/>
      <w:lvlJc w:val="left"/>
      <w:pPr>
        <w:ind w:left="1610" w:hanging="540"/>
      </w:pPr>
      <w:rPr>
        <w:rFonts w:hint="default"/>
        <w:lang w:val="en-CA" w:eastAsia="en-US" w:bidi="ar-SA"/>
      </w:rPr>
    </w:lvl>
    <w:lvl w:ilvl="2" w:tplc="9FF06364">
      <w:numFmt w:val="bullet"/>
      <w:lvlText w:val="•"/>
      <w:lvlJc w:val="left"/>
      <w:pPr>
        <w:ind w:left="2560" w:hanging="540"/>
      </w:pPr>
      <w:rPr>
        <w:rFonts w:hint="default"/>
        <w:lang w:val="en-CA" w:eastAsia="en-US" w:bidi="ar-SA"/>
      </w:rPr>
    </w:lvl>
    <w:lvl w:ilvl="3" w:tplc="65D4DF24">
      <w:numFmt w:val="bullet"/>
      <w:lvlText w:val="•"/>
      <w:lvlJc w:val="left"/>
      <w:pPr>
        <w:ind w:left="3510" w:hanging="540"/>
      </w:pPr>
      <w:rPr>
        <w:rFonts w:hint="default"/>
        <w:lang w:val="en-CA" w:eastAsia="en-US" w:bidi="ar-SA"/>
      </w:rPr>
    </w:lvl>
    <w:lvl w:ilvl="4" w:tplc="E4C4F35A">
      <w:numFmt w:val="bullet"/>
      <w:lvlText w:val="•"/>
      <w:lvlJc w:val="left"/>
      <w:pPr>
        <w:ind w:left="4460" w:hanging="540"/>
      </w:pPr>
      <w:rPr>
        <w:rFonts w:hint="default"/>
        <w:lang w:val="en-CA" w:eastAsia="en-US" w:bidi="ar-SA"/>
      </w:rPr>
    </w:lvl>
    <w:lvl w:ilvl="5" w:tplc="47A4BCEE">
      <w:numFmt w:val="bullet"/>
      <w:lvlText w:val="•"/>
      <w:lvlJc w:val="left"/>
      <w:pPr>
        <w:ind w:left="5410" w:hanging="540"/>
      </w:pPr>
      <w:rPr>
        <w:rFonts w:hint="default"/>
        <w:lang w:val="en-CA" w:eastAsia="en-US" w:bidi="ar-SA"/>
      </w:rPr>
    </w:lvl>
    <w:lvl w:ilvl="6" w:tplc="9738B962">
      <w:numFmt w:val="bullet"/>
      <w:lvlText w:val="•"/>
      <w:lvlJc w:val="left"/>
      <w:pPr>
        <w:ind w:left="6360" w:hanging="540"/>
      </w:pPr>
      <w:rPr>
        <w:rFonts w:hint="default"/>
        <w:lang w:val="en-CA" w:eastAsia="en-US" w:bidi="ar-SA"/>
      </w:rPr>
    </w:lvl>
    <w:lvl w:ilvl="7" w:tplc="87C03910">
      <w:numFmt w:val="bullet"/>
      <w:lvlText w:val="•"/>
      <w:lvlJc w:val="left"/>
      <w:pPr>
        <w:ind w:left="7310" w:hanging="540"/>
      </w:pPr>
      <w:rPr>
        <w:rFonts w:hint="default"/>
        <w:lang w:val="en-CA" w:eastAsia="en-US" w:bidi="ar-SA"/>
      </w:rPr>
    </w:lvl>
    <w:lvl w:ilvl="8" w:tplc="70CCE56C">
      <w:numFmt w:val="bullet"/>
      <w:lvlText w:val="•"/>
      <w:lvlJc w:val="left"/>
      <w:pPr>
        <w:ind w:left="8260" w:hanging="540"/>
      </w:pPr>
      <w:rPr>
        <w:rFonts w:hint="default"/>
        <w:lang w:val="en-CA" w:eastAsia="en-US" w:bidi="ar-SA"/>
      </w:rPr>
    </w:lvl>
  </w:abstractNum>
  <w:abstractNum w:abstractNumId="2" w15:restartNumberingAfterBreak="0">
    <w:nsid w:val="566E0CED"/>
    <w:multiLevelType w:val="hybridMultilevel"/>
    <w:tmpl w:val="36CC841E"/>
    <w:lvl w:ilvl="0" w:tplc="124EBDD4">
      <w:start w:val="1"/>
      <w:numFmt w:val="decimal"/>
      <w:lvlText w:val="%1."/>
      <w:lvlJc w:val="left"/>
      <w:pPr>
        <w:ind w:left="659" w:hanging="540"/>
      </w:pPr>
      <w:rPr>
        <w:rFonts w:ascii="Arial" w:eastAsia="Arial" w:hAnsi="Arial" w:cs="Arial" w:hint="default"/>
        <w:spacing w:val="-20"/>
        <w:w w:val="95"/>
        <w:sz w:val="24"/>
        <w:szCs w:val="24"/>
        <w:lang w:val="en-CA" w:eastAsia="en-US" w:bidi="ar-SA"/>
      </w:rPr>
    </w:lvl>
    <w:lvl w:ilvl="1" w:tplc="FEB6348A">
      <w:numFmt w:val="bullet"/>
      <w:lvlText w:val="•"/>
      <w:lvlJc w:val="left"/>
      <w:pPr>
        <w:ind w:left="1610" w:hanging="540"/>
      </w:pPr>
      <w:rPr>
        <w:rFonts w:hint="default"/>
        <w:lang w:val="en-CA" w:eastAsia="en-US" w:bidi="ar-SA"/>
      </w:rPr>
    </w:lvl>
    <w:lvl w:ilvl="2" w:tplc="206AE018">
      <w:numFmt w:val="bullet"/>
      <w:lvlText w:val="•"/>
      <w:lvlJc w:val="left"/>
      <w:pPr>
        <w:ind w:left="2560" w:hanging="540"/>
      </w:pPr>
      <w:rPr>
        <w:rFonts w:hint="default"/>
        <w:lang w:val="en-CA" w:eastAsia="en-US" w:bidi="ar-SA"/>
      </w:rPr>
    </w:lvl>
    <w:lvl w:ilvl="3" w:tplc="750CCE76">
      <w:numFmt w:val="bullet"/>
      <w:lvlText w:val="•"/>
      <w:lvlJc w:val="left"/>
      <w:pPr>
        <w:ind w:left="3510" w:hanging="540"/>
      </w:pPr>
      <w:rPr>
        <w:rFonts w:hint="default"/>
        <w:lang w:val="en-CA" w:eastAsia="en-US" w:bidi="ar-SA"/>
      </w:rPr>
    </w:lvl>
    <w:lvl w:ilvl="4" w:tplc="1756AC56">
      <w:numFmt w:val="bullet"/>
      <w:lvlText w:val="•"/>
      <w:lvlJc w:val="left"/>
      <w:pPr>
        <w:ind w:left="4460" w:hanging="540"/>
      </w:pPr>
      <w:rPr>
        <w:rFonts w:hint="default"/>
        <w:lang w:val="en-CA" w:eastAsia="en-US" w:bidi="ar-SA"/>
      </w:rPr>
    </w:lvl>
    <w:lvl w:ilvl="5" w:tplc="F7F64FCE">
      <w:numFmt w:val="bullet"/>
      <w:lvlText w:val="•"/>
      <w:lvlJc w:val="left"/>
      <w:pPr>
        <w:ind w:left="5410" w:hanging="540"/>
      </w:pPr>
      <w:rPr>
        <w:rFonts w:hint="default"/>
        <w:lang w:val="en-CA" w:eastAsia="en-US" w:bidi="ar-SA"/>
      </w:rPr>
    </w:lvl>
    <w:lvl w:ilvl="6" w:tplc="F52881D8">
      <w:numFmt w:val="bullet"/>
      <w:lvlText w:val="•"/>
      <w:lvlJc w:val="left"/>
      <w:pPr>
        <w:ind w:left="6360" w:hanging="540"/>
      </w:pPr>
      <w:rPr>
        <w:rFonts w:hint="default"/>
        <w:lang w:val="en-CA" w:eastAsia="en-US" w:bidi="ar-SA"/>
      </w:rPr>
    </w:lvl>
    <w:lvl w:ilvl="7" w:tplc="9EA473EC">
      <w:numFmt w:val="bullet"/>
      <w:lvlText w:val="•"/>
      <w:lvlJc w:val="left"/>
      <w:pPr>
        <w:ind w:left="7310" w:hanging="540"/>
      </w:pPr>
      <w:rPr>
        <w:rFonts w:hint="default"/>
        <w:lang w:val="en-CA" w:eastAsia="en-US" w:bidi="ar-SA"/>
      </w:rPr>
    </w:lvl>
    <w:lvl w:ilvl="8" w:tplc="BF628E46">
      <w:numFmt w:val="bullet"/>
      <w:lvlText w:val="•"/>
      <w:lvlJc w:val="left"/>
      <w:pPr>
        <w:ind w:left="8260" w:hanging="540"/>
      </w:pPr>
      <w:rPr>
        <w:rFonts w:hint="default"/>
        <w:lang w:val="en-CA" w:eastAsia="en-US" w:bidi="ar-SA"/>
      </w:rPr>
    </w:lvl>
  </w:abstractNum>
  <w:abstractNum w:abstractNumId="3" w15:restartNumberingAfterBreak="0">
    <w:nsid w:val="5E66350D"/>
    <w:multiLevelType w:val="hybridMultilevel"/>
    <w:tmpl w:val="E06C39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K2MDMwNrc0NzOzMDJW0lEKTi0uzszPAymwqAUAhUv5hywAAAA="/>
  </w:docVars>
  <w:rsids>
    <w:rsidRoot w:val="007B1496"/>
    <w:rsid w:val="00017814"/>
    <w:rsid w:val="0001785E"/>
    <w:rsid w:val="00033C83"/>
    <w:rsid w:val="00040DBB"/>
    <w:rsid w:val="0004566E"/>
    <w:rsid w:val="00050C15"/>
    <w:rsid w:val="00056E2A"/>
    <w:rsid w:val="0006071C"/>
    <w:rsid w:val="000607B9"/>
    <w:rsid w:val="00061281"/>
    <w:rsid w:val="00061748"/>
    <w:rsid w:val="00062816"/>
    <w:rsid w:val="00066A40"/>
    <w:rsid w:val="000714E0"/>
    <w:rsid w:val="000744AC"/>
    <w:rsid w:val="00093DAF"/>
    <w:rsid w:val="00097328"/>
    <w:rsid w:val="000A016B"/>
    <w:rsid w:val="000F1B31"/>
    <w:rsid w:val="000F2E81"/>
    <w:rsid w:val="000F533E"/>
    <w:rsid w:val="000F5D1E"/>
    <w:rsid w:val="00101341"/>
    <w:rsid w:val="001023E2"/>
    <w:rsid w:val="00107E5B"/>
    <w:rsid w:val="00110BBB"/>
    <w:rsid w:val="00120B2D"/>
    <w:rsid w:val="001362FA"/>
    <w:rsid w:val="00137FBB"/>
    <w:rsid w:val="00150445"/>
    <w:rsid w:val="00157330"/>
    <w:rsid w:val="0015784B"/>
    <w:rsid w:val="00162332"/>
    <w:rsid w:val="00162CE3"/>
    <w:rsid w:val="00164B1E"/>
    <w:rsid w:val="00165509"/>
    <w:rsid w:val="00174E2A"/>
    <w:rsid w:val="00177013"/>
    <w:rsid w:val="00182983"/>
    <w:rsid w:val="00184126"/>
    <w:rsid w:val="00185878"/>
    <w:rsid w:val="001A060E"/>
    <w:rsid w:val="001A2686"/>
    <w:rsid w:val="001A4D1F"/>
    <w:rsid w:val="001A793E"/>
    <w:rsid w:val="001B767B"/>
    <w:rsid w:val="001D1E7B"/>
    <w:rsid w:val="001E5CCB"/>
    <w:rsid w:val="001F3015"/>
    <w:rsid w:val="001F6C7F"/>
    <w:rsid w:val="002029BC"/>
    <w:rsid w:val="00220AA5"/>
    <w:rsid w:val="00231439"/>
    <w:rsid w:val="00231F45"/>
    <w:rsid w:val="00244FAE"/>
    <w:rsid w:val="00255B49"/>
    <w:rsid w:val="00263ACA"/>
    <w:rsid w:val="00267A8D"/>
    <w:rsid w:val="00277D94"/>
    <w:rsid w:val="002934E0"/>
    <w:rsid w:val="00293A35"/>
    <w:rsid w:val="002A19C0"/>
    <w:rsid w:val="002B6EA4"/>
    <w:rsid w:val="002E1D3A"/>
    <w:rsid w:val="002F0B21"/>
    <w:rsid w:val="002F3403"/>
    <w:rsid w:val="002F6EDA"/>
    <w:rsid w:val="003049AE"/>
    <w:rsid w:val="00307EBF"/>
    <w:rsid w:val="003119C7"/>
    <w:rsid w:val="0032051B"/>
    <w:rsid w:val="00342E3C"/>
    <w:rsid w:val="00344EAC"/>
    <w:rsid w:val="0035548B"/>
    <w:rsid w:val="0036065B"/>
    <w:rsid w:val="003660D1"/>
    <w:rsid w:val="00367E3E"/>
    <w:rsid w:val="003706A4"/>
    <w:rsid w:val="00377EB7"/>
    <w:rsid w:val="003838B0"/>
    <w:rsid w:val="00394B2F"/>
    <w:rsid w:val="003A0C27"/>
    <w:rsid w:val="003A1250"/>
    <w:rsid w:val="003B5D9B"/>
    <w:rsid w:val="003B6AF0"/>
    <w:rsid w:val="003D1900"/>
    <w:rsid w:val="003D3910"/>
    <w:rsid w:val="003D779B"/>
    <w:rsid w:val="003F3C9C"/>
    <w:rsid w:val="0042184C"/>
    <w:rsid w:val="00426EFF"/>
    <w:rsid w:val="0043261E"/>
    <w:rsid w:val="00442940"/>
    <w:rsid w:val="004449D9"/>
    <w:rsid w:val="00445642"/>
    <w:rsid w:val="00452261"/>
    <w:rsid w:val="0045466E"/>
    <w:rsid w:val="00461BDF"/>
    <w:rsid w:val="00462C96"/>
    <w:rsid w:val="00463BE8"/>
    <w:rsid w:val="0047109C"/>
    <w:rsid w:val="00482140"/>
    <w:rsid w:val="004A57A8"/>
    <w:rsid w:val="004B2587"/>
    <w:rsid w:val="004B6B9A"/>
    <w:rsid w:val="004C1BED"/>
    <w:rsid w:val="004D0FE0"/>
    <w:rsid w:val="004E1DFF"/>
    <w:rsid w:val="004E466E"/>
    <w:rsid w:val="004F26C1"/>
    <w:rsid w:val="005126AB"/>
    <w:rsid w:val="005161C5"/>
    <w:rsid w:val="00540722"/>
    <w:rsid w:val="00541974"/>
    <w:rsid w:val="0055314F"/>
    <w:rsid w:val="00555A17"/>
    <w:rsid w:val="00556524"/>
    <w:rsid w:val="00570EF6"/>
    <w:rsid w:val="00575A87"/>
    <w:rsid w:val="00580B63"/>
    <w:rsid w:val="00585913"/>
    <w:rsid w:val="005872A8"/>
    <w:rsid w:val="00590195"/>
    <w:rsid w:val="005A6DD8"/>
    <w:rsid w:val="005B42A3"/>
    <w:rsid w:val="005C16E6"/>
    <w:rsid w:val="005C4857"/>
    <w:rsid w:val="005E0AB0"/>
    <w:rsid w:val="005F3EFD"/>
    <w:rsid w:val="005F6758"/>
    <w:rsid w:val="00603EE9"/>
    <w:rsid w:val="00613C62"/>
    <w:rsid w:val="00615673"/>
    <w:rsid w:val="00615D71"/>
    <w:rsid w:val="006527D0"/>
    <w:rsid w:val="006572A3"/>
    <w:rsid w:val="006579BD"/>
    <w:rsid w:val="00657FE2"/>
    <w:rsid w:val="00661DB7"/>
    <w:rsid w:val="00676087"/>
    <w:rsid w:val="00693924"/>
    <w:rsid w:val="006A1742"/>
    <w:rsid w:val="006A42DF"/>
    <w:rsid w:val="006C4955"/>
    <w:rsid w:val="006E34D3"/>
    <w:rsid w:val="006F1C0A"/>
    <w:rsid w:val="006F5966"/>
    <w:rsid w:val="00701132"/>
    <w:rsid w:val="007058C0"/>
    <w:rsid w:val="007149D7"/>
    <w:rsid w:val="00716761"/>
    <w:rsid w:val="00717012"/>
    <w:rsid w:val="00724DDB"/>
    <w:rsid w:val="007301D0"/>
    <w:rsid w:val="00730991"/>
    <w:rsid w:val="007345B7"/>
    <w:rsid w:val="00737E03"/>
    <w:rsid w:val="007401B9"/>
    <w:rsid w:val="007470E3"/>
    <w:rsid w:val="00757B68"/>
    <w:rsid w:val="007621A4"/>
    <w:rsid w:val="00765789"/>
    <w:rsid w:val="00767682"/>
    <w:rsid w:val="00775C2F"/>
    <w:rsid w:val="007807B1"/>
    <w:rsid w:val="00787454"/>
    <w:rsid w:val="007927C4"/>
    <w:rsid w:val="007927C7"/>
    <w:rsid w:val="00797724"/>
    <w:rsid w:val="00797736"/>
    <w:rsid w:val="007A5DBE"/>
    <w:rsid w:val="007A67D5"/>
    <w:rsid w:val="007B1496"/>
    <w:rsid w:val="007C0444"/>
    <w:rsid w:val="007D219B"/>
    <w:rsid w:val="007E3534"/>
    <w:rsid w:val="007E5543"/>
    <w:rsid w:val="007F536E"/>
    <w:rsid w:val="0080428A"/>
    <w:rsid w:val="008068B3"/>
    <w:rsid w:val="00806F63"/>
    <w:rsid w:val="0080708B"/>
    <w:rsid w:val="008300E8"/>
    <w:rsid w:val="00830A51"/>
    <w:rsid w:val="00832520"/>
    <w:rsid w:val="00835D16"/>
    <w:rsid w:val="00841243"/>
    <w:rsid w:val="008437C9"/>
    <w:rsid w:val="00847AD4"/>
    <w:rsid w:val="00867B81"/>
    <w:rsid w:val="00871BD2"/>
    <w:rsid w:val="0087267F"/>
    <w:rsid w:val="00875CBB"/>
    <w:rsid w:val="00880320"/>
    <w:rsid w:val="00885254"/>
    <w:rsid w:val="00894DA0"/>
    <w:rsid w:val="0089566C"/>
    <w:rsid w:val="008B51D8"/>
    <w:rsid w:val="008B6F6C"/>
    <w:rsid w:val="008C1986"/>
    <w:rsid w:val="008C750D"/>
    <w:rsid w:val="008D7BBB"/>
    <w:rsid w:val="008E322A"/>
    <w:rsid w:val="008F43A8"/>
    <w:rsid w:val="00910D21"/>
    <w:rsid w:val="00912A91"/>
    <w:rsid w:val="00925AD8"/>
    <w:rsid w:val="00947998"/>
    <w:rsid w:val="00953851"/>
    <w:rsid w:val="00970902"/>
    <w:rsid w:val="009856B8"/>
    <w:rsid w:val="00991DAF"/>
    <w:rsid w:val="0099575D"/>
    <w:rsid w:val="00996BE4"/>
    <w:rsid w:val="009A3B22"/>
    <w:rsid w:val="009B0C09"/>
    <w:rsid w:val="009B5C64"/>
    <w:rsid w:val="009B62BF"/>
    <w:rsid w:val="009D6995"/>
    <w:rsid w:val="009E79E1"/>
    <w:rsid w:val="009F0DD0"/>
    <w:rsid w:val="00A004A7"/>
    <w:rsid w:val="00A00650"/>
    <w:rsid w:val="00A07148"/>
    <w:rsid w:val="00A145F4"/>
    <w:rsid w:val="00A1471D"/>
    <w:rsid w:val="00A24321"/>
    <w:rsid w:val="00A35643"/>
    <w:rsid w:val="00A414F1"/>
    <w:rsid w:val="00A41C76"/>
    <w:rsid w:val="00A6123E"/>
    <w:rsid w:val="00A632F1"/>
    <w:rsid w:val="00A709F2"/>
    <w:rsid w:val="00A7259D"/>
    <w:rsid w:val="00A8132F"/>
    <w:rsid w:val="00A96661"/>
    <w:rsid w:val="00A968AF"/>
    <w:rsid w:val="00AA77CE"/>
    <w:rsid w:val="00AB1F00"/>
    <w:rsid w:val="00AB20F8"/>
    <w:rsid w:val="00AB30F8"/>
    <w:rsid w:val="00AB712A"/>
    <w:rsid w:val="00AB71D0"/>
    <w:rsid w:val="00AC058C"/>
    <w:rsid w:val="00AD6291"/>
    <w:rsid w:val="00AE620E"/>
    <w:rsid w:val="00AF1C59"/>
    <w:rsid w:val="00AF3012"/>
    <w:rsid w:val="00B141D8"/>
    <w:rsid w:val="00B176B5"/>
    <w:rsid w:val="00B20795"/>
    <w:rsid w:val="00B23304"/>
    <w:rsid w:val="00B31DAD"/>
    <w:rsid w:val="00B6348A"/>
    <w:rsid w:val="00B6417B"/>
    <w:rsid w:val="00B67051"/>
    <w:rsid w:val="00B7233D"/>
    <w:rsid w:val="00B742CA"/>
    <w:rsid w:val="00B854FF"/>
    <w:rsid w:val="00B92C25"/>
    <w:rsid w:val="00B952B1"/>
    <w:rsid w:val="00B97634"/>
    <w:rsid w:val="00BB4C4C"/>
    <w:rsid w:val="00BC16E2"/>
    <w:rsid w:val="00BC745B"/>
    <w:rsid w:val="00BE51B9"/>
    <w:rsid w:val="00BF0CCA"/>
    <w:rsid w:val="00BF13CB"/>
    <w:rsid w:val="00BF18A6"/>
    <w:rsid w:val="00BF4A59"/>
    <w:rsid w:val="00C01DA6"/>
    <w:rsid w:val="00C02BEE"/>
    <w:rsid w:val="00C038C5"/>
    <w:rsid w:val="00C221F7"/>
    <w:rsid w:val="00C422BB"/>
    <w:rsid w:val="00C42A7C"/>
    <w:rsid w:val="00C47931"/>
    <w:rsid w:val="00C508E5"/>
    <w:rsid w:val="00C53227"/>
    <w:rsid w:val="00C54981"/>
    <w:rsid w:val="00C60C4C"/>
    <w:rsid w:val="00C60E88"/>
    <w:rsid w:val="00C60FF5"/>
    <w:rsid w:val="00C64A3C"/>
    <w:rsid w:val="00C6608B"/>
    <w:rsid w:val="00C7207E"/>
    <w:rsid w:val="00C72D1D"/>
    <w:rsid w:val="00C74C17"/>
    <w:rsid w:val="00C75077"/>
    <w:rsid w:val="00C7592C"/>
    <w:rsid w:val="00C75935"/>
    <w:rsid w:val="00C817C4"/>
    <w:rsid w:val="00C81FC8"/>
    <w:rsid w:val="00CA05E1"/>
    <w:rsid w:val="00CA11C7"/>
    <w:rsid w:val="00CA1A4D"/>
    <w:rsid w:val="00CA6011"/>
    <w:rsid w:val="00CA7E02"/>
    <w:rsid w:val="00CB35AE"/>
    <w:rsid w:val="00CB48AE"/>
    <w:rsid w:val="00CD349D"/>
    <w:rsid w:val="00CD76AF"/>
    <w:rsid w:val="00CF18A4"/>
    <w:rsid w:val="00CF2674"/>
    <w:rsid w:val="00CF2A8F"/>
    <w:rsid w:val="00CF390A"/>
    <w:rsid w:val="00CF4109"/>
    <w:rsid w:val="00CF7C03"/>
    <w:rsid w:val="00D0466E"/>
    <w:rsid w:val="00D05265"/>
    <w:rsid w:val="00D062CF"/>
    <w:rsid w:val="00D22AE2"/>
    <w:rsid w:val="00D31FA3"/>
    <w:rsid w:val="00D40DE4"/>
    <w:rsid w:val="00D41231"/>
    <w:rsid w:val="00D55D9B"/>
    <w:rsid w:val="00D61B00"/>
    <w:rsid w:val="00D67FC2"/>
    <w:rsid w:val="00D707B9"/>
    <w:rsid w:val="00D804B1"/>
    <w:rsid w:val="00D83BEE"/>
    <w:rsid w:val="00D86E0E"/>
    <w:rsid w:val="00D915D2"/>
    <w:rsid w:val="00DB23FF"/>
    <w:rsid w:val="00DB6627"/>
    <w:rsid w:val="00DC0D44"/>
    <w:rsid w:val="00DC5141"/>
    <w:rsid w:val="00DF12E7"/>
    <w:rsid w:val="00DF561F"/>
    <w:rsid w:val="00E0198A"/>
    <w:rsid w:val="00E06F60"/>
    <w:rsid w:val="00E107D5"/>
    <w:rsid w:val="00E10E8D"/>
    <w:rsid w:val="00E127A0"/>
    <w:rsid w:val="00E237E5"/>
    <w:rsid w:val="00E26037"/>
    <w:rsid w:val="00E31484"/>
    <w:rsid w:val="00E3477A"/>
    <w:rsid w:val="00E37FA0"/>
    <w:rsid w:val="00E4363D"/>
    <w:rsid w:val="00E64AD2"/>
    <w:rsid w:val="00E65D81"/>
    <w:rsid w:val="00E70F88"/>
    <w:rsid w:val="00E86194"/>
    <w:rsid w:val="00EA32A5"/>
    <w:rsid w:val="00EA4EFA"/>
    <w:rsid w:val="00EB06EF"/>
    <w:rsid w:val="00EB487C"/>
    <w:rsid w:val="00EB4A09"/>
    <w:rsid w:val="00EE08E0"/>
    <w:rsid w:val="00EF0282"/>
    <w:rsid w:val="00F03075"/>
    <w:rsid w:val="00F0484A"/>
    <w:rsid w:val="00F10831"/>
    <w:rsid w:val="00F1141B"/>
    <w:rsid w:val="00F26856"/>
    <w:rsid w:val="00F278CC"/>
    <w:rsid w:val="00F365A2"/>
    <w:rsid w:val="00F37829"/>
    <w:rsid w:val="00F42FBF"/>
    <w:rsid w:val="00F63769"/>
    <w:rsid w:val="00FA2C01"/>
    <w:rsid w:val="00FA74FA"/>
    <w:rsid w:val="00FC57F8"/>
    <w:rsid w:val="00FD4B6B"/>
    <w:rsid w:val="00FD767A"/>
    <w:rsid w:val="00FE7851"/>
    <w:rsid w:val="00FF54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EC61C5"/>
  <w15:docId w15:val="{1D8FD7FA-A380-4AD1-B62F-268ABBA0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57" w:right="3264"/>
      <w:jc w:val="center"/>
    </w:pPr>
    <w:rPr>
      <w:b/>
      <w:bCs/>
      <w:sz w:val="28"/>
      <w:szCs w:val="28"/>
      <w:u w:val="single" w:color="000000"/>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C17"/>
    <w:pPr>
      <w:tabs>
        <w:tab w:val="center" w:pos="4680"/>
        <w:tab w:val="right" w:pos="9360"/>
      </w:tabs>
    </w:pPr>
  </w:style>
  <w:style w:type="character" w:customStyle="1" w:styleId="HeaderChar">
    <w:name w:val="Header Char"/>
    <w:basedOn w:val="DefaultParagraphFont"/>
    <w:link w:val="Header"/>
    <w:uiPriority w:val="99"/>
    <w:rsid w:val="00C74C17"/>
    <w:rPr>
      <w:rFonts w:ascii="Arial" w:eastAsia="Arial" w:hAnsi="Arial" w:cs="Arial"/>
      <w:lang w:val="en-CA"/>
    </w:rPr>
  </w:style>
  <w:style w:type="paragraph" w:styleId="Footer">
    <w:name w:val="footer"/>
    <w:basedOn w:val="Normal"/>
    <w:link w:val="FooterChar"/>
    <w:uiPriority w:val="99"/>
    <w:unhideWhenUsed/>
    <w:rsid w:val="00C74C17"/>
    <w:pPr>
      <w:tabs>
        <w:tab w:val="center" w:pos="4680"/>
        <w:tab w:val="right" w:pos="9360"/>
      </w:tabs>
    </w:pPr>
  </w:style>
  <w:style w:type="character" w:customStyle="1" w:styleId="FooterChar">
    <w:name w:val="Footer Char"/>
    <w:basedOn w:val="DefaultParagraphFont"/>
    <w:link w:val="Footer"/>
    <w:uiPriority w:val="99"/>
    <w:rsid w:val="00C74C17"/>
    <w:rPr>
      <w:rFonts w:ascii="Arial" w:eastAsia="Arial" w:hAnsi="Arial" w:cs="Arial"/>
      <w:lang w:val="en-CA"/>
    </w:rPr>
  </w:style>
  <w:style w:type="character" w:styleId="CommentReference">
    <w:name w:val="annotation reference"/>
    <w:basedOn w:val="DefaultParagraphFont"/>
    <w:uiPriority w:val="99"/>
    <w:semiHidden/>
    <w:unhideWhenUsed/>
    <w:rsid w:val="002A19C0"/>
    <w:rPr>
      <w:sz w:val="16"/>
      <w:szCs w:val="16"/>
    </w:rPr>
  </w:style>
  <w:style w:type="paragraph" w:styleId="CommentText">
    <w:name w:val="annotation text"/>
    <w:basedOn w:val="Normal"/>
    <w:link w:val="CommentTextChar"/>
    <w:uiPriority w:val="99"/>
    <w:semiHidden/>
    <w:unhideWhenUsed/>
    <w:rsid w:val="002A19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A19C0"/>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ahouse.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hart@canadahous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E1FE27FB36341BE7B0556F5B11D86" ma:contentTypeVersion="12" ma:contentTypeDescription="Create a new document." ma:contentTypeScope="" ma:versionID="582b518b1cbd120eae35f60a15cd99b6">
  <xsd:schema xmlns:xsd="http://www.w3.org/2001/XMLSchema" xmlns:xs="http://www.w3.org/2001/XMLSchema" xmlns:p="http://schemas.microsoft.com/office/2006/metadata/properties" xmlns:ns2="6f4bf6de-61a6-4eba-a0e9-9cbd1dd85bf1" xmlns:ns3="8995f702-3d72-4a31-b88d-625a1ddba5ea" targetNamespace="http://schemas.microsoft.com/office/2006/metadata/properties" ma:root="true" ma:fieldsID="15de5c183c3b4600fe2ada78c1f34f65" ns2:_="" ns3:_="">
    <xsd:import namespace="6f4bf6de-61a6-4eba-a0e9-9cbd1dd85bf1"/>
    <xsd:import namespace="8995f702-3d72-4a31-b88d-625a1ddba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f6de-61a6-4eba-a0e9-9cbd1dd85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5f702-3d72-4a31-b88d-625a1ddba5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465BF-728B-4405-AA84-2D819FB9A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7DC3C-72CE-4198-A856-76E66A32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f6de-61a6-4eba-a0e9-9cbd1dd85bf1"/>
    <ds:schemaRef ds:uri="8995f702-3d72-4a31-b88d-625a1ddb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1D72-91A5-4B9A-BFA2-A1C8D0560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2502</Words>
  <Characters>14265</Characters>
  <Application>Microsoft Office Word</Application>
  <DocSecurity>0</DocSecurity>
  <Lines>118</Lines>
  <Paragraphs>33</Paragraphs>
  <ScaleCrop>false</ScaleCrop>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Peili Miao</cp:lastModifiedBy>
  <cp:revision>236</cp:revision>
  <dcterms:created xsi:type="dcterms:W3CDTF">2021-06-07T16:17:00Z</dcterms:created>
  <dcterms:modified xsi:type="dcterms:W3CDTF">2021-09-07T21:58:00Z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2021-04-08T00:00:00Z</vt:filetime>
  </property>
  <property fmtid="{D5CDD505-2E9C-101B-9397-08002B2CF9AE}" pid="5" name="ContentTypeId">
    <vt:lpwstr>0x0101000D4E1FE27FB36341BE7B0556F5B11D86</vt:lpwstr>
  </property>
</Properties>
</file>