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37FCA" w14:textId="287BFD93" w:rsidR="00A458AB" w:rsidRPr="00520E9D" w:rsidRDefault="004075D3" w:rsidP="00520E9D">
      <w:pPr>
        <w:pBdr>
          <w:top w:val="nil"/>
          <w:left w:val="nil"/>
          <w:bottom w:val="nil"/>
          <w:right w:val="nil"/>
          <w:between w:val="nil"/>
        </w:pBdr>
        <w:spacing w:before="240" w:line="360" w:lineRule="auto"/>
        <w:jc w:val="center"/>
        <w:rPr>
          <w:b/>
          <w:bCs/>
          <w:sz w:val="28"/>
          <w:szCs w:val="28"/>
        </w:rPr>
      </w:pPr>
      <w:r w:rsidRPr="004075D3">
        <w:rPr>
          <w:b/>
          <w:sz w:val="28"/>
          <w:szCs w:val="28"/>
        </w:rPr>
        <w:t xml:space="preserve">Asep Medical </w:t>
      </w:r>
      <w:r w:rsidR="00520E9D" w:rsidRPr="00520E9D">
        <w:rPr>
          <w:b/>
          <w:bCs/>
          <w:sz w:val="28"/>
          <w:szCs w:val="28"/>
        </w:rPr>
        <w:t xml:space="preserve">Announces </w:t>
      </w:r>
      <w:r w:rsidR="00D04DC4">
        <w:rPr>
          <w:b/>
          <w:bCs/>
          <w:sz w:val="28"/>
          <w:szCs w:val="28"/>
        </w:rPr>
        <w:t>Cease Trade Order</w:t>
      </w:r>
    </w:p>
    <w:p w14:paraId="43679146" w14:textId="2F0FB794" w:rsidR="00520E9D" w:rsidRPr="009B0097" w:rsidRDefault="001448F3" w:rsidP="009B0097">
      <w:pPr>
        <w:pBdr>
          <w:top w:val="nil"/>
          <w:left w:val="nil"/>
          <w:bottom w:val="nil"/>
          <w:right w:val="nil"/>
          <w:between w:val="nil"/>
        </w:pBdr>
        <w:shd w:val="clear" w:color="auto" w:fill="FFFFFF"/>
        <w:spacing w:before="240" w:line="360" w:lineRule="auto"/>
        <w:rPr>
          <w:bCs/>
          <w:sz w:val="20"/>
          <w:szCs w:val="20"/>
        </w:rPr>
      </w:pPr>
      <w:r w:rsidRPr="009B0097">
        <w:rPr>
          <w:sz w:val="20"/>
          <w:szCs w:val="20"/>
        </w:rPr>
        <w:t xml:space="preserve">VANCOUVER, BC, </w:t>
      </w:r>
      <w:r w:rsidR="00520E9D" w:rsidRPr="009B0097">
        <w:rPr>
          <w:sz w:val="20"/>
          <w:szCs w:val="20"/>
        </w:rPr>
        <w:t xml:space="preserve">May </w:t>
      </w:r>
      <w:r w:rsidR="00CB6F29">
        <w:rPr>
          <w:sz w:val="20"/>
          <w:szCs w:val="20"/>
        </w:rPr>
        <w:t>6</w:t>
      </w:r>
      <w:r w:rsidR="00EC12DD" w:rsidRPr="009B0097">
        <w:rPr>
          <w:sz w:val="20"/>
          <w:szCs w:val="20"/>
        </w:rPr>
        <w:t>, 202</w:t>
      </w:r>
      <w:r w:rsidR="009B0097">
        <w:rPr>
          <w:sz w:val="20"/>
          <w:szCs w:val="20"/>
        </w:rPr>
        <w:t>6</w:t>
      </w:r>
      <w:r w:rsidR="00E36A25">
        <w:rPr>
          <w:sz w:val="20"/>
          <w:szCs w:val="20"/>
        </w:rPr>
        <w:t xml:space="preserve"> </w:t>
      </w:r>
      <w:r w:rsidRPr="009B0097">
        <w:rPr>
          <w:sz w:val="20"/>
          <w:szCs w:val="20"/>
        </w:rPr>
        <w:t xml:space="preserve">— </w:t>
      </w:r>
      <w:r w:rsidRPr="009B0097">
        <w:rPr>
          <w:b/>
          <w:sz w:val="20"/>
          <w:szCs w:val="20"/>
        </w:rPr>
        <w:t xml:space="preserve">Asep Medical Holdings Inc. (“Asep” </w:t>
      </w:r>
      <w:r w:rsidRPr="009B0097">
        <w:rPr>
          <w:sz w:val="20"/>
          <w:szCs w:val="20"/>
        </w:rPr>
        <w:t>or the </w:t>
      </w:r>
      <w:r w:rsidRPr="009B0097">
        <w:rPr>
          <w:b/>
          <w:sz w:val="20"/>
          <w:szCs w:val="20"/>
        </w:rPr>
        <w:t xml:space="preserve">“Company”) (CSE: ASEP) (OTCQB: SEPSF) </w:t>
      </w:r>
      <w:r w:rsidR="00FF6A4C" w:rsidRPr="009B0097">
        <w:rPr>
          <w:b/>
          <w:sz w:val="20"/>
          <w:szCs w:val="20"/>
        </w:rPr>
        <w:t xml:space="preserve">(FSE: JJ8) </w:t>
      </w:r>
      <w:r w:rsidR="00520E9D" w:rsidRPr="009B0097">
        <w:rPr>
          <w:bCs/>
          <w:sz w:val="20"/>
          <w:szCs w:val="20"/>
        </w:rPr>
        <w:t xml:space="preserve">announces that on May </w:t>
      </w:r>
      <w:r w:rsidR="00CB6F29">
        <w:rPr>
          <w:bCs/>
          <w:sz w:val="20"/>
          <w:szCs w:val="20"/>
        </w:rPr>
        <w:t>5</w:t>
      </w:r>
      <w:r w:rsidR="00520E9D" w:rsidRPr="009B0097">
        <w:rPr>
          <w:bCs/>
          <w:sz w:val="20"/>
          <w:szCs w:val="20"/>
        </w:rPr>
        <w:t>, 202</w:t>
      </w:r>
      <w:r w:rsidR="009B0097">
        <w:rPr>
          <w:bCs/>
          <w:sz w:val="20"/>
          <w:szCs w:val="20"/>
        </w:rPr>
        <w:t>6</w:t>
      </w:r>
      <w:r w:rsidR="00520E9D" w:rsidRPr="009B0097">
        <w:rPr>
          <w:bCs/>
          <w:sz w:val="20"/>
          <w:szCs w:val="20"/>
        </w:rPr>
        <w:t>, its principal regulator, the British Columbia Securities Commission (the "</w:t>
      </w:r>
      <w:r w:rsidR="00520E9D" w:rsidRPr="009B0097">
        <w:rPr>
          <w:b/>
          <w:sz w:val="20"/>
          <w:szCs w:val="20"/>
        </w:rPr>
        <w:t>BCSC</w:t>
      </w:r>
      <w:r w:rsidR="00520E9D" w:rsidRPr="009B0097">
        <w:rPr>
          <w:bCs/>
          <w:sz w:val="20"/>
          <w:szCs w:val="20"/>
        </w:rPr>
        <w:t>"), issued a "failure to file" cease trade order ("</w:t>
      </w:r>
      <w:r w:rsidR="00520E9D" w:rsidRPr="009B0097">
        <w:rPr>
          <w:b/>
          <w:sz w:val="20"/>
          <w:szCs w:val="20"/>
        </w:rPr>
        <w:t>FFCTO</w:t>
      </w:r>
      <w:r w:rsidR="00520E9D" w:rsidRPr="009B0097">
        <w:rPr>
          <w:bCs/>
          <w:sz w:val="20"/>
          <w:szCs w:val="20"/>
        </w:rPr>
        <w:t xml:space="preserve">"), in accordance with Multilateral Instrument 11-103 Failure-to-File Cease Trade Orders in Multiple Jurisdictions. </w:t>
      </w:r>
      <w:r w:rsidR="007E4CDE" w:rsidRPr="009B0097">
        <w:rPr>
          <w:bCs/>
          <w:sz w:val="20"/>
          <w:szCs w:val="20"/>
        </w:rPr>
        <w:t>As a result of the FFCTO, t</w:t>
      </w:r>
      <w:r w:rsidR="00520E9D" w:rsidRPr="009B0097">
        <w:rPr>
          <w:bCs/>
          <w:sz w:val="20"/>
          <w:szCs w:val="20"/>
        </w:rPr>
        <w:t>he Canadian Securities Exchange (the "</w:t>
      </w:r>
      <w:r w:rsidR="00520E9D" w:rsidRPr="009B0097">
        <w:rPr>
          <w:b/>
          <w:sz w:val="20"/>
          <w:szCs w:val="20"/>
        </w:rPr>
        <w:t>CSE</w:t>
      </w:r>
      <w:r w:rsidR="00520E9D" w:rsidRPr="009B0097">
        <w:rPr>
          <w:bCs/>
          <w:sz w:val="20"/>
          <w:szCs w:val="20"/>
        </w:rPr>
        <w:t>") has suspended trading in the Company's securities.</w:t>
      </w:r>
    </w:p>
    <w:p w14:paraId="7B80553C" w14:textId="074C2AA5" w:rsidR="00520E9D" w:rsidRPr="00520E9D" w:rsidRDefault="00520E9D" w:rsidP="00520E9D">
      <w:pPr>
        <w:pBdr>
          <w:top w:val="nil"/>
          <w:left w:val="nil"/>
          <w:bottom w:val="nil"/>
          <w:right w:val="nil"/>
          <w:between w:val="nil"/>
        </w:pBdr>
        <w:shd w:val="clear" w:color="auto" w:fill="FFFFFF"/>
        <w:spacing w:before="240" w:line="360" w:lineRule="auto"/>
        <w:rPr>
          <w:bCs/>
          <w:sz w:val="20"/>
          <w:szCs w:val="20"/>
        </w:rPr>
      </w:pPr>
      <w:r w:rsidRPr="00520E9D">
        <w:rPr>
          <w:bCs/>
          <w:sz w:val="20"/>
          <w:szCs w:val="20"/>
        </w:rPr>
        <w:t xml:space="preserve">The FFCTO was issued </w:t>
      </w:r>
      <w:r w:rsidR="00D04DC4" w:rsidRPr="00520E9D">
        <w:rPr>
          <w:bCs/>
          <w:sz w:val="20"/>
          <w:szCs w:val="20"/>
        </w:rPr>
        <w:t>because of</w:t>
      </w:r>
      <w:r w:rsidRPr="00520E9D">
        <w:rPr>
          <w:bCs/>
          <w:sz w:val="20"/>
          <w:szCs w:val="20"/>
        </w:rPr>
        <w:t xml:space="preserve"> the Company's delay in filing its audited annual financial statements and accompanying management's discussion and analysis for the fiscal year ended </w:t>
      </w:r>
      <w:r>
        <w:rPr>
          <w:bCs/>
          <w:sz w:val="20"/>
          <w:szCs w:val="20"/>
        </w:rPr>
        <w:t>December</w:t>
      </w:r>
      <w:r w:rsidRPr="00520E9D">
        <w:rPr>
          <w:bCs/>
          <w:sz w:val="20"/>
          <w:szCs w:val="20"/>
        </w:rPr>
        <w:t xml:space="preserve"> 3</w:t>
      </w:r>
      <w:r>
        <w:rPr>
          <w:bCs/>
          <w:sz w:val="20"/>
          <w:szCs w:val="20"/>
        </w:rPr>
        <w:t>1</w:t>
      </w:r>
      <w:r w:rsidRPr="00520E9D">
        <w:rPr>
          <w:bCs/>
          <w:sz w:val="20"/>
          <w:szCs w:val="20"/>
        </w:rPr>
        <w:t>, 202</w:t>
      </w:r>
      <w:r w:rsidR="009B0097">
        <w:rPr>
          <w:bCs/>
          <w:sz w:val="20"/>
          <w:szCs w:val="20"/>
        </w:rPr>
        <w:t>5</w:t>
      </w:r>
      <w:r w:rsidRPr="00520E9D">
        <w:rPr>
          <w:bCs/>
          <w:sz w:val="20"/>
          <w:szCs w:val="20"/>
        </w:rPr>
        <w:t xml:space="preserve"> (the "</w:t>
      </w:r>
      <w:r w:rsidRPr="00520E9D">
        <w:rPr>
          <w:b/>
          <w:sz w:val="20"/>
          <w:szCs w:val="20"/>
        </w:rPr>
        <w:t>Annual Filings</w:t>
      </w:r>
      <w:r w:rsidRPr="00520E9D">
        <w:rPr>
          <w:bCs/>
          <w:sz w:val="20"/>
          <w:szCs w:val="20"/>
        </w:rPr>
        <w:t xml:space="preserve">"), which were due on April </w:t>
      </w:r>
      <w:r>
        <w:rPr>
          <w:bCs/>
          <w:sz w:val="20"/>
          <w:szCs w:val="20"/>
        </w:rPr>
        <w:t>30</w:t>
      </w:r>
      <w:r w:rsidRPr="00520E9D">
        <w:rPr>
          <w:bCs/>
          <w:sz w:val="20"/>
          <w:szCs w:val="20"/>
        </w:rPr>
        <w:t>, 202</w:t>
      </w:r>
      <w:r w:rsidR="009B0097">
        <w:rPr>
          <w:bCs/>
          <w:sz w:val="20"/>
          <w:szCs w:val="20"/>
        </w:rPr>
        <w:t>6</w:t>
      </w:r>
      <w:r w:rsidR="007E4CDE">
        <w:rPr>
          <w:bCs/>
          <w:sz w:val="20"/>
          <w:szCs w:val="20"/>
        </w:rPr>
        <w:t>,</w:t>
      </w:r>
      <w:r w:rsidRPr="00520E9D">
        <w:rPr>
          <w:bCs/>
          <w:sz w:val="20"/>
          <w:szCs w:val="20"/>
        </w:rPr>
        <w:t xml:space="preserve"> in accordance with Canadian securities laws.</w:t>
      </w:r>
    </w:p>
    <w:p w14:paraId="51532759" w14:textId="67F84332" w:rsidR="00520E9D" w:rsidRPr="00520E9D" w:rsidRDefault="00520E9D" w:rsidP="00520E9D">
      <w:pPr>
        <w:pBdr>
          <w:top w:val="nil"/>
          <w:left w:val="nil"/>
          <w:bottom w:val="nil"/>
          <w:right w:val="nil"/>
          <w:between w:val="nil"/>
        </w:pBdr>
        <w:shd w:val="clear" w:color="auto" w:fill="FFFFFF"/>
        <w:spacing w:before="240" w:line="360" w:lineRule="auto"/>
        <w:rPr>
          <w:bCs/>
          <w:sz w:val="20"/>
          <w:szCs w:val="20"/>
        </w:rPr>
      </w:pPr>
      <w:r w:rsidRPr="00520E9D">
        <w:rPr>
          <w:bCs/>
          <w:sz w:val="20"/>
          <w:szCs w:val="20"/>
        </w:rPr>
        <w:t xml:space="preserve">The Company regrets this delay in filing and the inconvenience to shareholders. </w:t>
      </w:r>
      <w:r>
        <w:rPr>
          <w:bCs/>
          <w:sz w:val="20"/>
          <w:szCs w:val="20"/>
        </w:rPr>
        <w:t>Asep management</w:t>
      </w:r>
      <w:r w:rsidRPr="00520E9D">
        <w:rPr>
          <w:bCs/>
          <w:sz w:val="20"/>
          <w:szCs w:val="20"/>
        </w:rPr>
        <w:t xml:space="preserve"> is </w:t>
      </w:r>
      <w:r>
        <w:rPr>
          <w:bCs/>
          <w:sz w:val="20"/>
          <w:szCs w:val="20"/>
        </w:rPr>
        <w:t xml:space="preserve">working with </w:t>
      </w:r>
      <w:r w:rsidR="00D04DC4">
        <w:rPr>
          <w:bCs/>
          <w:sz w:val="20"/>
          <w:szCs w:val="20"/>
        </w:rPr>
        <w:t>its</w:t>
      </w:r>
      <w:r>
        <w:rPr>
          <w:bCs/>
          <w:sz w:val="20"/>
          <w:szCs w:val="20"/>
        </w:rPr>
        <w:t xml:space="preserve"> auditors to complete </w:t>
      </w:r>
      <w:r w:rsidRPr="00520E9D">
        <w:rPr>
          <w:bCs/>
          <w:sz w:val="20"/>
          <w:szCs w:val="20"/>
        </w:rPr>
        <w:t>the Annual Filings as soon as possible. The FFCTO will remain in place until such time as the Annual Filings and all continuous disclosure requirements have been filed and the Company receives an order from the BCSC revoking the FFCTO. The Company will make further announcements with respect to the status of the Annual Filings and the FFCTO as and when appropriate.</w:t>
      </w:r>
    </w:p>
    <w:p w14:paraId="21D23352" w14:textId="1807835E" w:rsidR="00367EDC" w:rsidRDefault="00520E9D" w:rsidP="00520E9D">
      <w:pPr>
        <w:pBdr>
          <w:top w:val="nil"/>
          <w:left w:val="nil"/>
          <w:bottom w:val="nil"/>
          <w:right w:val="nil"/>
          <w:between w:val="nil"/>
        </w:pBdr>
        <w:shd w:val="clear" w:color="auto" w:fill="FFFFFF"/>
        <w:spacing w:before="240" w:line="360" w:lineRule="auto"/>
        <w:rPr>
          <w:bCs/>
          <w:sz w:val="20"/>
          <w:szCs w:val="20"/>
        </w:rPr>
      </w:pPr>
      <w:r w:rsidRPr="00520E9D">
        <w:rPr>
          <w:bCs/>
          <w:sz w:val="20"/>
          <w:szCs w:val="20"/>
        </w:rPr>
        <w:t>The Company continues to operate normally and does not expect any interruption to its operations during the FFCTO.</w:t>
      </w:r>
    </w:p>
    <w:p w14:paraId="17D0A394" w14:textId="77777777" w:rsidR="00367EDC" w:rsidRPr="00520E9D" w:rsidRDefault="00367EDC" w:rsidP="00520E9D">
      <w:pPr>
        <w:pBdr>
          <w:top w:val="nil"/>
          <w:left w:val="nil"/>
          <w:bottom w:val="nil"/>
          <w:right w:val="nil"/>
          <w:between w:val="nil"/>
        </w:pBdr>
        <w:shd w:val="clear" w:color="auto" w:fill="FFFFFF"/>
        <w:spacing w:before="240" w:line="360" w:lineRule="auto"/>
        <w:rPr>
          <w:bCs/>
          <w:sz w:val="20"/>
          <w:szCs w:val="20"/>
        </w:rPr>
      </w:pPr>
    </w:p>
    <w:p w14:paraId="0A3089C7" w14:textId="03E427E1" w:rsidR="009B0097" w:rsidRPr="00DC6043" w:rsidRDefault="009B0097" w:rsidP="009B0097">
      <w:pPr>
        <w:spacing w:line="276" w:lineRule="auto"/>
        <w:rPr>
          <w:rFonts w:eastAsiaTheme="minorHAnsi"/>
          <w:b/>
          <w:bCs/>
          <w:color w:val="000000" w:themeColor="text1"/>
          <w:sz w:val="20"/>
          <w:szCs w:val="20"/>
          <w:lang w:val="en"/>
        </w:rPr>
      </w:pPr>
      <w:r w:rsidRPr="00DC6043">
        <w:rPr>
          <w:rFonts w:eastAsiaTheme="minorHAnsi"/>
          <w:b/>
          <w:bCs/>
          <w:color w:val="000000" w:themeColor="text1"/>
          <w:sz w:val="20"/>
          <w:szCs w:val="20"/>
          <w:lang w:val="en"/>
        </w:rPr>
        <w:t>ABOUT ASEP MEDICAL HOLDINGS INC.</w:t>
      </w:r>
    </w:p>
    <w:p w14:paraId="0D14CA7B" w14:textId="032243BB" w:rsidR="00FF6A4C" w:rsidRDefault="009B0097" w:rsidP="009B0097">
      <w:pPr>
        <w:spacing w:before="240" w:line="360" w:lineRule="auto"/>
        <w:rPr>
          <w:bCs/>
          <w:sz w:val="20"/>
          <w:szCs w:val="20"/>
        </w:rPr>
      </w:pPr>
      <w:r w:rsidRPr="00DC6043">
        <w:rPr>
          <w:rFonts w:eastAsiaTheme="minorHAnsi"/>
          <w:color w:val="000000" w:themeColor="text1"/>
          <w:sz w:val="20"/>
          <w:szCs w:val="20"/>
          <w:lang w:val="en"/>
        </w:rPr>
        <w:t>Asep Medical is a standout biotechnology research and development company based in Victoria, BC, Canada. The Company possesses a valuable portfolio of global patents for innovative diagnostic and therapeutic medical technologies. These technologies were developed over the past decade at the University of British Columbia under the guidance of Dr. Robert E. W. Hancock, one of the world’s foremost microbiologists. Asep holds a controlling interest in two private subsidiary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investors.</w:t>
      </w:r>
    </w:p>
    <w:p w14:paraId="41283CAB" w14:textId="77777777" w:rsidR="00E36A25" w:rsidRDefault="00E36A25">
      <w:pPr>
        <w:rPr>
          <w:b/>
          <w:sz w:val="20"/>
          <w:szCs w:val="20"/>
        </w:rPr>
      </w:pPr>
      <w:r>
        <w:rPr>
          <w:b/>
          <w:sz w:val="20"/>
          <w:szCs w:val="20"/>
        </w:rPr>
        <w:br w:type="page"/>
      </w:r>
    </w:p>
    <w:p w14:paraId="601BC57C" w14:textId="09028801" w:rsidR="00FF6A4C" w:rsidRPr="005217A4" w:rsidRDefault="00FF6A4C" w:rsidP="008302FD">
      <w:pPr>
        <w:spacing w:before="240" w:line="360" w:lineRule="auto"/>
        <w:rPr>
          <w:bCs/>
          <w:sz w:val="20"/>
          <w:szCs w:val="20"/>
        </w:rPr>
      </w:pPr>
      <w:r w:rsidRPr="005217A4">
        <w:rPr>
          <w:b/>
          <w:sz w:val="20"/>
          <w:szCs w:val="20"/>
        </w:rPr>
        <w:lastRenderedPageBreak/>
        <w:t>FOR MORE INFORMATION, PLEASE CONTACT —</w:t>
      </w:r>
      <w:r w:rsidR="008302FD">
        <w:rPr>
          <w:b/>
          <w:sz w:val="20"/>
          <w:szCs w:val="20"/>
        </w:rPr>
        <w:br/>
      </w:r>
      <w:r w:rsidRPr="005217A4">
        <w:rPr>
          <w:bCs/>
          <w:sz w:val="20"/>
          <w:szCs w:val="20"/>
        </w:rPr>
        <w:t>Chris Dallin, Marketing Director</w:t>
      </w:r>
      <w:r w:rsidR="005217A4">
        <w:rPr>
          <w:bCs/>
          <w:sz w:val="20"/>
          <w:szCs w:val="20"/>
        </w:rPr>
        <w:br/>
      </w:r>
      <w:r w:rsidRPr="005217A4">
        <w:rPr>
          <w:bCs/>
          <w:sz w:val="20"/>
          <w:szCs w:val="20"/>
        </w:rPr>
        <w:t>ASEP Medical Holdings Inc.</w:t>
      </w:r>
      <w:r w:rsidR="005217A4">
        <w:rPr>
          <w:bCs/>
          <w:sz w:val="20"/>
          <w:szCs w:val="20"/>
        </w:rPr>
        <w:br/>
      </w:r>
      <w:r w:rsidRPr="005217A4">
        <w:rPr>
          <w:bCs/>
          <w:sz w:val="20"/>
          <w:szCs w:val="20"/>
        </w:rPr>
        <w:t xml:space="preserve">E. </w:t>
      </w:r>
      <w:hyperlink r:id="rId9" w:history="1">
        <w:r w:rsidR="005217A4" w:rsidRPr="00076D32">
          <w:rPr>
            <w:rStyle w:val="Hyperlink"/>
            <w:bCs/>
            <w:sz w:val="20"/>
            <w:szCs w:val="20"/>
          </w:rPr>
          <w:t>chris@asepmedical.com</w:t>
        </w:r>
      </w:hyperlink>
      <w:r w:rsidR="005217A4">
        <w:rPr>
          <w:bCs/>
          <w:sz w:val="20"/>
          <w:szCs w:val="20"/>
        </w:rPr>
        <w:br/>
      </w:r>
      <w:r w:rsidRPr="005217A4">
        <w:rPr>
          <w:bCs/>
          <w:sz w:val="20"/>
          <w:szCs w:val="20"/>
        </w:rPr>
        <w:t>T. +1 (604) 362-3654</w:t>
      </w:r>
    </w:p>
    <w:p w14:paraId="24742102" w14:textId="1351757A" w:rsidR="00FF6A4C" w:rsidRPr="005217A4" w:rsidRDefault="00FF6A4C" w:rsidP="008302FD">
      <w:pPr>
        <w:spacing w:before="240" w:line="360" w:lineRule="auto"/>
        <w:rPr>
          <w:bCs/>
          <w:sz w:val="20"/>
          <w:szCs w:val="20"/>
        </w:rPr>
      </w:pPr>
      <w:r w:rsidRPr="005217A4">
        <w:rPr>
          <w:b/>
          <w:sz w:val="20"/>
          <w:szCs w:val="20"/>
        </w:rPr>
        <w:t>FORWARD-LOOKING STATEMENTS —</w:t>
      </w:r>
      <w:r w:rsidRPr="005217A4">
        <w:rPr>
          <w:bCs/>
          <w:sz w:val="20"/>
          <w:szCs w:val="20"/>
        </w:rPr>
        <w:br/>
        <w:t xml:space="preserve">This news release contains certain "forward-looking statements" within the meaning of such statements under applicable securities law. Forward-looking statements are frequently characterized by words such as "anticipates," "plan," "continue," "expect," "project," "intend," "believe," "anticipate," "estimate," "may," "will," "potential," "proposed," "positioned" and other similar words, or statements that certain events or conditions "may" or "will" occur. These statements include but are not limited to </w:t>
      </w:r>
      <w:r w:rsidR="000A76D3">
        <w:rPr>
          <w:bCs/>
          <w:sz w:val="20"/>
          <w:szCs w:val="20"/>
        </w:rPr>
        <w:t xml:space="preserve">the ability of the joint venture to pursue commercialization of the Sepsis diagnostic testing kit in China; the contributions of the joint venture partner to the joint venture; the ability of the joint venture to secure the necessary regulatory approvals for the diagnostic testing kit; </w:t>
      </w:r>
      <w:r w:rsidRPr="005217A4">
        <w:rPr>
          <w:bCs/>
          <w:sz w:val="20"/>
          <w:szCs w:val="20"/>
        </w:rPr>
        <w:t xml:space="preserve">the successful clinical testing of </w:t>
      </w:r>
      <w:r w:rsidR="00BD6FC6">
        <w:rPr>
          <w:bCs/>
          <w:sz w:val="20"/>
          <w:szCs w:val="20"/>
        </w:rPr>
        <w:t>Sepset’s</w:t>
      </w:r>
      <w:r w:rsidRPr="005217A4">
        <w:rPr>
          <w:bCs/>
          <w:sz w:val="20"/>
          <w:szCs w:val="20"/>
        </w:rPr>
        <w:t xml:space="preserve"> Sepsis in vitro diagnostic test and its intended filing for regulatory market authorization; the Company not receiving regulatory market authorization as planned or at all; the undertaking of pre-clinical studies on our lead therapeutic, with the expectation that this will lead to fast-track clinical trials; the timeframe for identification of sepsis with the </w:t>
      </w:r>
      <w:r w:rsidR="00BD6FC6">
        <w:rPr>
          <w:bCs/>
          <w:sz w:val="20"/>
          <w:szCs w:val="20"/>
        </w:rPr>
        <w:t>C</w:t>
      </w:r>
      <w:r w:rsidRPr="005217A4">
        <w:rPr>
          <w:bCs/>
          <w:sz w:val="20"/>
          <w:szCs w:val="20"/>
        </w:rPr>
        <w:t xml:space="preserve">ompany’s products; the potential opportunities for the generation of revenue; the therapeutic benefits of the </w:t>
      </w:r>
      <w:r w:rsidR="00BD6FC6">
        <w:rPr>
          <w:bCs/>
          <w:sz w:val="20"/>
          <w:szCs w:val="20"/>
        </w:rPr>
        <w:t>C</w:t>
      </w:r>
      <w:r w:rsidRPr="005217A4">
        <w:rPr>
          <w:bCs/>
          <w:sz w:val="20"/>
          <w:szCs w:val="20"/>
        </w:rPr>
        <w:t xml:space="preserve">ompany’s products; and other statements regarding the </w:t>
      </w:r>
      <w:r w:rsidR="00BD6FC6">
        <w:rPr>
          <w:bCs/>
          <w:sz w:val="20"/>
          <w:szCs w:val="20"/>
        </w:rPr>
        <w:t>C</w:t>
      </w:r>
      <w:r w:rsidRPr="005217A4">
        <w:rPr>
          <w:bCs/>
          <w:sz w:val="20"/>
          <w:szCs w:val="20"/>
        </w:rPr>
        <w:t xml:space="preserve">ompany’s proposed business plans. Various assumptions were used in drawing conclusions or making the predictions contained in the forward-looking statements throughout this news release. Forward-looking statements are based on the opinions and estimates of management at the date the statements are made and are subject to a variety of risks including the risk that the </w:t>
      </w:r>
      <w:r w:rsidR="00BD6FC6">
        <w:rPr>
          <w:bCs/>
          <w:sz w:val="20"/>
          <w:szCs w:val="20"/>
        </w:rPr>
        <w:t>C</w:t>
      </w:r>
      <w:r w:rsidRPr="005217A4">
        <w:rPr>
          <w:bCs/>
          <w:sz w:val="20"/>
          <w:szCs w:val="20"/>
        </w:rPr>
        <w:t xml:space="preserve">ompany’s products may not perform as expected; that the </w:t>
      </w:r>
      <w:r w:rsidR="00BD6FC6">
        <w:rPr>
          <w:bCs/>
          <w:sz w:val="20"/>
          <w:szCs w:val="20"/>
        </w:rPr>
        <w:t>C</w:t>
      </w:r>
      <w:r w:rsidRPr="005217A4">
        <w:rPr>
          <w:bCs/>
          <w:sz w:val="20"/>
          <w:szCs w:val="20"/>
        </w:rPr>
        <w:t xml:space="preserve">ompany may not receive the requisite regulatory market authorization or results of testing; the Company’s testing of the products may not be successful and market authorization may not be obtained in the estimated timelines or at all; the </w:t>
      </w:r>
      <w:r w:rsidR="00BD6FC6">
        <w:rPr>
          <w:bCs/>
          <w:sz w:val="20"/>
          <w:szCs w:val="20"/>
        </w:rPr>
        <w:t>C</w:t>
      </w:r>
      <w:r w:rsidRPr="005217A4">
        <w:rPr>
          <w:bCs/>
          <w:sz w:val="20"/>
          <w:szCs w:val="20"/>
        </w:rPr>
        <w:t xml:space="preserve">ompany may not be able to generate revenue from its products as expected or at all; </w:t>
      </w:r>
      <w:r w:rsidR="000A76D3">
        <w:rPr>
          <w:bCs/>
          <w:sz w:val="20"/>
          <w:szCs w:val="20"/>
        </w:rPr>
        <w:t xml:space="preserve">the joint venture may not be able to commercialize the diagnostic testing kit in China as expected or at all; </w:t>
      </w:r>
      <w:r w:rsidRPr="005217A4">
        <w:rPr>
          <w:bCs/>
          <w:sz w:val="20"/>
          <w:szCs w:val="20"/>
        </w:rPr>
        <w:t xml:space="preserve">the market for the </w:t>
      </w:r>
      <w:r w:rsidR="00BD6FC6">
        <w:rPr>
          <w:bCs/>
          <w:sz w:val="20"/>
          <w:szCs w:val="20"/>
        </w:rPr>
        <w:t>C</w:t>
      </w:r>
      <w:r w:rsidRPr="005217A4">
        <w:rPr>
          <w:bCs/>
          <w:sz w:val="20"/>
          <w:szCs w:val="20"/>
        </w:rPr>
        <w:t>ompany’s products may not be as described in this news release; and various other risk factors identified in the Asep</w:t>
      </w:r>
      <w:r w:rsidR="00BD6FC6">
        <w:rPr>
          <w:bCs/>
          <w:sz w:val="20"/>
          <w:szCs w:val="20"/>
        </w:rPr>
        <w:t xml:space="preserve">’s </w:t>
      </w:r>
      <w:r w:rsidR="000A76D3">
        <w:rPr>
          <w:bCs/>
          <w:sz w:val="20"/>
          <w:szCs w:val="20"/>
        </w:rPr>
        <w:t>public disclosure record</w:t>
      </w:r>
      <w:r w:rsidRPr="005217A4">
        <w:rPr>
          <w:bCs/>
          <w:sz w:val="20"/>
          <w:szCs w:val="20"/>
        </w:rPr>
        <w:t xml:space="preserve">, </w:t>
      </w:r>
      <w:r w:rsidR="000A76D3">
        <w:rPr>
          <w:bCs/>
          <w:sz w:val="20"/>
          <w:szCs w:val="20"/>
        </w:rPr>
        <w:t>including without limitation</w:t>
      </w:r>
      <w:r w:rsidRPr="005217A4">
        <w:rPr>
          <w:bCs/>
          <w:sz w:val="20"/>
          <w:szCs w:val="20"/>
        </w:rPr>
        <w:t xml:space="preserve"> the </w:t>
      </w:r>
      <w:r w:rsidR="00BD6FC6">
        <w:rPr>
          <w:bCs/>
          <w:sz w:val="20"/>
          <w:szCs w:val="20"/>
        </w:rPr>
        <w:t>C</w:t>
      </w:r>
      <w:r w:rsidRPr="005217A4">
        <w:rPr>
          <w:bCs/>
          <w:sz w:val="20"/>
          <w:szCs w:val="20"/>
        </w:rPr>
        <w:t>ompany’s management discussion and analysis, available for review under the Company’s profile at www.sedar</w:t>
      </w:r>
      <w:r w:rsidR="00BD6FC6">
        <w:rPr>
          <w:bCs/>
          <w:sz w:val="20"/>
          <w:szCs w:val="20"/>
        </w:rPr>
        <w:t>plus</w:t>
      </w:r>
      <w:r w:rsidRPr="005217A4">
        <w:rPr>
          <w:bCs/>
          <w:sz w:val="20"/>
          <w:szCs w:val="20"/>
        </w:rPr>
        <w:t>.c</w:t>
      </w:r>
      <w:r w:rsidR="00BD6FC6">
        <w:rPr>
          <w:bCs/>
          <w:sz w:val="20"/>
          <w:szCs w:val="20"/>
        </w:rPr>
        <w:t>a</w:t>
      </w:r>
      <w:r w:rsidRPr="005217A4">
        <w:rPr>
          <w:bCs/>
          <w:sz w:val="20"/>
          <w:szCs w:val="20"/>
        </w:rPr>
        <w:t xml:space="preserve"> and uncertainties and other factors that could cause actual events or results to differ materially from those projected in the forward-looking statements. Asep is under no obligation and expressly disclaims any intention or obligation to update or revise any forward-looking </w:t>
      </w:r>
      <w:r w:rsidRPr="005217A4">
        <w:rPr>
          <w:bCs/>
          <w:sz w:val="20"/>
          <w:szCs w:val="20"/>
        </w:rPr>
        <w:lastRenderedPageBreak/>
        <w:t xml:space="preserve">statements, whether as a result of new information, future events or otherwise, except as expressly required by applicable law. </w:t>
      </w:r>
    </w:p>
    <w:sectPr w:rsidR="00FF6A4C" w:rsidRPr="005217A4" w:rsidSect="006E111B">
      <w:headerReference w:type="even" r:id="rId10"/>
      <w:headerReference w:type="default" r:id="rId11"/>
      <w:footerReference w:type="even" r:id="rId12"/>
      <w:footerReference w:type="default" r:id="rId13"/>
      <w:headerReference w:type="first" r:id="rId14"/>
      <w:footerReference w:type="first" r:id="rId15"/>
      <w:pgSz w:w="12240" w:h="15840"/>
      <w:pgMar w:top="2694" w:right="1440" w:bottom="1440" w:left="1440" w:header="2160"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0DC89" w14:textId="77777777" w:rsidR="00C55E49" w:rsidRDefault="00C55E49">
      <w:r>
        <w:separator/>
      </w:r>
    </w:p>
  </w:endnote>
  <w:endnote w:type="continuationSeparator" w:id="0">
    <w:p w14:paraId="67715F2F" w14:textId="77777777" w:rsidR="00C55E49" w:rsidRDefault="00C55E49">
      <w:r>
        <w:continuationSeparator/>
      </w:r>
    </w:p>
  </w:endnote>
  <w:endnote w:type="continuationNotice" w:id="1">
    <w:p w14:paraId="368712B5" w14:textId="77777777" w:rsidR="00C55E49" w:rsidRDefault="00C55E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EFD" w14:textId="77777777" w:rsidR="00441EC2" w:rsidRDefault="001448F3">
    <w:pPr>
      <w:pBdr>
        <w:top w:val="nil"/>
        <w:left w:val="nil"/>
        <w:bottom w:val="nil"/>
        <w:right w:val="nil"/>
        <w:between w:val="nil"/>
      </w:pBdr>
      <w:tabs>
        <w:tab w:val="center" w:pos="4680"/>
        <w:tab w:val="right" w:pos="9360"/>
      </w:tabs>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end"/>
    </w:r>
  </w:p>
  <w:p w14:paraId="1089788C"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C5AF" w14:textId="4EB9442A" w:rsidR="00441EC2" w:rsidRPr="008D0239" w:rsidRDefault="001448F3">
    <w:pPr>
      <w:pBdr>
        <w:top w:val="nil"/>
        <w:left w:val="nil"/>
        <w:bottom w:val="nil"/>
        <w:right w:val="nil"/>
        <w:between w:val="nil"/>
      </w:pBdr>
      <w:tabs>
        <w:tab w:val="center" w:pos="4680"/>
        <w:tab w:val="right" w:pos="9360"/>
      </w:tabs>
      <w:jc w:val="right"/>
      <w:rPr>
        <w:rFonts w:eastAsia="Calibri"/>
        <w:color w:val="000000"/>
        <w:sz w:val="16"/>
        <w:szCs w:val="16"/>
      </w:rPr>
    </w:pPr>
    <w:r w:rsidRPr="008D0239">
      <w:rPr>
        <w:rFonts w:eastAsia="Calibri"/>
        <w:color w:val="000000"/>
        <w:sz w:val="16"/>
        <w:szCs w:val="16"/>
      </w:rPr>
      <w:fldChar w:fldCharType="begin"/>
    </w:r>
    <w:r w:rsidRPr="00E50ABB">
      <w:rPr>
        <w:rFonts w:eastAsia="Calibri"/>
        <w:color w:val="000000"/>
        <w:sz w:val="16"/>
        <w:szCs w:val="16"/>
      </w:rPr>
      <w:instrText>PAGE</w:instrText>
    </w:r>
    <w:r w:rsidRPr="008D0239">
      <w:rPr>
        <w:rFonts w:eastAsia="Calibri"/>
        <w:color w:val="000000"/>
        <w:sz w:val="16"/>
        <w:szCs w:val="16"/>
      </w:rPr>
      <w:fldChar w:fldCharType="separate"/>
    </w:r>
    <w:r w:rsidR="000860ED">
      <w:rPr>
        <w:rFonts w:eastAsia="Calibri"/>
        <w:noProof/>
        <w:color w:val="000000"/>
        <w:sz w:val="16"/>
        <w:szCs w:val="16"/>
      </w:rPr>
      <w:t>2</w:t>
    </w:r>
    <w:r w:rsidRPr="008D0239">
      <w:rPr>
        <w:rFonts w:eastAsia="Calibri"/>
        <w:color w:val="000000"/>
        <w:sz w:val="16"/>
        <w:szCs w:val="16"/>
      </w:rPr>
      <w:fldChar w:fldCharType="end"/>
    </w:r>
  </w:p>
  <w:p w14:paraId="3BBEBFB0"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9145" w14:textId="77777777" w:rsidR="00212778" w:rsidRDefault="002127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55F05" w14:textId="77777777" w:rsidR="00C55E49" w:rsidRDefault="00C55E49">
      <w:r>
        <w:separator/>
      </w:r>
    </w:p>
  </w:footnote>
  <w:footnote w:type="continuationSeparator" w:id="0">
    <w:p w14:paraId="16172AB5" w14:textId="77777777" w:rsidR="00C55E49" w:rsidRDefault="00C55E49">
      <w:r>
        <w:continuationSeparator/>
      </w:r>
    </w:p>
  </w:footnote>
  <w:footnote w:type="continuationNotice" w:id="1">
    <w:p w14:paraId="2A000AE2" w14:textId="77777777" w:rsidR="00C55E49" w:rsidRDefault="00C55E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B8D7" w14:textId="7F7068C8" w:rsidR="00212778" w:rsidRDefault="00212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52FD" w14:textId="1670AC42" w:rsidR="001C45D2" w:rsidRDefault="001448F3">
    <w:pPr>
      <w:pBdr>
        <w:top w:val="nil"/>
        <w:left w:val="nil"/>
        <w:bottom w:val="nil"/>
        <w:right w:val="nil"/>
        <w:between w:val="nil"/>
      </w:pBdr>
      <w:tabs>
        <w:tab w:val="center" w:pos="4680"/>
        <w:tab w:val="right" w:pos="9360"/>
      </w:tabs>
      <w:jc w:val="center"/>
      <w:rPr>
        <w:rFonts w:eastAsia="Calibri"/>
        <w:color w:val="595959"/>
        <w:sz w:val="20"/>
        <w:szCs w:val="20"/>
      </w:rPr>
    </w:pPr>
    <w:r>
      <w:rPr>
        <w:rFonts w:ascii="Helvetica Neue" w:eastAsia="Helvetica Neue" w:hAnsi="Helvetica Neue" w:cs="Helvetica Neue"/>
        <w:color w:val="595959"/>
        <w:sz w:val="20"/>
        <w:szCs w:val="20"/>
      </w:rPr>
      <w:t>Asep Medical Holdings Inc</w:t>
    </w:r>
    <w:r>
      <w:rPr>
        <w:rFonts w:eastAsia="Calibri"/>
        <w:color w:val="595959"/>
        <w:sz w:val="20"/>
        <w:szCs w:val="20"/>
      </w:rPr>
      <w:t>.</w:t>
    </w:r>
  </w:p>
  <w:p w14:paraId="73A58E2F" w14:textId="0B8D46DF" w:rsidR="00441EC2" w:rsidRPr="004229C4" w:rsidRDefault="001448F3">
    <w:pPr>
      <w:pBdr>
        <w:top w:val="nil"/>
        <w:left w:val="nil"/>
        <w:bottom w:val="nil"/>
        <w:right w:val="nil"/>
        <w:between w:val="nil"/>
      </w:pBdr>
      <w:tabs>
        <w:tab w:val="center" w:pos="4680"/>
        <w:tab w:val="right" w:pos="9360"/>
      </w:tabs>
      <w:jc w:val="center"/>
      <w:rPr>
        <w:rFonts w:eastAsia="Calibri"/>
        <w:b/>
        <w:bCs/>
        <w:i/>
        <w:iCs/>
        <w:color w:val="000000"/>
        <w:sz w:val="20"/>
        <w:szCs w:val="20"/>
      </w:rPr>
    </w:pPr>
    <w:r w:rsidRPr="004229C4">
      <w:rPr>
        <w:b/>
        <w:bCs/>
        <w:i/>
        <w:iCs/>
        <w:noProof/>
        <w:lang w:eastAsia="en-CA"/>
      </w:rPr>
      <w:drawing>
        <wp:anchor distT="0" distB="0" distL="114300" distR="114300" simplePos="0" relativeHeight="251658240" behindDoc="0" locked="0" layoutInCell="1" hidden="0" allowOverlap="1" wp14:anchorId="0B7FB55F" wp14:editId="3D5DB9C1">
          <wp:simplePos x="0" y="0"/>
          <wp:positionH relativeFrom="column">
            <wp:posOffset>2179954</wp:posOffset>
          </wp:positionH>
          <wp:positionV relativeFrom="paragraph">
            <wp:posOffset>-955038</wp:posOffset>
          </wp:positionV>
          <wp:extent cx="1347470" cy="768350"/>
          <wp:effectExtent l="0" t="0" r="0" b="0"/>
          <wp:wrapSquare wrapText="bothSides" distT="0" distB="0" distL="114300" distR="114300"/>
          <wp:docPr id="6" name="Picture 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1"/>
                  <a:srcRect/>
                  <a:stretch>
                    <a:fillRect/>
                  </a:stretch>
                </pic:blipFill>
                <pic:spPr>
                  <a:xfrm>
                    <a:off x="0" y="0"/>
                    <a:ext cx="1347470" cy="7683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6DE9" w14:textId="512E7CA3" w:rsidR="00212778" w:rsidRDefault="002127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7FCA"/>
    <w:multiLevelType w:val="hybridMultilevel"/>
    <w:tmpl w:val="8DC091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3497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C2"/>
    <w:rsid w:val="000005DB"/>
    <w:rsid w:val="0000558A"/>
    <w:rsid w:val="00036098"/>
    <w:rsid w:val="00045F8A"/>
    <w:rsid w:val="000466BB"/>
    <w:rsid w:val="000618B4"/>
    <w:rsid w:val="00073C45"/>
    <w:rsid w:val="00074051"/>
    <w:rsid w:val="00075101"/>
    <w:rsid w:val="0008582B"/>
    <w:rsid w:val="00085AAA"/>
    <w:rsid w:val="000860ED"/>
    <w:rsid w:val="000A0C1E"/>
    <w:rsid w:val="000A76D3"/>
    <w:rsid w:val="000A7B6F"/>
    <w:rsid w:val="000C38D5"/>
    <w:rsid w:val="00114B89"/>
    <w:rsid w:val="00123D99"/>
    <w:rsid w:val="00133EE5"/>
    <w:rsid w:val="001448F3"/>
    <w:rsid w:val="00146BCA"/>
    <w:rsid w:val="00154297"/>
    <w:rsid w:val="00161B3A"/>
    <w:rsid w:val="001A120E"/>
    <w:rsid w:val="001B00BC"/>
    <w:rsid w:val="001B0A83"/>
    <w:rsid w:val="001B4EBC"/>
    <w:rsid w:val="001B5453"/>
    <w:rsid w:val="001B7678"/>
    <w:rsid w:val="001B7BD2"/>
    <w:rsid w:val="001C0476"/>
    <w:rsid w:val="001C391F"/>
    <w:rsid w:val="001C45D2"/>
    <w:rsid w:val="001D4A5F"/>
    <w:rsid w:val="001E6990"/>
    <w:rsid w:val="001F742F"/>
    <w:rsid w:val="002035A2"/>
    <w:rsid w:val="00212778"/>
    <w:rsid w:val="00233892"/>
    <w:rsid w:val="0023439B"/>
    <w:rsid w:val="002367D5"/>
    <w:rsid w:val="00237509"/>
    <w:rsid w:val="00241437"/>
    <w:rsid w:val="00246A9B"/>
    <w:rsid w:val="002628E1"/>
    <w:rsid w:val="00287A23"/>
    <w:rsid w:val="0029356B"/>
    <w:rsid w:val="00297E33"/>
    <w:rsid w:val="002A33D2"/>
    <w:rsid w:val="002D4C51"/>
    <w:rsid w:val="002E08AC"/>
    <w:rsid w:val="002E4EA6"/>
    <w:rsid w:val="00307628"/>
    <w:rsid w:val="003606AC"/>
    <w:rsid w:val="00367EDC"/>
    <w:rsid w:val="003776B3"/>
    <w:rsid w:val="0038437B"/>
    <w:rsid w:val="003855A1"/>
    <w:rsid w:val="00387689"/>
    <w:rsid w:val="003A4241"/>
    <w:rsid w:val="003A4B2A"/>
    <w:rsid w:val="003B3E64"/>
    <w:rsid w:val="003C5888"/>
    <w:rsid w:val="003D06B1"/>
    <w:rsid w:val="003F3492"/>
    <w:rsid w:val="003F70BB"/>
    <w:rsid w:val="00402B47"/>
    <w:rsid w:val="00405039"/>
    <w:rsid w:val="004075D3"/>
    <w:rsid w:val="004115A9"/>
    <w:rsid w:val="004229C4"/>
    <w:rsid w:val="00432E8E"/>
    <w:rsid w:val="00440B42"/>
    <w:rsid w:val="00441EC2"/>
    <w:rsid w:val="004546E5"/>
    <w:rsid w:val="00461AA9"/>
    <w:rsid w:val="0046551E"/>
    <w:rsid w:val="004668CB"/>
    <w:rsid w:val="00470224"/>
    <w:rsid w:val="00476A63"/>
    <w:rsid w:val="004974B0"/>
    <w:rsid w:val="004A34F0"/>
    <w:rsid w:val="004A58A6"/>
    <w:rsid w:val="004A5E2B"/>
    <w:rsid w:val="004A61EB"/>
    <w:rsid w:val="004C2223"/>
    <w:rsid w:val="004C79FA"/>
    <w:rsid w:val="004C7E98"/>
    <w:rsid w:val="004F0907"/>
    <w:rsid w:val="004F5DA2"/>
    <w:rsid w:val="00520E9D"/>
    <w:rsid w:val="005217A4"/>
    <w:rsid w:val="00534F18"/>
    <w:rsid w:val="00583689"/>
    <w:rsid w:val="005A3802"/>
    <w:rsid w:val="005A68BF"/>
    <w:rsid w:val="005A7E3E"/>
    <w:rsid w:val="005B07F0"/>
    <w:rsid w:val="005D6B93"/>
    <w:rsid w:val="005E6BB7"/>
    <w:rsid w:val="00602C61"/>
    <w:rsid w:val="00605D01"/>
    <w:rsid w:val="00622F22"/>
    <w:rsid w:val="0062525A"/>
    <w:rsid w:val="00633E9B"/>
    <w:rsid w:val="006340C7"/>
    <w:rsid w:val="00634671"/>
    <w:rsid w:val="00635D2F"/>
    <w:rsid w:val="00637B34"/>
    <w:rsid w:val="00637C2F"/>
    <w:rsid w:val="00650313"/>
    <w:rsid w:val="00651EBE"/>
    <w:rsid w:val="00671481"/>
    <w:rsid w:val="0068082C"/>
    <w:rsid w:val="00680D8D"/>
    <w:rsid w:val="00686C6E"/>
    <w:rsid w:val="006C381C"/>
    <w:rsid w:val="006C557E"/>
    <w:rsid w:val="006D7567"/>
    <w:rsid w:val="006E097E"/>
    <w:rsid w:val="006E111B"/>
    <w:rsid w:val="006F73A4"/>
    <w:rsid w:val="00703E3A"/>
    <w:rsid w:val="00713BAD"/>
    <w:rsid w:val="00722C1B"/>
    <w:rsid w:val="00745A5C"/>
    <w:rsid w:val="007503DD"/>
    <w:rsid w:val="00751E67"/>
    <w:rsid w:val="00790C86"/>
    <w:rsid w:val="007A63B7"/>
    <w:rsid w:val="007B327A"/>
    <w:rsid w:val="007C1C82"/>
    <w:rsid w:val="007C6EFD"/>
    <w:rsid w:val="007E4CDE"/>
    <w:rsid w:val="00806A0E"/>
    <w:rsid w:val="00812701"/>
    <w:rsid w:val="00817020"/>
    <w:rsid w:val="00827385"/>
    <w:rsid w:val="008302FD"/>
    <w:rsid w:val="00835BF7"/>
    <w:rsid w:val="00836511"/>
    <w:rsid w:val="00872594"/>
    <w:rsid w:val="0087588D"/>
    <w:rsid w:val="008979D2"/>
    <w:rsid w:val="008A12E2"/>
    <w:rsid w:val="008A193E"/>
    <w:rsid w:val="008A3669"/>
    <w:rsid w:val="008B138F"/>
    <w:rsid w:val="008C4415"/>
    <w:rsid w:val="008C4468"/>
    <w:rsid w:val="008D0239"/>
    <w:rsid w:val="008D0886"/>
    <w:rsid w:val="008D3DB1"/>
    <w:rsid w:val="008E0F4F"/>
    <w:rsid w:val="008E3B05"/>
    <w:rsid w:val="008E701C"/>
    <w:rsid w:val="008F4B9E"/>
    <w:rsid w:val="00901ECF"/>
    <w:rsid w:val="00917686"/>
    <w:rsid w:val="00921300"/>
    <w:rsid w:val="009225B3"/>
    <w:rsid w:val="00957C0C"/>
    <w:rsid w:val="009700EC"/>
    <w:rsid w:val="00971888"/>
    <w:rsid w:val="00977DF6"/>
    <w:rsid w:val="00983DCE"/>
    <w:rsid w:val="009853F4"/>
    <w:rsid w:val="009872C6"/>
    <w:rsid w:val="009A5C58"/>
    <w:rsid w:val="009A6A86"/>
    <w:rsid w:val="009B0097"/>
    <w:rsid w:val="009B18C7"/>
    <w:rsid w:val="00A16B21"/>
    <w:rsid w:val="00A214B3"/>
    <w:rsid w:val="00A22FC2"/>
    <w:rsid w:val="00A458AB"/>
    <w:rsid w:val="00A50CC2"/>
    <w:rsid w:val="00A5114B"/>
    <w:rsid w:val="00A71557"/>
    <w:rsid w:val="00A95584"/>
    <w:rsid w:val="00A96DD5"/>
    <w:rsid w:val="00AA3A2C"/>
    <w:rsid w:val="00AB296E"/>
    <w:rsid w:val="00AC319C"/>
    <w:rsid w:val="00AD452A"/>
    <w:rsid w:val="00AE3130"/>
    <w:rsid w:val="00AE7B59"/>
    <w:rsid w:val="00B022F5"/>
    <w:rsid w:val="00B07A8F"/>
    <w:rsid w:val="00B3168C"/>
    <w:rsid w:val="00B33E86"/>
    <w:rsid w:val="00B3611A"/>
    <w:rsid w:val="00B56B7F"/>
    <w:rsid w:val="00B64F06"/>
    <w:rsid w:val="00BB6168"/>
    <w:rsid w:val="00BC67AE"/>
    <w:rsid w:val="00BD0DC3"/>
    <w:rsid w:val="00BD4F4D"/>
    <w:rsid w:val="00BD6FC6"/>
    <w:rsid w:val="00BE50F2"/>
    <w:rsid w:val="00C03185"/>
    <w:rsid w:val="00C26AD7"/>
    <w:rsid w:val="00C55040"/>
    <w:rsid w:val="00C555FD"/>
    <w:rsid w:val="00C55E49"/>
    <w:rsid w:val="00C56674"/>
    <w:rsid w:val="00C67A6A"/>
    <w:rsid w:val="00C7275C"/>
    <w:rsid w:val="00C940D3"/>
    <w:rsid w:val="00CB6F29"/>
    <w:rsid w:val="00CB702C"/>
    <w:rsid w:val="00CC7E26"/>
    <w:rsid w:val="00CD35BF"/>
    <w:rsid w:val="00CE7B23"/>
    <w:rsid w:val="00D0246D"/>
    <w:rsid w:val="00D04DC4"/>
    <w:rsid w:val="00D04E95"/>
    <w:rsid w:val="00D057CB"/>
    <w:rsid w:val="00D248F1"/>
    <w:rsid w:val="00D27B8F"/>
    <w:rsid w:val="00D60222"/>
    <w:rsid w:val="00D6254B"/>
    <w:rsid w:val="00D74523"/>
    <w:rsid w:val="00D961AA"/>
    <w:rsid w:val="00DA0D96"/>
    <w:rsid w:val="00DC228C"/>
    <w:rsid w:val="00DC357D"/>
    <w:rsid w:val="00DC5A2E"/>
    <w:rsid w:val="00DD33D2"/>
    <w:rsid w:val="00DD5EA6"/>
    <w:rsid w:val="00DD6A10"/>
    <w:rsid w:val="00DD70C5"/>
    <w:rsid w:val="00DF350E"/>
    <w:rsid w:val="00DF510D"/>
    <w:rsid w:val="00DF6A5C"/>
    <w:rsid w:val="00E03A4B"/>
    <w:rsid w:val="00E23489"/>
    <w:rsid w:val="00E23807"/>
    <w:rsid w:val="00E23E19"/>
    <w:rsid w:val="00E25797"/>
    <w:rsid w:val="00E30391"/>
    <w:rsid w:val="00E36A25"/>
    <w:rsid w:val="00E40E42"/>
    <w:rsid w:val="00E42BF5"/>
    <w:rsid w:val="00E45A10"/>
    <w:rsid w:val="00E45A85"/>
    <w:rsid w:val="00E46F1E"/>
    <w:rsid w:val="00E50ABB"/>
    <w:rsid w:val="00E5484F"/>
    <w:rsid w:val="00E561B3"/>
    <w:rsid w:val="00E67E53"/>
    <w:rsid w:val="00E7492A"/>
    <w:rsid w:val="00E750DA"/>
    <w:rsid w:val="00E760B5"/>
    <w:rsid w:val="00E82E2D"/>
    <w:rsid w:val="00E8425A"/>
    <w:rsid w:val="00E860FF"/>
    <w:rsid w:val="00E96921"/>
    <w:rsid w:val="00EA1616"/>
    <w:rsid w:val="00EA235C"/>
    <w:rsid w:val="00EB289C"/>
    <w:rsid w:val="00EC12DD"/>
    <w:rsid w:val="00EE1C82"/>
    <w:rsid w:val="00EE6A08"/>
    <w:rsid w:val="00EF38DF"/>
    <w:rsid w:val="00EF7A39"/>
    <w:rsid w:val="00F0214F"/>
    <w:rsid w:val="00F406B1"/>
    <w:rsid w:val="00F42712"/>
    <w:rsid w:val="00F506E4"/>
    <w:rsid w:val="00F563CB"/>
    <w:rsid w:val="00F62EE5"/>
    <w:rsid w:val="00F70279"/>
    <w:rsid w:val="00F8755A"/>
    <w:rsid w:val="00FA3D79"/>
    <w:rsid w:val="00FB2064"/>
    <w:rsid w:val="00FB2F76"/>
    <w:rsid w:val="00FC4217"/>
    <w:rsid w:val="00FE3A50"/>
    <w:rsid w:val="00FF6A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B1BB"/>
  <w15:docId w15:val="{19899781-FDB1-FD48-B7AC-5B6C243D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31F5C"/>
    <w:pPr>
      <w:tabs>
        <w:tab w:val="center" w:pos="4680"/>
        <w:tab w:val="right" w:pos="9360"/>
      </w:tabs>
    </w:pPr>
  </w:style>
  <w:style w:type="character" w:customStyle="1" w:styleId="HeaderChar">
    <w:name w:val="Header Char"/>
    <w:basedOn w:val="DefaultParagraphFont"/>
    <w:link w:val="Header"/>
    <w:uiPriority w:val="99"/>
    <w:rsid w:val="00531F5C"/>
  </w:style>
  <w:style w:type="paragraph" w:styleId="Footer">
    <w:name w:val="footer"/>
    <w:basedOn w:val="Normal"/>
    <w:link w:val="FooterChar"/>
    <w:uiPriority w:val="99"/>
    <w:unhideWhenUsed/>
    <w:rsid w:val="00531F5C"/>
    <w:pPr>
      <w:tabs>
        <w:tab w:val="center" w:pos="4680"/>
        <w:tab w:val="right" w:pos="9360"/>
      </w:tabs>
    </w:pPr>
  </w:style>
  <w:style w:type="character" w:customStyle="1" w:styleId="FooterChar">
    <w:name w:val="Footer Char"/>
    <w:basedOn w:val="DefaultParagraphFont"/>
    <w:link w:val="Footer"/>
    <w:uiPriority w:val="99"/>
    <w:rsid w:val="00531F5C"/>
  </w:style>
  <w:style w:type="paragraph" w:styleId="NormalWeb">
    <w:name w:val="Normal (Web)"/>
    <w:basedOn w:val="Normal"/>
    <w:uiPriority w:val="99"/>
    <w:unhideWhenUsed/>
    <w:rsid w:val="00531F5C"/>
    <w:pPr>
      <w:spacing w:before="100" w:beforeAutospacing="1" w:after="100" w:afterAutospacing="1"/>
    </w:pPr>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531F5C"/>
  </w:style>
  <w:style w:type="character" w:styleId="CommentReference">
    <w:name w:val="annotation reference"/>
    <w:basedOn w:val="DefaultParagraphFont"/>
    <w:uiPriority w:val="99"/>
    <w:semiHidden/>
    <w:unhideWhenUsed/>
    <w:rsid w:val="00181FE2"/>
    <w:rPr>
      <w:sz w:val="16"/>
      <w:szCs w:val="16"/>
    </w:rPr>
  </w:style>
  <w:style w:type="paragraph" w:styleId="CommentText">
    <w:name w:val="annotation text"/>
    <w:basedOn w:val="Normal"/>
    <w:link w:val="CommentTextChar"/>
    <w:uiPriority w:val="99"/>
    <w:unhideWhenUsed/>
    <w:rsid w:val="00181FE2"/>
    <w:pPr>
      <w:widowControl w:val="0"/>
    </w:pPr>
    <w:rPr>
      <w:rFonts w:eastAsia="Times New Roman" w:cs="Times New Roman"/>
      <w:snapToGrid w:val="0"/>
      <w:sz w:val="20"/>
      <w:szCs w:val="20"/>
      <w:lang w:val="en-US"/>
    </w:rPr>
  </w:style>
  <w:style w:type="character" w:customStyle="1" w:styleId="CommentTextChar">
    <w:name w:val="Comment Text Char"/>
    <w:basedOn w:val="DefaultParagraphFont"/>
    <w:link w:val="CommentText"/>
    <w:uiPriority w:val="99"/>
    <w:rsid w:val="00181FE2"/>
    <w:rPr>
      <w:rFonts w:eastAsia="Times New Roman" w:cs="Times New Roman"/>
      <w:snapToGrid w:val="0"/>
      <w:sz w:val="20"/>
      <w:szCs w:val="20"/>
      <w:lang w:val="en-US"/>
    </w:rPr>
  </w:style>
  <w:style w:type="paragraph" w:styleId="NoSpacing">
    <w:name w:val="No Spacing"/>
    <w:uiPriority w:val="1"/>
    <w:qFormat/>
    <w:rsid w:val="00FF59C4"/>
    <w:rPr>
      <w:rFonts w:eastAsiaTheme="minorEastAsia"/>
    </w:rPr>
  </w:style>
  <w:style w:type="character" w:styleId="Hyperlink">
    <w:name w:val="Hyperlink"/>
    <w:basedOn w:val="DefaultParagraphFont"/>
    <w:uiPriority w:val="99"/>
    <w:unhideWhenUsed/>
    <w:rsid w:val="002B7F34"/>
    <w:rPr>
      <w:color w:val="0563C1" w:themeColor="hyperlink"/>
      <w:u w:val="single"/>
    </w:rPr>
  </w:style>
  <w:style w:type="character" w:customStyle="1" w:styleId="UnresolvedMention1">
    <w:name w:val="Unresolved Mention1"/>
    <w:basedOn w:val="DefaultParagraphFont"/>
    <w:uiPriority w:val="99"/>
    <w:semiHidden/>
    <w:unhideWhenUsed/>
    <w:rsid w:val="002B7F34"/>
    <w:rPr>
      <w:color w:val="605E5C"/>
      <w:shd w:val="clear" w:color="auto" w:fill="E1DFDD"/>
    </w:rPr>
  </w:style>
  <w:style w:type="character" w:styleId="FollowedHyperlink">
    <w:name w:val="FollowedHyperlink"/>
    <w:basedOn w:val="DefaultParagraphFont"/>
    <w:uiPriority w:val="99"/>
    <w:semiHidden/>
    <w:unhideWhenUsed/>
    <w:rsid w:val="005A593A"/>
    <w:rPr>
      <w:color w:val="954F72" w:themeColor="followedHyperlink"/>
      <w:u w:val="single"/>
    </w:rPr>
  </w:style>
  <w:style w:type="paragraph" w:styleId="Revision">
    <w:name w:val="Revision"/>
    <w:hidden/>
    <w:uiPriority w:val="99"/>
    <w:semiHidden/>
    <w:rsid w:val="00B42EF0"/>
    <w:rPr>
      <w:rFonts w:eastAsiaTheme="minorEastAsia"/>
    </w:rPr>
  </w:style>
  <w:style w:type="paragraph" w:styleId="CommentSubject">
    <w:name w:val="annotation subject"/>
    <w:basedOn w:val="CommentText"/>
    <w:next w:val="CommentText"/>
    <w:link w:val="CommentSubjectChar"/>
    <w:uiPriority w:val="99"/>
    <w:semiHidden/>
    <w:unhideWhenUsed/>
    <w:rsid w:val="00B42EF0"/>
    <w:pPr>
      <w:widowControl/>
    </w:pPr>
    <w:rPr>
      <w:rFonts w:eastAsiaTheme="minorEastAsia" w:cstheme="minorBidi"/>
      <w:b/>
      <w:bCs/>
      <w:snapToGrid/>
      <w:lang w:val="en-CA"/>
    </w:rPr>
  </w:style>
  <w:style w:type="character" w:customStyle="1" w:styleId="CommentSubjectChar">
    <w:name w:val="Comment Subject Char"/>
    <w:basedOn w:val="CommentTextChar"/>
    <w:link w:val="CommentSubject"/>
    <w:uiPriority w:val="99"/>
    <w:semiHidden/>
    <w:rsid w:val="00B42EF0"/>
    <w:rPr>
      <w:rFonts w:eastAsiaTheme="minorEastAsia" w:cs="Times New Roman"/>
      <w:b/>
      <w:bCs/>
      <w:snapToGrid/>
      <w:sz w:val="20"/>
      <w:szCs w:val="20"/>
      <w:lang w:val="en-US"/>
    </w:rPr>
  </w:style>
  <w:style w:type="paragraph" w:styleId="BodyText">
    <w:name w:val="Body Text"/>
    <w:basedOn w:val="Normal"/>
    <w:link w:val="BodyTextChar"/>
    <w:uiPriority w:val="99"/>
    <w:semiHidden/>
    <w:unhideWhenUsed/>
    <w:rsid w:val="008C30E5"/>
    <w:pPr>
      <w:spacing w:after="120"/>
    </w:pPr>
  </w:style>
  <w:style w:type="character" w:customStyle="1" w:styleId="BodyTextChar">
    <w:name w:val="Body Text Char"/>
    <w:basedOn w:val="DefaultParagraphFont"/>
    <w:link w:val="BodyText"/>
    <w:uiPriority w:val="99"/>
    <w:semiHidden/>
    <w:rsid w:val="008C30E5"/>
    <w:rPr>
      <w:rFonts w:eastAsiaTheme="minorEastAsia"/>
    </w:rPr>
  </w:style>
  <w:style w:type="paragraph" w:styleId="BalloonText">
    <w:name w:val="Balloon Text"/>
    <w:basedOn w:val="Normal"/>
    <w:link w:val="BalloonTextChar"/>
    <w:uiPriority w:val="99"/>
    <w:semiHidden/>
    <w:unhideWhenUsed/>
    <w:rsid w:val="008C30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0E5"/>
    <w:rPr>
      <w:rFonts w:ascii="Segoe UI" w:eastAsiaTheme="minorEastAsia"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white-space-pre">
    <w:name w:val="white-space-pre"/>
    <w:basedOn w:val="DefaultParagraphFont"/>
    <w:rsid w:val="00E45A85"/>
  </w:style>
  <w:style w:type="paragraph" w:customStyle="1" w:styleId="xxxmsonormal">
    <w:name w:val="x_xxmsonormal"/>
    <w:basedOn w:val="Normal"/>
    <w:rsid w:val="00D74523"/>
    <w:rPr>
      <w:rFonts w:eastAsiaTheme="minorHAnsi"/>
      <w:sz w:val="22"/>
      <w:szCs w:val="22"/>
      <w:lang w:eastAsia="en-CA"/>
    </w:rPr>
  </w:style>
  <w:style w:type="paragraph" w:styleId="ListParagraph">
    <w:name w:val="List Paragraph"/>
    <w:basedOn w:val="Normal"/>
    <w:uiPriority w:val="34"/>
    <w:qFormat/>
    <w:rsid w:val="009B00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5932">
      <w:bodyDiv w:val="1"/>
      <w:marLeft w:val="0"/>
      <w:marRight w:val="0"/>
      <w:marTop w:val="0"/>
      <w:marBottom w:val="0"/>
      <w:divBdr>
        <w:top w:val="none" w:sz="0" w:space="0" w:color="auto"/>
        <w:left w:val="none" w:sz="0" w:space="0" w:color="auto"/>
        <w:bottom w:val="none" w:sz="0" w:space="0" w:color="auto"/>
        <w:right w:val="none" w:sz="0" w:space="0" w:color="auto"/>
      </w:divBdr>
    </w:div>
    <w:div w:id="49159246">
      <w:bodyDiv w:val="1"/>
      <w:marLeft w:val="0"/>
      <w:marRight w:val="0"/>
      <w:marTop w:val="0"/>
      <w:marBottom w:val="0"/>
      <w:divBdr>
        <w:top w:val="none" w:sz="0" w:space="0" w:color="auto"/>
        <w:left w:val="none" w:sz="0" w:space="0" w:color="auto"/>
        <w:bottom w:val="none" w:sz="0" w:space="0" w:color="auto"/>
        <w:right w:val="none" w:sz="0" w:space="0" w:color="auto"/>
      </w:divBdr>
    </w:div>
    <w:div w:id="256064590">
      <w:bodyDiv w:val="1"/>
      <w:marLeft w:val="0"/>
      <w:marRight w:val="0"/>
      <w:marTop w:val="0"/>
      <w:marBottom w:val="0"/>
      <w:divBdr>
        <w:top w:val="none" w:sz="0" w:space="0" w:color="auto"/>
        <w:left w:val="none" w:sz="0" w:space="0" w:color="auto"/>
        <w:bottom w:val="none" w:sz="0" w:space="0" w:color="auto"/>
        <w:right w:val="none" w:sz="0" w:space="0" w:color="auto"/>
      </w:divBdr>
    </w:div>
    <w:div w:id="619142312">
      <w:bodyDiv w:val="1"/>
      <w:marLeft w:val="0"/>
      <w:marRight w:val="0"/>
      <w:marTop w:val="0"/>
      <w:marBottom w:val="0"/>
      <w:divBdr>
        <w:top w:val="none" w:sz="0" w:space="0" w:color="auto"/>
        <w:left w:val="none" w:sz="0" w:space="0" w:color="auto"/>
        <w:bottom w:val="none" w:sz="0" w:space="0" w:color="auto"/>
        <w:right w:val="none" w:sz="0" w:space="0" w:color="auto"/>
      </w:divBdr>
    </w:div>
    <w:div w:id="1139037641">
      <w:bodyDiv w:val="1"/>
      <w:marLeft w:val="0"/>
      <w:marRight w:val="0"/>
      <w:marTop w:val="0"/>
      <w:marBottom w:val="0"/>
      <w:divBdr>
        <w:top w:val="none" w:sz="0" w:space="0" w:color="auto"/>
        <w:left w:val="none" w:sz="0" w:space="0" w:color="auto"/>
        <w:bottom w:val="none" w:sz="0" w:space="0" w:color="auto"/>
        <w:right w:val="none" w:sz="0" w:space="0" w:color="auto"/>
      </w:divBdr>
    </w:div>
    <w:div w:id="1157307393">
      <w:bodyDiv w:val="1"/>
      <w:marLeft w:val="0"/>
      <w:marRight w:val="0"/>
      <w:marTop w:val="0"/>
      <w:marBottom w:val="0"/>
      <w:divBdr>
        <w:top w:val="none" w:sz="0" w:space="0" w:color="auto"/>
        <w:left w:val="none" w:sz="0" w:space="0" w:color="auto"/>
        <w:bottom w:val="none" w:sz="0" w:space="0" w:color="auto"/>
        <w:right w:val="none" w:sz="0" w:space="0" w:color="auto"/>
      </w:divBdr>
    </w:div>
    <w:div w:id="1534807915">
      <w:bodyDiv w:val="1"/>
      <w:marLeft w:val="0"/>
      <w:marRight w:val="0"/>
      <w:marTop w:val="0"/>
      <w:marBottom w:val="0"/>
      <w:divBdr>
        <w:top w:val="none" w:sz="0" w:space="0" w:color="auto"/>
        <w:left w:val="none" w:sz="0" w:space="0" w:color="auto"/>
        <w:bottom w:val="none" w:sz="0" w:space="0" w:color="auto"/>
        <w:right w:val="none" w:sz="0" w:space="0" w:color="auto"/>
      </w:divBdr>
    </w:div>
    <w:div w:id="1594046155">
      <w:bodyDiv w:val="1"/>
      <w:marLeft w:val="0"/>
      <w:marRight w:val="0"/>
      <w:marTop w:val="0"/>
      <w:marBottom w:val="0"/>
      <w:divBdr>
        <w:top w:val="none" w:sz="0" w:space="0" w:color="auto"/>
        <w:left w:val="none" w:sz="0" w:space="0" w:color="auto"/>
        <w:bottom w:val="none" w:sz="0" w:space="0" w:color="auto"/>
        <w:right w:val="none" w:sz="0" w:space="0" w:color="auto"/>
      </w:divBdr>
    </w:div>
    <w:div w:id="1894735881">
      <w:bodyDiv w:val="1"/>
      <w:marLeft w:val="0"/>
      <w:marRight w:val="0"/>
      <w:marTop w:val="0"/>
      <w:marBottom w:val="0"/>
      <w:divBdr>
        <w:top w:val="none" w:sz="0" w:space="0" w:color="auto"/>
        <w:left w:val="none" w:sz="0" w:space="0" w:color="auto"/>
        <w:bottom w:val="none" w:sz="0" w:space="0" w:color="auto"/>
        <w:right w:val="none" w:sz="0" w:space="0" w:color="auto"/>
      </w:divBdr>
    </w:div>
    <w:div w:id="200030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hris@asepmedica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b+OahkF4oAd76ZDvgBBXrkv5fA==">AMUW2mWbBiyapDxD+jiMHgpcrqdqBfB8p1LOK3sNHz4r059dcD/DMsPt7z6t6hFVUoYgVp/WdSiBddN5ADgxxe1d+y86vtzWdjtl5nj/wjARnBtp2wusitw=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99804E-5FC6-4278-9A97-BF9ED27FC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801</Words>
  <Characters>4671</Characters>
  <Application>Microsoft Office Word</Application>
  <DocSecurity>0</DocSecurity>
  <Lines>59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Dallin</dc:creator>
  <dc:description>52306-0001</dc:description>
  <cp:lastModifiedBy>Chris Dallin</cp:lastModifiedBy>
  <cp:revision>10</cp:revision>
  <dcterms:created xsi:type="dcterms:W3CDTF">2025-05-07T23:21:00Z</dcterms:created>
  <dcterms:modified xsi:type="dcterms:W3CDTF">2026-05-06T22:58:00Z</dcterms:modified>
</cp:coreProperties>
</file>