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13A5445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97313B">
        <w:rPr>
          <w:rFonts w:ascii="Arial" w:hAnsi="Arial"/>
          <w:b/>
          <w:bCs/>
          <w:color w:val="000000"/>
          <w:u w:val="single"/>
        </w:rPr>
        <w:t>Archer Exploration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54D6BF2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7313B">
        <w:rPr>
          <w:rFonts w:ascii="Arial" w:hAnsi="Arial"/>
          <w:b/>
          <w:bCs/>
          <w:color w:val="000000"/>
          <w:u w:val="single"/>
        </w:rPr>
        <w:t>RCHR</w:t>
      </w:r>
      <w:r>
        <w:rPr>
          <w:rFonts w:ascii="Arial" w:hAnsi="Arial"/>
          <w:color w:val="000000"/>
          <w:u w:val="single"/>
        </w:rPr>
        <w:tab/>
      </w:r>
      <w:r>
        <w:rPr>
          <w:rFonts w:ascii="Arial" w:hAnsi="Arial"/>
          <w:color w:val="000000"/>
          <w:u w:val="single"/>
        </w:rPr>
        <w:tab/>
      </w:r>
    </w:p>
    <w:p w14:paraId="08156A1C" w14:textId="6F3BC05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E332A">
        <w:rPr>
          <w:rFonts w:ascii="Arial" w:hAnsi="Arial"/>
          <w:b/>
          <w:bCs/>
          <w:color w:val="000000"/>
          <w:u w:val="single"/>
          <w:lang w:val="en-US"/>
        </w:rPr>
        <w:t>25,528,248</w:t>
      </w:r>
      <w:r>
        <w:rPr>
          <w:rFonts w:ascii="Arial" w:hAnsi="Arial"/>
          <w:color w:val="000000"/>
          <w:u w:val="single"/>
        </w:rPr>
        <w:tab/>
      </w:r>
      <w:r>
        <w:rPr>
          <w:rFonts w:ascii="Arial" w:hAnsi="Arial"/>
          <w:color w:val="000000"/>
          <w:u w:val="single"/>
        </w:rPr>
        <w:tab/>
      </w:r>
    </w:p>
    <w:p w14:paraId="38947835" w14:textId="3E21FAE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F6028">
        <w:rPr>
          <w:rFonts w:ascii="Arial" w:hAnsi="Arial"/>
          <w:b/>
          <w:bCs/>
          <w:color w:val="000000"/>
          <w:u w:val="single"/>
        </w:rPr>
        <w:t>January 13</w:t>
      </w:r>
      <w:r w:rsidR="006D677F">
        <w:rPr>
          <w:rFonts w:ascii="Arial" w:hAnsi="Arial"/>
          <w:b/>
          <w:bCs/>
          <w:color w:val="000000"/>
          <w:u w:val="single"/>
        </w:rPr>
        <w:t>, 2021</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D9E22C1" w14:textId="5EE16795" w:rsidR="00710942" w:rsidRDefault="0097313B" w:rsidP="0097313B">
      <w:pPr>
        <w:widowControl w:val="0"/>
        <w:autoSpaceDE w:val="0"/>
        <w:autoSpaceDN w:val="0"/>
        <w:adjustRightInd w:val="0"/>
        <w:spacing w:line="239" w:lineRule="auto"/>
        <w:ind w:left="720"/>
        <w:jc w:val="both"/>
        <w:rPr>
          <w:rFonts w:ascii="Arial" w:hAnsi="Arial"/>
          <w:b/>
          <w:bCs/>
          <w:color w:val="000000"/>
          <w:sz w:val="24"/>
          <w:lang w:val="en-GB"/>
        </w:rPr>
      </w:pPr>
      <w:r w:rsidRPr="0097313B">
        <w:rPr>
          <w:rFonts w:ascii="Arial" w:hAnsi="Arial"/>
          <w:b/>
          <w:bCs/>
          <w:color w:val="000000"/>
          <w:sz w:val="24"/>
          <w:lang w:val="en-GB"/>
        </w:rPr>
        <w:t xml:space="preserve">The </w:t>
      </w:r>
      <w:r>
        <w:rPr>
          <w:rFonts w:ascii="Arial" w:hAnsi="Arial"/>
          <w:b/>
          <w:bCs/>
          <w:color w:val="000000"/>
          <w:sz w:val="24"/>
          <w:lang w:val="en-GB"/>
        </w:rPr>
        <w:t xml:space="preserve">Company </w:t>
      </w:r>
      <w:r w:rsidRPr="0097313B">
        <w:rPr>
          <w:rFonts w:ascii="Arial" w:hAnsi="Arial"/>
          <w:b/>
          <w:bCs/>
          <w:color w:val="000000"/>
          <w:sz w:val="24"/>
          <w:lang w:val="en-GB"/>
        </w:rPr>
        <w:t>is a junior mining company engaged in the acquisition,</w:t>
      </w:r>
      <w:r>
        <w:rPr>
          <w:rFonts w:ascii="Arial" w:hAnsi="Arial"/>
          <w:b/>
          <w:bCs/>
          <w:color w:val="000000"/>
          <w:sz w:val="24"/>
          <w:lang w:val="en-GB"/>
        </w:rPr>
        <w:t xml:space="preserve"> </w:t>
      </w:r>
      <w:r w:rsidRPr="0097313B">
        <w:rPr>
          <w:rFonts w:ascii="Arial" w:hAnsi="Arial"/>
          <w:b/>
          <w:bCs/>
          <w:color w:val="000000"/>
          <w:sz w:val="24"/>
          <w:lang w:val="en-GB"/>
        </w:rPr>
        <w:t xml:space="preserve">exploration and development of mineral properties. </w:t>
      </w:r>
    </w:p>
    <w:p w14:paraId="63FB466D" w14:textId="39C9AB73" w:rsidR="00AC6BAB" w:rsidRDefault="00AC6BAB" w:rsidP="0097313B">
      <w:pPr>
        <w:widowControl w:val="0"/>
        <w:autoSpaceDE w:val="0"/>
        <w:autoSpaceDN w:val="0"/>
        <w:adjustRightInd w:val="0"/>
        <w:spacing w:line="239" w:lineRule="auto"/>
        <w:ind w:left="720"/>
        <w:jc w:val="both"/>
        <w:rPr>
          <w:rFonts w:ascii="Arial" w:hAnsi="Arial"/>
          <w:b/>
          <w:bCs/>
          <w:color w:val="000000"/>
          <w:sz w:val="24"/>
          <w:lang w:val="en-GB"/>
        </w:rPr>
      </w:pPr>
    </w:p>
    <w:p w14:paraId="34760164" w14:textId="77777777" w:rsidR="004E7AF2" w:rsidRDefault="00AC6BAB" w:rsidP="004E7AF2">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As announced on </w:t>
      </w:r>
      <w:r w:rsidR="004E7AF2">
        <w:rPr>
          <w:rFonts w:ascii="Arial" w:hAnsi="Arial"/>
          <w:b/>
          <w:bCs/>
          <w:color w:val="000000"/>
          <w:sz w:val="24"/>
          <w:lang w:val="en-GB"/>
        </w:rPr>
        <w:t>December 15, 2021</w:t>
      </w:r>
      <w:r w:rsidR="00133434">
        <w:rPr>
          <w:rFonts w:ascii="Arial" w:hAnsi="Arial"/>
          <w:b/>
          <w:bCs/>
          <w:color w:val="000000"/>
          <w:sz w:val="24"/>
          <w:lang w:val="en-GB"/>
        </w:rPr>
        <w:t>,</w:t>
      </w:r>
      <w:r>
        <w:rPr>
          <w:rFonts w:ascii="Arial" w:hAnsi="Arial"/>
          <w:b/>
          <w:bCs/>
          <w:color w:val="000000"/>
          <w:sz w:val="24"/>
          <w:lang w:val="en-GB"/>
        </w:rPr>
        <w:t xml:space="preserve"> the Company </w:t>
      </w:r>
      <w:r w:rsidR="004E7AF2" w:rsidRPr="004E7AF2">
        <w:rPr>
          <w:rFonts w:ascii="Arial" w:hAnsi="Arial"/>
          <w:b/>
          <w:bCs/>
          <w:color w:val="000000"/>
          <w:sz w:val="24"/>
          <w:lang w:val="en-GB"/>
        </w:rPr>
        <w:t>entered into a securities exchange agreement with Echelon Minerals Ltd.</w:t>
      </w:r>
      <w:r w:rsidR="004E7AF2">
        <w:rPr>
          <w:rFonts w:ascii="Arial" w:hAnsi="Arial"/>
          <w:b/>
          <w:bCs/>
          <w:color w:val="000000"/>
          <w:sz w:val="24"/>
          <w:lang w:val="en-GB"/>
        </w:rPr>
        <w:t xml:space="preserve"> </w:t>
      </w:r>
      <w:r w:rsidR="004E7AF2" w:rsidRPr="004E7AF2">
        <w:rPr>
          <w:rFonts w:ascii="Arial" w:hAnsi="Arial"/>
          <w:b/>
          <w:bCs/>
          <w:color w:val="000000"/>
          <w:sz w:val="24"/>
          <w:lang w:val="en-GB"/>
        </w:rPr>
        <w:t>(“Echelon”) and the shareholders of Echelon, pursuant to which it will acquire all of the issued and</w:t>
      </w:r>
      <w:r w:rsidR="004E7AF2">
        <w:rPr>
          <w:rFonts w:ascii="Arial" w:hAnsi="Arial"/>
          <w:b/>
          <w:bCs/>
          <w:color w:val="000000"/>
          <w:sz w:val="24"/>
          <w:lang w:val="en-GB"/>
        </w:rPr>
        <w:t xml:space="preserve"> </w:t>
      </w:r>
      <w:r w:rsidR="004E7AF2" w:rsidRPr="004E7AF2">
        <w:rPr>
          <w:rFonts w:ascii="Arial" w:hAnsi="Arial"/>
          <w:b/>
          <w:bCs/>
          <w:color w:val="000000"/>
          <w:sz w:val="24"/>
          <w:lang w:val="en-GB"/>
        </w:rPr>
        <w:t>outstanding shares of Echelon.</w:t>
      </w:r>
      <w:r w:rsidR="004E7AF2">
        <w:rPr>
          <w:rFonts w:ascii="Arial" w:hAnsi="Arial"/>
          <w:b/>
          <w:bCs/>
          <w:color w:val="000000"/>
          <w:sz w:val="24"/>
          <w:lang w:val="en-GB"/>
        </w:rPr>
        <w:t xml:space="preserve">  </w:t>
      </w:r>
    </w:p>
    <w:p w14:paraId="24B0E649" w14:textId="77777777" w:rsidR="004E7AF2" w:rsidRDefault="004E7AF2" w:rsidP="004E7AF2">
      <w:pPr>
        <w:widowControl w:val="0"/>
        <w:autoSpaceDE w:val="0"/>
        <w:autoSpaceDN w:val="0"/>
        <w:adjustRightInd w:val="0"/>
        <w:spacing w:line="239" w:lineRule="auto"/>
        <w:ind w:left="720"/>
        <w:jc w:val="both"/>
        <w:rPr>
          <w:rFonts w:ascii="Arial" w:hAnsi="Arial"/>
          <w:b/>
          <w:bCs/>
          <w:color w:val="000000"/>
          <w:sz w:val="24"/>
          <w:lang w:val="en-GB"/>
        </w:rPr>
      </w:pPr>
    </w:p>
    <w:p w14:paraId="08C32B2E" w14:textId="7E516954" w:rsidR="00AC6BAB" w:rsidRDefault="004E7AF2" w:rsidP="004E7AF2">
      <w:pPr>
        <w:widowControl w:val="0"/>
        <w:autoSpaceDE w:val="0"/>
        <w:autoSpaceDN w:val="0"/>
        <w:adjustRightInd w:val="0"/>
        <w:spacing w:line="239" w:lineRule="auto"/>
        <w:ind w:left="720"/>
        <w:jc w:val="both"/>
        <w:rPr>
          <w:rFonts w:ascii="Arial" w:hAnsi="Arial"/>
          <w:b/>
          <w:bCs/>
          <w:color w:val="000000"/>
          <w:sz w:val="24"/>
          <w:lang w:val="en-GB"/>
        </w:rPr>
      </w:pPr>
      <w:r w:rsidRPr="004E7AF2">
        <w:rPr>
          <w:rFonts w:ascii="Arial" w:hAnsi="Arial"/>
          <w:b/>
          <w:bCs/>
          <w:color w:val="000000"/>
          <w:sz w:val="24"/>
          <w:lang w:val="en-GB"/>
        </w:rPr>
        <w:t>Subject to customary closing conditions and regulatory approvals, Archer will acquire 100% of the issued</w:t>
      </w:r>
      <w:r>
        <w:rPr>
          <w:rFonts w:ascii="Arial" w:hAnsi="Arial"/>
          <w:b/>
          <w:bCs/>
          <w:color w:val="000000"/>
          <w:sz w:val="24"/>
          <w:lang w:val="en-GB"/>
        </w:rPr>
        <w:t xml:space="preserve"> </w:t>
      </w:r>
      <w:r w:rsidRPr="004E7AF2">
        <w:rPr>
          <w:rFonts w:ascii="Arial" w:hAnsi="Arial"/>
          <w:b/>
          <w:bCs/>
          <w:color w:val="000000"/>
          <w:sz w:val="24"/>
          <w:lang w:val="en-GB"/>
        </w:rPr>
        <w:t>and outstanding shares of Echelon in consideration for an aggregate 2,524,772 common shares of the</w:t>
      </w:r>
      <w:r>
        <w:rPr>
          <w:rFonts w:ascii="Arial" w:hAnsi="Arial"/>
          <w:b/>
          <w:bCs/>
          <w:color w:val="000000"/>
          <w:sz w:val="24"/>
          <w:lang w:val="en-GB"/>
        </w:rPr>
        <w:t xml:space="preserve"> </w:t>
      </w:r>
      <w:r w:rsidRPr="004E7AF2">
        <w:rPr>
          <w:rFonts w:ascii="Arial" w:hAnsi="Arial"/>
          <w:b/>
          <w:bCs/>
          <w:color w:val="000000"/>
          <w:sz w:val="24"/>
          <w:lang w:val="en-GB"/>
        </w:rPr>
        <w:t>Company at a deemed price of $0.50 per share</w:t>
      </w:r>
      <w:r>
        <w:rPr>
          <w:rFonts w:ascii="Arial" w:hAnsi="Arial"/>
          <w:b/>
          <w:bCs/>
          <w:color w:val="000000"/>
          <w:sz w:val="24"/>
          <w:lang w:val="en-GB"/>
        </w:rPr>
        <w:t>.</w:t>
      </w:r>
    </w:p>
    <w:p w14:paraId="1442AE9C" w14:textId="5D314A25" w:rsidR="004E7AF2" w:rsidRDefault="004E7AF2" w:rsidP="004E7AF2">
      <w:pPr>
        <w:widowControl w:val="0"/>
        <w:autoSpaceDE w:val="0"/>
        <w:autoSpaceDN w:val="0"/>
        <w:adjustRightInd w:val="0"/>
        <w:spacing w:line="239" w:lineRule="auto"/>
        <w:ind w:left="720"/>
        <w:jc w:val="both"/>
        <w:rPr>
          <w:rFonts w:ascii="Arial" w:hAnsi="Arial"/>
          <w:b/>
          <w:bCs/>
          <w:color w:val="000000"/>
          <w:sz w:val="24"/>
          <w:lang w:val="en-GB"/>
        </w:rPr>
      </w:pPr>
    </w:p>
    <w:p w14:paraId="46F6657A" w14:textId="197CAC0E" w:rsidR="004E7AF2" w:rsidRDefault="004E7AF2" w:rsidP="004E7AF2">
      <w:pPr>
        <w:widowControl w:val="0"/>
        <w:autoSpaceDE w:val="0"/>
        <w:autoSpaceDN w:val="0"/>
        <w:adjustRightInd w:val="0"/>
        <w:spacing w:line="239" w:lineRule="auto"/>
        <w:ind w:left="720"/>
        <w:jc w:val="both"/>
        <w:rPr>
          <w:rFonts w:ascii="Arial" w:hAnsi="Arial"/>
          <w:b/>
          <w:bCs/>
          <w:color w:val="000000"/>
          <w:sz w:val="24"/>
          <w:lang w:val="en-GB"/>
        </w:rPr>
      </w:pPr>
      <w:r w:rsidRPr="004E7AF2">
        <w:rPr>
          <w:rFonts w:ascii="Arial" w:hAnsi="Arial"/>
          <w:b/>
          <w:bCs/>
          <w:color w:val="000000"/>
          <w:sz w:val="24"/>
          <w:lang w:val="en-GB"/>
        </w:rPr>
        <w:t>Echelon, through its subsidiaries, holds the Zanzui Nickel Project in Northern Tanzania</w:t>
      </w:r>
      <w:r>
        <w:rPr>
          <w:rFonts w:ascii="Arial" w:hAnsi="Arial"/>
          <w:b/>
          <w:bCs/>
          <w:color w:val="000000"/>
          <w:sz w:val="24"/>
          <w:lang w:val="en-GB"/>
        </w:rPr>
        <w:t>.</w:t>
      </w:r>
    </w:p>
    <w:p w14:paraId="0D6E1928" w14:textId="77777777" w:rsidR="0097313B" w:rsidRPr="0097313B" w:rsidRDefault="0097313B" w:rsidP="004E332A">
      <w:pPr>
        <w:widowControl w:val="0"/>
        <w:autoSpaceDE w:val="0"/>
        <w:autoSpaceDN w:val="0"/>
        <w:adjustRightInd w:val="0"/>
        <w:spacing w:line="239" w:lineRule="auto"/>
        <w:jc w:val="both"/>
        <w:rPr>
          <w:rFonts w:ascii="Arial" w:hAnsi="Arial"/>
          <w:b/>
          <w:bCs/>
          <w:color w:val="000000"/>
          <w:sz w:val="24"/>
          <w:lang w:val="en-GB"/>
        </w:rPr>
      </w:pPr>
    </w:p>
    <w:p w14:paraId="2B78422C" w14:textId="0B588ADD"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1106CCC" w14:textId="4AC29B77" w:rsidR="004E7AF2" w:rsidRDefault="0097313B" w:rsidP="004E7AF2">
      <w:pPr>
        <w:widowControl w:val="0"/>
        <w:overflowPunct w:val="0"/>
        <w:autoSpaceDE w:val="0"/>
        <w:autoSpaceDN w:val="0"/>
        <w:adjustRightInd w:val="0"/>
        <w:spacing w:before="120" w:line="226" w:lineRule="auto"/>
        <w:ind w:left="720"/>
        <w:jc w:val="both"/>
        <w:rPr>
          <w:rFonts w:ascii="Arial" w:hAnsi="Arial"/>
          <w:b/>
          <w:bCs/>
          <w:color w:val="000000"/>
          <w:sz w:val="24"/>
        </w:rPr>
      </w:pPr>
      <w:r>
        <w:rPr>
          <w:rFonts w:ascii="Arial" w:hAnsi="Arial"/>
          <w:b/>
          <w:bCs/>
          <w:color w:val="000000"/>
          <w:sz w:val="24"/>
          <w:lang w:val="en-GB"/>
        </w:rPr>
        <w:t xml:space="preserve">During the month of </w:t>
      </w:r>
      <w:r w:rsidR="004E7AF2">
        <w:rPr>
          <w:rFonts w:ascii="Arial" w:hAnsi="Arial"/>
          <w:b/>
          <w:bCs/>
          <w:color w:val="000000"/>
          <w:sz w:val="24"/>
          <w:lang w:val="en-GB"/>
        </w:rPr>
        <w:t>December</w:t>
      </w:r>
      <w:r w:rsidR="007F1E88">
        <w:rPr>
          <w:rFonts w:ascii="Arial" w:hAnsi="Arial"/>
          <w:b/>
          <w:bCs/>
          <w:color w:val="000000"/>
          <w:sz w:val="24"/>
          <w:lang w:val="en-GB"/>
        </w:rPr>
        <w:t xml:space="preserve"> </w:t>
      </w:r>
      <w:r>
        <w:rPr>
          <w:rFonts w:ascii="Arial" w:hAnsi="Arial"/>
          <w:b/>
          <w:bCs/>
          <w:color w:val="000000"/>
          <w:sz w:val="24"/>
          <w:lang w:val="en-GB"/>
        </w:rPr>
        <w:t xml:space="preserve">2021, principal activities consisted </w:t>
      </w:r>
      <w:r w:rsidR="00CF5CD7">
        <w:rPr>
          <w:rFonts w:ascii="Arial" w:hAnsi="Arial"/>
          <w:b/>
          <w:bCs/>
          <w:color w:val="000000"/>
          <w:sz w:val="24"/>
          <w:lang w:val="en-GB"/>
        </w:rPr>
        <w:t xml:space="preserve">of review of data on </w:t>
      </w:r>
      <w:r w:rsidR="00422278">
        <w:rPr>
          <w:rFonts w:ascii="Arial" w:hAnsi="Arial"/>
          <w:b/>
          <w:bCs/>
          <w:color w:val="000000"/>
          <w:sz w:val="24"/>
          <w:lang w:val="en-GB"/>
        </w:rPr>
        <w:t>the Zanzui nickel project</w:t>
      </w:r>
      <w:r w:rsidR="00CF5CD7">
        <w:rPr>
          <w:rFonts w:ascii="Arial" w:hAnsi="Arial"/>
          <w:b/>
          <w:bCs/>
          <w:color w:val="000000"/>
          <w:sz w:val="24"/>
          <w:lang w:val="en-GB"/>
        </w:rPr>
        <w:t>, review of new project opportunities,</w:t>
      </w:r>
      <w:r w:rsidR="0004078C">
        <w:rPr>
          <w:rFonts w:ascii="Arial" w:hAnsi="Arial"/>
          <w:b/>
          <w:bCs/>
          <w:color w:val="000000"/>
          <w:sz w:val="24"/>
          <w:lang w:val="en-GB"/>
        </w:rPr>
        <w:t xml:space="preserve"> </w:t>
      </w:r>
      <w:r>
        <w:rPr>
          <w:rFonts w:ascii="Arial" w:hAnsi="Arial"/>
          <w:b/>
          <w:bCs/>
          <w:color w:val="000000"/>
          <w:sz w:val="24"/>
          <w:lang w:val="en-GB"/>
        </w:rPr>
        <w:t>general management and administrative matters</w:t>
      </w:r>
      <w:r w:rsidR="002D1CE1">
        <w:rPr>
          <w:rFonts w:ascii="Arial" w:hAnsi="Arial"/>
          <w:b/>
          <w:bCs/>
          <w:color w:val="000000"/>
          <w:sz w:val="24"/>
        </w:rPr>
        <w:t xml:space="preserve">. </w:t>
      </w:r>
    </w:p>
    <w:p w14:paraId="58AD2217" w14:textId="4037690F" w:rsidR="004E7AF2" w:rsidRDefault="004E7AF2" w:rsidP="007F1E88">
      <w:pPr>
        <w:widowControl w:val="0"/>
        <w:overflowPunct w:val="0"/>
        <w:autoSpaceDE w:val="0"/>
        <w:autoSpaceDN w:val="0"/>
        <w:adjustRightInd w:val="0"/>
        <w:spacing w:before="120" w:line="226" w:lineRule="auto"/>
        <w:ind w:left="720"/>
        <w:jc w:val="both"/>
        <w:rPr>
          <w:rFonts w:ascii="Arial" w:hAnsi="Arial"/>
          <w:b/>
          <w:bCs/>
          <w:color w:val="000000"/>
          <w:sz w:val="24"/>
        </w:rPr>
      </w:pPr>
      <w:r>
        <w:rPr>
          <w:rFonts w:ascii="Arial" w:hAnsi="Arial"/>
          <w:b/>
          <w:bCs/>
          <w:color w:val="000000"/>
          <w:sz w:val="24"/>
        </w:rPr>
        <w:t xml:space="preserve">As described above, the Company also executed </w:t>
      </w:r>
      <w:r w:rsidRPr="004E7AF2">
        <w:rPr>
          <w:rFonts w:ascii="Arial" w:hAnsi="Arial"/>
          <w:b/>
          <w:bCs/>
          <w:color w:val="000000"/>
          <w:sz w:val="24"/>
          <w:lang w:val="en-GB"/>
        </w:rPr>
        <w:t>a securities exchange agreement with Echelon Minerals Ltd.</w:t>
      </w:r>
    </w:p>
    <w:p w14:paraId="25B999F3" w14:textId="77777777" w:rsidR="00B22288" w:rsidRDefault="00B22288" w:rsidP="004E7AF2">
      <w:pPr>
        <w:widowControl w:val="0"/>
        <w:overflowPunct w:val="0"/>
        <w:autoSpaceDE w:val="0"/>
        <w:autoSpaceDN w:val="0"/>
        <w:adjustRightInd w:val="0"/>
        <w:spacing w:line="226" w:lineRule="auto"/>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E30847F" w14:textId="77777777" w:rsidR="006B7CC9" w:rsidRDefault="006B7CC9"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1FB0D845" w14:textId="6E8679B2" w:rsidR="006B45A9" w:rsidRDefault="007F1E88" w:rsidP="005B17F5">
      <w:pPr>
        <w:widowControl w:val="0"/>
        <w:autoSpaceDE w:val="0"/>
        <w:autoSpaceDN w:val="0"/>
        <w:adjustRightInd w:val="0"/>
        <w:spacing w:line="239" w:lineRule="auto"/>
        <w:ind w:left="720"/>
        <w:jc w:val="both"/>
        <w:rPr>
          <w:rFonts w:ascii="Arial" w:hAnsi="Arial"/>
          <w:b/>
          <w:bCs/>
          <w:color w:val="000000"/>
          <w:sz w:val="24"/>
          <w:lang w:val="en-CA"/>
        </w:rPr>
      </w:pPr>
      <w:r>
        <w:rPr>
          <w:rFonts w:ascii="Arial" w:hAnsi="Arial"/>
          <w:b/>
          <w:bCs/>
          <w:color w:val="000000"/>
          <w:sz w:val="24"/>
          <w:lang w:val="en-CA"/>
        </w:rPr>
        <w:lastRenderedPageBreak/>
        <w:t>None.</w:t>
      </w:r>
    </w:p>
    <w:p w14:paraId="388884FF" w14:textId="77777777" w:rsidR="00636D6C" w:rsidRDefault="00636D6C"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77777777" w:rsidR="00473AA7" w:rsidRDefault="00473AA7" w:rsidP="00473AA7">
      <w:pPr>
        <w:pStyle w:val="ListParagraph"/>
        <w:widowControl w:val="0"/>
        <w:autoSpaceDE w:val="0"/>
        <w:autoSpaceDN w:val="0"/>
        <w:adjustRightInd w:val="0"/>
        <w:spacing w:line="239" w:lineRule="auto"/>
        <w:jc w:val="both"/>
        <w:rPr>
          <w:rFonts w:ascii="Arial" w:hAnsi="Arial"/>
          <w:b/>
          <w:bCs/>
          <w:color w:val="000000"/>
          <w:sz w:val="24"/>
          <w:lang w:val="en-GB"/>
        </w:rPr>
      </w:pPr>
    </w:p>
    <w:p w14:paraId="1EBAF5B0" w14:textId="095877C3" w:rsidR="005B17F5" w:rsidRDefault="008A6642" w:rsidP="005B17F5">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7921D4CB" w14:textId="4673C454" w:rsidR="0032758F" w:rsidRDefault="00B805BB"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6C9366D7" w14:textId="77777777" w:rsidR="00B805BB" w:rsidRPr="00FE069E" w:rsidRDefault="00B805BB"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7FF60A07" w:rsidR="008E3A38" w:rsidRDefault="00473AA7"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2799900" w14:textId="11398107" w:rsidR="0032758F" w:rsidRDefault="0032758F" w:rsidP="00A41F33">
      <w:pPr>
        <w:widowControl w:val="0"/>
        <w:overflowPunct w:val="0"/>
        <w:autoSpaceDE w:val="0"/>
        <w:autoSpaceDN w:val="0"/>
        <w:adjustRightInd w:val="0"/>
        <w:ind w:left="720"/>
        <w:jc w:val="both"/>
        <w:rPr>
          <w:rFonts w:ascii="Arial" w:hAnsi="Arial"/>
          <w:b/>
          <w:bCs/>
          <w:color w:val="000000"/>
          <w:sz w:val="24"/>
        </w:rPr>
      </w:pPr>
    </w:p>
    <w:p w14:paraId="7C0529D9" w14:textId="5E243E21" w:rsidR="006B45A9" w:rsidRDefault="00952B20" w:rsidP="006B45A9">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28A0644D" w14:textId="77777777" w:rsidR="0032758F" w:rsidRPr="0032758F" w:rsidRDefault="0032758F" w:rsidP="0032758F">
      <w:pPr>
        <w:pStyle w:val="ListParagraph"/>
        <w:widowControl w:val="0"/>
        <w:overflowPunct w:val="0"/>
        <w:autoSpaceDE w:val="0"/>
        <w:autoSpaceDN w:val="0"/>
        <w:adjustRightInd w:val="0"/>
        <w:ind w:left="144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terminations or lay-offs with details of anticipated length of lay-offs.</w:t>
      </w:r>
    </w:p>
    <w:p w14:paraId="6EA3C543" w14:textId="64836720"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8E4D660"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54BFF97A" w14:textId="40C905F6" w:rsidR="00A41F33" w:rsidRDefault="00A41F33" w:rsidP="00A90505">
      <w:pPr>
        <w:pStyle w:val="List"/>
        <w:spacing w:before="0"/>
        <w:ind w:left="720" w:firstLine="0"/>
        <w:jc w:val="both"/>
        <w:rPr>
          <w:rFonts w:ascii="Arial" w:hAnsi="Arial"/>
        </w:rPr>
      </w:pPr>
    </w:p>
    <w:p w14:paraId="6DEEBFF2" w14:textId="7B3C308A"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tbl>
      <w:tblPr>
        <w:tblW w:w="88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350"/>
        <w:gridCol w:w="3870"/>
        <w:gridCol w:w="2381"/>
      </w:tblGrid>
      <w:tr w:rsidR="008A6642" w14:paraId="1F8AD040" w14:textId="77777777" w:rsidTr="00360190">
        <w:tc>
          <w:tcPr>
            <w:tcW w:w="1271" w:type="dxa"/>
          </w:tcPr>
          <w:p w14:paraId="05D29C64"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Security</w:t>
            </w:r>
          </w:p>
        </w:tc>
        <w:tc>
          <w:tcPr>
            <w:tcW w:w="1350" w:type="dxa"/>
          </w:tcPr>
          <w:p w14:paraId="7BC64DB7"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Number Issued</w:t>
            </w:r>
          </w:p>
        </w:tc>
        <w:tc>
          <w:tcPr>
            <w:tcW w:w="3870" w:type="dxa"/>
          </w:tcPr>
          <w:p w14:paraId="01A057D3"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Details of Issuance</w:t>
            </w:r>
          </w:p>
        </w:tc>
        <w:tc>
          <w:tcPr>
            <w:tcW w:w="2381" w:type="dxa"/>
          </w:tcPr>
          <w:p w14:paraId="7F55F451" w14:textId="2E2DA42D" w:rsidR="008A6642" w:rsidRDefault="008A6642" w:rsidP="00B31A6A">
            <w:pPr>
              <w:pStyle w:val="List"/>
              <w:tabs>
                <w:tab w:val="left" w:pos="360"/>
              </w:tabs>
              <w:spacing w:before="0"/>
              <w:ind w:left="0" w:firstLine="0"/>
              <w:jc w:val="center"/>
              <w:rPr>
                <w:rFonts w:ascii="Arial" w:hAnsi="Arial"/>
                <w:b/>
              </w:rPr>
            </w:pPr>
            <w:r>
              <w:rPr>
                <w:rFonts w:ascii="Arial" w:hAnsi="Arial"/>
                <w:b/>
              </w:rPr>
              <w:t>Use of Proceeds</w:t>
            </w:r>
            <w:r w:rsidR="00AF1651">
              <w:rPr>
                <w:rFonts w:ascii="Arial" w:hAnsi="Arial"/>
                <w:b/>
              </w:rPr>
              <w:t xml:space="preserve"> </w:t>
            </w:r>
            <w:r>
              <w:rPr>
                <w:rFonts w:ascii="Arial" w:hAnsi="Arial"/>
                <w:b/>
                <w:vertAlign w:val="superscript"/>
              </w:rPr>
              <w:t>(1)</w:t>
            </w:r>
          </w:p>
        </w:tc>
      </w:tr>
      <w:tr w:rsidR="00B73B6B" w14:paraId="2E9B2205" w14:textId="77777777" w:rsidTr="00360190">
        <w:tc>
          <w:tcPr>
            <w:tcW w:w="1271" w:type="dxa"/>
          </w:tcPr>
          <w:p w14:paraId="05E5D001" w14:textId="355F2417" w:rsidR="00B73B6B" w:rsidRDefault="00B73B6B" w:rsidP="00B31A6A">
            <w:pPr>
              <w:pStyle w:val="List"/>
              <w:tabs>
                <w:tab w:val="left" w:pos="360"/>
              </w:tabs>
              <w:spacing w:before="0"/>
              <w:ind w:left="0" w:firstLine="0"/>
              <w:jc w:val="center"/>
              <w:rPr>
                <w:rFonts w:ascii="Arial" w:hAnsi="Arial"/>
                <w:b/>
              </w:rPr>
            </w:pPr>
          </w:p>
        </w:tc>
        <w:tc>
          <w:tcPr>
            <w:tcW w:w="1350" w:type="dxa"/>
          </w:tcPr>
          <w:p w14:paraId="5C697A8C" w14:textId="5DA59C04" w:rsidR="00B73B6B" w:rsidRDefault="00B73B6B" w:rsidP="00B31A6A">
            <w:pPr>
              <w:pStyle w:val="List"/>
              <w:tabs>
                <w:tab w:val="left" w:pos="360"/>
              </w:tabs>
              <w:spacing w:before="0"/>
              <w:ind w:left="0" w:firstLine="0"/>
              <w:jc w:val="center"/>
              <w:rPr>
                <w:rFonts w:ascii="Arial" w:hAnsi="Arial"/>
                <w:b/>
              </w:rPr>
            </w:pPr>
          </w:p>
        </w:tc>
        <w:tc>
          <w:tcPr>
            <w:tcW w:w="3870" w:type="dxa"/>
          </w:tcPr>
          <w:p w14:paraId="558F31F0" w14:textId="1FB77F91" w:rsidR="00B73B6B" w:rsidRDefault="00B73B6B" w:rsidP="00B31A6A">
            <w:pPr>
              <w:pStyle w:val="List"/>
              <w:tabs>
                <w:tab w:val="left" w:pos="360"/>
              </w:tabs>
              <w:spacing w:before="0"/>
              <w:ind w:left="0" w:firstLine="0"/>
              <w:jc w:val="center"/>
              <w:rPr>
                <w:rFonts w:ascii="Arial" w:hAnsi="Arial"/>
                <w:b/>
              </w:rPr>
            </w:pPr>
          </w:p>
        </w:tc>
        <w:tc>
          <w:tcPr>
            <w:tcW w:w="2381" w:type="dxa"/>
          </w:tcPr>
          <w:p w14:paraId="717B9F4C" w14:textId="4E975C29" w:rsidR="00B73B6B" w:rsidRDefault="00B73B6B" w:rsidP="00B31A6A">
            <w:pPr>
              <w:pStyle w:val="List"/>
              <w:tabs>
                <w:tab w:val="left" w:pos="360"/>
              </w:tabs>
              <w:spacing w:before="0"/>
              <w:ind w:left="0" w:firstLine="0"/>
              <w:jc w:val="center"/>
              <w:rPr>
                <w:rFonts w:ascii="Arial" w:hAnsi="Arial"/>
                <w:b/>
              </w:rPr>
            </w:pPr>
          </w:p>
        </w:tc>
      </w:tr>
      <w:tr w:rsidR="00D23202" w14:paraId="6AF81EFC" w14:textId="77777777" w:rsidTr="00360190">
        <w:tc>
          <w:tcPr>
            <w:tcW w:w="1271" w:type="dxa"/>
          </w:tcPr>
          <w:p w14:paraId="64D88043" w14:textId="37A9DF8B" w:rsidR="00D23202" w:rsidRDefault="00D23202" w:rsidP="00B31A6A">
            <w:pPr>
              <w:pStyle w:val="List"/>
              <w:tabs>
                <w:tab w:val="left" w:pos="360"/>
              </w:tabs>
              <w:spacing w:before="0"/>
              <w:ind w:left="0" w:firstLine="0"/>
              <w:jc w:val="center"/>
              <w:rPr>
                <w:rFonts w:ascii="Arial" w:hAnsi="Arial"/>
                <w:b/>
              </w:rPr>
            </w:pPr>
          </w:p>
        </w:tc>
        <w:tc>
          <w:tcPr>
            <w:tcW w:w="1350" w:type="dxa"/>
          </w:tcPr>
          <w:p w14:paraId="60BD8718" w14:textId="53607D0B" w:rsidR="00D23202" w:rsidRDefault="00D23202" w:rsidP="00B31A6A">
            <w:pPr>
              <w:pStyle w:val="List"/>
              <w:tabs>
                <w:tab w:val="left" w:pos="360"/>
              </w:tabs>
              <w:spacing w:before="0"/>
              <w:ind w:left="0" w:firstLine="0"/>
              <w:jc w:val="center"/>
              <w:rPr>
                <w:rFonts w:ascii="Arial" w:hAnsi="Arial"/>
                <w:b/>
              </w:rPr>
            </w:pPr>
          </w:p>
        </w:tc>
        <w:tc>
          <w:tcPr>
            <w:tcW w:w="3870" w:type="dxa"/>
          </w:tcPr>
          <w:p w14:paraId="61F48E1D" w14:textId="592DF6C3" w:rsidR="00D23202" w:rsidRDefault="00D23202" w:rsidP="00B31A6A">
            <w:pPr>
              <w:pStyle w:val="List"/>
              <w:tabs>
                <w:tab w:val="left" w:pos="360"/>
              </w:tabs>
              <w:spacing w:before="0"/>
              <w:ind w:left="0" w:firstLine="0"/>
              <w:jc w:val="center"/>
              <w:rPr>
                <w:rFonts w:ascii="Arial" w:hAnsi="Arial"/>
                <w:b/>
              </w:rPr>
            </w:pPr>
          </w:p>
        </w:tc>
        <w:tc>
          <w:tcPr>
            <w:tcW w:w="2381" w:type="dxa"/>
          </w:tcPr>
          <w:p w14:paraId="7DFCEC09" w14:textId="1DF849A5" w:rsidR="00D23202" w:rsidRDefault="00D23202" w:rsidP="00B31A6A">
            <w:pPr>
              <w:pStyle w:val="List"/>
              <w:tabs>
                <w:tab w:val="left" w:pos="360"/>
              </w:tabs>
              <w:spacing w:before="0"/>
              <w:ind w:left="0" w:firstLine="0"/>
              <w:jc w:val="center"/>
              <w:rPr>
                <w:rFonts w:ascii="Arial" w:hAnsi="Arial"/>
                <w:b/>
              </w:rPr>
            </w:pPr>
          </w:p>
        </w:tc>
      </w:tr>
      <w:tr w:rsidR="00D23202" w14:paraId="73C791A7" w14:textId="77777777" w:rsidTr="00360190">
        <w:tc>
          <w:tcPr>
            <w:tcW w:w="1271" w:type="dxa"/>
          </w:tcPr>
          <w:p w14:paraId="6153E215" w14:textId="4E912DA7" w:rsidR="00D23202" w:rsidRDefault="00D23202" w:rsidP="00B31A6A">
            <w:pPr>
              <w:pStyle w:val="List"/>
              <w:tabs>
                <w:tab w:val="left" w:pos="360"/>
              </w:tabs>
              <w:spacing w:before="0"/>
              <w:ind w:left="0" w:firstLine="0"/>
              <w:jc w:val="center"/>
              <w:rPr>
                <w:rFonts w:ascii="Arial" w:hAnsi="Arial"/>
                <w:b/>
              </w:rPr>
            </w:pPr>
          </w:p>
        </w:tc>
        <w:tc>
          <w:tcPr>
            <w:tcW w:w="1350" w:type="dxa"/>
          </w:tcPr>
          <w:p w14:paraId="6A1521DC" w14:textId="01D11EA4" w:rsidR="00D23202" w:rsidRDefault="00D23202" w:rsidP="00B31A6A">
            <w:pPr>
              <w:pStyle w:val="List"/>
              <w:tabs>
                <w:tab w:val="left" w:pos="360"/>
              </w:tabs>
              <w:spacing w:before="0"/>
              <w:ind w:left="0" w:firstLine="0"/>
              <w:jc w:val="center"/>
              <w:rPr>
                <w:rFonts w:ascii="Arial" w:hAnsi="Arial"/>
                <w:b/>
              </w:rPr>
            </w:pPr>
          </w:p>
        </w:tc>
        <w:tc>
          <w:tcPr>
            <w:tcW w:w="3870" w:type="dxa"/>
          </w:tcPr>
          <w:p w14:paraId="47C0D3C8" w14:textId="76B11074" w:rsidR="00D23202" w:rsidRDefault="00D23202" w:rsidP="00B31A6A">
            <w:pPr>
              <w:pStyle w:val="List"/>
              <w:tabs>
                <w:tab w:val="left" w:pos="360"/>
              </w:tabs>
              <w:spacing w:before="0"/>
              <w:ind w:left="0" w:firstLine="0"/>
              <w:jc w:val="center"/>
              <w:rPr>
                <w:rFonts w:ascii="Arial" w:hAnsi="Arial"/>
                <w:b/>
              </w:rPr>
            </w:pPr>
          </w:p>
        </w:tc>
        <w:tc>
          <w:tcPr>
            <w:tcW w:w="2381" w:type="dxa"/>
          </w:tcPr>
          <w:p w14:paraId="4B8977D9" w14:textId="0AF1BB74" w:rsidR="00D23202" w:rsidRDefault="00D23202" w:rsidP="00B31A6A">
            <w:pPr>
              <w:pStyle w:val="List"/>
              <w:tabs>
                <w:tab w:val="left" w:pos="360"/>
              </w:tabs>
              <w:spacing w:before="0"/>
              <w:ind w:left="0" w:firstLine="0"/>
              <w:jc w:val="center"/>
              <w:rPr>
                <w:rFonts w:ascii="Arial" w:hAnsi="Arial"/>
                <w:b/>
              </w:rPr>
            </w:pPr>
          </w:p>
        </w:tc>
      </w:tr>
    </w:tbl>
    <w:p w14:paraId="19B20C39" w14:textId="329142BA" w:rsidR="000A201A" w:rsidRDefault="000A201A" w:rsidP="00970D79">
      <w:pPr>
        <w:pStyle w:val="ListParagraph"/>
        <w:widowControl w:val="0"/>
        <w:autoSpaceDE w:val="0"/>
        <w:autoSpaceDN w:val="0"/>
        <w:adjustRightInd w:val="0"/>
        <w:spacing w:line="239" w:lineRule="auto"/>
        <w:jc w:val="both"/>
        <w:rPr>
          <w:rFonts w:ascii="Arial" w:hAnsi="Arial"/>
          <w:b/>
          <w:bCs/>
          <w:color w:val="000000"/>
          <w:sz w:val="24"/>
          <w:lang w:val="en-GB"/>
        </w:rPr>
      </w:pPr>
    </w:p>
    <w:p w14:paraId="09B9A8FF" w14:textId="388667B5" w:rsidR="007F1E88" w:rsidRDefault="007F1E88" w:rsidP="00970D79">
      <w:pPr>
        <w:pStyle w:val="ListParagraph"/>
        <w:widowControl w:val="0"/>
        <w:autoSpaceDE w:val="0"/>
        <w:autoSpaceDN w:val="0"/>
        <w:adjustRightInd w:val="0"/>
        <w:spacing w:line="239" w:lineRule="auto"/>
        <w:jc w:val="both"/>
        <w:rPr>
          <w:rFonts w:ascii="Arial" w:hAnsi="Arial"/>
          <w:b/>
          <w:bCs/>
          <w:color w:val="000000"/>
          <w:sz w:val="24"/>
          <w:lang w:val="en-GB"/>
        </w:rPr>
      </w:pPr>
      <w:r>
        <w:rPr>
          <w:rFonts w:ascii="Arial" w:hAnsi="Arial"/>
          <w:b/>
          <w:bCs/>
          <w:color w:val="000000"/>
          <w:sz w:val="24"/>
          <w:lang w:val="en-GB"/>
        </w:rPr>
        <w:t>None.</w:t>
      </w:r>
    </w:p>
    <w:p w14:paraId="1A327084" w14:textId="77777777" w:rsidR="007F1E88" w:rsidRPr="00970D79" w:rsidRDefault="007F1E88" w:rsidP="00970D79">
      <w:pPr>
        <w:pStyle w:val="ListParagraph"/>
        <w:widowControl w:val="0"/>
        <w:autoSpaceDE w:val="0"/>
        <w:autoSpaceDN w:val="0"/>
        <w:adjustRightInd w:val="0"/>
        <w:spacing w:line="239" w:lineRule="auto"/>
        <w:jc w:val="both"/>
        <w:rPr>
          <w:rFonts w:ascii="Arial" w:hAnsi="Arial"/>
          <w:b/>
          <w:bCs/>
          <w:color w:val="000000"/>
          <w:sz w:val="24"/>
          <w:lang w:val="en-GB"/>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56CF01FA" w:rsidR="008E3A38" w:rsidRDefault="00B03660"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74978172" w14:textId="77777777" w:rsidR="000A201A" w:rsidRDefault="000A201A" w:rsidP="000975FB">
      <w:pPr>
        <w:pStyle w:val="List"/>
        <w:keepNext/>
        <w:keepLines/>
        <w:spacing w:before="0"/>
        <w:ind w:left="720" w:firstLine="0"/>
        <w:jc w:val="both"/>
        <w:rPr>
          <w:rFonts w:ascii="Arial" w:hAnsi="Arial"/>
        </w:rPr>
      </w:pPr>
    </w:p>
    <w:p w14:paraId="56B989F9" w14:textId="14544ABF" w:rsidR="00B22288" w:rsidRDefault="00B805BB" w:rsidP="00B22288">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B879AD1" w14:textId="2A25B3CC" w:rsidR="00640E94" w:rsidRPr="0097313B"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Issuer’s Prospectus dated January 29, 2021 (the “MD&amp;A”) under the</w:t>
      </w:r>
      <w:r>
        <w:rPr>
          <w:rFonts w:ascii="Arial" w:hAnsi="Arial"/>
          <w:b/>
          <w:bCs/>
          <w:color w:val="000000"/>
        </w:rPr>
        <w:t xml:space="preserve"> </w:t>
      </w:r>
      <w:r w:rsidRPr="0097313B">
        <w:rPr>
          <w:rFonts w:ascii="Arial" w:hAnsi="Arial"/>
          <w:b/>
          <w:bCs/>
          <w:color w:val="000000"/>
        </w:rPr>
        <w:t>headings “Risk Factors”. The Prospectus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r w:rsidR="00B22288" w:rsidRPr="0004078C">
          <w:rPr>
            <w:rStyle w:val="Hyperlink"/>
            <w:rFonts w:ascii="Arial" w:hAnsi="Arial"/>
            <w:b/>
            <w:bCs/>
          </w:rPr>
          <w:t>SEDAR</w:t>
        </w:r>
      </w:hyperlink>
      <w:r w:rsidRPr="0097313B">
        <w:rPr>
          <w:rFonts w:ascii="Arial" w:hAnsi="Arial"/>
          <w:b/>
          <w:bCs/>
          <w:color w:val="000000"/>
        </w:rPr>
        <w:t>.</w:t>
      </w:r>
      <w:r w:rsidR="00640E94">
        <w:rPr>
          <w:rFonts w:ascii="Arial" w:hAnsi="Arial"/>
          <w:b/>
        </w:rPr>
        <w:br w:type="page"/>
      </w:r>
      <w:r w:rsidR="00640E94">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51B9070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E7AF2">
        <w:rPr>
          <w:rFonts w:ascii="Arial" w:hAnsi="Arial"/>
          <w:b/>
          <w:bCs/>
          <w:color w:val="000000"/>
          <w:u w:val="single"/>
        </w:rPr>
        <w:t xml:space="preserve">January </w:t>
      </w:r>
      <w:r w:rsidR="00FF6028">
        <w:rPr>
          <w:rFonts w:ascii="Arial" w:hAnsi="Arial"/>
          <w:b/>
          <w:bCs/>
          <w:color w:val="000000"/>
          <w:u w:val="single"/>
        </w:rPr>
        <w:t>13</w:t>
      </w:r>
      <w:r w:rsidR="008A6642">
        <w:rPr>
          <w:rFonts w:ascii="Arial" w:hAnsi="Arial"/>
          <w:b/>
          <w:bCs/>
          <w:color w:val="000000"/>
          <w:u w:val="single"/>
        </w:rPr>
        <w:t>, 202</w:t>
      </w:r>
      <w:r w:rsidR="004E7AF2">
        <w:rPr>
          <w:rFonts w:ascii="Arial" w:hAnsi="Arial"/>
          <w:b/>
          <w:bCs/>
          <w:color w:val="000000"/>
          <w:u w:val="single"/>
        </w:rPr>
        <w:t>2</w:t>
      </w:r>
      <w:r>
        <w:rPr>
          <w:rFonts w:ascii="Arial" w:hAnsi="Arial"/>
          <w:u w:val="single"/>
        </w:rPr>
        <w:tab/>
      </w:r>
      <w:r>
        <w:rPr>
          <w:rFonts w:ascii="Arial" w:hAnsi="Arial"/>
        </w:rPr>
        <w:t>.</w:t>
      </w:r>
    </w:p>
    <w:p w14:paraId="452D55D0" w14:textId="74302109" w:rsidR="00640E94" w:rsidRDefault="00640E94">
      <w:pPr>
        <w:pStyle w:val="List"/>
        <w:tabs>
          <w:tab w:val="left" w:pos="9180"/>
        </w:tabs>
        <w:ind w:left="5760" w:hanging="5760"/>
        <w:rPr>
          <w:rFonts w:ascii="Arial" w:hAnsi="Arial"/>
        </w:rPr>
      </w:pPr>
      <w:r>
        <w:rPr>
          <w:rFonts w:ascii="Arial" w:hAnsi="Arial"/>
        </w:rPr>
        <w:tab/>
      </w:r>
      <w:r w:rsidR="00A25CBE">
        <w:rPr>
          <w:rFonts w:ascii="Arial" w:hAnsi="Arial"/>
          <w:b/>
          <w:bCs/>
          <w:color w:val="000000"/>
          <w:u w:val="single"/>
        </w:rPr>
        <w:t>Mike Brown</w:t>
      </w:r>
      <w:r>
        <w:rPr>
          <w:rFonts w:ascii="Arial" w:hAnsi="Arial"/>
          <w:u w:val="single"/>
        </w:rPr>
        <w:tab/>
      </w:r>
      <w:r>
        <w:rPr>
          <w:rFonts w:ascii="Arial" w:hAnsi="Arial"/>
          <w:u w:val="single"/>
        </w:rPr>
        <w:br/>
      </w:r>
      <w:r>
        <w:rPr>
          <w:rFonts w:ascii="Arial" w:hAnsi="Arial"/>
        </w:rPr>
        <w:t>Name of Director or Senior Officer</w:t>
      </w:r>
    </w:p>
    <w:p w14:paraId="7741D564" w14:textId="75705B0A"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A25CBE">
        <w:rPr>
          <w:rFonts w:ascii="Arial" w:hAnsi="Arial"/>
          <w:b/>
          <w:bCs/>
          <w:color w:val="000000"/>
          <w:u w:val="single"/>
        </w:rPr>
        <w:t>Mike Brown</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1FDA7048" w:rsidR="00640E94" w:rsidRDefault="00A25CBE">
      <w:pPr>
        <w:pStyle w:val="BodyText"/>
        <w:tabs>
          <w:tab w:val="left" w:pos="9180"/>
        </w:tabs>
        <w:spacing w:before="0"/>
        <w:ind w:left="5760"/>
        <w:rPr>
          <w:rFonts w:ascii="Arial" w:hAnsi="Arial"/>
        </w:rPr>
      </w:pPr>
      <w:r>
        <w:rPr>
          <w:rFonts w:ascii="Arial" w:hAnsi="Arial"/>
          <w:b/>
          <w:bCs/>
          <w:color w:val="000000"/>
          <w:u w:val="single"/>
        </w:rPr>
        <w:t>CEO</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A4E23AF" w:rsidR="00640E94" w:rsidRPr="0097313B" w:rsidRDefault="0097313B" w:rsidP="003C2890">
            <w:pPr>
              <w:pStyle w:val="BodyText"/>
              <w:spacing w:before="0"/>
              <w:rPr>
                <w:rFonts w:ascii="Arial" w:hAnsi="Arial"/>
                <w:b/>
                <w:bCs/>
                <w:color w:val="000000"/>
                <w:u w:val="single"/>
                <w:lang w:val="en-US"/>
              </w:rPr>
            </w:pPr>
            <w:r>
              <w:rPr>
                <w:rFonts w:ascii="Arial" w:hAnsi="Arial"/>
                <w:b/>
                <w:bCs/>
                <w:color w:val="000000"/>
                <w:u w:val="single"/>
                <w:lang w:val="en-US"/>
              </w:rPr>
              <w:t>Archer Exploration Corp</w:t>
            </w:r>
            <w:r w:rsidR="005408BD" w:rsidRPr="005408BD">
              <w:rPr>
                <w:rFonts w:ascii="Arial" w:hAnsi="Arial"/>
                <w:b/>
                <w:bCs/>
                <w:color w:val="000000"/>
                <w:u w:val="single"/>
                <w:lang w:val="en-US"/>
              </w:rPr>
              <w:t xml:space="preserve">. </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0794A346" w:rsidR="003C2890" w:rsidRPr="003C2890" w:rsidRDefault="004E7AF2">
            <w:pPr>
              <w:pStyle w:val="BodyText"/>
              <w:spacing w:before="0"/>
              <w:rPr>
                <w:rFonts w:ascii="Arial" w:hAnsi="Arial"/>
                <w:b/>
                <w:bCs/>
                <w:color w:val="000000"/>
              </w:rPr>
            </w:pPr>
            <w:r>
              <w:rPr>
                <w:rFonts w:ascii="Arial" w:hAnsi="Arial"/>
                <w:b/>
                <w:bCs/>
                <w:color w:val="000000"/>
              </w:rPr>
              <w:t>December</w:t>
            </w:r>
            <w:r w:rsidR="00B22288">
              <w:rPr>
                <w:rFonts w:ascii="Arial" w:hAnsi="Arial"/>
                <w:b/>
                <w:bCs/>
                <w:color w:val="000000"/>
              </w:rPr>
              <w:t xml:space="preserve"> </w:t>
            </w:r>
            <w:r w:rsidR="008A6642">
              <w:rPr>
                <w:rFonts w:ascii="Arial" w:hAnsi="Arial"/>
                <w:b/>
                <w:bCs/>
                <w:color w:val="000000"/>
              </w:rPr>
              <w:t>2021</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7F0B0F32" w:rsidR="003C2890" w:rsidRDefault="008A6642">
            <w:pPr>
              <w:pStyle w:val="BodyText"/>
              <w:spacing w:before="0"/>
              <w:rPr>
                <w:rFonts w:ascii="Arial" w:hAnsi="Arial"/>
              </w:rPr>
            </w:pPr>
            <w:r>
              <w:rPr>
                <w:rFonts w:ascii="Arial" w:hAnsi="Arial"/>
                <w:b/>
                <w:bCs/>
                <w:color w:val="000000"/>
              </w:rPr>
              <w:t>2</w:t>
            </w:r>
            <w:r w:rsidR="004E7AF2">
              <w:rPr>
                <w:rFonts w:ascii="Arial" w:hAnsi="Arial"/>
                <w:b/>
                <w:bCs/>
                <w:color w:val="000000"/>
              </w:rPr>
              <w:t>2</w:t>
            </w:r>
            <w:r>
              <w:rPr>
                <w:rFonts w:ascii="Arial" w:hAnsi="Arial"/>
                <w:b/>
                <w:bCs/>
                <w:color w:val="000000"/>
              </w:rPr>
              <w:t>/</w:t>
            </w:r>
            <w:r w:rsidR="004E7AF2">
              <w:rPr>
                <w:rFonts w:ascii="Arial" w:hAnsi="Arial"/>
                <w:b/>
                <w:bCs/>
                <w:color w:val="000000"/>
              </w:rPr>
              <w:t>01</w:t>
            </w:r>
            <w:r w:rsidR="0097313B">
              <w:rPr>
                <w:rFonts w:ascii="Arial" w:hAnsi="Arial"/>
                <w:b/>
                <w:bCs/>
                <w:color w:val="000000"/>
              </w:rPr>
              <w:t>/</w:t>
            </w:r>
            <w:r w:rsidR="00D23202">
              <w:rPr>
                <w:rFonts w:ascii="Arial" w:hAnsi="Arial"/>
                <w:b/>
                <w:bCs/>
                <w:color w:val="000000"/>
              </w:rPr>
              <w:t>0</w:t>
            </w:r>
            <w:r w:rsidR="004E7AF2">
              <w:rPr>
                <w:rFonts w:ascii="Arial" w:hAnsi="Arial"/>
                <w:b/>
                <w:bCs/>
                <w:color w:val="000000"/>
              </w:rPr>
              <w:t>7</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594DE925" w:rsidR="00640E94" w:rsidRPr="003C2890" w:rsidRDefault="003C2890">
            <w:pPr>
              <w:pStyle w:val="BodyText"/>
              <w:spacing w:before="0"/>
              <w:rPr>
                <w:rFonts w:ascii="Arial" w:hAnsi="Arial"/>
                <w:b/>
                <w:bCs/>
                <w:color w:val="000000"/>
              </w:rPr>
            </w:pPr>
            <w:r w:rsidRPr="003C2890">
              <w:rPr>
                <w:rFonts w:ascii="Arial" w:hAnsi="Arial"/>
                <w:b/>
                <w:bCs/>
                <w:color w:val="000000"/>
              </w:rPr>
              <w:t>#</w:t>
            </w:r>
            <w:r w:rsidR="00C73DB8">
              <w:rPr>
                <w:rFonts w:ascii="Arial" w:hAnsi="Arial"/>
                <w:b/>
                <w:bCs/>
                <w:color w:val="000000"/>
              </w:rPr>
              <w:t>1430</w:t>
            </w:r>
            <w:r w:rsidR="000975FB">
              <w:rPr>
                <w:rFonts w:ascii="Arial" w:hAnsi="Arial"/>
                <w:b/>
                <w:bCs/>
                <w:color w:val="000000"/>
              </w:rPr>
              <w:t xml:space="preserve"> </w:t>
            </w:r>
            <w:r w:rsidR="00C73DB8">
              <w:rPr>
                <w:rFonts w:ascii="Arial" w:hAnsi="Arial"/>
                <w:b/>
                <w:bCs/>
                <w:color w:val="000000"/>
              </w:rPr>
              <w:t>–</w:t>
            </w:r>
            <w:r w:rsidR="000975FB">
              <w:rPr>
                <w:rFonts w:ascii="Arial" w:hAnsi="Arial"/>
                <w:b/>
                <w:bCs/>
                <w:color w:val="000000"/>
              </w:rPr>
              <w:t xml:space="preserve"> </w:t>
            </w:r>
            <w:r w:rsidR="00C73DB8">
              <w:rPr>
                <w:rFonts w:ascii="Arial" w:hAnsi="Arial"/>
                <w:b/>
                <w:bCs/>
                <w:color w:val="000000"/>
              </w:rPr>
              <w:t>800 West Pender</w:t>
            </w:r>
            <w:r w:rsidRPr="003C2890">
              <w:rPr>
                <w:rFonts w:ascii="Arial" w:hAnsi="Arial"/>
                <w:b/>
                <w:bCs/>
                <w:color w:val="000000"/>
              </w:rPr>
              <w:t xml:space="preserve">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65608064"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C73DB8">
              <w:rPr>
                <w:rFonts w:ascii="Arial" w:hAnsi="Arial"/>
                <w:b/>
                <w:bCs/>
                <w:color w:val="000000"/>
              </w:rPr>
              <w:t>V6C 2V6</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154BCFD" w:rsidR="00640E94" w:rsidRDefault="00B805BB">
            <w:pPr>
              <w:pStyle w:val="BodyText"/>
              <w:spacing w:before="0"/>
              <w:rPr>
                <w:rFonts w:ascii="Arial" w:hAnsi="Arial"/>
              </w:rPr>
            </w:pPr>
            <w:r w:rsidRPr="003C2890">
              <w:rPr>
                <w:rFonts w:ascii="Arial" w:hAnsi="Arial"/>
                <w:b/>
                <w:bCs/>
                <w:color w:val="000000"/>
              </w:rPr>
              <w:t>(</w:t>
            </w:r>
            <w:r>
              <w:rPr>
                <w:rFonts w:ascii="Arial" w:hAnsi="Arial"/>
                <w:b/>
                <w:bCs/>
                <w:color w:val="000000"/>
              </w:rPr>
              <w:t>250) 218-2077</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08CD023D" w:rsidR="00640E94" w:rsidRPr="003C2890" w:rsidRDefault="00B805BB">
            <w:pPr>
              <w:pStyle w:val="BodyText"/>
              <w:spacing w:before="0"/>
              <w:rPr>
                <w:rFonts w:ascii="Arial" w:hAnsi="Arial"/>
                <w:b/>
                <w:bCs/>
                <w:color w:val="000000"/>
              </w:rPr>
            </w:pPr>
            <w:r>
              <w:rPr>
                <w:rFonts w:ascii="Arial" w:hAnsi="Arial"/>
                <w:b/>
                <w:bCs/>
                <w:color w:val="000000"/>
              </w:rPr>
              <w:t>Wes Short</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45683FB" w:rsidR="003C2890" w:rsidRDefault="005B17F5">
            <w:pPr>
              <w:pStyle w:val="BodyText"/>
              <w:spacing w:before="0"/>
              <w:rPr>
                <w:rFonts w:ascii="Arial" w:hAnsi="Arial"/>
              </w:rPr>
            </w:pPr>
            <w:r>
              <w:rPr>
                <w:rFonts w:ascii="Arial" w:hAnsi="Arial"/>
                <w:b/>
                <w:bCs/>
                <w:color w:val="000000"/>
              </w:rPr>
              <w:t xml:space="preserve">Corporate </w:t>
            </w:r>
            <w:r w:rsidR="00C73DB8">
              <w:rPr>
                <w:rFonts w:ascii="Arial" w:hAnsi="Arial"/>
                <w:b/>
                <w:bCs/>
                <w:color w:val="000000"/>
              </w:rPr>
              <w:t>Administrat</w:t>
            </w:r>
            <w:r w:rsidR="00B805BB">
              <w:rPr>
                <w:rFonts w:ascii="Arial" w:hAnsi="Arial"/>
                <w:b/>
                <w:bCs/>
                <w:color w:val="000000"/>
              </w:rPr>
              <w:t>ion</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709A9670" w:rsidR="00640E94" w:rsidRDefault="00FF6028" w:rsidP="003C2890">
            <w:pPr>
              <w:pStyle w:val="BodyText"/>
              <w:spacing w:before="0"/>
              <w:rPr>
                <w:rFonts w:ascii="Arial" w:hAnsi="Arial"/>
              </w:rPr>
            </w:pPr>
            <w:hyperlink r:id="rId9" w:history="1">
              <w:r w:rsidR="00133434" w:rsidRPr="00F46ACA">
                <w:rPr>
                  <w:rStyle w:val="Hyperlink"/>
                  <w:rFonts w:ascii="Arial" w:hAnsi="Arial"/>
                  <w:b/>
                  <w:bCs/>
                </w:rPr>
                <w:t>wes@inventacapital.ca</w:t>
              </w:r>
            </w:hyperlink>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BBE0B15"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226C" w14:textId="77777777" w:rsidR="008B66EA" w:rsidRDefault="008B66EA">
      <w:r>
        <w:separator/>
      </w:r>
    </w:p>
  </w:endnote>
  <w:endnote w:type="continuationSeparator" w:id="0">
    <w:p w14:paraId="2ED90644" w14:textId="77777777" w:rsidR="008B66EA" w:rsidRDefault="008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3BE9E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41D87CF6" w:rsidR="00640E94" w:rsidRPr="006D1A06" w:rsidRDefault="00B2228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September </w:t>
    </w:r>
    <w:r w:rsidR="008A6642">
      <w:rPr>
        <w:rStyle w:val="PageNumber"/>
        <w:rFonts w:ascii="Arial" w:hAnsi="Arial" w:cs="Arial"/>
        <w:sz w:val="16"/>
        <w:szCs w:val="16"/>
      </w:rPr>
      <w:t>2021</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DDE6A5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C81D" w14:textId="77777777" w:rsidR="008B66EA" w:rsidRDefault="008B66EA">
      <w:r>
        <w:separator/>
      </w:r>
    </w:p>
  </w:footnote>
  <w:footnote w:type="continuationSeparator" w:id="0">
    <w:p w14:paraId="002B0228" w14:textId="77777777" w:rsidR="008B66EA" w:rsidRDefault="008B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2"/>
  </w:num>
  <w:num w:numId="5">
    <w:abstractNumId w:val="3"/>
  </w:num>
  <w:num w:numId="6">
    <w:abstractNumId w:val="26"/>
  </w:num>
  <w:num w:numId="7">
    <w:abstractNumId w:val="8"/>
  </w:num>
  <w:num w:numId="8">
    <w:abstractNumId w:val="28"/>
  </w:num>
  <w:num w:numId="9">
    <w:abstractNumId w:val="22"/>
  </w:num>
  <w:num w:numId="10">
    <w:abstractNumId w:val="10"/>
  </w:num>
  <w:num w:numId="11">
    <w:abstractNumId w:val="15"/>
  </w:num>
  <w:num w:numId="12">
    <w:abstractNumId w:val="16"/>
  </w:num>
  <w:num w:numId="13">
    <w:abstractNumId w:val="30"/>
  </w:num>
  <w:num w:numId="14">
    <w:abstractNumId w:val="6"/>
  </w:num>
  <w:num w:numId="15">
    <w:abstractNumId w:val="9"/>
  </w:num>
  <w:num w:numId="16">
    <w:abstractNumId w:val="11"/>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5"/>
  </w:num>
  <w:num w:numId="24">
    <w:abstractNumId w:val="21"/>
  </w:num>
  <w:num w:numId="25">
    <w:abstractNumId w:val="4"/>
  </w:num>
  <w:num w:numId="26">
    <w:abstractNumId w:val="29"/>
  </w:num>
  <w:num w:numId="27">
    <w:abstractNumId w:val="31"/>
  </w:num>
  <w:num w:numId="28">
    <w:abstractNumId w:val="5"/>
  </w:num>
  <w:num w:numId="29">
    <w:abstractNumId w:val="14"/>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078C"/>
    <w:rsid w:val="00054D9D"/>
    <w:rsid w:val="00072640"/>
    <w:rsid w:val="00096E3D"/>
    <w:rsid w:val="000975FB"/>
    <w:rsid w:val="000A091C"/>
    <w:rsid w:val="000A1AB1"/>
    <w:rsid w:val="000A201A"/>
    <w:rsid w:val="000C242D"/>
    <w:rsid w:val="000E5706"/>
    <w:rsid w:val="00116B8B"/>
    <w:rsid w:val="00133434"/>
    <w:rsid w:val="00150B7C"/>
    <w:rsid w:val="00186226"/>
    <w:rsid w:val="001C348D"/>
    <w:rsid w:val="001D18C6"/>
    <w:rsid w:val="00200082"/>
    <w:rsid w:val="00221BCE"/>
    <w:rsid w:val="0023566E"/>
    <w:rsid w:val="00275D53"/>
    <w:rsid w:val="002B06BF"/>
    <w:rsid w:val="002B1183"/>
    <w:rsid w:val="002C281E"/>
    <w:rsid w:val="002D1CE1"/>
    <w:rsid w:val="002F00EB"/>
    <w:rsid w:val="002F1910"/>
    <w:rsid w:val="002F772B"/>
    <w:rsid w:val="00312574"/>
    <w:rsid w:val="0032758F"/>
    <w:rsid w:val="00340DF7"/>
    <w:rsid w:val="00343CC8"/>
    <w:rsid w:val="00360190"/>
    <w:rsid w:val="003669A9"/>
    <w:rsid w:val="00371A64"/>
    <w:rsid w:val="00387FA8"/>
    <w:rsid w:val="003C2890"/>
    <w:rsid w:val="003D4F8C"/>
    <w:rsid w:val="00403E85"/>
    <w:rsid w:val="00422278"/>
    <w:rsid w:val="00466CB9"/>
    <w:rsid w:val="00470D5E"/>
    <w:rsid w:val="00473AA7"/>
    <w:rsid w:val="00487A9B"/>
    <w:rsid w:val="004E332A"/>
    <w:rsid w:val="004E7AF2"/>
    <w:rsid w:val="004F4E56"/>
    <w:rsid w:val="00512A82"/>
    <w:rsid w:val="00527306"/>
    <w:rsid w:val="005408BD"/>
    <w:rsid w:val="005453C8"/>
    <w:rsid w:val="00564F01"/>
    <w:rsid w:val="005A51DF"/>
    <w:rsid w:val="005B17F5"/>
    <w:rsid w:val="005B1EBB"/>
    <w:rsid w:val="005B2DD6"/>
    <w:rsid w:val="005F6D8F"/>
    <w:rsid w:val="00620E7F"/>
    <w:rsid w:val="00626E43"/>
    <w:rsid w:val="00630525"/>
    <w:rsid w:val="00633ED3"/>
    <w:rsid w:val="00635E9A"/>
    <w:rsid w:val="00636D6C"/>
    <w:rsid w:val="00640E94"/>
    <w:rsid w:val="00661843"/>
    <w:rsid w:val="006620AE"/>
    <w:rsid w:val="00681E52"/>
    <w:rsid w:val="006877E1"/>
    <w:rsid w:val="006A5E46"/>
    <w:rsid w:val="006B3B0F"/>
    <w:rsid w:val="006B45A9"/>
    <w:rsid w:val="006B7CC9"/>
    <w:rsid w:val="006C6ADD"/>
    <w:rsid w:val="006D1A06"/>
    <w:rsid w:val="006D677F"/>
    <w:rsid w:val="006E1DCD"/>
    <w:rsid w:val="006F34FA"/>
    <w:rsid w:val="006F6FEF"/>
    <w:rsid w:val="007005BA"/>
    <w:rsid w:val="00710942"/>
    <w:rsid w:val="0076262E"/>
    <w:rsid w:val="00773AE9"/>
    <w:rsid w:val="007861E7"/>
    <w:rsid w:val="007A5131"/>
    <w:rsid w:val="007D1442"/>
    <w:rsid w:val="007F1E88"/>
    <w:rsid w:val="0082181B"/>
    <w:rsid w:val="00893C01"/>
    <w:rsid w:val="008A3E5E"/>
    <w:rsid w:val="008A6642"/>
    <w:rsid w:val="008B66EA"/>
    <w:rsid w:val="008B7E92"/>
    <w:rsid w:val="008E3A38"/>
    <w:rsid w:val="009049F6"/>
    <w:rsid w:val="00922A46"/>
    <w:rsid w:val="00952B20"/>
    <w:rsid w:val="00956A6F"/>
    <w:rsid w:val="00970D79"/>
    <w:rsid w:val="0097313B"/>
    <w:rsid w:val="00984AA6"/>
    <w:rsid w:val="00992111"/>
    <w:rsid w:val="009D292E"/>
    <w:rsid w:val="009D3404"/>
    <w:rsid w:val="00A00EEB"/>
    <w:rsid w:val="00A110C9"/>
    <w:rsid w:val="00A25CBE"/>
    <w:rsid w:val="00A36A30"/>
    <w:rsid w:val="00A41F33"/>
    <w:rsid w:val="00A47914"/>
    <w:rsid w:val="00A74111"/>
    <w:rsid w:val="00A90505"/>
    <w:rsid w:val="00AA24BE"/>
    <w:rsid w:val="00AC6BAB"/>
    <w:rsid w:val="00AE4B2B"/>
    <w:rsid w:val="00AF1651"/>
    <w:rsid w:val="00B030CB"/>
    <w:rsid w:val="00B03660"/>
    <w:rsid w:val="00B12E78"/>
    <w:rsid w:val="00B22288"/>
    <w:rsid w:val="00B22A3C"/>
    <w:rsid w:val="00B32160"/>
    <w:rsid w:val="00B4005D"/>
    <w:rsid w:val="00B60AFB"/>
    <w:rsid w:val="00B73B6B"/>
    <w:rsid w:val="00B805BB"/>
    <w:rsid w:val="00B900E3"/>
    <w:rsid w:val="00BA7426"/>
    <w:rsid w:val="00BE39F8"/>
    <w:rsid w:val="00BF61CB"/>
    <w:rsid w:val="00C14C33"/>
    <w:rsid w:val="00C21922"/>
    <w:rsid w:val="00C23311"/>
    <w:rsid w:val="00C27A18"/>
    <w:rsid w:val="00C370C2"/>
    <w:rsid w:val="00C6383E"/>
    <w:rsid w:val="00C73DB8"/>
    <w:rsid w:val="00C922D1"/>
    <w:rsid w:val="00CD6DF2"/>
    <w:rsid w:val="00CE2E99"/>
    <w:rsid w:val="00CF5CD7"/>
    <w:rsid w:val="00D23202"/>
    <w:rsid w:val="00D62A50"/>
    <w:rsid w:val="00D6532D"/>
    <w:rsid w:val="00D8338F"/>
    <w:rsid w:val="00D857F1"/>
    <w:rsid w:val="00D943CB"/>
    <w:rsid w:val="00DC14B4"/>
    <w:rsid w:val="00DD123F"/>
    <w:rsid w:val="00E051C5"/>
    <w:rsid w:val="00E052E3"/>
    <w:rsid w:val="00E36141"/>
    <w:rsid w:val="00E74F24"/>
    <w:rsid w:val="00E77638"/>
    <w:rsid w:val="00E77EB7"/>
    <w:rsid w:val="00E83E58"/>
    <w:rsid w:val="00EA44C0"/>
    <w:rsid w:val="00F52DCF"/>
    <w:rsid w:val="00F55B84"/>
    <w:rsid w:val="00F714F9"/>
    <w:rsid w:val="00F728CC"/>
    <w:rsid w:val="00FA34B7"/>
    <w:rsid w:val="00FC497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s@inventacapital.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916</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3</cp:revision>
  <cp:lastPrinted>2019-11-01T18:01:00Z</cp:lastPrinted>
  <dcterms:created xsi:type="dcterms:W3CDTF">2022-01-07T23:16:00Z</dcterms:created>
  <dcterms:modified xsi:type="dcterms:W3CDTF">2022-01-13T19:48:00Z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