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5"/>
      </w:tblGrid>
      <w:tr w:rsidR="0086279A" w14:paraId="49FA27EF" w14:textId="77777777" w:rsidTr="5F8D861A">
        <w:trPr>
          <w:trHeight w:val="2098"/>
        </w:trPr>
        <w:tc>
          <w:tcPr>
            <w:tcW w:w="4924" w:type="dxa"/>
            <w:tcBorders>
              <w:left w:val="nil"/>
              <w:bottom w:val="nil"/>
              <w:right w:val="nil"/>
            </w:tcBorders>
            <w:shd w:val="clear" w:color="auto" w:fill="auto"/>
          </w:tcPr>
          <w:p w14:paraId="45D44FDD" w14:textId="0AE9F38D" w:rsidR="0086279A" w:rsidRDefault="0086279A" w:rsidP="008C3747">
            <w:pPr>
              <w:pStyle w:val="Heading2"/>
            </w:pPr>
            <w:bookmarkStart w:id="0" w:name="DocsID"/>
            <w:bookmarkStart w:id="1" w:name="_GoBack"/>
            <w:bookmarkEnd w:id="0"/>
            <w:bookmarkEnd w:id="1"/>
            <w:r w:rsidRPr="00D66BD2">
              <w:rPr>
                <w:noProof/>
                <w:shd w:val="clear" w:color="auto" w:fill="FFFFFF"/>
                <w:lang w:val="en-CA" w:eastAsia="en-CA"/>
              </w:rPr>
              <w:drawing>
                <wp:inline distT="0" distB="0" distL="0" distR="0" wp14:anchorId="12CDCD89" wp14:editId="7C52AA6D">
                  <wp:extent cx="2295525" cy="1009650"/>
                  <wp:effectExtent l="19050" t="0" r="9525" b="0"/>
                  <wp:docPr id="1" name="Picture 1" descr="appialogo_RGB_energy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ppialogo_RGB_energy_tag"/>
                          <pic:cNvPicPr preferRelativeResize="0">
                            <a:picLocks noChangeArrowheads="1"/>
                          </pic:cNvPicPr>
                        </pic:nvPicPr>
                        <pic:blipFill>
                          <a:blip r:embed="rId8"/>
                          <a:srcRect/>
                          <a:stretch>
                            <a:fillRect/>
                          </a:stretch>
                        </pic:blipFill>
                        <pic:spPr bwMode="auto">
                          <a:xfrm>
                            <a:off x="0" y="0"/>
                            <a:ext cx="2295525" cy="1009650"/>
                          </a:xfrm>
                          <a:prstGeom prst="rect">
                            <a:avLst/>
                          </a:prstGeom>
                          <a:noFill/>
                          <a:ln w="9525">
                            <a:noFill/>
                            <a:miter lim="800000"/>
                            <a:headEnd/>
                            <a:tailEnd/>
                          </a:ln>
                        </pic:spPr>
                      </pic:pic>
                    </a:graphicData>
                  </a:graphic>
                </wp:inline>
              </w:drawing>
            </w:r>
          </w:p>
        </w:tc>
        <w:tc>
          <w:tcPr>
            <w:tcW w:w="4925" w:type="dxa"/>
            <w:tcBorders>
              <w:left w:val="nil"/>
              <w:bottom w:val="nil"/>
              <w:right w:val="nil"/>
            </w:tcBorders>
            <w:shd w:val="clear" w:color="auto" w:fill="auto"/>
          </w:tcPr>
          <w:p w14:paraId="0762DDBB" w14:textId="77777777" w:rsidR="0086279A" w:rsidRPr="00840B31" w:rsidRDefault="0086279A" w:rsidP="003A4D36">
            <w:pPr>
              <w:jc w:val="right"/>
              <w:rPr>
                <w:sz w:val="20"/>
                <w:szCs w:val="20"/>
              </w:rPr>
            </w:pPr>
          </w:p>
          <w:p w14:paraId="3E1F4FDF" w14:textId="77777777" w:rsidR="0086279A" w:rsidRPr="00840B31" w:rsidRDefault="000E7A05" w:rsidP="003A4D36">
            <w:pPr>
              <w:jc w:val="right"/>
              <w:rPr>
                <w:sz w:val="20"/>
                <w:szCs w:val="20"/>
              </w:rPr>
            </w:pPr>
            <w:r>
              <w:rPr>
                <w:sz w:val="20"/>
                <w:szCs w:val="20"/>
              </w:rPr>
              <w:t>500-</w:t>
            </w:r>
            <w:r w:rsidR="0086279A" w:rsidRPr="00840B31">
              <w:rPr>
                <w:sz w:val="20"/>
                <w:szCs w:val="20"/>
              </w:rPr>
              <w:t>2</w:t>
            </w:r>
            <w:r>
              <w:rPr>
                <w:sz w:val="20"/>
                <w:szCs w:val="20"/>
              </w:rPr>
              <w:t xml:space="preserve"> Toronto St.</w:t>
            </w:r>
            <w:r w:rsidR="0086279A" w:rsidRPr="00840B31">
              <w:rPr>
                <w:sz w:val="20"/>
                <w:szCs w:val="20"/>
              </w:rPr>
              <w:t xml:space="preserve"> </w:t>
            </w:r>
          </w:p>
          <w:p w14:paraId="5F8A58A4" w14:textId="77777777" w:rsidR="000E7A05" w:rsidRDefault="0086279A" w:rsidP="003A4D36">
            <w:pPr>
              <w:jc w:val="right"/>
              <w:rPr>
                <w:sz w:val="20"/>
                <w:szCs w:val="20"/>
              </w:rPr>
            </w:pPr>
            <w:r w:rsidRPr="00840B31">
              <w:rPr>
                <w:sz w:val="20"/>
                <w:szCs w:val="20"/>
              </w:rPr>
              <w:t xml:space="preserve">Toronto, ON  </w:t>
            </w:r>
          </w:p>
          <w:p w14:paraId="6AD9E90B" w14:textId="77777777" w:rsidR="0086279A" w:rsidRPr="00840B31" w:rsidRDefault="0086279A" w:rsidP="003A4D36">
            <w:pPr>
              <w:jc w:val="right"/>
              <w:rPr>
                <w:sz w:val="20"/>
                <w:szCs w:val="20"/>
              </w:rPr>
            </w:pPr>
            <w:r w:rsidRPr="00840B31">
              <w:rPr>
                <w:sz w:val="20"/>
                <w:szCs w:val="20"/>
              </w:rPr>
              <w:t xml:space="preserve"> M5C </w:t>
            </w:r>
            <w:r w:rsidR="000E7A05">
              <w:rPr>
                <w:sz w:val="20"/>
                <w:szCs w:val="20"/>
              </w:rPr>
              <w:t>2B6</w:t>
            </w:r>
          </w:p>
          <w:p w14:paraId="76FF1A59" w14:textId="77777777" w:rsidR="0086279A" w:rsidRPr="00840B31" w:rsidRDefault="0086279A" w:rsidP="003A4D36">
            <w:pPr>
              <w:jc w:val="right"/>
              <w:rPr>
                <w:sz w:val="20"/>
                <w:szCs w:val="20"/>
              </w:rPr>
            </w:pPr>
            <w:r w:rsidRPr="00840B31">
              <w:rPr>
                <w:sz w:val="20"/>
                <w:szCs w:val="20"/>
              </w:rPr>
              <w:t>PH;  416 876-3957</w:t>
            </w:r>
          </w:p>
          <w:p w14:paraId="4C137967" w14:textId="77777777" w:rsidR="0086279A" w:rsidRPr="00840B31" w:rsidRDefault="0086279A" w:rsidP="003A4D36">
            <w:pPr>
              <w:jc w:val="right"/>
              <w:rPr>
                <w:sz w:val="20"/>
                <w:szCs w:val="20"/>
              </w:rPr>
            </w:pPr>
            <w:r w:rsidRPr="00840B31">
              <w:rPr>
                <w:sz w:val="20"/>
                <w:szCs w:val="20"/>
              </w:rPr>
              <w:t>FAX:  416 218-9772</w:t>
            </w:r>
          </w:p>
          <w:p w14:paraId="6B65BD72" w14:textId="77777777" w:rsidR="0086279A" w:rsidRPr="00840B31" w:rsidRDefault="0086279A" w:rsidP="003A4D36">
            <w:pPr>
              <w:jc w:val="right"/>
              <w:rPr>
                <w:sz w:val="20"/>
                <w:szCs w:val="20"/>
              </w:rPr>
            </w:pPr>
            <w:r w:rsidRPr="00840B31">
              <w:rPr>
                <w:sz w:val="20"/>
                <w:szCs w:val="20"/>
              </w:rPr>
              <w:t>Email:  appia@appiaenergy.ca</w:t>
            </w:r>
          </w:p>
          <w:p w14:paraId="4E85E23B" w14:textId="77777777" w:rsidR="0086279A" w:rsidRDefault="0086279A" w:rsidP="003A4D36"/>
        </w:tc>
      </w:tr>
    </w:tbl>
    <w:p w14:paraId="0CC49F17" w14:textId="5984B360" w:rsidR="007050A3" w:rsidRDefault="007050A3" w:rsidP="005D43D9">
      <w:pPr>
        <w:rPr>
          <w:rFonts w:ascii="Arial" w:hAnsi="Arial" w:cs="Arial"/>
          <w:sz w:val="24"/>
          <w:szCs w:val="24"/>
        </w:rPr>
      </w:pPr>
    </w:p>
    <w:p w14:paraId="05A255AE" w14:textId="77777777" w:rsidR="0086279A" w:rsidRPr="000E7A05" w:rsidRDefault="5F8D861A" w:rsidP="000E7A05">
      <w:pPr>
        <w:autoSpaceDE w:val="0"/>
        <w:spacing w:after="295" w:line="276" w:lineRule="atLeast"/>
        <w:jc w:val="center"/>
        <w:rPr>
          <w:rFonts w:ascii="Arial" w:hAnsi="Arial" w:cs="Arial"/>
          <w:b/>
          <w:bCs/>
          <w:color w:val="FF0000"/>
          <w:sz w:val="40"/>
          <w:szCs w:val="40"/>
        </w:rPr>
      </w:pPr>
      <w:r w:rsidRPr="5F8D861A">
        <w:rPr>
          <w:rFonts w:ascii="Arial" w:eastAsia="Arial" w:hAnsi="Arial" w:cs="Arial"/>
          <w:b/>
          <w:bCs/>
        </w:rPr>
        <w:t>NEWS RELEASE</w:t>
      </w:r>
    </w:p>
    <w:p w14:paraId="29A02F81" w14:textId="5DDEA427" w:rsidR="000E7A05" w:rsidRDefault="5F8D861A" w:rsidP="5F8D861A">
      <w:pPr>
        <w:jc w:val="center"/>
        <w:rPr>
          <w:rFonts w:ascii="Arial" w:eastAsia="Arial" w:hAnsi="Arial" w:cs="Arial"/>
          <w:b/>
          <w:bCs/>
          <w:u w:val="single"/>
        </w:rPr>
      </w:pPr>
      <w:r w:rsidRPr="5F8D861A">
        <w:rPr>
          <w:rFonts w:ascii="Arial" w:eastAsia="Arial" w:hAnsi="Arial" w:cs="Arial"/>
          <w:b/>
          <w:bCs/>
          <w:u w:val="single"/>
        </w:rPr>
        <w:t xml:space="preserve">APPIA </w:t>
      </w:r>
      <w:r w:rsidR="007D3826" w:rsidRPr="007D3826">
        <w:rPr>
          <w:rFonts w:ascii="Arial" w:eastAsia="Arial" w:hAnsi="Arial" w:cs="Arial"/>
          <w:b/>
          <w:bCs/>
          <w:u w:val="single"/>
        </w:rPr>
        <w:t>ANNOUNCES NON-BROKERED OFFERING</w:t>
      </w:r>
    </w:p>
    <w:p w14:paraId="41DE28C9" w14:textId="77777777" w:rsidR="00FC60D8" w:rsidRDefault="00FC60D8" w:rsidP="5F8D861A">
      <w:pPr>
        <w:jc w:val="center"/>
        <w:rPr>
          <w:rFonts w:ascii="Arial" w:hAnsi="Arial" w:cs="Arial"/>
          <w:b/>
          <w:sz w:val="24"/>
          <w:szCs w:val="24"/>
        </w:rPr>
      </w:pPr>
    </w:p>
    <w:p w14:paraId="41D7CCC7" w14:textId="6E949537" w:rsidR="002E4A22" w:rsidRDefault="5F8D861A" w:rsidP="20421EB0">
      <w:pPr>
        <w:jc w:val="both"/>
        <w:rPr>
          <w:rFonts w:ascii="Arial" w:eastAsia="-webkit-standard" w:hAnsi="Arial" w:cs="Arial"/>
        </w:rPr>
      </w:pPr>
      <w:r w:rsidRPr="005D43D9">
        <w:rPr>
          <w:rFonts w:ascii="Arial" w:eastAsia="Arial" w:hAnsi="Arial" w:cs="Arial"/>
          <w:b/>
          <w:bCs/>
        </w:rPr>
        <w:t xml:space="preserve">Toronto, Ontario, </w:t>
      </w:r>
      <w:r w:rsidR="007D3826">
        <w:rPr>
          <w:rFonts w:ascii="Arial" w:eastAsia="Arial" w:hAnsi="Arial" w:cs="Arial"/>
          <w:b/>
          <w:bCs/>
        </w:rPr>
        <w:t>June</w:t>
      </w:r>
      <w:r w:rsidRPr="005D43D9">
        <w:rPr>
          <w:rFonts w:ascii="Arial" w:eastAsia="Arial" w:hAnsi="Arial" w:cs="Arial"/>
          <w:b/>
          <w:bCs/>
        </w:rPr>
        <w:t xml:space="preserve"> </w:t>
      </w:r>
      <w:r w:rsidR="005D43D9" w:rsidRPr="005D43D9">
        <w:rPr>
          <w:rFonts w:ascii="Arial" w:eastAsia="Arial" w:hAnsi="Arial" w:cs="Arial"/>
          <w:b/>
          <w:bCs/>
        </w:rPr>
        <w:t>1</w:t>
      </w:r>
      <w:r w:rsidR="00911051">
        <w:rPr>
          <w:rFonts w:ascii="Arial" w:eastAsia="Arial" w:hAnsi="Arial" w:cs="Arial"/>
          <w:b/>
          <w:bCs/>
        </w:rPr>
        <w:t>5</w:t>
      </w:r>
      <w:r w:rsidRPr="005D43D9">
        <w:rPr>
          <w:rFonts w:ascii="Arial" w:eastAsia="Arial" w:hAnsi="Arial" w:cs="Arial"/>
          <w:b/>
          <w:bCs/>
        </w:rPr>
        <w:t xml:space="preserve">, 2016 - </w:t>
      </w:r>
      <w:proofErr w:type="spellStart"/>
      <w:r w:rsidRPr="005D43D9">
        <w:rPr>
          <w:rFonts w:ascii="Arial" w:eastAsia="Arial" w:hAnsi="Arial" w:cs="Arial"/>
          <w:b/>
          <w:bCs/>
        </w:rPr>
        <w:t>Appia</w:t>
      </w:r>
      <w:proofErr w:type="spellEnd"/>
      <w:r w:rsidRPr="005D43D9">
        <w:rPr>
          <w:rFonts w:ascii="Arial" w:eastAsia="Arial" w:hAnsi="Arial" w:cs="Arial"/>
          <w:b/>
          <w:bCs/>
        </w:rPr>
        <w:t xml:space="preserve"> Energy Corp. </w:t>
      </w:r>
      <w:r w:rsidRPr="005D43D9">
        <w:rPr>
          <w:rFonts w:ascii="Arial" w:eastAsia="Arial" w:hAnsi="Arial" w:cs="Arial"/>
        </w:rPr>
        <w:t>(the “</w:t>
      </w:r>
      <w:r w:rsidRPr="005D43D9">
        <w:rPr>
          <w:rFonts w:ascii="Arial" w:eastAsia="Arial" w:hAnsi="Arial" w:cs="Arial"/>
          <w:b/>
          <w:bCs/>
        </w:rPr>
        <w:t>Company</w:t>
      </w:r>
      <w:r w:rsidRPr="005D43D9">
        <w:rPr>
          <w:rFonts w:ascii="Arial" w:eastAsia="Arial" w:hAnsi="Arial" w:cs="Arial"/>
        </w:rPr>
        <w:t>” or “</w:t>
      </w:r>
      <w:proofErr w:type="spellStart"/>
      <w:r w:rsidRPr="005D43D9">
        <w:rPr>
          <w:rFonts w:ascii="Arial" w:eastAsia="Arial" w:hAnsi="Arial" w:cs="Arial"/>
          <w:b/>
          <w:bCs/>
        </w:rPr>
        <w:t>Appia</w:t>
      </w:r>
      <w:proofErr w:type="spellEnd"/>
      <w:r w:rsidRPr="005D43D9">
        <w:rPr>
          <w:rFonts w:ascii="Arial" w:eastAsia="Arial" w:hAnsi="Arial" w:cs="Arial"/>
        </w:rPr>
        <w:t xml:space="preserve">”) </w:t>
      </w:r>
      <w:r w:rsidRPr="005D43D9">
        <w:rPr>
          <w:rFonts w:ascii="Arial" w:eastAsia="Arial" w:hAnsi="Arial" w:cs="Arial"/>
          <w:b/>
          <w:bCs/>
        </w:rPr>
        <w:t>(CSE:API)</w:t>
      </w:r>
      <w:r w:rsidRPr="005D43D9">
        <w:rPr>
          <w:rFonts w:ascii="Arial" w:eastAsia="Arial" w:hAnsi="Arial" w:cs="Arial"/>
        </w:rPr>
        <w:t xml:space="preserve"> is pleased to announce </w:t>
      </w:r>
      <w:r w:rsidR="007D3826">
        <w:rPr>
          <w:rFonts w:ascii="Arial" w:eastAsia="Arial" w:hAnsi="Arial" w:cs="Arial"/>
        </w:rPr>
        <w:t xml:space="preserve">that </w:t>
      </w:r>
      <w:r w:rsidRPr="005D43D9">
        <w:rPr>
          <w:rFonts w:ascii="Arial" w:eastAsia="-webkit-standard" w:hAnsi="Arial" w:cs="Arial"/>
        </w:rPr>
        <w:t xml:space="preserve">the </w:t>
      </w:r>
      <w:r w:rsidR="009A2DC1">
        <w:rPr>
          <w:rFonts w:ascii="Arial" w:eastAsia="-webkit-standard" w:hAnsi="Arial" w:cs="Arial"/>
        </w:rPr>
        <w:t>Company is o</w:t>
      </w:r>
      <w:r w:rsidR="007D3826" w:rsidRPr="007D3826">
        <w:rPr>
          <w:rFonts w:ascii="Arial" w:eastAsia="-webkit-standard" w:hAnsi="Arial" w:cs="Arial"/>
        </w:rPr>
        <w:t xml:space="preserve">ffering up to a up to </w:t>
      </w:r>
      <w:r w:rsidR="007D3826">
        <w:rPr>
          <w:rFonts w:ascii="Arial" w:eastAsia="-webkit-standard" w:hAnsi="Arial" w:cs="Arial"/>
        </w:rPr>
        <w:t>5,0</w:t>
      </w:r>
      <w:r w:rsidR="007D3826" w:rsidRPr="007D3826">
        <w:rPr>
          <w:rFonts w:ascii="Arial" w:eastAsia="-webkit-standard" w:hAnsi="Arial" w:cs="Arial"/>
        </w:rPr>
        <w:t>00,000 working capital units (the “</w:t>
      </w:r>
      <w:r w:rsidR="007D3826" w:rsidRPr="007D3826">
        <w:rPr>
          <w:rFonts w:ascii="Arial" w:eastAsia="-webkit-standard" w:hAnsi="Arial" w:cs="Arial"/>
          <w:b/>
        </w:rPr>
        <w:t>WC Units</w:t>
      </w:r>
      <w:r w:rsidR="007D3826" w:rsidRPr="007D3826">
        <w:rPr>
          <w:rFonts w:ascii="Arial" w:eastAsia="-webkit-standard" w:hAnsi="Arial" w:cs="Arial"/>
        </w:rPr>
        <w:t>”) of the Company at a price of $0.</w:t>
      </w:r>
      <w:r w:rsidR="007D3826">
        <w:rPr>
          <w:rFonts w:ascii="Arial" w:eastAsia="-webkit-standard" w:hAnsi="Arial" w:cs="Arial"/>
        </w:rPr>
        <w:t>20</w:t>
      </w:r>
      <w:r w:rsidR="007D3826" w:rsidRPr="007D3826">
        <w:rPr>
          <w:rFonts w:ascii="Arial" w:eastAsia="-webkit-standard" w:hAnsi="Arial" w:cs="Arial"/>
        </w:rPr>
        <w:t xml:space="preserve"> per WC Unit for up to $</w:t>
      </w:r>
      <w:r w:rsidR="007D3826">
        <w:rPr>
          <w:rFonts w:ascii="Arial" w:eastAsia="-webkit-standard" w:hAnsi="Arial" w:cs="Arial"/>
        </w:rPr>
        <w:t>1,000</w:t>
      </w:r>
      <w:r w:rsidR="007D3826" w:rsidRPr="007D3826">
        <w:rPr>
          <w:rFonts w:ascii="Arial" w:eastAsia="-webkit-standard" w:hAnsi="Arial" w:cs="Arial"/>
        </w:rPr>
        <w:t xml:space="preserve">,000 </w:t>
      </w:r>
      <w:r w:rsidR="007D3826">
        <w:rPr>
          <w:rFonts w:ascii="Arial" w:eastAsia="-webkit-standard" w:hAnsi="Arial" w:cs="Arial"/>
        </w:rPr>
        <w:t>and up to 5,000,000 flow-through units (the “</w:t>
      </w:r>
      <w:r w:rsidR="007D3826" w:rsidRPr="009A2DC1">
        <w:rPr>
          <w:rFonts w:ascii="Arial" w:eastAsia="-webkit-standard" w:hAnsi="Arial" w:cs="Arial"/>
          <w:b/>
        </w:rPr>
        <w:t>FT Units</w:t>
      </w:r>
      <w:r w:rsidR="007D3826">
        <w:rPr>
          <w:rFonts w:ascii="Arial" w:eastAsia="-webkit-standard" w:hAnsi="Arial" w:cs="Arial"/>
        </w:rPr>
        <w:t xml:space="preserve">”) of the Company at a price of $0.20 per FT Unit for up to $1,000,000 </w:t>
      </w:r>
      <w:r w:rsidR="007D3826" w:rsidRPr="007D3826">
        <w:rPr>
          <w:rFonts w:ascii="Arial" w:eastAsia="-webkit-standard" w:hAnsi="Arial" w:cs="Arial"/>
        </w:rPr>
        <w:t>(collectively, the “</w:t>
      </w:r>
      <w:r w:rsidR="007D3826" w:rsidRPr="007D3826">
        <w:rPr>
          <w:rFonts w:ascii="Arial" w:eastAsia="-webkit-standard" w:hAnsi="Arial" w:cs="Arial"/>
          <w:b/>
        </w:rPr>
        <w:t>Offering</w:t>
      </w:r>
      <w:r w:rsidR="007D3826" w:rsidRPr="007D3826">
        <w:rPr>
          <w:rFonts w:ascii="Arial" w:eastAsia="-webkit-standard" w:hAnsi="Arial" w:cs="Arial"/>
        </w:rPr>
        <w:t>”).</w:t>
      </w:r>
    </w:p>
    <w:p w14:paraId="0A7D0AB6" w14:textId="77777777" w:rsidR="00407068" w:rsidRDefault="00407068" w:rsidP="20421EB0">
      <w:pPr>
        <w:jc w:val="both"/>
        <w:rPr>
          <w:rFonts w:ascii="Arial" w:eastAsia="-webkit-standard" w:hAnsi="Arial" w:cs="Arial"/>
        </w:rPr>
      </w:pPr>
    </w:p>
    <w:p w14:paraId="7A109E96" w14:textId="47055A90" w:rsidR="00407068" w:rsidRPr="005D43D9" w:rsidRDefault="00407068" w:rsidP="20421EB0">
      <w:pPr>
        <w:jc w:val="both"/>
        <w:rPr>
          <w:rFonts w:ascii="Arial" w:eastAsia="-webkit-standard" w:hAnsi="Arial" w:cs="Arial"/>
        </w:rPr>
      </w:pPr>
      <w:r>
        <w:rPr>
          <w:rFonts w:ascii="Arial" w:eastAsia="-webkit-standard" w:hAnsi="Arial" w:cs="Arial"/>
        </w:rPr>
        <w:t xml:space="preserve">The funds will be used to </w:t>
      </w:r>
      <w:r w:rsidR="009B4D22">
        <w:rPr>
          <w:rFonts w:ascii="Arial" w:eastAsia="-webkit-standard" w:hAnsi="Arial" w:cs="Arial"/>
        </w:rPr>
        <w:t>explore</w:t>
      </w:r>
      <w:r>
        <w:rPr>
          <w:rFonts w:ascii="Arial" w:eastAsia="-webkit-standard" w:hAnsi="Arial" w:cs="Arial"/>
        </w:rPr>
        <w:t xml:space="preserve"> the recently acquired </w:t>
      </w:r>
      <w:proofErr w:type="spellStart"/>
      <w:r>
        <w:rPr>
          <w:rFonts w:ascii="Arial" w:eastAsia="-webkit-standard" w:hAnsi="Arial" w:cs="Arial"/>
        </w:rPr>
        <w:t>Otherside</w:t>
      </w:r>
      <w:proofErr w:type="spellEnd"/>
      <w:r>
        <w:rPr>
          <w:rFonts w:ascii="Arial" w:eastAsia="-webkit-standard" w:hAnsi="Arial" w:cs="Arial"/>
        </w:rPr>
        <w:t xml:space="preserve"> and </w:t>
      </w:r>
      <w:proofErr w:type="spellStart"/>
      <w:r>
        <w:rPr>
          <w:rFonts w:ascii="Arial" w:eastAsia="-webkit-standard" w:hAnsi="Arial" w:cs="Arial"/>
        </w:rPr>
        <w:t>Loranger</w:t>
      </w:r>
      <w:proofErr w:type="spellEnd"/>
      <w:r>
        <w:rPr>
          <w:rFonts w:ascii="Arial" w:eastAsia="-webkit-standard" w:hAnsi="Arial" w:cs="Arial"/>
        </w:rPr>
        <w:t xml:space="preserve"> properties (see Press Release dated April 26, 2016) to the drilling stage and for working capital.</w:t>
      </w:r>
    </w:p>
    <w:p w14:paraId="6D6FAB04" w14:textId="77777777" w:rsidR="00FC60D8" w:rsidRPr="005D43D9" w:rsidRDefault="00FC60D8" w:rsidP="20421EB0">
      <w:pPr>
        <w:jc w:val="both"/>
        <w:rPr>
          <w:rFonts w:ascii="Arial" w:hAnsi="Arial" w:cs="Arial"/>
        </w:rPr>
      </w:pPr>
    </w:p>
    <w:p w14:paraId="7FC82BCB" w14:textId="62979286" w:rsidR="007D3826" w:rsidRPr="007D3826" w:rsidRDefault="007D3826" w:rsidP="007D3826">
      <w:pPr>
        <w:jc w:val="both"/>
        <w:rPr>
          <w:rFonts w:ascii="Arial" w:eastAsia="-webkit-standard" w:hAnsi="Arial" w:cs="Arial"/>
        </w:rPr>
      </w:pPr>
      <w:r w:rsidRPr="007D3826">
        <w:rPr>
          <w:rFonts w:ascii="Arial" w:eastAsia="-webkit-standard" w:hAnsi="Arial" w:cs="Arial"/>
        </w:rPr>
        <w:t>Each WC Unit is priced at $0.</w:t>
      </w:r>
      <w:r>
        <w:rPr>
          <w:rFonts w:ascii="Arial" w:eastAsia="-webkit-standard" w:hAnsi="Arial" w:cs="Arial"/>
        </w:rPr>
        <w:t>20</w:t>
      </w:r>
      <w:r w:rsidRPr="007D3826">
        <w:rPr>
          <w:rFonts w:ascii="Arial" w:eastAsia="-webkit-standard" w:hAnsi="Arial" w:cs="Arial"/>
        </w:rPr>
        <w:t xml:space="preserve"> and consists of one (1) common share and one (1) common share purchase warrant (a “</w:t>
      </w:r>
      <w:r w:rsidRPr="007D3826">
        <w:rPr>
          <w:rFonts w:ascii="Arial" w:eastAsia="-webkit-standard" w:hAnsi="Arial" w:cs="Arial"/>
          <w:b/>
        </w:rPr>
        <w:t>WC Warrant</w:t>
      </w:r>
      <w:r w:rsidRPr="007D3826">
        <w:rPr>
          <w:rFonts w:ascii="Arial" w:eastAsia="-webkit-standard" w:hAnsi="Arial" w:cs="Arial"/>
        </w:rPr>
        <w:t>”).  Each WC Warrant entitles the holder to purchase one (1) common share (a “</w:t>
      </w:r>
      <w:r w:rsidRPr="007D3826">
        <w:rPr>
          <w:rFonts w:ascii="Arial" w:eastAsia="-webkit-standard" w:hAnsi="Arial" w:cs="Arial"/>
          <w:b/>
        </w:rPr>
        <w:t>WC Warrant Share</w:t>
      </w:r>
      <w:r w:rsidRPr="007D3826">
        <w:rPr>
          <w:rFonts w:ascii="Arial" w:eastAsia="-webkit-standard" w:hAnsi="Arial" w:cs="Arial"/>
        </w:rPr>
        <w:t xml:space="preserve">”) </w:t>
      </w:r>
      <w:r w:rsidR="009A2DC1">
        <w:rPr>
          <w:rFonts w:ascii="Arial" w:eastAsia="-webkit-standard" w:hAnsi="Arial" w:cs="Arial"/>
        </w:rPr>
        <w:t>at a price of $0.30</w:t>
      </w:r>
      <w:r w:rsidR="009A2DC1" w:rsidRPr="007D3826">
        <w:rPr>
          <w:rFonts w:ascii="Arial" w:eastAsia="-webkit-standard" w:hAnsi="Arial" w:cs="Arial"/>
        </w:rPr>
        <w:t xml:space="preserve"> per WC Warrant Share </w:t>
      </w:r>
      <w:r w:rsidRPr="007D3826">
        <w:rPr>
          <w:rFonts w:ascii="Arial" w:eastAsia="-webkit-standard" w:hAnsi="Arial" w:cs="Arial"/>
        </w:rPr>
        <w:t>exercisable</w:t>
      </w:r>
      <w:r w:rsidR="00A03ED0">
        <w:rPr>
          <w:rFonts w:ascii="Arial" w:eastAsia="-webkit-standard" w:hAnsi="Arial" w:cs="Arial"/>
        </w:rPr>
        <w:t xml:space="preserve"> until the earlier </w:t>
      </w:r>
      <w:r w:rsidRPr="007D3826">
        <w:rPr>
          <w:rFonts w:ascii="Arial" w:eastAsia="-webkit-standard" w:hAnsi="Arial" w:cs="Arial"/>
        </w:rPr>
        <w:t>of</w:t>
      </w:r>
      <w:r w:rsidR="00A03ED0">
        <w:rPr>
          <w:rFonts w:ascii="Arial" w:eastAsia="-webkit-standard" w:hAnsi="Arial" w:cs="Arial"/>
        </w:rPr>
        <w:t>: (</w:t>
      </w:r>
      <w:proofErr w:type="spellStart"/>
      <w:r w:rsidR="00A03ED0">
        <w:rPr>
          <w:rFonts w:ascii="Arial" w:eastAsia="-webkit-standard" w:hAnsi="Arial" w:cs="Arial"/>
        </w:rPr>
        <w:t>i</w:t>
      </w:r>
      <w:proofErr w:type="spellEnd"/>
      <w:r w:rsidR="00A03ED0">
        <w:rPr>
          <w:rFonts w:ascii="Arial" w:eastAsia="-webkit-standard" w:hAnsi="Arial" w:cs="Arial"/>
        </w:rPr>
        <w:t>)</w:t>
      </w:r>
      <w:r w:rsidRPr="007D3826">
        <w:rPr>
          <w:rFonts w:ascii="Arial" w:eastAsia="-webkit-standard" w:hAnsi="Arial" w:cs="Arial"/>
        </w:rPr>
        <w:t xml:space="preserve"> </w:t>
      </w:r>
      <w:r>
        <w:rPr>
          <w:rFonts w:ascii="Arial" w:eastAsia="-webkit-standard" w:hAnsi="Arial" w:cs="Arial"/>
        </w:rPr>
        <w:t>three</w:t>
      </w:r>
      <w:r w:rsidRPr="007D3826">
        <w:rPr>
          <w:rFonts w:ascii="Arial" w:eastAsia="-webkit-standard" w:hAnsi="Arial" w:cs="Arial"/>
        </w:rPr>
        <w:t xml:space="preserve"> (</w:t>
      </w:r>
      <w:r>
        <w:rPr>
          <w:rFonts w:ascii="Arial" w:eastAsia="-webkit-standard" w:hAnsi="Arial" w:cs="Arial"/>
        </w:rPr>
        <w:t>3</w:t>
      </w:r>
      <w:r w:rsidRPr="007D3826">
        <w:rPr>
          <w:rFonts w:ascii="Arial" w:eastAsia="-webkit-standard" w:hAnsi="Arial" w:cs="Arial"/>
        </w:rPr>
        <w:t>) year</w:t>
      </w:r>
      <w:r>
        <w:rPr>
          <w:rFonts w:ascii="Arial" w:eastAsia="-webkit-standard" w:hAnsi="Arial" w:cs="Arial"/>
        </w:rPr>
        <w:t>s</w:t>
      </w:r>
      <w:r w:rsidR="00A03ED0">
        <w:rPr>
          <w:rFonts w:ascii="Arial" w:eastAsia="-webkit-standard" w:hAnsi="Arial" w:cs="Arial"/>
        </w:rPr>
        <w:t>;</w:t>
      </w:r>
      <w:r w:rsidRPr="007D3826">
        <w:rPr>
          <w:rFonts w:ascii="Arial" w:eastAsia="-webkit-standard" w:hAnsi="Arial" w:cs="Arial"/>
        </w:rPr>
        <w:t xml:space="preserve"> </w:t>
      </w:r>
      <w:r w:rsidR="00A03ED0" w:rsidRPr="00A03ED0">
        <w:rPr>
          <w:rFonts w:ascii="Arial" w:eastAsia="-webkit-standard" w:hAnsi="Arial" w:cs="Arial"/>
        </w:rPr>
        <w:t xml:space="preserve">and (ii) in the event that the closing price of the Common Shares on the </w:t>
      </w:r>
      <w:r w:rsidR="00A03ED0">
        <w:rPr>
          <w:rFonts w:ascii="Arial" w:eastAsia="-webkit-standard" w:hAnsi="Arial" w:cs="Arial"/>
        </w:rPr>
        <w:t>Canadian Securities Exchange is at least $0.5</w:t>
      </w:r>
      <w:r w:rsidR="00A03ED0" w:rsidRPr="00A03ED0">
        <w:rPr>
          <w:rFonts w:ascii="Arial" w:eastAsia="-webkit-standard" w:hAnsi="Arial" w:cs="Arial"/>
        </w:rPr>
        <w:t>0 for twenty (20) consecutive trading days, and the 20</w:t>
      </w:r>
      <w:r w:rsidR="00A03ED0" w:rsidRPr="00A03ED0">
        <w:rPr>
          <w:rFonts w:ascii="Arial" w:eastAsia="-webkit-standard" w:hAnsi="Arial" w:cs="Arial"/>
          <w:vertAlign w:val="superscript"/>
        </w:rPr>
        <w:t>th</w:t>
      </w:r>
      <w:r w:rsidR="00A03ED0">
        <w:rPr>
          <w:rFonts w:ascii="Arial" w:eastAsia="-webkit-standard" w:hAnsi="Arial" w:cs="Arial"/>
        </w:rPr>
        <w:t xml:space="preserve"> </w:t>
      </w:r>
      <w:r w:rsidR="00A03ED0" w:rsidRPr="00A03ED0">
        <w:rPr>
          <w:rFonts w:ascii="Arial" w:eastAsia="-webkit-standard" w:hAnsi="Arial" w:cs="Arial"/>
        </w:rPr>
        <w:t>trading day (the “</w:t>
      </w:r>
      <w:r w:rsidR="00A03ED0" w:rsidRPr="00A03ED0">
        <w:rPr>
          <w:rFonts w:ascii="Arial" w:eastAsia="-webkit-standard" w:hAnsi="Arial" w:cs="Arial"/>
          <w:b/>
        </w:rPr>
        <w:t>Final Trading Day</w:t>
      </w:r>
      <w:r w:rsidR="00A03ED0" w:rsidRPr="00A03ED0">
        <w:rPr>
          <w:rFonts w:ascii="Arial" w:eastAsia="-webkit-standard" w:hAnsi="Arial" w:cs="Arial"/>
        </w:rPr>
        <w:t>”) is at least four (4) months from the Closing Date, the date which is thirty (30) days from the Final Trading Day (the “</w:t>
      </w:r>
      <w:r w:rsidR="00A03ED0" w:rsidRPr="00A03ED0">
        <w:rPr>
          <w:rFonts w:ascii="Arial" w:eastAsia="-webkit-standard" w:hAnsi="Arial" w:cs="Arial"/>
          <w:b/>
        </w:rPr>
        <w:t>Trigger Date</w:t>
      </w:r>
      <w:r w:rsidR="00A03ED0" w:rsidRPr="00A03ED0">
        <w:rPr>
          <w:rFonts w:ascii="Arial" w:eastAsia="-webkit-standard" w:hAnsi="Arial" w:cs="Arial"/>
        </w:rPr>
        <w:t>”)</w:t>
      </w:r>
      <w:r w:rsidRPr="007D3826">
        <w:rPr>
          <w:rFonts w:ascii="Arial" w:eastAsia="-webkit-standard" w:hAnsi="Arial" w:cs="Arial"/>
        </w:rPr>
        <w:t>.</w:t>
      </w:r>
    </w:p>
    <w:p w14:paraId="3D451092" w14:textId="77777777" w:rsidR="007D3826" w:rsidRPr="007D3826" w:rsidRDefault="007D3826" w:rsidP="007D3826">
      <w:pPr>
        <w:jc w:val="both"/>
        <w:rPr>
          <w:rFonts w:ascii="Arial" w:eastAsia="-webkit-standard" w:hAnsi="Arial" w:cs="Arial"/>
        </w:rPr>
      </w:pPr>
    </w:p>
    <w:p w14:paraId="1D997441" w14:textId="14424BA3" w:rsidR="007D3826" w:rsidRPr="007D3826" w:rsidRDefault="007D3826" w:rsidP="007D3826">
      <w:pPr>
        <w:jc w:val="both"/>
        <w:rPr>
          <w:rFonts w:ascii="Arial" w:eastAsia="-webkit-standard" w:hAnsi="Arial" w:cs="Arial"/>
        </w:rPr>
      </w:pPr>
      <w:r w:rsidRPr="007D3826">
        <w:rPr>
          <w:rFonts w:ascii="Arial" w:eastAsia="-webkit-standard" w:hAnsi="Arial" w:cs="Arial"/>
        </w:rPr>
        <w:t>Each FT Unit is priced at $0.</w:t>
      </w:r>
      <w:r w:rsidR="00A03ED0">
        <w:rPr>
          <w:rFonts w:ascii="Arial" w:eastAsia="-webkit-standard" w:hAnsi="Arial" w:cs="Arial"/>
        </w:rPr>
        <w:t>20</w:t>
      </w:r>
      <w:r w:rsidRPr="007D3826">
        <w:rPr>
          <w:rFonts w:ascii="Arial" w:eastAsia="-webkit-standard" w:hAnsi="Arial" w:cs="Arial"/>
        </w:rPr>
        <w:t xml:space="preserve"> and consists of one (1) common share and one-half (½) of one </w:t>
      </w:r>
      <w:r w:rsidR="00A03ED0">
        <w:rPr>
          <w:rFonts w:ascii="Arial" w:eastAsia="-webkit-standard" w:hAnsi="Arial" w:cs="Arial"/>
        </w:rPr>
        <w:t>w</w:t>
      </w:r>
      <w:r w:rsidRPr="007D3826">
        <w:rPr>
          <w:rFonts w:ascii="Arial" w:eastAsia="-webkit-standard" w:hAnsi="Arial" w:cs="Arial"/>
        </w:rPr>
        <w:t xml:space="preserve">arrant.  Each full </w:t>
      </w:r>
      <w:r w:rsidR="00A03ED0">
        <w:rPr>
          <w:rFonts w:ascii="Arial" w:eastAsia="-webkit-standard" w:hAnsi="Arial" w:cs="Arial"/>
        </w:rPr>
        <w:t>w</w:t>
      </w:r>
      <w:r w:rsidRPr="007D3826">
        <w:rPr>
          <w:rFonts w:ascii="Arial" w:eastAsia="-webkit-standard" w:hAnsi="Arial" w:cs="Arial"/>
        </w:rPr>
        <w:t>arrant</w:t>
      </w:r>
      <w:r w:rsidR="00A03ED0">
        <w:rPr>
          <w:rFonts w:ascii="Arial" w:eastAsia="-webkit-standard" w:hAnsi="Arial" w:cs="Arial"/>
        </w:rPr>
        <w:t xml:space="preserve"> (a “</w:t>
      </w:r>
      <w:r w:rsidR="00A03ED0" w:rsidRPr="00A03ED0">
        <w:rPr>
          <w:rFonts w:ascii="Arial" w:eastAsia="-webkit-standard" w:hAnsi="Arial" w:cs="Arial"/>
          <w:b/>
        </w:rPr>
        <w:t>Warrant</w:t>
      </w:r>
      <w:r w:rsidR="00A03ED0">
        <w:rPr>
          <w:rFonts w:ascii="Arial" w:eastAsia="-webkit-standard" w:hAnsi="Arial" w:cs="Arial"/>
        </w:rPr>
        <w:t>”)</w:t>
      </w:r>
      <w:r w:rsidRPr="007D3826">
        <w:rPr>
          <w:rFonts w:ascii="Arial" w:eastAsia="-webkit-standard" w:hAnsi="Arial" w:cs="Arial"/>
        </w:rPr>
        <w:t xml:space="preserve"> entitles the holder to purchase one (1) </w:t>
      </w:r>
      <w:r w:rsidR="005427BF">
        <w:rPr>
          <w:rFonts w:ascii="Arial" w:eastAsia="-webkit-standard" w:hAnsi="Arial" w:cs="Arial"/>
        </w:rPr>
        <w:t>common share (a “</w:t>
      </w:r>
      <w:r w:rsidRPr="005427BF">
        <w:rPr>
          <w:rFonts w:ascii="Arial" w:eastAsia="-webkit-standard" w:hAnsi="Arial" w:cs="Arial"/>
          <w:b/>
        </w:rPr>
        <w:t>Warrant Share</w:t>
      </w:r>
      <w:r w:rsidR="005427BF">
        <w:rPr>
          <w:rFonts w:ascii="Arial" w:eastAsia="-webkit-standard" w:hAnsi="Arial" w:cs="Arial"/>
        </w:rPr>
        <w:t>”)</w:t>
      </w:r>
      <w:r w:rsidR="009A2DC1" w:rsidRPr="009A2DC1">
        <w:rPr>
          <w:rFonts w:ascii="Arial" w:eastAsia="-webkit-standard" w:hAnsi="Arial" w:cs="Arial"/>
        </w:rPr>
        <w:t xml:space="preserve"> </w:t>
      </w:r>
      <w:r w:rsidR="009A2DC1" w:rsidRPr="007D3826">
        <w:rPr>
          <w:rFonts w:ascii="Arial" w:eastAsia="-webkit-standard" w:hAnsi="Arial" w:cs="Arial"/>
        </w:rPr>
        <w:t>at a price of $0.</w:t>
      </w:r>
      <w:r w:rsidR="009A2DC1">
        <w:rPr>
          <w:rFonts w:ascii="Arial" w:eastAsia="-webkit-standard" w:hAnsi="Arial" w:cs="Arial"/>
        </w:rPr>
        <w:t>3</w:t>
      </w:r>
      <w:r w:rsidR="009A2DC1" w:rsidRPr="007D3826">
        <w:rPr>
          <w:rFonts w:ascii="Arial" w:eastAsia="-webkit-standard" w:hAnsi="Arial" w:cs="Arial"/>
        </w:rPr>
        <w:t>5 per Warrant Share</w:t>
      </w:r>
      <w:r w:rsidRPr="007D3826">
        <w:rPr>
          <w:rFonts w:ascii="Arial" w:eastAsia="-webkit-standard" w:hAnsi="Arial" w:cs="Arial"/>
        </w:rPr>
        <w:t xml:space="preserve"> exercisable for a period of </w:t>
      </w:r>
      <w:r w:rsidR="00407068">
        <w:rPr>
          <w:rFonts w:ascii="Arial" w:eastAsia="-webkit-standard" w:hAnsi="Arial" w:cs="Arial"/>
        </w:rPr>
        <w:t>eighteen</w:t>
      </w:r>
      <w:r w:rsidRPr="007D3826">
        <w:rPr>
          <w:rFonts w:ascii="Arial" w:eastAsia="-webkit-standard" w:hAnsi="Arial" w:cs="Arial"/>
        </w:rPr>
        <w:t xml:space="preserve"> (</w:t>
      </w:r>
      <w:r w:rsidR="00407068">
        <w:rPr>
          <w:rFonts w:ascii="Arial" w:eastAsia="-webkit-standard" w:hAnsi="Arial" w:cs="Arial"/>
        </w:rPr>
        <w:t>18</w:t>
      </w:r>
      <w:r w:rsidRPr="007D3826">
        <w:rPr>
          <w:rFonts w:ascii="Arial" w:eastAsia="-webkit-standard" w:hAnsi="Arial" w:cs="Arial"/>
        </w:rPr>
        <w:t xml:space="preserve">) </w:t>
      </w:r>
      <w:r w:rsidR="00407068">
        <w:rPr>
          <w:rFonts w:ascii="Arial" w:eastAsia="-webkit-standard" w:hAnsi="Arial" w:cs="Arial"/>
        </w:rPr>
        <w:t>month</w:t>
      </w:r>
      <w:r w:rsidR="00A03ED0">
        <w:rPr>
          <w:rFonts w:ascii="Arial" w:eastAsia="-webkit-standard" w:hAnsi="Arial" w:cs="Arial"/>
        </w:rPr>
        <w:t>s</w:t>
      </w:r>
      <w:r w:rsidRPr="007D3826">
        <w:rPr>
          <w:rFonts w:ascii="Arial" w:eastAsia="-webkit-standard" w:hAnsi="Arial" w:cs="Arial"/>
        </w:rPr>
        <w:t xml:space="preserve"> following the Closing Date, subject to ear</w:t>
      </w:r>
      <w:r w:rsidR="009A2DC1">
        <w:rPr>
          <w:rFonts w:ascii="Arial" w:eastAsia="-webkit-standard" w:hAnsi="Arial" w:cs="Arial"/>
        </w:rPr>
        <w:t>lier expiry on the Trigger Date</w:t>
      </w:r>
      <w:r w:rsidRPr="007D3826">
        <w:rPr>
          <w:rFonts w:ascii="Arial" w:eastAsia="-webkit-standard" w:hAnsi="Arial" w:cs="Arial"/>
        </w:rPr>
        <w:t>.</w:t>
      </w:r>
    </w:p>
    <w:p w14:paraId="230D9278" w14:textId="77777777" w:rsidR="007D3826" w:rsidRPr="007D3826" w:rsidRDefault="007D3826" w:rsidP="007D3826">
      <w:pPr>
        <w:jc w:val="both"/>
        <w:rPr>
          <w:rFonts w:ascii="Arial" w:eastAsia="-webkit-standard" w:hAnsi="Arial" w:cs="Arial"/>
        </w:rPr>
      </w:pPr>
    </w:p>
    <w:p w14:paraId="5AB8C98D" w14:textId="2EA0CFC7" w:rsidR="007D3826" w:rsidRPr="007D3826" w:rsidRDefault="007D3826" w:rsidP="007D3826">
      <w:pPr>
        <w:jc w:val="both"/>
        <w:rPr>
          <w:rFonts w:ascii="Arial" w:eastAsia="-webkit-standard" w:hAnsi="Arial" w:cs="Arial"/>
        </w:rPr>
      </w:pPr>
      <w:r w:rsidRPr="007D3826">
        <w:rPr>
          <w:rFonts w:ascii="Arial" w:eastAsia="-webkit-standard" w:hAnsi="Arial" w:cs="Arial"/>
        </w:rPr>
        <w:t xml:space="preserve">Eligible Finders may receive up to 7% of the value of proceeds of the sale of </w:t>
      </w:r>
      <w:r w:rsidR="005427BF">
        <w:rPr>
          <w:rFonts w:ascii="Arial" w:eastAsia="-webkit-standard" w:hAnsi="Arial" w:cs="Arial"/>
        </w:rPr>
        <w:t xml:space="preserve">WC </w:t>
      </w:r>
      <w:r w:rsidRPr="007D3826">
        <w:rPr>
          <w:rFonts w:ascii="Arial" w:eastAsia="-webkit-standard" w:hAnsi="Arial" w:cs="Arial"/>
        </w:rPr>
        <w:t xml:space="preserve">Units or </w:t>
      </w:r>
      <w:r w:rsidR="005427BF">
        <w:rPr>
          <w:rFonts w:ascii="Arial" w:eastAsia="-webkit-standard" w:hAnsi="Arial" w:cs="Arial"/>
        </w:rPr>
        <w:t>FT</w:t>
      </w:r>
      <w:r w:rsidRPr="007D3826">
        <w:rPr>
          <w:rFonts w:ascii="Arial" w:eastAsia="-webkit-standard" w:hAnsi="Arial" w:cs="Arial"/>
        </w:rPr>
        <w:t xml:space="preserve"> Units in cash and up to 7% of the number of WC Units or FT Units sold in the form of broker warrants.  Each broker warrant entitles the holder to acquire one (1) common share of </w:t>
      </w:r>
      <w:proofErr w:type="spellStart"/>
      <w:r w:rsidR="005427BF">
        <w:rPr>
          <w:rFonts w:ascii="Arial" w:eastAsia="-webkit-standard" w:hAnsi="Arial" w:cs="Arial"/>
        </w:rPr>
        <w:t>Appia</w:t>
      </w:r>
      <w:proofErr w:type="spellEnd"/>
      <w:r w:rsidRPr="007D3826">
        <w:rPr>
          <w:rFonts w:ascii="Arial" w:eastAsia="-webkit-standard" w:hAnsi="Arial" w:cs="Arial"/>
        </w:rPr>
        <w:t xml:space="preserve"> at $0.</w:t>
      </w:r>
      <w:r w:rsidR="005427BF">
        <w:rPr>
          <w:rFonts w:ascii="Arial" w:eastAsia="-webkit-standard" w:hAnsi="Arial" w:cs="Arial"/>
        </w:rPr>
        <w:t>20</w:t>
      </w:r>
      <w:r w:rsidRPr="007D3826">
        <w:rPr>
          <w:rFonts w:ascii="Arial" w:eastAsia="-webkit-standard" w:hAnsi="Arial" w:cs="Arial"/>
        </w:rPr>
        <w:t xml:space="preserve"> for WC Units</w:t>
      </w:r>
      <w:r w:rsidR="005427BF">
        <w:rPr>
          <w:rFonts w:ascii="Arial" w:eastAsia="-webkit-standard" w:hAnsi="Arial" w:cs="Arial"/>
        </w:rPr>
        <w:t xml:space="preserve"> and FT Units</w:t>
      </w:r>
      <w:r w:rsidRPr="007D3826">
        <w:rPr>
          <w:rFonts w:ascii="Arial" w:eastAsia="-webkit-standard" w:hAnsi="Arial" w:cs="Arial"/>
        </w:rPr>
        <w:t xml:space="preserve"> sold for a period of </w:t>
      </w:r>
      <w:r w:rsidR="00407068">
        <w:rPr>
          <w:rFonts w:ascii="Arial" w:eastAsia="-webkit-standard" w:hAnsi="Arial" w:cs="Arial"/>
        </w:rPr>
        <w:t>eighteen</w:t>
      </w:r>
      <w:r w:rsidRPr="007D3826">
        <w:rPr>
          <w:rFonts w:ascii="Arial" w:eastAsia="-webkit-standard" w:hAnsi="Arial" w:cs="Arial"/>
        </w:rPr>
        <w:t xml:space="preserve"> (</w:t>
      </w:r>
      <w:r w:rsidR="00407068">
        <w:rPr>
          <w:rFonts w:ascii="Arial" w:eastAsia="-webkit-standard" w:hAnsi="Arial" w:cs="Arial"/>
        </w:rPr>
        <w:t>18</w:t>
      </w:r>
      <w:r w:rsidRPr="007D3826">
        <w:rPr>
          <w:rFonts w:ascii="Arial" w:eastAsia="-webkit-standard" w:hAnsi="Arial" w:cs="Arial"/>
        </w:rPr>
        <w:t xml:space="preserve">) </w:t>
      </w:r>
      <w:r w:rsidR="00407068">
        <w:rPr>
          <w:rFonts w:ascii="Arial" w:eastAsia="-webkit-standard" w:hAnsi="Arial" w:cs="Arial"/>
        </w:rPr>
        <w:t>month</w:t>
      </w:r>
      <w:r w:rsidR="005427BF">
        <w:rPr>
          <w:rFonts w:ascii="Arial" w:eastAsia="-webkit-standard" w:hAnsi="Arial" w:cs="Arial"/>
        </w:rPr>
        <w:t>s</w:t>
      </w:r>
      <w:r w:rsidRPr="007D3826">
        <w:rPr>
          <w:rFonts w:ascii="Arial" w:eastAsia="-webkit-standard" w:hAnsi="Arial" w:cs="Arial"/>
        </w:rPr>
        <w:t xml:space="preserve"> from the Closing Date.</w:t>
      </w:r>
    </w:p>
    <w:p w14:paraId="7E191CC1" w14:textId="77777777" w:rsidR="007D3826" w:rsidRPr="007D3826" w:rsidRDefault="007D3826" w:rsidP="007D3826">
      <w:pPr>
        <w:jc w:val="both"/>
        <w:rPr>
          <w:rFonts w:ascii="Arial" w:eastAsia="-webkit-standard" w:hAnsi="Arial" w:cs="Arial"/>
        </w:rPr>
      </w:pPr>
    </w:p>
    <w:p w14:paraId="247125F4" w14:textId="102A1DE0" w:rsidR="007D3826" w:rsidRPr="007D3826" w:rsidRDefault="007D3826" w:rsidP="007D3826">
      <w:pPr>
        <w:jc w:val="both"/>
        <w:rPr>
          <w:rFonts w:ascii="Arial" w:eastAsia="-webkit-standard" w:hAnsi="Arial" w:cs="Arial"/>
        </w:rPr>
      </w:pPr>
      <w:r w:rsidRPr="007D3826">
        <w:rPr>
          <w:rFonts w:ascii="Arial" w:eastAsia="-webkit-standard" w:hAnsi="Arial" w:cs="Arial"/>
        </w:rPr>
        <w:t>Insiders of the Company</w:t>
      </w:r>
      <w:r w:rsidR="005427BF">
        <w:rPr>
          <w:rFonts w:ascii="Arial" w:eastAsia="-webkit-standard" w:hAnsi="Arial" w:cs="Arial"/>
        </w:rPr>
        <w:t xml:space="preserve"> may</w:t>
      </w:r>
      <w:r w:rsidRPr="007D3826">
        <w:rPr>
          <w:rFonts w:ascii="Arial" w:eastAsia="-webkit-standard" w:hAnsi="Arial" w:cs="Arial"/>
        </w:rPr>
        <w:t xml:space="preserve"> subscribe for the Offering. The insider private placements are exempt from the valuation and minority shareholder approval requirements of Multilateral Instrument 61-101 (“</w:t>
      </w:r>
      <w:r w:rsidRPr="005427BF">
        <w:rPr>
          <w:rFonts w:ascii="Arial" w:eastAsia="-webkit-standard" w:hAnsi="Arial" w:cs="Arial"/>
          <w:b/>
        </w:rPr>
        <w:t>MI 61-101</w:t>
      </w:r>
      <w:r w:rsidRPr="007D3826">
        <w:rPr>
          <w:rFonts w:ascii="Arial" w:eastAsia="-webkit-standard" w:hAnsi="Arial" w:cs="Arial"/>
        </w:rPr>
        <w:t>”) by virtue of the exemptions contain in section 5.5(a) and 5.7(1) (a) of MI 61-101 in that the fair market value of the consideration for the securities of the Company issued to the insiders did not exceed 25% of its market capitalization.</w:t>
      </w:r>
    </w:p>
    <w:p w14:paraId="23C9D5A3" w14:textId="77777777" w:rsidR="007D3826" w:rsidRPr="007D3826" w:rsidRDefault="007D3826" w:rsidP="007D3826">
      <w:pPr>
        <w:jc w:val="both"/>
        <w:rPr>
          <w:rFonts w:ascii="Arial" w:eastAsia="-webkit-standard" w:hAnsi="Arial" w:cs="Arial"/>
        </w:rPr>
      </w:pPr>
    </w:p>
    <w:p w14:paraId="11159972" w14:textId="77777777" w:rsidR="007D3826" w:rsidRPr="007D3826" w:rsidRDefault="007D3826" w:rsidP="007D3826">
      <w:pPr>
        <w:jc w:val="both"/>
        <w:rPr>
          <w:rFonts w:ascii="Arial" w:eastAsia="-webkit-standard" w:hAnsi="Arial" w:cs="Arial"/>
        </w:rPr>
      </w:pPr>
      <w:r w:rsidRPr="007D3826">
        <w:rPr>
          <w:rFonts w:ascii="Arial" w:eastAsia="-webkit-standard" w:hAnsi="Arial" w:cs="Arial"/>
        </w:rPr>
        <w:t>All securities issued pursuant to the above referenced private placements are subject to a statutory four month hold period.</w:t>
      </w:r>
    </w:p>
    <w:p w14:paraId="04AC6BFB" w14:textId="77777777" w:rsidR="007D3826" w:rsidRPr="005D43D9" w:rsidRDefault="007D3826">
      <w:pPr>
        <w:jc w:val="both"/>
        <w:rPr>
          <w:rFonts w:ascii="Arial" w:eastAsia="-webkit-standard" w:hAnsi="Arial" w:cs="Arial"/>
        </w:rPr>
      </w:pPr>
    </w:p>
    <w:p w14:paraId="1BF794EC" w14:textId="2D81021C" w:rsidR="00792809" w:rsidRPr="005D43D9" w:rsidRDefault="00792809" w:rsidP="00792809">
      <w:pPr>
        <w:jc w:val="both"/>
        <w:rPr>
          <w:rFonts w:ascii="Arial" w:eastAsia="-webkit-standard" w:hAnsi="Arial" w:cs="Arial"/>
        </w:rPr>
      </w:pPr>
      <w:r w:rsidRPr="005D43D9">
        <w:rPr>
          <w:rFonts w:ascii="Arial" w:eastAsia="-webkit-standard" w:hAnsi="Arial" w:cs="Arial"/>
        </w:rPr>
        <w:lastRenderedPageBreak/>
        <w:t xml:space="preserve">The Company currently has interests in </w:t>
      </w:r>
      <w:r w:rsidR="00911051">
        <w:rPr>
          <w:rFonts w:ascii="Arial" w:eastAsia="-webkit-standard" w:hAnsi="Arial" w:cs="Arial"/>
        </w:rPr>
        <w:t xml:space="preserve">about </w:t>
      </w:r>
      <w:r w:rsidRPr="005D43D9">
        <w:rPr>
          <w:rFonts w:ascii="Arial" w:eastAsia="-webkit-standard" w:hAnsi="Arial" w:cs="Arial"/>
        </w:rPr>
        <w:t xml:space="preserve">86,683 hectares (214,196 acres) of claims in the Athabasca Basin, Saskatchewan, some near the Patterson Lake South area as well as around other parts of the Basin. </w:t>
      </w:r>
    </w:p>
    <w:p w14:paraId="0E2AD344" w14:textId="77777777" w:rsidR="00792809" w:rsidRDefault="00792809" w:rsidP="20421EB0">
      <w:pPr>
        <w:jc w:val="both"/>
        <w:rPr>
          <w:rFonts w:ascii="Arial" w:eastAsia="-webkit-standard" w:hAnsi="Arial" w:cs="Arial"/>
        </w:rPr>
      </w:pPr>
    </w:p>
    <w:p w14:paraId="1A5B0237" w14:textId="4FCDB6B0" w:rsidR="009D6C7C" w:rsidRDefault="5F8D861A" w:rsidP="20421EB0">
      <w:pPr>
        <w:jc w:val="both"/>
        <w:rPr>
          <w:rFonts w:ascii="Arial" w:hAnsi="Arial" w:cs="Arial"/>
        </w:rPr>
      </w:pPr>
      <w:proofErr w:type="spellStart"/>
      <w:r w:rsidRPr="005D43D9">
        <w:rPr>
          <w:rFonts w:ascii="Arial" w:eastAsia="-webkit-standard" w:hAnsi="Arial" w:cs="Arial"/>
        </w:rPr>
        <w:t>Appia</w:t>
      </w:r>
      <w:proofErr w:type="spellEnd"/>
      <w:r w:rsidRPr="005D43D9">
        <w:rPr>
          <w:rFonts w:ascii="Arial" w:eastAsia="-webkit-standard" w:hAnsi="Arial" w:cs="Arial"/>
        </w:rPr>
        <w:t xml:space="preserve"> </w:t>
      </w:r>
      <w:r w:rsidR="00792809">
        <w:rPr>
          <w:rFonts w:ascii="Arial" w:eastAsia="-webkit-standard" w:hAnsi="Arial" w:cs="Arial"/>
        </w:rPr>
        <w:t xml:space="preserve">also </w:t>
      </w:r>
      <w:r w:rsidRPr="005D43D9">
        <w:rPr>
          <w:rFonts w:ascii="Arial" w:eastAsia="-webkit-standard" w:hAnsi="Arial" w:cs="Arial"/>
        </w:rPr>
        <w:t>controls 13,008 hectares (32,143 acres), including Rare Earth and Uranium Deposits, over five mineralized zones in the Elliot Lake Camp, Ontario, which historically produced over 300 million pounds of U</w:t>
      </w:r>
      <w:r w:rsidRPr="005D43D9">
        <w:rPr>
          <w:rFonts w:ascii="Arial" w:eastAsia="-webkit-standard" w:hAnsi="Arial" w:cs="Arial"/>
          <w:vertAlign w:val="subscript"/>
        </w:rPr>
        <w:t>3</w:t>
      </w:r>
      <w:r w:rsidRPr="005D43D9">
        <w:rPr>
          <w:rFonts w:ascii="Arial" w:eastAsia="-webkit-standard" w:hAnsi="Arial" w:cs="Arial"/>
        </w:rPr>
        <w:t>O</w:t>
      </w:r>
      <w:r w:rsidRPr="005D43D9">
        <w:rPr>
          <w:rFonts w:ascii="Arial" w:eastAsia="-webkit-standard" w:hAnsi="Arial" w:cs="Arial"/>
          <w:vertAlign w:val="subscript"/>
        </w:rPr>
        <w:t>8</w:t>
      </w:r>
      <w:r w:rsidRPr="005D43D9">
        <w:rPr>
          <w:rFonts w:ascii="Arial" w:eastAsia="-webkit-standard" w:hAnsi="Arial" w:cs="Arial"/>
        </w:rPr>
        <w:t xml:space="preserve">. </w:t>
      </w:r>
      <w:r w:rsidR="20421EB0" w:rsidRPr="005D43D9">
        <w:rPr>
          <w:rFonts w:ascii="Arial" w:eastAsia="-webkit-standard" w:hAnsi="Arial" w:cs="Arial"/>
        </w:rPr>
        <w:t xml:space="preserve">Watts, </w:t>
      </w:r>
      <w:proofErr w:type="spellStart"/>
      <w:r w:rsidR="20421EB0" w:rsidRPr="005D43D9">
        <w:rPr>
          <w:rFonts w:ascii="Arial" w:eastAsia="-webkit-standard" w:hAnsi="Arial" w:cs="Arial"/>
        </w:rPr>
        <w:t>Griffis</w:t>
      </w:r>
      <w:proofErr w:type="spellEnd"/>
      <w:r w:rsidR="20421EB0" w:rsidRPr="005D43D9">
        <w:rPr>
          <w:rFonts w:ascii="Arial" w:eastAsia="-webkit-standard" w:hAnsi="Arial" w:cs="Arial"/>
        </w:rPr>
        <w:t xml:space="preserve"> and </w:t>
      </w:r>
      <w:proofErr w:type="spellStart"/>
      <w:r w:rsidR="20421EB0" w:rsidRPr="005D43D9">
        <w:rPr>
          <w:rFonts w:ascii="Arial" w:eastAsia="-webkit-standard" w:hAnsi="Arial" w:cs="Arial"/>
        </w:rPr>
        <w:t>McOuat</w:t>
      </w:r>
      <w:proofErr w:type="spellEnd"/>
      <w:r w:rsidR="20421EB0" w:rsidRPr="005D43D9">
        <w:rPr>
          <w:rFonts w:ascii="Arial" w:eastAsia="-webkit-standard" w:hAnsi="Arial" w:cs="Arial"/>
        </w:rPr>
        <w:t xml:space="preserve"> Limited</w:t>
      </w:r>
      <w:r w:rsidR="003C58B8" w:rsidRPr="005D43D9">
        <w:rPr>
          <w:rFonts w:ascii="Arial" w:eastAsia="-webkit-standard" w:hAnsi="Arial" w:cs="Arial"/>
        </w:rPr>
        <w:t xml:space="preserve"> </w:t>
      </w:r>
      <w:r w:rsidR="20421EB0" w:rsidRPr="005D43D9">
        <w:rPr>
          <w:rFonts w:ascii="Arial" w:eastAsia="-webkit-standard" w:hAnsi="Arial" w:cs="Arial"/>
        </w:rPr>
        <w:t xml:space="preserve">completed a NI 43-101 technical report on the Teasdale Zone (the “Technical Report”) entitled, "A Technical Review of the </w:t>
      </w:r>
      <w:proofErr w:type="spellStart"/>
      <w:r w:rsidR="20421EB0" w:rsidRPr="005D43D9">
        <w:rPr>
          <w:rFonts w:ascii="Arial" w:eastAsia="-webkit-standard" w:hAnsi="Arial" w:cs="Arial"/>
        </w:rPr>
        <w:t>Appia</w:t>
      </w:r>
      <w:proofErr w:type="spellEnd"/>
      <w:r w:rsidR="20421EB0" w:rsidRPr="005D43D9">
        <w:rPr>
          <w:rFonts w:ascii="Arial" w:eastAsia="-webkit-standard" w:hAnsi="Arial" w:cs="Arial"/>
        </w:rPr>
        <w:t xml:space="preserve"> Energy Corp. Rare Earth and Uranium Property, Elliot Lake District, North-Central Ontario, Canada." dated July 18, 2011, with certificates dated November 7, 2012, written by Al Workman, P. Geo and Kurt </w:t>
      </w:r>
      <w:proofErr w:type="spellStart"/>
      <w:r w:rsidR="20421EB0" w:rsidRPr="005D43D9">
        <w:rPr>
          <w:rFonts w:ascii="Arial" w:eastAsia="-webkit-standard" w:hAnsi="Arial" w:cs="Arial"/>
        </w:rPr>
        <w:t>Breede</w:t>
      </w:r>
      <w:proofErr w:type="spellEnd"/>
      <w:r w:rsidR="20421EB0" w:rsidRPr="005D43D9">
        <w:rPr>
          <w:rFonts w:ascii="Arial" w:eastAsia="-webkit-standard" w:hAnsi="Arial" w:cs="Arial"/>
        </w:rPr>
        <w:t>, P. Eng. Details of the Technical Report can be found on the SEDAR website,</w:t>
      </w:r>
      <w:r w:rsidR="009D6C7C" w:rsidRPr="009D6C7C">
        <w:t xml:space="preserve"> </w:t>
      </w:r>
      <w:r w:rsidR="009D6C7C" w:rsidRPr="009D6C7C">
        <w:rPr>
          <w:rFonts w:ascii="Arial" w:hAnsi="Arial" w:cs="Arial"/>
        </w:rPr>
        <w:t>www.sed</w:t>
      </w:r>
      <w:r w:rsidR="009D6C7C">
        <w:rPr>
          <w:rFonts w:ascii="Arial" w:hAnsi="Arial" w:cs="Arial"/>
        </w:rPr>
        <w:t xml:space="preserve">ar.com. </w:t>
      </w:r>
    </w:p>
    <w:p w14:paraId="32D33B59" w14:textId="508BB2E6" w:rsidR="00FC60D8" w:rsidRPr="005D43D9" w:rsidRDefault="009D6C7C" w:rsidP="20421EB0">
      <w:pPr>
        <w:jc w:val="both"/>
        <w:rPr>
          <w:rFonts w:ascii="Arial" w:hAnsi="Arial" w:cs="Arial"/>
        </w:rPr>
      </w:pPr>
      <w:r w:rsidRPr="005D43D9">
        <w:rPr>
          <w:rFonts w:ascii="Arial" w:hAnsi="Arial" w:cs="Arial"/>
        </w:rPr>
        <w:t xml:space="preserve"> </w:t>
      </w:r>
    </w:p>
    <w:p w14:paraId="32425925" w14:textId="77777777" w:rsidR="00FC60D8" w:rsidRPr="005D43D9" w:rsidRDefault="5F8D861A" w:rsidP="20421EB0">
      <w:pPr>
        <w:jc w:val="both"/>
        <w:rPr>
          <w:rFonts w:ascii="Arial" w:eastAsia="-webkit-standard" w:hAnsi="Arial" w:cs="Arial"/>
        </w:rPr>
      </w:pPr>
      <w:proofErr w:type="spellStart"/>
      <w:r w:rsidRPr="005D43D9">
        <w:rPr>
          <w:rFonts w:ascii="Arial" w:eastAsia="-webkit-standard" w:hAnsi="Arial" w:cs="Arial"/>
        </w:rPr>
        <w:t>Appia</w:t>
      </w:r>
      <w:proofErr w:type="spellEnd"/>
      <w:r w:rsidRPr="005D43D9">
        <w:rPr>
          <w:rFonts w:ascii="Arial" w:eastAsia="-webkit-standard" w:hAnsi="Arial" w:cs="Arial"/>
        </w:rPr>
        <w:t xml:space="preserve"> currently has 41.6 million common shares outstanding, 43.3 million shares fully diluted</w:t>
      </w:r>
      <w:r w:rsidR="00FC60D8" w:rsidRPr="005D43D9">
        <w:rPr>
          <w:rFonts w:ascii="Arial" w:eastAsia="-webkit-standard" w:hAnsi="Arial" w:cs="Arial"/>
        </w:rPr>
        <w:t>.</w:t>
      </w:r>
    </w:p>
    <w:p w14:paraId="7C899BAA" w14:textId="3662B82F" w:rsidR="002E4A22" w:rsidRPr="005D43D9" w:rsidRDefault="5F8D861A" w:rsidP="20421EB0">
      <w:pPr>
        <w:jc w:val="both"/>
        <w:rPr>
          <w:rFonts w:ascii="Arial" w:hAnsi="Arial" w:cs="Arial"/>
        </w:rPr>
      </w:pPr>
      <w:r w:rsidRPr="005D43D9">
        <w:rPr>
          <w:rFonts w:ascii="Arial" w:eastAsia="-webkit-standard" w:hAnsi="Arial" w:cs="Arial"/>
        </w:rPr>
        <w:t xml:space="preserve"> </w:t>
      </w:r>
    </w:p>
    <w:p w14:paraId="18E633B5" w14:textId="71175D0D" w:rsidR="008C0C9A" w:rsidRPr="005D43D9" w:rsidRDefault="20421EB0" w:rsidP="20421EB0">
      <w:pPr>
        <w:jc w:val="both"/>
        <w:rPr>
          <w:rFonts w:ascii="Arial" w:eastAsia="-webkit-standard" w:hAnsi="Arial" w:cs="Arial"/>
        </w:rPr>
      </w:pPr>
      <w:r w:rsidRPr="005D43D9">
        <w:rPr>
          <w:rFonts w:ascii="Arial" w:eastAsia="-webkit-standard" w:hAnsi="Arial" w:cs="Arial"/>
        </w:rPr>
        <w:t>For further information, please contact: Tom Drivas, President, CEO and Director: (</w:t>
      </w:r>
      <w:proofErr w:type="spellStart"/>
      <w:r w:rsidRPr="005D43D9">
        <w:rPr>
          <w:rFonts w:ascii="Arial" w:eastAsia="-webkit-standard" w:hAnsi="Arial" w:cs="Arial"/>
        </w:rPr>
        <w:t>tel</w:t>
      </w:r>
      <w:proofErr w:type="spellEnd"/>
      <w:r w:rsidRPr="005D43D9">
        <w:rPr>
          <w:rFonts w:ascii="Arial" w:eastAsia="-webkit-standard" w:hAnsi="Arial" w:cs="Arial"/>
        </w:rPr>
        <w:t xml:space="preserve">) 416-546-2707, (fax) 416-218-9772 or (email) </w:t>
      </w:r>
      <w:hyperlink r:id="rId9">
        <w:r w:rsidRPr="005D43D9">
          <w:rPr>
            <w:rStyle w:val="Hyperlink"/>
            <w:rFonts w:ascii="Arial" w:eastAsia="-webkit-standard" w:hAnsi="Arial" w:cs="Arial"/>
          </w:rPr>
          <w:t>appia@appiaenergy.ca</w:t>
        </w:r>
      </w:hyperlink>
      <w:r w:rsidRPr="005D43D9">
        <w:rPr>
          <w:rFonts w:ascii="Arial" w:eastAsia="-webkit-standard" w:hAnsi="Arial" w:cs="Arial"/>
        </w:rPr>
        <w:t xml:space="preserve"> </w:t>
      </w:r>
      <w:r w:rsidR="008C0C9A" w:rsidRPr="005D43D9">
        <w:rPr>
          <w:rFonts w:ascii="Arial" w:eastAsia="-webkit-standard" w:hAnsi="Arial" w:cs="Arial"/>
        </w:rPr>
        <w:t>or,</w:t>
      </w:r>
    </w:p>
    <w:p w14:paraId="72E4D155" w14:textId="77777777" w:rsidR="008C0C9A" w:rsidRPr="005D43D9" w:rsidRDefault="008C0C9A" w:rsidP="20421EB0">
      <w:pPr>
        <w:jc w:val="both"/>
        <w:rPr>
          <w:rFonts w:ascii="Arial" w:eastAsia="-webkit-standard" w:hAnsi="Arial" w:cs="Arial"/>
        </w:rPr>
      </w:pPr>
    </w:p>
    <w:p w14:paraId="74A1B363" w14:textId="525A726E" w:rsidR="002E4A22" w:rsidRDefault="5F8D861A" w:rsidP="20421EB0">
      <w:pPr>
        <w:jc w:val="both"/>
        <w:rPr>
          <w:rFonts w:ascii="Times New Roman" w:hAnsi="Times New Roman"/>
          <w:sz w:val="24"/>
          <w:szCs w:val="24"/>
        </w:rPr>
      </w:pPr>
      <w:r w:rsidRPr="005D43D9">
        <w:rPr>
          <w:rFonts w:ascii="Arial" w:eastAsia="-webkit-standard" w:hAnsi="Arial" w:cs="Arial"/>
        </w:rPr>
        <w:t>Frank van de Water, Chief Financial Officer and Director, (</w:t>
      </w:r>
      <w:proofErr w:type="spellStart"/>
      <w:r w:rsidRPr="005D43D9">
        <w:rPr>
          <w:rFonts w:ascii="Arial" w:eastAsia="-webkit-standard" w:hAnsi="Arial" w:cs="Arial"/>
        </w:rPr>
        <w:t>tel</w:t>
      </w:r>
      <w:proofErr w:type="spellEnd"/>
      <w:r w:rsidRPr="005D43D9">
        <w:rPr>
          <w:rFonts w:ascii="Arial" w:eastAsia="-webkit-standard" w:hAnsi="Arial" w:cs="Arial"/>
        </w:rPr>
        <w:t xml:space="preserve">) 416-546-2707, (fax) 416-218- 9772 or (email) </w:t>
      </w:r>
      <w:hyperlink r:id="rId10">
        <w:r w:rsidRPr="005D43D9">
          <w:rPr>
            <w:rStyle w:val="Hyperlink"/>
            <w:rFonts w:ascii="Arial" w:eastAsia="-webkit-standard" w:hAnsi="Arial" w:cs="Arial"/>
          </w:rPr>
          <w:t>fvandewater@rogers.com</w:t>
        </w:r>
      </w:hyperlink>
    </w:p>
    <w:p w14:paraId="4A8B102E" w14:textId="77777777" w:rsidR="00315567" w:rsidRDefault="00315567" w:rsidP="00F9406B">
      <w:pPr>
        <w:rPr>
          <w:rFonts w:ascii="Times New Roman" w:hAnsi="Times New Roman"/>
          <w:sz w:val="24"/>
          <w:szCs w:val="24"/>
        </w:rPr>
      </w:pPr>
    </w:p>
    <w:p w14:paraId="1CBBE65A" w14:textId="6CD82A09" w:rsidR="00315567" w:rsidRPr="00AA61FD" w:rsidRDefault="00315567" w:rsidP="00AA61FD">
      <w:pPr>
        <w:jc w:val="both"/>
        <w:rPr>
          <w:rFonts w:ascii="Arial" w:hAnsi="Arial" w:cs="Arial"/>
          <w:sz w:val="18"/>
          <w:szCs w:val="18"/>
        </w:rPr>
      </w:pPr>
      <w:r w:rsidRPr="00AA61FD">
        <w:rPr>
          <w:rFonts w:ascii="Arial" w:hAnsi="Arial" w:cs="Arial"/>
          <w:b/>
          <w:bCs/>
          <w:color w:val="000000"/>
          <w:sz w:val="18"/>
          <w:szCs w:val="18"/>
        </w:rPr>
        <w:t>Cautionary Note Regarding Forward-Looking Statements:</w:t>
      </w:r>
      <w:r w:rsidRPr="00AA61FD">
        <w:rPr>
          <w:rFonts w:ascii="Arial" w:hAnsi="Arial" w:cs="Arial"/>
          <w:color w:val="000000"/>
          <w:sz w:val="18"/>
          <w:szCs w:val="18"/>
        </w:rPr>
        <w:t xml:space="preserve"> This </w:t>
      </w:r>
      <w:r w:rsidR="00FC60D8">
        <w:rPr>
          <w:rFonts w:ascii="Arial" w:hAnsi="Arial" w:cs="Arial"/>
          <w:color w:val="000000"/>
          <w:sz w:val="18"/>
          <w:szCs w:val="18"/>
        </w:rPr>
        <w:t>News</w:t>
      </w:r>
      <w:r w:rsidRPr="00AA61FD">
        <w:rPr>
          <w:rFonts w:ascii="Arial" w:hAnsi="Arial" w:cs="Arial"/>
          <w:color w:val="000000"/>
          <w:sz w:val="18"/>
          <w:szCs w:val="18"/>
        </w:rPr>
        <w:t xml:space="preserve"> Release contains forward-looking statements that involve risks and uncertainties, which may cause actual results to differ materially from the statements made. When used in this document, the words "may", "would", "could", "will", "intend", "plan", "anticipate", "believe", "estimate", "expect" and similar expressions are intended to identify forward-looking statements. Such statements reflect our current views with respect to future events and are subject to such risks and uncertainties. Many factors could cause our actual results to differ materially from the statements made, including those factors discussed in filings made by us with the Canadian securities regulatory authorities. Should one or more of these risks and uncertainties, such actual results of current exploration programs, the general risks associated with the mining industry, the price of gold and other metals, currency and interest rate fluctuations, increased competition and general economic and market factors, occur or should assumptions underlying the forward looking statements prove incorrect, actual results may vary materially from those described herein as intended, planned, anticipated, or expected. We do not intend and do not assume any obligation to update these forward-looking statements, except as required by law. Shareholders are cautioned not to put undue reliance on such forward-looking statements.</w:t>
      </w:r>
    </w:p>
    <w:p w14:paraId="4C43986A" w14:textId="77777777" w:rsidR="002E4A22" w:rsidRPr="00AA61FD" w:rsidRDefault="002E4A22" w:rsidP="00F9406B">
      <w:pPr>
        <w:rPr>
          <w:rFonts w:ascii="Arial" w:hAnsi="Arial" w:cs="Arial"/>
          <w:sz w:val="18"/>
          <w:szCs w:val="18"/>
        </w:rPr>
      </w:pPr>
    </w:p>
    <w:p w14:paraId="49B71EA6" w14:textId="77777777" w:rsidR="007050A3" w:rsidRDefault="007050A3" w:rsidP="005F7678">
      <w:pPr>
        <w:jc w:val="center"/>
        <w:rPr>
          <w:rFonts w:ascii="Arial" w:hAnsi="Arial" w:cs="Arial"/>
          <w:sz w:val="28"/>
          <w:szCs w:val="28"/>
        </w:rPr>
      </w:pPr>
    </w:p>
    <w:sectPr w:rsidR="007050A3" w:rsidSect="009D6C7C">
      <w:headerReference w:type="default" r:id="rId11"/>
      <w:footerReference w:type="defaul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FEE3" w14:textId="77777777" w:rsidR="004A4FBF" w:rsidRDefault="004A4FBF" w:rsidP="007C09EE">
      <w:r>
        <w:separator/>
      </w:r>
    </w:p>
  </w:endnote>
  <w:endnote w:type="continuationSeparator" w:id="0">
    <w:p w14:paraId="6147AFDF" w14:textId="77777777" w:rsidR="004A4FBF" w:rsidRDefault="004A4FBF" w:rsidP="007C09EE">
      <w:r>
        <w:continuationSeparator/>
      </w:r>
    </w:p>
  </w:endnote>
  <w:endnote w:type="continuationNotice" w:id="1">
    <w:p w14:paraId="3A4CF850" w14:textId="77777777" w:rsidR="004A4FBF" w:rsidRDefault="004A4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DC52" w14:textId="63525F2F" w:rsidR="007C09EE" w:rsidRDefault="00074606">
    <w:pPr>
      <w:pStyle w:val="Footer"/>
    </w:pPr>
    <w:r>
      <w:rPr>
        <w:noProof/>
        <w:lang w:val="en-CA" w:eastAsia="en-CA"/>
      </w:rPr>
      <mc:AlternateContent>
        <mc:Choice Requires="wps">
          <w:drawing>
            <wp:anchor distT="0" distB="0" distL="114300" distR="114300" simplePos="0" relativeHeight="251659264" behindDoc="0" locked="1" layoutInCell="0" allowOverlap="1" wp14:anchorId="6A1A7240" wp14:editId="2ED2FA83">
              <wp:simplePos x="0" y="0"/>
              <wp:positionH relativeFrom="margin">
                <wp:posOffset>0</wp:posOffset>
              </wp:positionH>
              <wp:positionV relativeFrom="paragraph">
                <wp:posOffset>137160</wp:posOffset>
              </wp:positionV>
              <wp:extent cx="5943600" cy="228600"/>
              <wp:effectExtent l="0" t="0" r="0" b="0"/>
              <wp:wrapNone/>
              <wp:docPr id="10" name="DocsID_PF425354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0BCB" w14:textId="77777777" w:rsidR="00074606" w:rsidRDefault="004A4FBF">
                          <w:pPr>
                            <w:pStyle w:val="DocsID"/>
                          </w:pPr>
                          <w:r>
                            <w:fldChar w:fldCharType="begin"/>
                          </w:r>
                          <w:r>
                            <w:instrText xml:space="preserve"> DOCPROPERTY "DocsID"  \* MERGEFORMAT </w:instrText>
                          </w:r>
                          <w:r>
                            <w:fldChar w:fldCharType="separate"/>
                          </w:r>
                          <w:r w:rsidR="008C3747">
                            <w:t>S:\88\88757-APPIA\Press Release\20160614 FTWCppv4.docx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7240" id="_x0000_t202" coordsize="21600,21600" o:spt="202" path="m,l,21600r21600,l21600,xe">
              <v:stroke joinstyle="miter"/>
              <v:path gradientshapeok="t" o:connecttype="rect"/>
            </v:shapetype>
            <v:shape id="DocsID_PF4253541081" o:spid="_x0000_s1026" type="#_x0000_t202" style="position:absolute;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BPOdJNtAIAALMFAAAO&#10;AAAAAAAAAAAAAAAAAC4CAABkcnMvZTJvRG9jLnhtbFBLAQItABQABgAIAAAAIQDdiQox3AAAAAYB&#10;AAAPAAAAAAAAAAAAAAAAAA4FAABkcnMvZG93bnJldi54bWxQSwUGAAAAAAQABADzAAAAFwYAAAAA&#10;" o:allowincell="f" filled="f" stroked="f">
              <v:textbox inset="0,0,0,0">
                <w:txbxContent>
                  <w:p w14:paraId="56750BCB" w14:textId="77777777" w:rsidR="00074606" w:rsidRDefault="004A4FBF">
                    <w:pPr>
                      <w:pStyle w:val="DocsID"/>
                    </w:pPr>
                    <w:r>
                      <w:fldChar w:fldCharType="begin"/>
                    </w:r>
                    <w:r>
                      <w:instrText xml:space="preserve"> DOCPROPERTY "DocsID"  \* MERGEFORMAT </w:instrText>
                    </w:r>
                    <w:r>
                      <w:fldChar w:fldCharType="separate"/>
                    </w:r>
                    <w:r w:rsidR="008C3747">
                      <w:t>S:\88\88757-APPIA\Press Release\20160614 FTWCppv4.docx</w:t>
                    </w:r>
                    <w:r>
                      <w:fldChar w:fldCharType="end"/>
                    </w:r>
                  </w:p>
                </w:txbxContent>
              </v:textbox>
              <w10:wrap anchorx="margin"/>
              <w10:anchorlock/>
            </v:shape>
          </w:pict>
        </mc:Fallback>
      </mc:AlternateContent>
    </w:r>
    <w:r w:rsidR="007C09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B5AF4" w14:textId="77777777" w:rsidR="004A4FBF" w:rsidRDefault="004A4FBF" w:rsidP="007C09EE">
      <w:r>
        <w:separator/>
      </w:r>
    </w:p>
  </w:footnote>
  <w:footnote w:type="continuationSeparator" w:id="0">
    <w:p w14:paraId="23EB504F" w14:textId="77777777" w:rsidR="004A4FBF" w:rsidRDefault="004A4FBF" w:rsidP="007C09EE">
      <w:r>
        <w:continuationSeparator/>
      </w:r>
    </w:p>
  </w:footnote>
  <w:footnote w:type="continuationNotice" w:id="1">
    <w:p w14:paraId="3A30C9A2" w14:textId="77777777" w:rsidR="004A4FBF" w:rsidRDefault="004A4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0149" w14:textId="350A474D" w:rsidR="007C09EE" w:rsidRDefault="007C09E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B1A27C-7A19-4F7F-B5F2-C4CCAA31C98C}"/>
    <w:docVar w:name="dgnword-eventsink" w:val="438584896"/>
  </w:docVars>
  <w:rsids>
    <w:rsidRoot w:val="005F7678"/>
    <w:rsid w:val="00004B19"/>
    <w:rsid w:val="000206D2"/>
    <w:rsid w:val="00031CCF"/>
    <w:rsid w:val="00074606"/>
    <w:rsid w:val="00087561"/>
    <w:rsid w:val="000C2FA5"/>
    <w:rsid w:val="000E7A05"/>
    <w:rsid w:val="00117819"/>
    <w:rsid w:val="00136804"/>
    <w:rsid w:val="0015511E"/>
    <w:rsid w:val="001813D5"/>
    <w:rsid w:val="0022025A"/>
    <w:rsid w:val="00256EFA"/>
    <w:rsid w:val="00277D74"/>
    <w:rsid w:val="002914E6"/>
    <w:rsid w:val="00292EF9"/>
    <w:rsid w:val="002A5E10"/>
    <w:rsid w:val="002B2B46"/>
    <w:rsid w:val="002E4A22"/>
    <w:rsid w:val="00301994"/>
    <w:rsid w:val="00315567"/>
    <w:rsid w:val="003C58B8"/>
    <w:rsid w:val="00407068"/>
    <w:rsid w:val="0043539A"/>
    <w:rsid w:val="00446F90"/>
    <w:rsid w:val="004A4FBF"/>
    <w:rsid w:val="0050420F"/>
    <w:rsid w:val="005427BF"/>
    <w:rsid w:val="005435AF"/>
    <w:rsid w:val="005D43D9"/>
    <w:rsid w:val="005F7678"/>
    <w:rsid w:val="00613326"/>
    <w:rsid w:val="0067463F"/>
    <w:rsid w:val="006A6128"/>
    <w:rsid w:val="006D7F34"/>
    <w:rsid w:val="007050A3"/>
    <w:rsid w:val="0074729B"/>
    <w:rsid w:val="00792809"/>
    <w:rsid w:val="007C09EE"/>
    <w:rsid w:val="007D3826"/>
    <w:rsid w:val="0086279A"/>
    <w:rsid w:val="008B2AD3"/>
    <w:rsid w:val="008C0C9A"/>
    <w:rsid w:val="008C3747"/>
    <w:rsid w:val="00902E21"/>
    <w:rsid w:val="00911051"/>
    <w:rsid w:val="00926A7E"/>
    <w:rsid w:val="009448DB"/>
    <w:rsid w:val="00993E63"/>
    <w:rsid w:val="009A2DC1"/>
    <w:rsid w:val="009B4D22"/>
    <w:rsid w:val="009D6C7C"/>
    <w:rsid w:val="009D7F13"/>
    <w:rsid w:val="00A03ED0"/>
    <w:rsid w:val="00A70D95"/>
    <w:rsid w:val="00A81188"/>
    <w:rsid w:val="00AA61FD"/>
    <w:rsid w:val="00AA663F"/>
    <w:rsid w:val="00AD1120"/>
    <w:rsid w:val="00AF76C4"/>
    <w:rsid w:val="00B24589"/>
    <w:rsid w:val="00B71DB7"/>
    <w:rsid w:val="00BB269E"/>
    <w:rsid w:val="00BB444C"/>
    <w:rsid w:val="00BC2829"/>
    <w:rsid w:val="00BE2260"/>
    <w:rsid w:val="00C26574"/>
    <w:rsid w:val="00C30C32"/>
    <w:rsid w:val="00C50AAA"/>
    <w:rsid w:val="00C615D1"/>
    <w:rsid w:val="00C65C3A"/>
    <w:rsid w:val="00C94968"/>
    <w:rsid w:val="00CF2209"/>
    <w:rsid w:val="00D27907"/>
    <w:rsid w:val="00D555EE"/>
    <w:rsid w:val="00D66BD2"/>
    <w:rsid w:val="00D85669"/>
    <w:rsid w:val="00E11852"/>
    <w:rsid w:val="00E66059"/>
    <w:rsid w:val="00E836D8"/>
    <w:rsid w:val="00EA2884"/>
    <w:rsid w:val="00EA49BA"/>
    <w:rsid w:val="00EE21AF"/>
    <w:rsid w:val="00F05B35"/>
    <w:rsid w:val="00F9406B"/>
    <w:rsid w:val="00FC60D8"/>
    <w:rsid w:val="20421EB0"/>
    <w:rsid w:val="5F8D861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77AA7"/>
  <w15:docId w15:val="{4EE3A6EE-0CE5-4F2F-A7AC-262E4D66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0F"/>
  </w:style>
  <w:style w:type="paragraph" w:styleId="Heading2">
    <w:name w:val="heading 2"/>
    <w:basedOn w:val="Normal"/>
    <w:next w:val="Normal"/>
    <w:link w:val="Heading2Char"/>
    <w:unhideWhenUsed/>
    <w:qFormat/>
    <w:locked/>
    <w:rsid w:val="008C37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55EE"/>
    <w:rPr>
      <w:rFonts w:cs="Times New Roman"/>
      <w:color w:val="0000FF"/>
      <w:u w:val="single"/>
    </w:rPr>
  </w:style>
  <w:style w:type="paragraph" w:styleId="Caption">
    <w:name w:val="caption"/>
    <w:aliases w:val="Table Caption,Caption Char,Caption Char1 Char,Caption Char Char Char"/>
    <w:basedOn w:val="Normal"/>
    <w:next w:val="Normal"/>
    <w:link w:val="CaptionChar1"/>
    <w:uiPriority w:val="99"/>
    <w:qFormat/>
    <w:locked/>
    <w:rsid w:val="0022025A"/>
    <w:pPr>
      <w:spacing w:line="300" w:lineRule="auto"/>
      <w:jc w:val="center"/>
    </w:pPr>
    <w:rPr>
      <w:rFonts w:ascii="Times New Roman" w:eastAsia="Times New Roman" w:hAnsi="Times New Roman"/>
      <w:sz w:val="24"/>
      <w:szCs w:val="20"/>
      <w:lang w:val="en-GB"/>
    </w:rPr>
  </w:style>
  <w:style w:type="character" w:customStyle="1" w:styleId="CaptionChar1">
    <w:name w:val="Caption Char1"/>
    <w:aliases w:val="Table Caption Char,Caption Char Char,Caption Char1 Char Char,Caption Char Char Char Char"/>
    <w:link w:val="Caption"/>
    <w:uiPriority w:val="99"/>
    <w:locked/>
    <w:rsid w:val="0022025A"/>
    <w:rPr>
      <w:rFonts w:eastAsia="Times New Roman"/>
      <w:sz w:val="24"/>
      <w:lang w:val="en-GB" w:eastAsia="en-US"/>
    </w:rPr>
  </w:style>
  <w:style w:type="paragraph" w:styleId="BalloonText">
    <w:name w:val="Balloon Text"/>
    <w:basedOn w:val="Normal"/>
    <w:link w:val="BalloonTextChar"/>
    <w:uiPriority w:val="99"/>
    <w:semiHidden/>
    <w:unhideWhenUsed/>
    <w:rsid w:val="00C30C32"/>
    <w:rPr>
      <w:rFonts w:ascii="Tahoma" w:hAnsi="Tahoma" w:cs="Tahoma"/>
      <w:sz w:val="16"/>
      <w:szCs w:val="16"/>
    </w:rPr>
  </w:style>
  <w:style w:type="character" w:customStyle="1" w:styleId="BalloonTextChar">
    <w:name w:val="Balloon Text Char"/>
    <w:basedOn w:val="DefaultParagraphFont"/>
    <w:link w:val="BalloonText"/>
    <w:uiPriority w:val="99"/>
    <w:semiHidden/>
    <w:rsid w:val="00C30C32"/>
    <w:rPr>
      <w:rFonts w:ascii="Tahoma" w:hAnsi="Tahoma" w:cs="Tahoma"/>
      <w:sz w:val="16"/>
      <w:szCs w:val="16"/>
    </w:rPr>
  </w:style>
  <w:style w:type="paragraph" w:styleId="Revision">
    <w:name w:val="Revision"/>
    <w:hidden/>
    <w:uiPriority w:val="99"/>
    <w:semiHidden/>
    <w:rsid w:val="000206D2"/>
  </w:style>
  <w:style w:type="paragraph" w:styleId="Header">
    <w:name w:val="header"/>
    <w:basedOn w:val="Normal"/>
    <w:link w:val="HeaderChar"/>
    <w:uiPriority w:val="99"/>
    <w:unhideWhenUsed/>
    <w:rsid w:val="007C09EE"/>
    <w:pPr>
      <w:tabs>
        <w:tab w:val="center" w:pos="4680"/>
        <w:tab w:val="right" w:pos="9360"/>
      </w:tabs>
    </w:pPr>
  </w:style>
  <w:style w:type="character" w:customStyle="1" w:styleId="HeaderChar">
    <w:name w:val="Header Char"/>
    <w:basedOn w:val="DefaultParagraphFont"/>
    <w:link w:val="Header"/>
    <w:uiPriority w:val="99"/>
    <w:rsid w:val="007C09EE"/>
  </w:style>
  <w:style w:type="paragraph" w:styleId="Footer">
    <w:name w:val="footer"/>
    <w:basedOn w:val="Normal"/>
    <w:link w:val="FooterChar"/>
    <w:uiPriority w:val="99"/>
    <w:unhideWhenUsed/>
    <w:rsid w:val="007C09EE"/>
    <w:pPr>
      <w:tabs>
        <w:tab w:val="center" w:pos="4680"/>
        <w:tab w:val="right" w:pos="9360"/>
      </w:tabs>
    </w:pPr>
  </w:style>
  <w:style w:type="character" w:customStyle="1" w:styleId="FooterChar">
    <w:name w:val="Footer Char"/>
    <w:basedOn w:val="DefaultParagraphFont"/>
    <w:link w:val="Footer"/>
    <w:uiPriority w:val="99"/>
    <w:rsid w:val="007C09EE"/>
  </w:style>
  <w:style w:type="paragraph" w:customStyle="1" w:styleId="DocsID">
    <w:name w:val="DocsID"/>
    <w:basedOn w:val="Normal"/>
    <w:rsid w:val="007C09EE"/>
    <w:pPr>
      <w:spacing w:before="20"/>
    </w:pPr>
    <w:rPr>
      <w:rFonts w:ascii="Times New Roman" w:eastAsia="Times New Roman" w:hAnsi="Times New Roman"/>
      <w:color w:val="000080"/>
      <w:sz w:val="16"/>
      <w:szCs w:val="20"/>
      <w:lang w:val="en-CA"/>
    </w:rPr>
  </w:style>
  <w:style w:type="character" w:customStyle="1" w:styleId="Heading2Char">
    <w:name w:val="Heading 2 Char"/>
    <w:basedOn w:val="DefaultParagraphFont"/>
    <w:link w:val="Heading2"/>
    <w:rsid w:val="008C37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vandewater@on.aibn.com" TargetMode="External"/><Relationship Id="rId4" Type="http://schemas.openxmlformats.org/officeDocument/2006/relationships/settings" Target="settings.xml"/><Relationship Id="rId9" Type="http://schemas.openxmlformats.org/officeDocument/2006/relationships/hyperlink" Target="mailto:appia@appiaenerg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47E1-5078-4CF1-9223-3CBA080F6BC9}">
  <ds:schemaRefs>
    <ds:schemaRef ds:uri="http://schemas.openxmlformats.org/officeDocument/2006/bibliography"/>
  </ds:schemaRefs>
</ds:datastoreItem>
</file>

<file path=customXml/itemProps2.xml><?xml version="1.0" encoding="utf-8"?>
<ds:datastoreItem xmlns:ds="http://schemas.openxmlformats.org/officeDocument/2006/customXml" ds:itemID="{C0BBB777-9931-416D-B802-510170F8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April 5, 2013</vt:lpstr>
    </vt:vector>
  </TitlesOfParts>
  <Company>Toshiba</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April 5, 2013</dc:title>
  <dc:creator>Frank</dc:creator>
  <cp:lastModifiedBy>Frank vandeWater</cp:lastModifiedBy>
  <cp:revision>3</cp:revision>
  <cp:lastPrinted>2016-06-16T11:54:00Z</cp:lastPrinted>
  <dcterms:created xsi:type="dcterms:W3CDTF">2016-06-16T12:00:00Z</dcterms:created>
  <dcterms:modified xsi:type="dcterms:W3CDTF">2016-06-16T12:00:00Z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S:\88\88757-APPIA\Press Release\20160614 FTWCppv4.docx</vt:lpwstr>
  </property>
  <property fmtid="{D5CDD505-2E9C-101B-9397-08002B2CF9AE}" pid="4" name="MAIL_MSG_ID1">
    <vt:lpwstr>GEAAO+/T9t20xwnRJTPpi3vv4Yx+7XBZIth6UVXg8CedPNzkFYQPqdmBe5hgiScScypgifFAXqTjzaMI
bPJUcu4zcJWhHAor0kLAEs11c8JLHEaYJz/tLEcCCjl5UEAqaYL1fCqEu/D+/Qlnth9FTnRK67xs
PazzBtmJyU1wB7mFsZKjndMKuCmf02A++Udf+VolMHp6kXs5MOq6AQbHDuP8l4yZFuRHvmsMoP+G
hCNvybokF2PVT7G6W</vt:lpwstr>
  </property>
  <property fmtid="{D5CDD505-2E9C-101B-9397-08002B2CF9AE}" pid="5" name="MAIL_MSG_ID2">
    <vt:lpwstr>UboR26Gs55Z</vt:lpwstr>
  </property>
  <property fmtid="{D5CDD505-2E9C-101B-9397-08002B2CF9AE}" pid="6" name="RESPONSE_SENDER_NAME">
    <vt:lpwstr>gAAAJ+PfKkF/6hj5kkv8WbioyrqwnKj6/1Jo</vt:lpwstr>
  </property>
  <property fmtid="{D5CDD505-2E9C-101B-9397-08002B2CF9AE}" pid="7" name="EMAIL_OWNER_ADDRESS">
    <vt:lpwstr>sAAA4E8dREqJqIrl6F5GJ/OGDAvNlRFCvNyPh1kCsLX7uMM=</vt:lpwstr>
  </property>
</Properties>
</file>