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56101E">
        <w:rPr>
          <w:rFonts w:ascii="Arial" w:hAnsi="Arial"/>
          <w:u w:val="single"/>
          <w:lang w:val="en-CA"/>
        </w:rPr>
        <w:t>Alliance Growers Corp.</w:t>
      </w:r>
      <w:r>
        <w:rPr>
          <w:rFonts w:ascii="Arial" w:hAnsi="Arial"/>
          <w:u w:val="single"/>
          <w:lang w:val="en-CA"/>
        </w:rPr>
        <w:tab/>
      </w:r>
      <w:r>
        <w:rPr>
          <w:rFonts w:ascii="Arial" w:hAnsi="Arial"/>
          <w:u w:val="single"/>
          <w:lang w:val="en-CA"/>
        </w:rPr>
        <w:tab/>
      </w:r>
      <w:r>
        <w:rPr>
          <w:rFonts w:ascii="Arial" w:hAnsi="Arial"/>
          <w:lang w:val="en-CA"/>
        </w:rPr>
        <w:t xml:space="preserve">(the “Issuer”).  </w:t>
      </w:r>
    </w:p>
    <w:p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sidR="0056101E">
        <w:rPr>
          <w:rFonts w:ascii="Arial" w:hAnsi="Arial"/>
          <w:u w:val="single"/>
          <w:lang w:val="en-CA"/>
        </w:rPr>
        <w:t>ACG</w:t>
      </w:r>
      <w:r>
        <w:rPr>
          <w:rFonts w:ascii="Arial" w:hAnsi="Arial"/>
          <w:u w:val="single"/>
          <w:lang w:val="en-CA"/>
        </w:rPr>
        <w:tab/>
      </w:r>
      <w:r>
        <w:rPr>
          <w:rFonts w:ascii="Arial" w:hAnsi="Arial"/>
          <w:u w:val="single"/>
          <w:lang w:val="en-CA"/>
        </w:rPr>
        <w:tab/>
      </w:r>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sidR="00F05862">
        <w:rPr>
          <w:rFonts w:ascii="Arial" w:hAnsi="Arial"/>
          <w:u w:val="single"/>
          <w:lang w:val="en-CA"/>
        </w:rPr>
        <w:t>April 5</w:t>
      </w:r>
      <w:r w:rsidR="001B7C8B">
        <w:rPr>
          <w:rFonts w:ascii="Arial" w:hAnsi="Arial"/>
          <w:u w:val="single"/>
          <w:lang w:val="en-CA"/>
        </w:rPr>
        <w:t>, 2017</w:t>
      </w:r>
      <w:r>
        <w:rPr>
          <w:rFonts w:ascii="Arial" w:hAnsi="Arial"/>
          <w:u w:val="single"/>
          <w:lang w:val="en-CA"/>
        </w:rPr>
        <w:tab/>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m:oMath>
        <m:r>
          <w:rPr>
            <w:rFonts w:ascii="Cambria Math" w:hAnsi="Cambria Math"/>
            <w:lang w:val="en-CA"/>
          </w:rPr>
          <m:t>√</m:t>
        </m:r>
      </m:oMath>
      <w:r>
        <w:rPr>
          <w:rFonts w:ascii="Arial" w:hAnsi="Arial"/>
          <w:lang w:val="en-CA"/>
        </w:rPr>
        <w:t>No</w:t>
      </w:r>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7C6DC7">
        <w:rPr>
          <w:rFonts w:ascii="Arial" w:hAnsi="Arial"/>
          <w:u w:val="single"/>
          <w:lang w:val="en-CA"/>
        </w:rPr>
        <w:t>37,</w:t>
      </w:r>
      <w:r w:rsidR="00FA32A9">
        <w:rPr>
          <w:rFonts w:ascii="Arial" w:hAnsi="Arial"/>
          <w:u w:val="single"/>
          <w:lang w:val="en-CA"/>
        </w:rPr>
        <w:t>471</w:t>
      </w:r>
      <w:r w:rsidR="007C6DC7">
        <w:rPr>
          <w:rFonts w:ascii="Arial" w:hAnsi="Arial"/>
          <w:u w:val="single"/>
          <w:lang w:val="en-CA"/>
        </w:rPr>
        <w:t>,</w:t>
      </w:r>
      <w:r w:rsidR="003257EB">
        <w:rPr>
          <w:rFonts w:ascii="Arial" w:hAnsi="Arial"/>
          <w:u w:val="single"/>
          <w:lang w:val="en-CA"/>
        </w:rPr>
        <w:t>168</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F05862">
        <w:rPr>
          <w:rFonts w:ascii="Arial" w:hAnsi="Arial"/>
          <w:u w:val="single"/>
          <w:lang w:val="en-CA"/>
        </w:rPr>
        <w:t>April 5</w:t>
      </w:r>
      <w:r w:rsidR="001B7C8B">
        <w:rPr>
          <w:rFonts w:ascii="Arial" w:hAnsi="Arial"/>
          <w:u w:val="single"/>
          <w:lang w:val="en-CA"/>
        </w:rPr>
        <w:t>, 2017</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56101E" w:rsidRPr="00275AA2">
        <w:rPr>
          <w:rFonts w:ascii="Arial" w:hAnsi="Arial"/>
          <w:u w:val="single"/>
          <w:lang w:val="en-CA"/>
        </w:rPr>
        <w:t>$0.</w:t>
      </w:r>
      <w:r w:rsidR="00144347">
        <w:rPr>
          <w:rFonts w:ascii="Arial" w:hAnsi="Arial"/>
          <w:u w:val="single"/>
          <w:lang w:val="en-CA"/>
        </w:rPr>
        <w:t>1</w:t>
      </w:r>
      <w:r w:rsidR="00F05862">
        <w:rPr>
          <w:rFonts w:ascii="Arial" w:hAnsi="Arial"/>
          <w:u w:val="single"/>
          <w:lang w:val="en-CA"/>
        </w:rPr>
        <w:t>4</w:t>
      </w:r>
      <w:r>
        <w:rPr>
          <w:rFonts w:ascii="Arial" w:hAnsi="Arial"/>
          <w:lang w:val="en-CA"/>
        </w:rPr>
        <w:t>____</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Tr="00C40056">
        <w:trPr>
          <w:trHeight w:val="1965"/>
          <w:jc w:val="center"/>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Full Name &amp; Residential Address of Placee</w:t>
            </w:r>
          </w:p>
        </w:tc>
        <w:tc>
          <w:tcPr>
            <w:tcW w:w="1376" w:type="dxa"/>
          </w:tcPr>
          <w:p w:rsidR="00EA4133" w:rsidRDefault="00EA4133">
            <w:pPr>
              <w:pStyle w:val="BodyText"/>
              <w:spacing w:before="0" w:line="280" w:lineRule="exact"/>
              <w:jc w:val="center"/>
              <w:rPr>
                <w:rFonts w:ascii="Arial" w:hAnsi="Arial"/>
                <w:b/>
                <w:sz w:val="20"/>
                <w:lang w:val="en-CA"/>
              </w:rPr>
            </w:pPr>
          </w:p>
          <w:p w:rsidR="00D449FC"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p w:rsidR="00EA4133" w:rsidRDefault="006B4352">
            <w:pPr>
              <w:pStyle w:val="BodyText"/>
              <w:spacing w:before="0" w:line="280" w:lineRule="exact"/>
              <w:jc w:val="center"/>
              <w:rPr>
                <w:rFonts w:ascii="Arial" w:hAnsi="Arial"/>
                <w:b/>
                <w:sz w:val="20"/>
                <w:lang w:val="en-CA"/>
              </w:rPr>
            </w:pPr>
            <w:r>
              <w:rPr>
                <w:rFonts w:ascii="Arial" w:hAnsi="Arial"/>
                <w:b/>
                <w:sz w:val="20"/>
                <w:lang w:val="en-CA"/>
              </w:rPr>
              <w:t xml:space="preserve"> </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19114E" w:rsidRPr="00275AA2"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6B4352" w:rsidRDefault="006B4352" w:rsidP="006B4352">
            <w:pPr>
              <w:pStyle w:val="NoSpacing"/>
              <w:jc w:val="center"/>
              <w:rPr>
                <w:rFonts w:ascii="Arial" w:hAnsi="Arial" w:cs="Arial"/>
                <w:b/>
                <w:color w:val="auto"/>
                <w:sz w:val="18"/>
                <w:szCs w:val="18"/>
              </w:rPr>
            </w:pPr>
            <w:r w:rsidRPr="006B4352">
              <w:rPr>
                <w:rFonts w:ascii="Arial" w:hAnsi="Arial" w:cs="Arial"/>
                <w:b/>
                <w:color w:val="auto"/>
                <w:sz w:val="18"/>
                <w:szCs w:val="18"/>
              </w:rPr>
              <w:t>Alumina Partners (Ontario) Ltd.</w:t>
            </w:r>
          </w:p>
          <w:p w:rsidR="00085D33" w:rsidRDefault="00085D33" w:rsidP="00085D33">
            <w:pPr>
              <w:autoSpaceDE w:val="0"/>
              <w:autoSpaceDN w:val="0"/>
              <w:adjustRightInd w:val="0"/>
              <w:rPr>
                <w:rFonts w:ascii="Calibri" w:hAnsi="Calibri" w:cs="Calibri"/>
              </w:rPr>
            </w:pPr>
            <w:r>
              <w:rPr>
                <w:rFonts w:ascii="Calibri" w:hAnsi="Calibri" w:cs="Calibri"/>
              </w:rPr>
              <w:t>c/o Brookfield Place</w:t>
            </w:r>
          </w:p>
          <w:p w:rsidR="00085D33" w:rsidRDefault="00085D33" w:rsidP="00085D33">
            <w:pPr>
              <w:autoSpaceDE w:val="0"/>
              <w:autoSpaceDN w:val="0"/>
              <w:adjustRightInd w:val="0"/>
              <w:rPr>
                <w:rFonts w:ascii="Calibri" w:hAnsi="Calibri" w:cs="Calibri"/>
              </w:rPr>
            </w:pPr>
            <w:r>
              <w:rPr>
                <w:rFonts w:ascii="Calibri" w:hAnsi="Calibri" w:cs="Calibri"/>
              </w:rPr>
              <w:t>181 Bay Street, Suite 1800</w:t>
            </w:r>
          </w:p>
          <w:p w:rsidR="00085D33" w:rsidRDefault="00085D33" w:rsidP="00085D33">
            <w:pPr>
              <w:autoSpaceDE w:val="0"/>
              <w:autoSpaceDN w:val="0"/>
              <w:adjustRightInd w:val="0"/>
              <w:rPr>
                <w:rFonts w:ascii="Calibri" w:hAnsi="Calibri" w:cs="Calibri"/>
              </w:rPr>
            </w:pPr>
            <w:r>
              <w:rPr>
                <w:rFonts w:ascii="Calibri" w:hAnsi="Calibri" w:cs="Calibri"/>
              </w:rPr>
              <w:t>Toronto, Ontario</w:t>
            </w:r>
          </w:p>
          <w:p w:rsidR="00085D33" w:rsidRPr="006B4352" w:rsidRDefault="00085D33" w:rsidP="00085D33">
            <w:pPr>
              <w:pStyle w:val="NoSpacing"/>
              <w:jc w:val="center"/>
              <w:rPr>
                <w:rFonts w:ascii="Arial" w:eastAsia="Arial" w:hAnsi="Arial" w:cs="Arial"/>
                <w:b/>
                <w:color w:val="auto"/>
                <w:sz w:val="18"/>
                <w:szCs w:val="18"/>
              </w:rPr>
            </w:pPr>
            <w:r>
              <w:t>M5J 2T9</w:t>
            </w:r>
          </w:p>
          <w:p w:rsidR="0019114E" w:rsidRPr="006B4352" w:rsidRDefault="0019114E" w:rsidP="006B4352">
            <w:pPr>
              <w:tabs>
                <w:tab w:val="left" w:pos="-5760"/>
                <w:tab w:val="right" w:pos="8784"/>
              </w:tabs>
              <w:jc w:val="center"/>
              <w:rPr>
                <w:rFonts w:ascii="Tahoma" w:hAnsi="Tahoma" w:cs="Tahoma"/>
                <w:b/>
                <w:sz w:val="18"/>
                <w:szCs w:val="18"/>
              </w:rPr>
            </w:pPr>
          </w:p>
        </w:tc>
        <w:tc>
          <w:tcPr>
            <w:tcW w:w="1376" w:type="dxa"/>
            <w:tcBorders>
              <w:top w:val="single" w:sz="4" w:space="0" w:color="auto"/>
              <w:left w:val="single" w:sz="4" w:space="0" w:color="auto"/>
              <w:bottom w:val="single" w:sz="4" w:space="0" w:color="auto"/>
              <w:right w:val="single" w:sz="4" w:space="0" w:color="auto"/>
            </w:tcBorders>
            <w:vAlign w:val="center"/>
          </w:tcPr>
          <w:p w:rsidR="0019114E" w:rsidRDefault="00F05862" w:rsidP="0019114E">
            <w:pPr>
              <w:jc w:val="center"/>
              <w:rPr>
                <w:rFonts w:ascii="Tahoma" w:hAnsi="Tahoma" w:cs="Tahoma"/>
                <w:b/>
              </w:rPr>
            </w:pPr>
            <w:r>
              <w:rPr>
                <w:rFonts w:ascii="Tahoma" w:hAnsi="Tahoma" w:cs="Tahoma"/>
                <w:b/>
              </w:rPr>
              <w:t>1,0</w:t>
            </w:r>
            <w:r w:rsidR="006B4352">
              <w:rPr>
                <w:rFonts w:ascii="Tahoma" w:hAnsi="Tahoma" w:cs="Tahoma"/>
                <w:b/>
              </w:rPr>
              <w:t>00,000</w:t>
            </w:r>
            <w:r w:rsidR="00085D33">
              <w:rPr>
                <w:rFonts w:ascii="Tahoma" w:hAnsi="Tahoma" w:cs="Tahoma"/>
                <w:b/>
              </w:rPr>
              <w:t xml:space="preserve"> Units</w:t>
            </w:r>
          </w:p>
          <w:p w:rsidR="00085D33" w:rsidRDefault="00085D33" w:rsidP="0019114E">
            <w:pPr>
              <w:jc w:val="center"/>
              <w:rPr>
                <w:rFonts w:ascii="Tahoma" w:hAnsi="Tahoma" w:cs="Tahoma"/>
                <w:b/>
              </w:rPr>
            </w:pPr>
            <w:r>
              <w:rPr>
                <w:rFonts w:ascii="Tahoma" w:hAnsi="Tahoma" w:cs="Tahoma"/>
                <w:b/>
              </w:rPr>
              <w:t xml:space="preserve"> </w:t>
            </w:r>
          </w:p>
          <w:p w:rsidR="00085D33" w:rsidRPr="004B7B32" w:rsidRDefault="00085D33" w:rsidP="0019114E">
            <w:pPr>
              <w:jc w:val="center"/>
              <w:rPr>
                <w:rFonts w:ascii="Tahoma" w:hAnsi="Tahoma" w:cs="Tahoma"/>
                <w:b/>
              </w:rPr>
            </w:pPr>
            <w:r>
              <w:rPr>
                <w:rFonts w:ascii="Tahoma" w:hAnsi="Tahoma" w:cs="Tahoma"/>
                <w:b/>
              </w:rPr>
              <w:t>150,000 common shares</w:t>
            </w:r>
          </w:p>
        </w:tc>
        <w:tc>
          <w:tcPr>
            <w:tcW w:w="1192" w:type="dxa"/>
            <w:vAlign w:val="center"/>
          </w:tcPr>
          <w:p w:rsidR="0019114E" w:rsidRDefault="0019114E" w:rsidP="0019114E">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w:t>
            </w:r>
            <w:r w:rsidR="00986361">
              <w:rPr>
                <w:rFonts w:ascii="Arial" w:hAnsi="Arial"/>
                <w:b/>
                <w:sz w:val="20"/>
                <w:lang w:val="en-CA"/>
              </w:rPr>
              <w:t>05</w:t>
            </w:r>
            <w:r w:rsidR="00085D33">
              <w:rPr>
                <w:rFonts w:ascii="Arial" w:hAnsi="Arial"/>
                <w:b/>
                <w:sz w:val="20"/>
                <w:lang w:val="en-CA"/>
              </w:rPr>
              <w:t xml:space="preserve"> per unit</w:t>
            </w:r>
          </w:p>
          <w:p w:rsidR="00085D33" w:rsidRDefault="00085D33" w:rsidP="0019114E">
            <w:pPr>
              <w:pStyle w:val="BodyText"/>
              <w:spacing w:before="0" w:line="280" w:lineRule="exact"/>
              <w:jc w:val="center"/>
              <w:rPr>
                <w:rFonts w:ascii="Arial" w:hAnsi="Arial"/>
                <w:b/>
                <w:sz w:val="20"/>
                <w:lang w:val="en-CA"/>
              </w:rPr>
            </w:pPr>
          </w:p>
          <w:p w:rsidR="00085D33" w:rsidRPr="00887614" w:rsidRDefault="0077037F" w:rsidP="0019114E">
            <w:pPr>
              <w:pStyle w:val="BodyText"/>
              <w:spacing w:before="0" w:line="280" w:lineRule="exact"/>
              <w:jc w:val="center"/>
              <w:rPr>
                <w:rFonts w:ascii="Arial" w:hAnsi="Arial"/>
                <w:b/>
                <w:sz w:val="20"/>
                <w:lang w:val="en-CA"/>
              </w:rPr>
            </w:pPr>
            <w:r>
              <w:rPr>
                <w:rFonts w:ascii="Arial" w:hAnsi="Arial"/>
                <w:b/>
                <w:sz w:val="20"/>
                <w:lang w:val="en-CA"/>
              </w:rPr>
              <w:t>$0.14</w:t>
            </w:r>
            <w:r w:rsidR="00085D33">
              <w:rPr>
                <w:rFonts w:ascii="Arial" w:hAnsi="Arial"/>
                <w:b/>
                <w:sz w:val="20"/>
                <w:lang w:val="en-CA"/>
              </w:rPr>
              <w:t xml:space="preserve"> per common share</w:t>
            </w:r>
          </w:p>
        </w:tc>
        <w:tc>
          <w:tcPr>
            <w:tcW w:w="1376" w:type="dxa"/>
            <w:vAlign w:val="center"/>
          </w:tcPr>
          <w:p w:rsidR="0019114E" w:rsidRPr="00887614" w:rsidRDefault="00085D33" w:rsidP="0019114E">
            <w:pPr>
              <w:pStyle w:val="BodyText"/>
              <w:spacing w:before="0" w:line="280" w:lineRule="exact"/>
              <w:jc w:val="center"/>
              <w:rPr>
                <w:rFonts w:ascii="Arial" w:hAnsi="Arial"/>
                <w:b/>
                <w:sz w:val="20"/>
                <w:lang w:val="en-CA"/>
              </w:rPr>
            </w:pPr>
            <w:r>
              <w:rPr>
                <w:rFonts w:ascii="Arial" w:hAnsi="Arial"/>
                <w:b/>
                <w:sz w:val="20"/>
                <w:lang w:val="en-CA"/>
              </w:rPr>
              <w:t>$0.21 per warrant</w:t>
            </w:r>
          </w:p>
        </w:tc>
        <w:tc>
          <w:tcPr>
            <w:tcW w:w="1376" w:type="dxa"/>
            <w:vAlign w:val="center"/>
          </w:tcPr>
          <w:p w:rsidR="0019114E" w:rsidRDefault="0019114E" w:rsidP="0019114E">
            <w:pPr>
              <w:jc w:val="center"/>
              <w:rPr>
                <w:rFonts w:ascii="Arial" w:hAnsi="Arial" w:cs="Arial"/>
                <w:i/>
                <w:iCs/>
              </w:rPr>
            </w:pPr>
            <w:r w:rsidRPr="008531AD">
              <w:rPr>
                <w:rFonts w:ascii="Arial" w:hAnsi="Arial" w:cs="Arial"/>
                <w:i/>
                <w:iCs/>
              </w:rPr>
              <w:t xml:space="preserve">s. </w:t>
            </w:r>
            <w:r w:rsidR="00085D33">
              <w:rPr>
                <w:rFonts w:ascii="Arial" w:hAnsi="Arial" w:cs="Arial"/>
                <w:i/>
                <w:iCs/>
              </w:rPr>
              <w:t>2.3</w:t>
            </w:r>
            <w:r w:rsidRPr="008531AD">
              <w:rPr>
                <w:rFonts w:ascii="Arial" w:hAnsi="Arial" w:cs="Arial"/>
                <w:i/>
                <w:iCs/>
              </w:rPr>
              <w:t xml:space="preserve"> of</w:t>
            </w:r>
          </w:p>
          <w:p w:rsidR="0019114E" w:rsidRPr="00275AA2" w:rsidRDefault="0019114E" w:rsidP="0019114E">
            <w:pPr>
              <w:jc w:val="center"/>
              <w:rPr>
                <w:i/>
              </w:rPr>
            </w:pPr>
            <w:r w:rsidRPr="00275AA2">
              <w:rPr>
                <w:rFonts w:ascii="Arial" w:hAnsi="Arial" w:cs="Arial"/>
                <w:i/>
                <w:iCs/>
              </w:rPr>
              <w:t>NI 45-106</w:t>
            </w:r>
          </w:p>
        </w:tc>
        <w:tc>
          <w:tcPr>
            <w:tcW w:w="1742" w:type="dxa"/>
            <w:vAlign w:val="center"/>
          </w:tcPr>
          <w:p w:rsidR="0019114E" w:rsidRPr="003236D4" w:rsidRDefault="00F05862" w:rsidP="0019114E">
            <w:pPr>
              <w:jc w:val="center"/>
              <w:rPr>
                <w:rFonts w:ascii="Tahoma" w:hAnsi="Tahoma" w:cs="Tahoma"/>
                <w:b/>
              </w:rPr>
            </w:pPr>
            <w:r>
              <w:rPr>
                <w:rFonts w:ascii="Tahoma" w:hAnsi="Tahoma" w:cs="Tahoma"/>
                <w:b/>
              </w:rPr>
              <w:t>1,0</w:t>
            </w:r>
            <w:r w:rsidR="006B4352">
              <w:rPr>
                <w:rFonts w:ascii="Tahoma" w:hAnsi="Tahoma" w:cs="Tahoma"/>
                <w:b/>
              </w:rPr>
              <w:t>00</w:t>
            </w:r>
            <w:r w:rsidR="0019114E">
              <w:rPr>
                <w:rFonts w:ascii="Tahoma" w:hAnsi="Tahoma" w:cs="Tahoma"/>
                <w:b/>
              </w:rPr>
              <w:t>,000</w:t>
            </w:r>
          </w:p>
        </w:tc>
        <w:tc>
          <w:tcPr>
            <w:tcW w:w="1100" w:type="dxa"/>
            <w:vAlign w:val="center"/>
          </w:tcPr>
          <w:p w:rsidR="0019114E" w:rsidRPr="00887614" w:rsidRDefault="00085D33" w:rsidP="0019114E">
            <w:pPr>
              <w:pStyle w:val="BodyText"/>
              <w:spacing w:before="0" w:line="280" w:lineRule="exact"/>
              <w:jc w:val="center"/>
              <w:rPr>
                <w:rFonts w:ascii="Arial" w:hAnsi="Arial"/>
                <w:b/>
                <w:sz w:val="20"/>
                <w:lang w:val="en-CA"/>
              </w:rPr>
            </w:pPr>
            <w:r>
              <w:rPr>
                <w:rFonts w:ascii="Arial" w:hAnsi="Arial"/>
                <w:b/>
                <w:sz w:val="20"/>
                <w:lang w:val="en-CA"/>
              </w:rPr>
              <w:t xml:space="preserve"> </w:t>
            </w:r>
          </w:p>
        </w:tc>
        <w:tc>
          <w:tcPr>
            <w:tcW w:w="1100" w:type="dxa"/>
            <w:vAlign w:val="center"/>
          </w:tcPr>
          <w:p w:rsidR="0019114E" w:rsidRPr="00275AA2" w:rsidRDefault="00085D33" w:rsidP="0019114E">
            <w:pPr>
              <w:pStyle w:val="BodyText"/>
              <w:spacing w:before="0" w:line="280" w:lineRule="exact"/>
              <w:jc w:val="center"/>
              <w:rPr>
                <w:rFonts w:ascii="Arial" w:hAnsi="Arial"/>
                <w:b/>
                <w:color w:val="000000"/>
                <w:sz w:val="20"/>
                <w:lang w:val="en-CA"/>
              </w:rPr>
            </w:pPr>
            <w:r>
              <w:rPr>
                <w:rFonts w:ascii="Arial" w:hAnsi="Arial"/>
                <w:b/>
                <w:color w:val="000000"/>
                <w:sz w:val="20"/>
                <w:lang w:val="en-CA"/>
              </w:rPr>
              <w:t>N/A</w:t>
            </w:r>
            <w:r w:rsidR="006B4352">
              <w:rPr>
                <w:rFonts w:ascii="Arial" w:hAnsi="Arial"/>
                <w:b/>
                <w:color w:val="000000"/>
                <w:sz w:val="20"/>
                <w:lang w:val="en-CA"/>
              </w:rPr>
              <w:t xml:space="preserve">   </w:t>
            </w: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Indicate date each placee advanced or is expected to advance payment for securities.  Provide details of expected payment date, conditions to release of funds etc.  Indicate if the placement funds been placed in trust pending receipt of all necessary approvals.</w:t>
      </w:r>
    </w:p>
    <w:p w:rsidR="00887614" w:rsidRDefault="00EA4133" w:rsidP="005441E9">
      <w:pPr>
        <w:pStyle w:val="BodyText"/>
        <w:numPr>
          <w:ilvl w:val="0"/>
          <w:numId w:val="8"/>
        </w:numPr>
        <w:spacing w:before="0"/>
        <w:ind w:left="389" w:hanging="389"/>
        <w:rPr>
          <w:rFonts w:ascii="Arial" w:hAnsi="Arial" w:cs="Arial"/>
          <w:sz w:val="20"/>
        </w:rPr>
      </w:pPr>
      <w:r w:rsidRPr="008003B9">
        <w:rPr>
          <w:rFonts w:ascii="Arial" w:hAnsi="Arial" w:cs="Arial"/>
          <w:sz w:val="20"/>
        </w:rPr>
        <w:lastRenderedPageBreak/>
        <w:t>Indicate if Related Person.</w:t>
      </w:r>
    </w:p>
    <w:p w:rsidR="005441E9" w:rsidRDefault="005441E9">
      <w:pPr>
        <w:pStyle w:val="FootnoteText"/>
        <w:rPr>
          <w:rFonts w:ascii="Arial" w:hAnsi="Arial" w:cs="Arial"/>
          <w:vertAlign w:val="superscript"/>
        </w:rPr>
      </w:pPr>
    </w:p>
    <w:p w:rsidR="00EA4133"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C666F5" w:rsidRPr="008003B9" w:rsidRDefault="00C666F5">
      <w:pPr>
        <w:pStyle w:val="FootnoteText"/>
        <w:rPr>
          <w:rFonts w:ascii="Arial" w:hAnsi="Arial" w:cs="Arial"/>
          <w:sz w:val="24"/>
          <w:szCs w:val="24"/>
        </w:rPr>
      </w:pPr>
    </w:p>
    <w:p w:rsidR="00EA4133" w:rsidRPr="00085D33" w:rsidRDefault="00EA4133" w:rsidP="00085D33">
      <w:pPr>
        <w:autoSpaceDE w:val="0"/>
        <w:autoSpaceDN w:val="0"/>
        <w:adjustRightInd w:val="0"/>
        <w:ind w:left="1080" w:hanging="1170"/>
        <w:rPr>
          <w:rFonts w:ascii="Arial" w:hAnsi="Arial" w:cs="Arial"/>
          <w:b/>
        </w:rPr>
      </w:pPr>
      <w:r>
        <w:rPr>
          <w:rFonts w:ascii="Arial" w:hAnsi="Arial"/>
        </w:rPr>
        <w:t>1.</w:t>
      </w:r>
      <w:r>
        <w:rPr>
          <w:rFonts w:ascii="Arial" w:hAnsi="Arial"/>
        </w:rPr>
        <w:tab/>
        <w:t xml:space="preserve">Total amount of funds to be raised: </w:t>
      </w:r>
      <w:r w:rsidR="005441E9">
        <w:rPr>
          <w:rFonts w:ascii="Arial" w:hAnsi="Arial"/>
        </w:rPr>
        <w:t xml:space="preserve">  </w:t>
      </w:r>
      <w:r w:rsidR="00085D33" w:rsidRPr="00085D33">
        <w:rPr>
          <w:rFonts w:ascii="Arial" w:hAnsi="Arial" w:cs="Arial"/>
          <w:b/>
        </w:rPr>
        <w:t>The Issuer has entered into an agreement with the Subscriber to subscribe for units (the “</w:t>
      </w:r>
      <w:r w:rsidR="00085D33" w:rsidRPr="00085D33">
        <w:rPr>
          <w:rFonts w:ascii="Arial" w:hAnsi="Arial" w:cs="Arial"/>
          <w:b/>
          <w:bCs/>
        </w:rPr>
        <w:t>Units</w:t>
      </w:r>
      <w:r w:rsidR="00085D33" w:rsidRPr="00085D33">
        <w:rPr>
          <w:rFonts w:ascii="Arial" w:hAnsi="Arial" w:cs="Arial"/>
          <w:b/>
        </w:rPr>
        <w:t>”) in the capital of the Issuer consisting of one common share (each a “</w:t>
      </w:r>
      <w:r w:rsidR="00085D33" w:rsidRPr="00085D33">
        <w:rPr>
          <w:rFonts w:ascii="Arial" w:hAnsi="Arial" w:cs="Arial"/>
          <w:b/>
          <w:bCs/>
        </w:rPr>
        <w:t>Common Share</w:t>
      </w:r>
      <w:r w:rsidR="00085D33" w:rsidRPr="00085D33">
        <w:rPr>
          <w:rFonts w:ascii="Arial" w:hAnsi="Arial" w:cs="Arial"/>
          <w:b/>
        </w:rPr>
        <w:t>” and collectively the “</w:t>
      </w:r>
      <w:r w:rsidR="00085D33" w:rsidRPr="00085D33">
        <w:rPr>
          <w:rFonts w:ascii="Arial" w:hAnsi="Arial" w:cs="Arial"/>
          <w:b/>
          <w:bCs/>
        </w:rPr>
        <w:t>Common Shares</w:t>
      </w:r>
      <w:r w:rsidR="00085D33" w:rsidRPr="00085D33">
        <w:rPr>
          <w:rFonts w:ascii="Arial" w:hAnsi="Arial" w:cs="Arial"/>
          <w:b/>
        </w:rPr>
        <w:t xml:space="preserve">”)  and one common share purchase warrant for a term of </w:t>
      </w:r>
      <w:r w:rsidR="00FA32A9">
        <w:rPr>
          <w:rFonts w:ascii="Arial" w:hAnsi="Arial" w:cs="Arial"/>
          <w:b/>
        </w:rPr>
        <w:t>2</w:t>
      </w:r>
      <w:r w:rsidR="00085D33" w:rsidRPr="00085D33">
        <w:rPr>
          <w:rFonts w:ascii="Arial" w:hAnsi="Arial" w:cs="Arial"/>
          <w:b/>
        </w:rPr>
        <w:t xml:space="preserve"> years (each a “</w:t>
      </w:r>
      <w:r w:rsidR="00085D33" w:rsidRPr="00085D33">
        <w:rPr>
          <w:rFonts w:ascii="Arial" w:hAnsi="Arial" w:cs="Arial"/>
          <w:b/>
          <w:bCs/>
        </w:rPr>
        <w:t>Warrant</w:t>
      </w:r>
      <w:r w:rsidR="00085D33" w:rsidRPr="00085D33">
        <w:rPr>
          <w:rFonts w:ascii="Arial" w:hAnsi="Arial" w:cs="Arial"/>
          <w:b/>
        </w:rPr>
        <w:t>” and collectively the “</w:t>
      </w:r>
      <w:r w:rsidR="00085D33" w:rsidRPr="00085D33">
        <w:rPr>
          <w:rFonts w:ascii="Arial" w:hAnsi="Arial" w:cs="Arial"/>
          <w:b/>
          <w:bCs/>
        </w:rPr>
        <w:t>Warrants</w:t>
      </w:r>
      <w:r w:rsidR="00085D33" w:rsidRPr="00085D33">
        <w:rPr>
          <w:rFonts w:ascii="Arial" w:hAnsi="Arial" w:cs="Arial"/>
          <w:b/>
        </w:rPr>
        <w:t xml:space="preserve">”) in an amount of up to $5,000,000 CAD in the aggregate over multiple tranches, with an option to extend the commitment to up to $10,000,000 CDN. The Issuer is conducting the first tranche of this private placement for $105,000 worth of Units and $15,750 of common shares in </w:t>
      </w:r>
      <w:r w:rsidR="00085D33">
        <w:rPr>
          <w:rFonts w:ascii="Arial" w:hAnsi="Arial" w:cs="Arial"/>
          <w:b/>
        </w:rPr>
        <w:t>respect of the fee.</w:t>
      </w:r>
    </w:p>
    <w:p w:rsidR="00EA4133" w:rsidRDefault="00EA4133" w:rsidP="00085D33">
      <w:pPr>
        <w:autoSpaceDE w:val="0"/>
        <w:autoSpaceDN w:val="0"/>
        <w:adjustRightInd w:val="0"/>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085D33" w:rsidRPr="00085D33">
        <w:rPr>
          <w:rFonts w:ascii="Arial" w:hAnsi="Arial" w:cs="Arial"/>
          <w:b/>
        </w:rPr>
        <w:t>General working capital purposes for the growth of the business.</w:t>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441E9" w:rsidRPr="005441E9">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rsidP="00085D33">
      <w:pPr>
        <w:autoSpaceDE w:val="0"/>
        <w:autoSpaceDN w:val="0"/>
        <w:adjustRightInd w:val="0"/>
        <w:ind w:left="1080" w:hanging="1080"/>
        <w:rPr>
          <w:rFonts w:ascii="Arial" w:hAnsi="Arial"/>
        </w:rPr>
      </w:pPr>
      <w:r>
        <w:rPr>
          <w:rFonts w:ascii="Arial" w:hAnsi="Arial"/>
        </w:rPr>
        <w:tab/>
        <w:t>(a)</w:t>
      </w:r>
      <w:r>
        <w:rPr>
          <w:rFonts w:ascii="Arial" w:hAnsi="Arial"/>
        </w:rPr>
        <w:tab/>
      </w:r>
      <w:r>
        <w:rPr>
          <w:rFonts w:ascii="Arial" w:hAnsi="Arial"/>
        </w:rPr>
        <w:tab/>
        <w:t xml:space="preserve">Class  </w:t>
      </w:r>
      <w:r w:rsidR="00085D33" w:rsidRPr="00085D33">
        <w:rPr>
          <w:rFonts w:ascii="Arial" w:hAnsi="Arial" w:cs="Arial"/>
          <w:b/>
        </w:rPr>
        <w:t>The Issuer will issue Units consisting of 1 common share</w:t>
      </w:r>
      <w:r w:rsidR="00085D33">
        <w:rPr>
          <w:rFonts w:ascii="Arial" w:hAnsi="Arial" w:cs="Arial"/>
          <w:b/>
        </w:rPr>
        <w:t xml:space="preserve"> </w:t>
      </w:r>
      <w:r w:rsidR="00085D33" w:rsidRPr="00085D33">
        <w:rPr>
          <w:rFonts w:ascii="Arial" w:hAnsi="Arial" w:cs="Arial"/>
          <w:b/>
        </w:rPr>
        <w:t>and 1 common share purchase warrant. In respect of the payment of</w:t>
      </w:r>
      <w:r w:rsidR="00085D33">
        <w:rPr>
          <w:rFonts w:ascii="Arial" w:hAnsi="Arial" w:cs="Arial"/>
          <w:b/>
        </w:rPr>
        <w:t xml:space="preserve"> </w:t>
      </w:r>
      <w:r w:rsidR="00085D33" w:rsidRPr="00085D33">
        <w:rPr>
          <w:rFonts w:ascii="Arial" w:hAnsi="Arial" w:cs="Arial"/>
          <w:b/>
        </w:rPr>
        <w:t>financing fee, th</w:t>
      </w:r>
      <w:r w:rsidR="00085D33">
        <w:rPr>
          <w:rFonts w:ascii="Arial" w:hAnsi="Arial" w:cs="Arial"/>
          <w:b/>
        </w:rPr>
        <w:t>e Issuer will issue Common Share</w:t>
      </w:r>
      <w:r w:rsidR="00C666F5">
        <w:rPr>
          <w:rFonts w:ascii="Arial" w:hAnsi="Arial" w:cs="Arial"/>
          <w:b/>
        </w:rPr>
        <w:t>s</w:t>
      </w:r>
      <w:r>
        <w:rPr>
          <w:rFonts w:ascii="Arial" w:hAnsi="Arial"/>
        </w:rPr>
        <w:t>.</w:t>
      </w:r>
    </w:p>
    <w:p w:rsidR="00EA4133" w:rsidRDefault="00EA4133" w:rsidP="00C666F5">
      <w:pPr>
        <w:pStyle w:val="BodyText"/>
        <w:tabs>
          <w:tab w:val="left" w:pos="1080"/>
          <w:tab w:val="left" w:pos="1440"/>
          <w:tab w:val="left" w:pos="2160"/>
          <w:tab w:val="left" w:pos="9180"/>
        </w:tabs>
        <w:ind w:left="1080"/>
        <w:rPr>
          <w:rFonts w:ascii="Arial" w:hAnsi="Arial"/>
        </w:rPr>
      </w:pPr>
      <w:r>
        <w:rPr>
          <w:rFonts w:ascii="Arial" w:hAnsi="Arial"/>
        </w:rPr>
        <w:t>(b)</w:t>
      </w:r>
      <w:r>
        <w:rPr>
          <w:rFonts w:ascii="Arial" w:hAnsi="Arial"/>
        </w:rPr>
        <w:tab/>
      </w:r>
      <w:r>
        <w:rPr>
          <w:rFonts w:ascii="Arial" w:hAnsi="Arial"/>
        </w:rPr>
        <w:tab/>
        <w:t xml:space="preserve">Number </w:t>
      </w:r>
      <w:r w:rsidR="00F05862" w:rsidRPr="00C666F5">
        <w:rPr>
          <w:rFonts w:ascii="Arial" w:hAnsi="Arial"/>
          <w:b/>
          <w:sz w:val="20"/>
        </w:rPr>
        <w:t>1,0</w:t>
      </w:r>
      <w:r w:rsidR="00D81A21" w:rsidRPr="00C666F5">
        <w:rPr>
          <w:rFonts w:ascii="Arial" w:hAnsi="Arial"/>
          <w:b/>
          <w:sz w:val="20"/>
        </w:rPr>
        <w:t>00,000</w:t>
      </w:r>
      <w:r w:rsidR="00C666F5" w:rsidRPr="00C666F5">
        <w:rPr>
          <w:rFonts w:ascii="Arial" w:hAnsi="Arial"/>
          <w:b/>
          <w:sz w:val="20"/>
        </w:rPr>
        <w:t xml:space="preserve"> common in respect of the units, and 150,000 common in respect of the financing fee</w:t>
      </w:r>
      <w:r>
        <w:rPr>
          <w:rFonts w:ascii="Arial" w:hAnsi="Arial"/>
        </w:rPr>
        <w:t>.</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5441E9" w:rsidRPr="00C666F5">
        <w:rPr>
          <w:rFonts w:ascii="Arial" w:hAnsi="Arial"/>
          <w:b/>
          <w:sz w:val="20"/>
          <w:u w:val="single"/>
        </w:rPr>
        <w:t>$0.</w:t>
      </w:r>
      <w:r w:rsidR="00A22D44" w:rsidRPr="00C666F5">
        <w:rPr>
          <w:rFonts w:ascii="Arial" w:hAnsi="Arial"/>
          <w:b/>
          <w:sz w:val="20"/>
          <w:u w:val="single"/>
        </w:rPr>
        <w:t>1</w:t>
      </w:r>
      <w:r w:rsidR="00986361" w:rsidRPr="00C666F5">
        <w:rPr>
          <w:rFonts w:ascii="Arial" w:hAnsi="Arial"/>
          <w:b/>
          <w:sz w:val="20"/>
          <w:u w:val="single"/>
        </w:rPr>
        <w:t>05</w:t>
      </w:r>
      <w:r w:rsidR="00C666F5" w:rsidRPr="00C666F5">
        <w:rPr>
          <w:rFonts w:ascii="Arial" w:hAnsi="Arial"/>
          <w:b/>
          <w:sz w:val="20"/>
          <w:u w:val="single"/>
        </w:rPr>
        <w:t xml:space="preserve"> per common share</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5441E9" w:rsidRPr="00C666F5">
        <w:rPr>
          <w:rFonts w:ascii="Arial" w:hAnsi="Arial"/>
          <w:b/>
          <w:sz w:val="20"/>
          <w:u w:val="single"/>
        </w:rPr>
        <w:t>One vote per common share</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F05862" w:rsidRPr="00C666F5">
        <w:rPr>
          <w:rFonts w:ascii="Arial" w:hAnsi="Arial"/>
          <w:b/>
          <w:sz w:val="20"/>
          <w:u w:val="single"/>
        </w:rPr>
        <w:t>1,0</w:t>
      </w:r>
      <w:r w:rsidR="000A3A95" w:rsidRPr="00C666F5">
        <w:rPr>
          <w:rFonts w:ascii="Arial" w:hAnsi="Arial"/>
          <w:b/>
          <w:sz w:val="20"/>
          <w:u w:val="single"/>
        </w:rPr>
        <w:t>00,000</w:t>
      </w:r>
      <w:r w:rsidR="00C666F5" w:rsidRPr="00C666F5">
        <w:rPr>
          <w:rFonts w:ascii="Arial" w:hAnsi="Arial"/>
          <w:b/>
          <w:sz w:val="20"/>
          <w:u w:val="single"/>
        </w:rPr>
        <w:t xml:space="preserve"> warrants</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sidR="00F05862" w:rsidRPr="00C666F5">
        <w:rPr>
          <w:rFonts w:ascii="Arial" w:hAnsi="Arial"/>
          <w:b/>
          <w:sz w:val="20"/>
        </w:rPr>
        <w:t>1,0</w:t>
      </w:r>
      <w:r w:rsidR="000A3A95" w:rsidRPr="00C666F5">
        <w:rPr>
          <w:rFonts w:ascii="Arial" w:hAnsi="Arial"/>
          <w:b/>
          <w:sz w:val="20"/>
        </w:rPr>
        <w:t>00,000</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0A3A95">
        <w:rPr>
          <w:rFonts w:ascii="Arial" w:hAnsi="Arial"/>
        </w:rPr>
        <w:t xml:space="preserve"> </w:t>
      </w:r>
      <w:r w:rsidR="000A3A95" w:rsidRPr="00C666F5">
        <w:rPr>
          <w:rFonts w:ascii="Arial" w:hAnsi="Arial"/>
          <w:b/>
          <w:sz w:val="20"/>
        </w:rPr>
        <w:t>$0.</w:t>
      </w:r>
      <w:r w:rsidR="00F05862" w:rsidRPr="00C666F5">
        <w:rPr>
          <w:rFonts w:ascii="Arial" w:hAnsi="Arial"/>
          <w:b/>
          <w:sz w:val="20"/>
        </w:rPr>
        <w:t>21</w:t>
      </w:r>
      <w:r w:rsidR="00C666F5" w:rsidRPr="00C666F5">
        <w:rPr>
          <w:rFonts w:ascii="Arial" w:hAnsi="Arial"/>
          <w:b/>
          <w:sz w:val="20"/>
        </w:rPr>
        <w:t xml:space="preserve"> per warrant</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F05862" w:rsidRPr="00C666F5">
        <w:rPr>
          <w:rFonts w:ascii="Arial" w:hAnsi="Arial"/>
          <w:b/>
          <w:sz w:val="20"/>
          <w:u w:val="single"/>
        </w:rPr>
        <w:t>April 5</w:t>
      </w:r>
      <w:r w:rsidR="000A3A95" w:rsidRPr="00C666F5">
        <w:rPr>
          <w:rFonts w:ascii="Arial" w:hAnsi="Arial"/>
          <w:b/>
          <w:sz w:val="20"/>
          <w:u w:val="single"/>
        </w:rPr>
        <w:t>, 20</w:t>
      </w:r>
      <w:r w:rsidR="00FA32A9">
        <w:rPr>
          <w:rFonts w:ascii="Arial" w:hAnsi="Arial"/>
          <w:b/>
          <w:sz w:val="20"/>
          <w:u w:val="single"/>
        </w:rPr>
        <w:t xml:space="preserve">19, </w:t>
      </w:r>
      <w:r>
        <w:rPr>
          <w:rFonts w:ascii="Arial" w:hAnsi="Arial"/>
          <w:u w:val="single"/>
        </w:rPr>
        <w:tab/>
      </w:r>
      <w:r w:rsidR="00FA32A9" w:rsidRPr="00AA79BC">
        <w:rPr>
          <w:szCs w:val="24"/>
        </w:rPr>
        <w:t xml:space="preserve">Exercise of the Warrants may be accelerated by the </w:t>
      </w:r>
      <w:r w:rsidR="00FA32A9" w:rsidRPr="00AA79BC">
        <w:rPr>
          <w:rFonts w:cs="Arial"/>
          <w:szCs w:val="24"/>
        </w:rPr>
        <w:t>Company, if, after the expiry of the hold period, the Shares trade</w:t>
      </w:r>
      <w:r w:rsidR="00FA32A9" w:rsidRPr="00AA79BC">
        <w:rPr>
          <w:rFonts w:cs="Arial"/>
          <w:color w:val="000000"/>
          <w:szCs w:val="24"/>
          <w:lang w:val="en-US"/>
        </w:rPr>
        <w:t xml:space="preserve"> at or above a </w:t>
      </w:r>
      <w:r w:rsidR="00FA32A9" w:rsidRPr="00AA79BC">
        <w:rPr>
          <w:rFonts w:cs="Arial"/>
          <w:color w:val="000000"/>
          <w:szCs w:val="24"/>
          <w:lang w:val="en-US"/>
        </w:rPr>
        <w:lastRenderedPageBreak/>
        <w:t>weighted average trading price of $0.30 per Share for 10 consecutive trading days, by giving written notice to warrant holders that the warrants will expire 30 days from the date of providing such notice.</w:t>
      </w:r>
      <w:r w:rsidR="00FA32A9">
        <w:rPr>
          <w:rFonts w:ascii="Arial" w:hAnsi="Arial"/>
          <w:u w:val="single"/>
        </w:rPr>
        <w:t xml:space="preserve">  </w:t>
      </w:r>
      <w:r w:rsidR="00FA32A9">
        <w:rPr>
          <w:rFonts w:ascii="Arial" w:hAnsi="Arial"/>
          <w:b/>
          <w:sz w:val="20"/>
          <w:u w:val="single"/>
        </w:rPr>
        <w:t xml:space="preserve"> </w:t>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Aggregate principal amount</w:t>
      </w:r>
      <w:r w:rsidR="005441E9" w:rsidRPr="005441E9">
        <w:rPr>
          <w:rFonts w:ascii="Arial" w:hAnsi="Arial"/>
          <w:u w:val="single"/>
        </w:rPr>
        <w:t xml:space="preserve"> N/A</w:t>
      </w:r>
      <w:r>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rsidP="00C666F5">
      <w:pPr>
        <w:autoSpaceDE w:val="0"/>
        <w:autoSpaceDN w:val="0"/>
        <w:adjustRightInd w:val="0"/>
        <w:ind w:left="1080"/>
        <w:rPr>
          <w:rFonts w:ascii="Arial" w:hAnsi="Arial"/>
          <w:u w:val="single"/>
        </w:rPr>
      </w:pPr>
      <w:r>
        <w:rPr>
          <w:rFonts w:ascii="Arial" w:hAnsi="Arial"/>
        </w:rPr>
        <w:t>(a)</w:t>
      </w:r>
      <w:r>
        <w:rPr>
          <w:rFonts w:ascii="Arial" w:hAnsi="Arial"/>
        </w:rPr>
        <w:tab/>
        <w:t>Details of any dealer, agent, broker or other person receiving compensation in connection with the placement (name, address. If a corporation, identify persons owning or exercising voting control over 20% or more of the voting shares if known to the Issuer):</w:t>
      </w:r>
      <w:r w:rsidR="00986361">
        <w:rPr>
          <w:rFonts w:ascii="Arial" w:hAnsi="Arial"/>
        </w:rPr>
        <w:t xml:space="preserve"> </w:t>
      </w:r>
      <w:r w:rsidR="00C666F5" w:rsidRPr="00C666F5">
        <w:rPr>
          <w:rFonts w:ascii="Arial" w:hAnsi="Arial"/>
          <w:b/>
        </w:rPr>
        <w:t>T</w:t>
      </w:r>
      <w:r w:rsidR="00C666F5" w:rsidRPr="00C666F5">
        <w:rPr>
          <w:rFonts w:ascii="Arial" w:hAnsi="Arial" w:cs="Arial"/>
          <w:b/>
        </w:rPr>
        <w:t xml:space="preserve">he Subscriber, </w:t>
      </w:r>
      <w:r w:rsidR="00C666F5" w:rsidRPr="00C666F5">
        <w:rPr>
          <w:rFonts w:ascii="Arial" w:hAnsi="Arial"/>
          <w:b/>
        </w:rPr>
        <w:t xml:space="preserve">Alumina Partners (Ontario) Ltd., </w:t>
      </w:r>
      <w:r w:rsidR="00C666F5" w:rsidRPr="00C666F5">
        <w:rPr>
          <w:rFonts w:ascii="Arial" w:hAnsi="Arial" w:cs="Arial"/>
          <w:b/>
        </w:rPr>
        <w:t>will receive a total fee of 3% for the establishment of the</w:t>
      </w:r>
      <w:r w:rsidR="00C666F5">
        <w:rPr>
          <w:rFonts w:ascii="Arial" w:hAnsi="Arial" w:cs="Arial"/>
          <w:b/>
        </w:rPr>
        <w:t xml:space="preserve"> </w:t>
      </w:r>
      <w:r w:rsidR="00C666F5" w:rsidRPr="00C666F5">
        <w:rPr>
          <w:rFonts w:ascii="Arial" w:hAnsi="Arial" w:cs="Arial"/>
          <w:b/>
        </w:rPr>
        <w:t>private placement facility which is $150,000 and is payable in</w:t>
      </w:r>
      <w:r w:rsidR="00C666F5">
        <w:rPr>
          <w:rFonts w:ascii="Arial" w:hAnsi="Arial" w:cs="Arial"/>
          <w:b/>
        </w:rPr>
        <w:t xml:space="preserve"> </w:t>
      </w:r>
      <w:r w:rsidR="00C666F5" w:rsidRPr="00C666F5">
        <w:rPr>
          <w:rFonts w:ascii="Arial" w:hAnsi="Arial" w:cs="Arial"/>
          <w:b/>
        </w:rPr>
        <w:t>common shares over multiple tranches.</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r w:rsidR="005441E9" w:rsidRPr="005441E9">
        <w:rPr>
          <w:rFonts w:ascii="Arial" w:hAnsi="Arial"/>
          <w:u w:val="single"/>
        </w:rPr>
        <w:t xml:space="preserve"> N/A</w:t>
      </w:r>
      <w:r>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F05862" w:rsidRPr="00C666F5">
        <w:rPr>
          <w:rFonts w:ascii="Arial" w:hAnsi="Arial"/>
          <w:b/>
          <w:sz w:val="20"/>
        </w:rPr>
        <w:t>150</w:t>
      </w:r>
      <w:r w:rsidR="000A3A95" w:rsidRPr="00C666F5">
        <w:rPr>
          <w:rFonts w:ascii="Arial" w:hAnsi="Arial"/>
          <w:b/>
          <w:sz w:val="20"/>
        </w:rPr>
        <w:t>,000</w:t>
      </w:r>
      <w:r w:rsidR="00C666F5" w:rsidRPr="00C666F5">
        <w:rPr>
          <w:rFonts w:ascii="Arial" w:hAnsi="Arial"/>
          <w:b/>
          <w:sz w:val="20"/>
        </w:rPr>
        <w:t xml:space="preserve"> common, representing $15,750 of common shares</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0A3A95">
        <w:rPr>
          <w:rFonts w:ascii="Arial" w:hAnsi="Arial"/>
        </w:rPr>
        <w:t>N/A</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lastRenderedPageBreak/>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sidR="005441E9">
        <w:rPr>
          <w:rFonts w:ascii="Arial" w:hAnsi="Arial"/>
          <w:u w:val="single"/>
        </w:rPr>
        <w:t>No</w:t>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Pr>
          <w:rFonts w:ascii="Arial" w:hAnsi="Arial"/>
        </w:rPr>
        <w:t>Instrument 45-102.</w:t>
      </w:r>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Total aggregate consideration in Canadian dollars:</w:t>
      </w:r>
      <w:r w:rsidR="003E7E4D">
        <w:rPr>
          <w:rFonts w:ascii="Arial" w:hAnsi="Arial"/>
          <w:color w:val="000000"/>
        </w:rPr>
        <w:t>N/A</w:t>
      </w:r>
      <w:r>
        <w:rPr>
          <w:rFonts w:ascii="Arial" w:hAnsi="Arial"/>
          <w:color w:val="000000"/>
          <w:u w:val="single"/>
        </w:rPr>
        <w:tab/>
      </w:r>
      <w:r>
        <w:rPr>
          <w:rFonts w:ascii="Arial" w:hAnsi="Arial"/>
          <w:color w:val="000000"/>
        </w:rPr>
        <w:t xml:space="preserve"> .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r w:rsidR="003E7E4D">
        <w:rPr>
          <w:rFonts w:ascii="Arial" w:hAnsi="Arial"/>
          <w:color w:val="000000"/>
        </w:rPr>
        <w:t xml:space="preserve">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rsidP="005441E9">
      <w:pPr>
        <w:pStyle w:val="List"/>
        <w:tabs>
          <w:tab w:val="left" w:pos="1080"/>
          <w:tab w:val="left" w:pos="2160"/>
          <w:tab w:val="left" w:pos="9180"/>
        </w:tabs>
        <w:spacing w:before="0"/>
        <w:ind w:left="2160" w:firstLine="0"/>
        <w:rPr>
          <w:rFonts w:ascii="Arial" w:hAnsi="Arial"/>
          <w:color w:val="000000"/>
        </w:rPr>
      </w:pP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Other:</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lastRenderedPageBreak/>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00230C4A" w:rsidRPr="005441E9">
        <w:rPr>
          <w:rFonts w:ascii="Arial" w:hAnsi="Arial"/>
          <w:u w:val="single"/>
        </w:rPr>
        <w:t>N/A</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CF2A90" w:rsidRPr="00230C4A" w:rsidRDefault="00EA4133" w:rsidP="00230C4A">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lastRenderedPageBreak/>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F05862">
        <w:rPr>
          <w:rFonts w:ascii="Arial" w:hAnsi="Arial"/>
          <w:u w:val="single"/>
        </w:rPr>
        <w:t xml:space="preserve">April </w:t>
      </w:r>
      <w:r w:rsidR="00FA32A9">
        <w:rPr>
          <w:rFonts w:ascii="Arial" w:hAnsi="Arial"/>
          <w:u w:val="single"/>
        </w:rPr>
        <w:t>11</w:t>
      </w:r>
      <w:r w:rsidR="00934BAB">
        <w:rPr>
          <w:rFonts w:ascii="Arial" w:hAnsi="Arial"/>
          <w:u w:val="single"/>
        </w:rPr>
        <w:t>, 2017</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230C4A" w:rsidRPr="00230C4A">
        <w:rPr>
          <w:rFonts w:ascii="Arial" w:hAnsi="Arial"/>
          <w:u w:val="single"/>
        </w:rPr>
        <w:t>Dennis Petke</w:t>
      </w:r>
      <w:r>
        <w:rPr>
          <w:rFonts w:ascii="Arial" w:hAnsi="Arial"/>
          <w:u w:val="single"/>
        </w:rPr>
        <w:tab/>
      </w:r>
      <w:r>
        <w:rPr>
          <w:rFonts w:ascii="Arial" w:hAnsi="Arial"/>
          <w:u w:val="single"/>
        </w:rPr>
        <w:br/>
      </w:r>
      <w:r>
        <w:rPr>
          <w:rFonts w:ascii="Arial" w:hAnsi="Arial"/>
        </w:rPr>
        <w:t xml:space="preserve">Name of Director or Senior </w:t>
      </w:r>
      <w:bookmarkStart w:id="4" w:name="_GoBack"/>
      <w:bookmarkEnd w:id="4"/>
      <w:r>
        <w:rPr>
          <w:rFonts w:ascii="Arial" w:hAnsi="Arial"/>
        </w:rPr>
        <w:t>Officer</w:t>
      </w:r>
    </w:p>
    <w:p w:rsidR="00EA4133" w:rsidRDefault="00EA4133">
      <w:pPr>
        <w:pStyle w:val="List"/>
        <w:tabs>
          <w:tab w:val="left" w:pos="9180"/>
          <w:tab w:val="left" w:pos="9360"/>
        </w:tabs>
        <w:ind w:left="5760" w:hanging="5760"/>
        <w:rPr>
          <w:rFonts w:ascii="Arial" w:hAnsi="Arial"/>
        </w:rPr>
      </w:pPr>
      <w:r>
        <w:rPr>
          <w:rFonts w:ascii="Arial" w:hAnsi="Arial"/>
        </w:rPr>
        <w:tab/>
      </w:r>
      <w:r w:rsidR="00230C4A" w:rsidRPr="00230C4A">
        <w:rPr>
          <w:rFonts w:ascii="Arial" w:hAnsi="Arial"/>
          <w:u w:val="single"/>
        </w:rPr>
        <w:t>/s/ Dennis Petke</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230C4A" w:rsidRPr="00230C4A">
        <w:rPr>
          <w:rFonts w:ascii="Arial" w:hAnsi="Arial"/>
          <w:u w:val="single"/>
        </w:rPr>
        <w:t>President &amp; CEO</w:t>
      </w:r>
      <w:r>
        <w:rPr>
          <w:rFonts w:ascii="Arial" w:hAnsi="Arial"/>
          <w:u w:val="single"/>
        </w:rPr>
        <w:tab/>
      </w:r>
      <w:r>
        <w:rPr>
          <w:rFonts w:ascii="Arial" w:hAnsi="Arial"/>
        </w:rPr>
        <w:br/>
        <w:t>Official Capacity</w:t>
      </w:r>
    </w:p>
    <w:sectPr w:rsidR="00EA4133" w:rsidSect="008003B9">
      <w:footerReference w:type="default" r:id="rId7"/>
      <w:footerReference w:type="first" r:id="rId8"/>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A28" w:rsidRDefault="00EF6A28">
      <w:r>
        <w:separator/>
      </w:r>
    </w:p>
  </w:endnote>
  <w:endnote w:type="continuationSeparator" w:id="0">
    <w:p w:rsidR="00EF6A28" w:rsidRDefault="00EF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33" w:rsidRDefault="00A9392C"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60FFFFF7" wp14:editId="580B916D">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F2EA6"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FA32A9">
      <w:rPr>
        <w:rStyle w:val="PageNumber"/>
        <w:rFonts w:ascii="Arial" w:hAnsi="Arial" w:cs="Arial"/>
        <w:noProof/>
        <w:sz w:val="16"/>
        <w:szCs w:val="16"/>
      </w:rPr>
      <w:t>6</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33" w:rsidRDefault="00EF6A28">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A28" w:rsidRDefault="00EF6A28">
      <w:r>
        <w:separator/>
      </w:r>
    </w:p>
  </w:footnote>
  <w:footnote w:type="continuationSeparator" w:id="0">
    <w:p w:rsidR="00EF6A28" w:rsidRDefault="00EF6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B3"/>
    <w:rsid w:val="00003125"/>
    <w:rsid w:val="0001060A"/>
    <w:rsid w:val="000139FC"/>
    <w:rsid w:val="000458EF"/>
    <w:rsid w:val="00085D33"/>
    <w:rsid w:val="00095AD4"/>
    <w:rsid w:val="000A3A95"/>
    <w:rsid w:val="000B64EF"/>
    <w:rsid w:val="00116314"/>
    <w:rsid w:val="00143A56"/>
    <w:rsid w:val="00144347"/>
    <w:rsid w:val="00173F0B"/>
    <w:rsid w:val="001848AC"/>
    <w:rsid w:val="00186DA5"/>
    <w:rsid w:val="0019114E"/>
    <w:rsid w:val="00191D9A"/>
    <w:rsid w:val="00192C0D"/>
    <w:rsid w:val="00195352"/>
    <w:rsid w:val="001B7C8B"/>
    <w:rsid w:val="001D5F4A"/>
    <w:rsid w:val="001D64D7"/>
    <w:rsid w:val="0021625E"/>
    <w:rsid w:val="00230C4A"/>
    <w:rsid w:val="002557FD"/>
    <w:rsid w:val="00275AA2"/>
    <w:rsid w:val="00293E72"/>
    <w:rsid w:val="002B6222"/>
    <w:rsid w:val="002C3640"/>
    <w:rsid w:val="002F0416"/>
    <w:rsid w:val="0031229B"/>
    <w:rsid w:val="003257EB"/>
    <w:rsid w:val="00326D55"/>
    <w:rsid w:val="003B280F"/>
    <w:rsid w:val="003E7E4D"/>
    <w:rsid w:val="00443D4F"/>
    <w:rsid w:val="00445D06"/>
    <w:rsid w:val="00456624"/>
    <w:rsid w:val="00474037"/>
    <w:rsid w:val="004A1403"/>
    <w:rsid w:val="004B214D"/>
    <w:rsid w:val="00540788"/>
    <w:rsid w:val="005441E9"/>
    <w:rsid w:val="0056101E"/>
    <w:rsid w:val="00584035"/>
    <w:rsid w:val="00617A0E"/>
    <w:rsid w:val="00617C30"/>
    <w:rsid w:val="0062717F"/>
    <w:rsid w:val="00673DA3"/>
    <w:rsid w:val="006B4352"/>
    <w:rsid w:val="00746913"/>
    <w:rsid w:val="007568B3"/>
    <w:rsid w:val="0077037F"/>
    <w:rsid w:val="007B0425"/>
    <w:rsid w:val="007C6DC7"/>
    <w:rsid w:val="007D34A2"/>
    <w:rsid w:val="007E2247"/>
    <w:rsid w:val="007F0EFA"/>
    <w:rsid w:val="008003B9"/>
    <w:rsid w:val="00845355"/>
    <w:rsid w:val="00887614"/>
    <w:rsid w:val="008D3F52"/>
    <w:rsid w:val="008F27FF"/>
    <w:rsid w:val="009136E7"/>
    <w:rsid w:val="0091700D"/>
    <w:rsid w:val="00934BAB"/>
    <w:rsid w:val="00935C66"/>
    <w:rsid w:val="009466F0"/>
    <w:rsid w:val="0097763E"/>
    <w:rsid w:val="00986361"/>
    <w:rsid w:val="009A190D"/>
    <w:rsid w:val="009F33D5"/>
    <w:rsid w:val="00A00C54"/>
    <w:rsid w:val="00A10285"/>
    <w:rsid w:val="00A22D44"/>
    <w:rsid w:val="00A67B7C"/>
    <w:rsid w:val="00A90670"/>
    <w:rsid w:val="00A93530"/>
    <w:rsid w:val="00A9392C"/>
    <w:rsid w:val="00B923F6"/>
    <w:rsid w:val="00BD11F2"/>
    <w:rsid w:val="00BF1F49"/>
    <w:rsid w:val="00C07592"/>
    <w:rsid w:val="00C1744A"/>
    <w:rsid w:val="00C40056"/>
    <w:rsid w:val="00C56AB5"/>
    <w:rsid w:val="00C666F5"/>
    <w:rsid w:val="00C9413E"/>
    <w:rsid w:val="00CA05B4"/>
    <w:rsid w:val="00CB0698"/>
    <w:rsid w:val="00CF076A"/>
    <w:rsid w:val="00CF2A90"/>
    <w:rsid w:val="00D2163B"/>
    <w:rsid w:val="00D449FC"/>
    <w:rsid w:val="00D5261D"/>
    <w:rsid w:val="00D81A21"/>
    <w:rsid w:val="00DB640C"/>
    <w:rsid w:val="00DF052A"/>
    <w:rsid w:val="00E55E58"/>
    <w:rsid w:val="00E93FB0"/>
    <w:rsid w:val="00E97C13"/>
    <w:rsid w:val="00EA4133"/>
    <w:rsid w:val="00EF6A28"/>
    <w:rsid w:val="00F05862"/>
    <w:rsid w:val="00F52175"/>
    <w:rsid w:val="00FA32A9"/>
    <w:rsid w:val="00FB1963"/>
    <w:rsid w:val="00FD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D2936"/>
  <w15:docId w15:val="{84E7E456-76E0-48BE-90D3-FD057E12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odyTextChar">
    <w:name w:val="Body Text Char"/>
    <w:basedOn w:val="DefaultParagraphFont"/>
    <w:link w:val="BodyText"/>
    <w:rsid w:val="00887614"/>
    <w:rPr>
      <w:sz w:val="24"/>
      <w:lang w:val="en-GB"/>
    </w:rPr>
  </w:style>
  <w:style w:type="paragraph" w:styleId="NoSpacing">
    <w:name w:val="No Spacing"/>
    <w:rsid w:val="006B4352"/>
    <w:pPr>
      <w:pBdr>
        <w:top w:val="nil"/>
        <w:left w:val="nil"/>
        <w:bottom w:val="nil"/>
        <w:right w:val="nil"/>
        <w:between w:val="nil"/>
        <w:bar w:val="nil"/>
      </w:pBdr>
    </w:pPr>
    <w:rPr>
      <w:rFonts w:ascii="Calibri" w:eastAsia="Calibri" w:hAnsi="Calibri" w:cs="Calibri"/>
      <w:color w:val="000000"/>
      <w:sz w:val="21"/>
      <w:szCs w:val="21"/>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User</cp:lastModifiedBy>
  <cp:revision>2</cp:revision>
  <cp:lastPrinted>2004-05-20T20:47:00Z</cp:lastPrinted>
  <dcterms:created xsi:type="dcterms:W3CDTF">2017-04-11T13:57:00Z</dcterms:created>
  <dcterms:modified xsi:type="dcterms:W3CDTF">2017-04-11T13:57:00Z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