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2B4C" w14:textId="77777777" w:rsidR="00EA4133" w:rsidRPr="0001060A" w:rsidRDefault="00EA4133">
      <w:pPr>
        <w:pStyle w:val="Title"/>
        <w:spacing w:before="0"/>
        <w:rPr>
          <w:sz w:val="28"/>
          <w:lang w:val="en-CA"/>
        </w:rPr>
      </w:pPr>
      <w:r w:rsidRPr="0001060A">
        <w:rPr>
          <w:sz w:val="28"/>
          <w:lang w:val="en-CA"/>
        </w:rPr>
        <w:t>FORM 9</w:t>
      </w:r>
    </w:p>
    <w:p w14:paraId="59930223"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77C5D865"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C0B992B" w14:textId="77777777" w:rsidR="00EA4133" w:rsidRDefault="00EA4133">
      <w:pPr>
        <w:pStyle w:val="BodyText"/>
        <w:rPr>
          <w:rFonts w:ascii="Arial" w:hAnsi="Arial"/>
          <w:lang w:val="en-CA"/>
        </w:rPr>
      </w:pPr>
      <w:r>
        <w:rPr>
          <w:rFonts w:ascii="Arial" w:hAnsi="Arial"/>
          <w:lang w:val="en-CA"/>
        </w:rPr>
        <w:t>Please complete the following:</w:t>
      </w:r>
    </w:p>
    <w:p w14:paraId="63FFF7D6"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14:paraId="6DD3B843" w14:textId="77777777"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14:paraId="6E50D547" w14:textId="615088CD"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206E72">
        <w:rPr>
          <w:rFonts w:ascii="Arial" w:hAnsi="Arial"/>
          <w:u w:val="single"/>
          <w:lang w:val="en-CA"/>
        </w:rPr>
        <w:t>August 2</w:t>
      </w:r>
      <w:r w:rsidR="00C420EE">
        <w:rPr>
          <w:rFonts w:ascii="Arial" w:hAnsi="Arial"/>
          <w:u w:val="single"/>
          <w:lang w:val="en-CA"/>
        </w:rPr>
        <w:t>7</w:t>
      </w:r>
      <w:r w:rsidR="002063DC">
        <w:rPr>
          <w:rFonts w:ascii="Arial" w:hAnsi="Arial"/>
          <w:u w:val="single"/>
          <w:lang w:val="en-CA"/>
        </w:rPr>
        <w:t>, 2018</w:t>
      </w:r>
      <w:r>
        <w:rPr>
          <w:rFonts w:ascii="Arial" w:hAnsi="Arial"/>
          <w:u w:val="single"/>
          <w:lang w:val="en-CA"/>
        </w:rPr>
        <w:tab/>
      </w:r>
    </w:p>
    <w:p w14:paraId="2E12F736" w14:textId="77777777"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proofErr w:type="gramStart"/>
      <w:r>
        <w:rPr>
          <w:rFonts w:ascii="Arial" w:hAnsi="Arial"/>
          <w:lang w:val="en-CA"/>
        </w:rPr>
        <w:t>No</w:t>
      </w:r>
      <w:proofErr w:type="gramEnd"/>
      <w:r>
        <w:rPr>
          <w:rFonts w:ascii="Arial" w:hAnsi="Arial"/>
          <w:sz w:val="32"/>
          <w:lang w:val="en-CA"/>
        </w:rPr>
        <w:tab/>
      </w:r>
    </w:p>
    <w:p w14:paraId="28A2942E" w14:textId="77777777"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14:paraId="001B8015" w14:textId="1345BC4D"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206E72">
        <w:rPr>
          <w:rFonts w:ascii="Arial" w:hAnsi="Arial"/>
          <w:u w:val="single"/>
          <w:lang w:val="en-CA"/>
        </w:rPr>
        <w:t>64,843,890</w:t>
      </w:r>
      <w:proofErr w:type="gramStart"/>
      <w:r>
        <w:rPr>
          <w:rFonts w:ascii="Arial" w:hAnsi="Arial"/>
          <w:u w:val="single"/>
          <w:lang w:val="en-CA"/>
        </w:rPr>
        <w:tab/>
      </w:r>
      <w:r>
        <w:rPr>
          <w:rFonts w:ascii="Arial" w:hAnsi="Arial"/>
          <w:lang w:val="en-CA"/>
        </w:rPr>
        <w:t xml:space="preserve"> .</w:t>
      </w:r>
      <w:proofErr w:type="gramEnd"/>
    </w:p>
    <w:p w14:paraId="3A0D512A" w14:textId="12A2D6B4"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206E72">
        <w:rPr>
          <w:rFonts w:ascii="Arial" w:hAnsi="Arial"/>
          <w:u w:val="single"/>
          <w:lang w:val="en-CA"/>
        </w:rPr>
        <w:t>August 2</w:t>
      </w:r>
      <w:r w:rsidR="00C420EE">
        <w:rPr>
          <w:rFonts w:ascii="Arial" w:hAnsi="Arial"/>
          <w:u w:val="single"/>
          <w:lang w:val="en-CA"/>
        </w:rPr>
        <w:t>7</w:t>
      </w:r>
      <w:r w:rsidR="002063DC">
        <w:rPr>
          <w:rFonts w:ascii="Arial" w:hAnsi="Arial"/>
          <w:u w:val="single"/>
          <w:lang w:val="en-CA"/>
        </w:rPr>
        <w:t>, 2018</w:t>
      </w:r>
      <w:proofErr w:type="gramStart"/>
      <w:r>
        <w:rPr>
          <w:rFonts w:ascii="Arial" w:hAnsi="Arial"/>
          <w:u w:val="single"/>
          <w:lang w:val="en-CA"/>
        </w:rPr>
        <w:tab/>
      </w:r>
      <w:r>
        <w:rPr>
          <w:rFonts w:ascii="Arial" w:hAnsi="Arial"/>
          <w:lang w:val="en-CA"/>
        </w:rPr>
        <w:t xml:space="preserve"> .</w:t>
      </w:r>
      <w:proofErr w:type="gramEnd"/>
    </w:p>
    <w:p w14:paraId="2BEF8031" w14:textId="332C2298"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w:t>
      </w:r>
      <w:r w:rsidR="00206E72">
        <w:rPr>
          <w:rFonts w:ascii="Arial" w:hAnsi="Arial"/>
          <w:u w:val="single"/>
          <w:lang w:val="en-CA"/>
        </w:rPr>
        <w:t>0.18</w:t>
      </w:r>
      <w:r>
        <w:rPr>
          <w:rFonts w:ascii="Arial" w:hAnsi="Arial"/>
          <w:lang w:val="en-CA"/>
        </w:rPr>
        <w:t>___</w:t>
      </w:r>
    </w:p>
    <w:p w14:paraId="1E15A80D"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21219F49" w14:textId="77777777" w:rsidTr="00C40056">
        <w:trPr>
          <w:trHeight w:val="1965"/>
          <w:jc w:val="center"/>
        </w:trPr>
        <w:tc>
          <w:tcPr>
            <w:tcW w:w="1394" w:type="dxa"/>
          </w:tcPr>
          <w:p w14:paraId="3FDCC2CE" w14:textId="77777777" w:rsidR="00EA4133" w:rsidRDefault="00EA4133">
            <w:pPr>
              <w:pStyle w:val="BodyText"/>
              <w:spacing w:before="0" w:line="280" w:lineRule="exact"/>
              <w:jc w:val="center"/>
              <w:rPr>
                <w:rFonts w:ascii="Arial" w:hAnsi="Arial"/>
                <w:b/>
                <w:sz w:val="20"/>
                <w:lang w:val="en-CA"/>
              </w:rPr>
            </w:pPr>
          </w:p>
          <w:p w14:paraId="132A28A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14:paraId="5365B9D9" w14:textId="77777777" w:rsidR="00EA4133" w:rsidRDefault="00EA4133">
            <w:pPr>
              <w:pStyle w:val="BodyText"/>
              <w:spacing w:before="0" w:line="280" w:lineRule="exact"/>
              <w:jc w:val="center"/>
              <w:rPr>
                <w:rFonts w:ascii="Arial" w:hAnsi="Arial"/>
                <w:b/>
                <w:sz w:val="20"/>
                <w:lang w:val="en-CA"/>
              </w:rPr>
            </w:pPr>
          </w:p>
          <w:p w14:paraId="0097A25C" w14:textId="77777777"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14:paraId="543C65CF" w14:textId="77777777" w:rsidR="00EA4133" w:rsidRDefault="006B4352">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92" w:type="dxa"/>
          </w:tcPr>
          <w:p w14:paraId="2C1A8D7E" w14:textId="77777777" w:rsidR="00EA4133" w:rsidRDefault="00EA4133">
            <w:pPr>
              <w:pStyle w:val="BodyText"/>
              <w:spacing w:before="0" w:line="280" w:lineRule="exact"/>
              <w:jc w:val="center"/>
              <w:rPr>
                <w:rFonts w:ascii="Arial" w:hAnsi="Arial"/>
                <w:b/>
                <w:sz w:val="20"/>
                <w:lang w:val="en-CA"/>
              </w:rPr>
            </w:pPr>
          </w:p>
          <w:p w14:paraId="11B2F12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18DAC2A9" w14:textId="77777777" w:rsidR="00EA4133" w:rsidRDefault="00EA4133">
            <w:pPr>
              <w:pStyle w:val="BodyText"/>
              <w:spacing w:before="0" w:line="280" w:lineRule="exact"/>
              <w:jc w:val="center"/>
              <w:rPr>
                <w:rFonts w:ascii="Arial" w:hAnsi="Arial"/>
                <w:b/>
                <w:sz w:val="20"/>
                <w:lang w:val="en-CA"/>
              </w:rPr>
            </w:pPr>
          </w:p>
          <w:p w14:paraId="1B6A7E2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F77415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D127AE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4901B0A8" w14:textId="77777777" w:rsidR="00EA4133" w:rsidRDefault="00EA4133">
            <w:pPr>
              <w:pStyle w:val="BodyText"/>
              <w:spacing w:before="0" w:line="280" w:lineRule="exact"/>
              <w:jc w:val="center"/>
              <w:rPr>
                <w:rFonts w:ascii="Arial" w:hAnsi="Arial"/>
                <w:b/>
                <w:sz w:val="20"/>
                <w:lang w:val="en-CA"/>
              </w:rPr>
            </w:pPr>
          </w:p>
          <w:p w14:paraId="60E2F47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7DC99ED2" w14:textId="77777777"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14:paraId="3ADEC877" w14:textId="77777777" w:rsidR="00EA4133" w:rsidRDefault="00EA4133">
            <w:pPr>
              <w:pStyle w:val="BodyText"/>
              <w:spacing w:before="0" w:line="280" w:lineRule="exact"/>
              <w:jc w:val="center"/>
              <w:rPr>
                <w:rFonts w:ascii="Arial" w:hAnsi="Arial"/>
                <w:b/>
                <w:sz w:val="20"/>
                <w:lang w:val="en-CA"/>
              </w:rPr>
            </w:pPr>
          </w:p>
          <w:p w14:paraId="0FBD3F8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6A3B87D1" w14:textId="77777777" w:rsidR="00EA4133" w:rsidRDefault="00EA4133">
            <w:pPr>
              <w:pStyle w:val="BodyText"/>
              <w:spacing w:before="0" w:line="280" w:lineRule="exact"/>
              <w:jc w:val="center"/>
              <w:rPr>
                <w:rFonts w:ascii="Arial" w:hAnsi="Arial"/>
                <w:b/>
                <w:color w:val="000000"/>
                <w:sz w:val="20"/>
                <w:lang w:val="en-CA"/>
              </w:rPr>
            </w:pPr>
          </w:p>
          <w:p w14:paraId="08D65258"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14:paraId="7C345D53" w14:textId="7777777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14:paraId="21E87888" w14:textId="77777777" w:rsidR="00085D33" w:rsidRPr="006B4352" w:rsidRDefault="00323E96" w:rsidP="00085D33">
            <w:pPr>
              <w:pStyle w:val="NoSpacing"/>
              <w:jc w:val="center"/>
              <w:rPr>
                <w:rFonts w:ascii="Arial" w:eastAsia="Arial" w:hAnsi="Arial" w:cs="Arial"/>
                <w:b/>
                <w:color w:val="auto"/>
                <w:sz w:val="18"/>
                <w:szCs w:val="18"/>
              </w:rPr>
            </w:pPr>
            <w:r>
              <w:rPr>
                <w:rFonts w:ascii="Arial" w:hAnsi="Arial" w:cs="Arial"/>
                <w:b/>
                <w:color w:val="auto"/>
                <w:sz w:val="18"/>
                <w:szCs w:val="18"/>
              </w:rPr>
              <w:t>To be determined</w:t>
            </w:r>
          </w:p>
          <w:p w14:paraId="6E64B80B" w14:textId="77777777" w:rsidR="0019114E" w:rsidRPr="006B4352" w:rsidRDefault="0019114E" w:rsidP="006B4352">
            <w:pPr>
              <w:tabs>
                <w:tab w:val="left" w:pos="-5760"/>
                <w:tab w:val="right" w:pos="8784"/>
              </w:tabs>
              <w:jc w:val="center"/>
              <w:rPr>
                <w:rFonts w:ascii="Tahoma" w:hAnsi="Tahoma" w:cs="Tahoma"/>
                <w:b/>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28F57881" w14:textId="476205E8" w:rsidR="00085D33" w:rsidRPr="004B7B32" w:rsidRDefault="00206E72" w:rsidP="00323E96">
            <w:pPr>
              <w:jc w:val="center"/>
              <w:rPr>
                <w:rFonts w:ascii="Tahoma" w:hAnsi="Tahoma" w:cs="Tahoma"/>
                <w:b/>
              </w:rPr>
            </w:pPr>
            <w:r>
              <w:rPr>
                <w:rFonts w:ascii="Tahoma" w:hAnsi="Tahoma" w:cs="Tahoma"/>
                <w:b/>
              </w:rPr>
              <w:t>14</w:t>
            </w:r>
            <w:r w:rsidR="00323E96">
              <w:rPr>
                <w:rFonts w:ascii="Tahoma" w:hAnsi="Tahoma" w:cs="Tahoma"/>
                <w:b/>
              </w:rPr>
              <w:t>,</w:t>
            </w:r>
            <w:r>
              <w:rPr>
                <w:rFonts w:ascii="Tahoma" w:hAnsi="Tahoma" w:cs="Tahoma"/>
                <w:b/>
              </w:rPr>
              <w:t>5</w:t>
            </w:r>
            <w:r w:rsidR="006B4352">
              <w:rPr>
                <w:rFonts w:ascii="Tahoma" w:hAnsi="Tahoma" w:cs="Tahoma"/>
                <w:b/>
              </w:rPr>
              <w:t>00,000</w:t>
            </w:r>
            <w:r w:rsidR="00085D33">
              <w:rPr>
                <w:rFonts w:ascii="Tahoma" w:hAnsi="Tahoma" w:cs="Tahoma"/>
                <w:b/>
              </w:rPr>
              <w:t xml:space="preserve"> Units </w:t>
            </w:r>
          </w:p>
        </w:tc>
        <w:tc>
          <w:tcPr>
            <w:tcW w:w="1192" w:type="dxa"/>
            <w:vAlign w:val="center"/>
          </w:tcPr>
          <w:p w14:paraId="6C1CC61A" w14:textId="7D9863D5" w:rsidR="00085D33" w:rsidRPr="00887614" w:rsidRDefault="0019114E" w:rsidP="00323E96">
            <w:pPr>
              <w:pStyle w:val="BodyText"/>
              <w:spacing w:before="0" w:line="280" w:lineRule="exact"/>
              <w:jc w:val="center"/>
              <w:rPr>
                <w:rFonts w:ascii="Arial" w:hAnsi="Arial"/>
                <w:b/>
                <w:sz w:val="20"/>
                <w:lang w:val="en-CA"/>
              </w:rPr>
            </w:pPr>
            <w:r w:rsidRPr="00887614">
              <w:rPr>
                <w:rFonts w:ascii="Arial" w:hAnsi="Arial"/>
                <w:b/>
                <w:sz w:val="20"/>
                <w:lang w:val="en-CA"/>
              </w:rPr>
              <w:t>$</w:t>
            </w:r>
            <w:r w:rsidR="00206E72">
              <w:rPr>
                <w:rFonts w:ascii="Arial" w:hAnsi="Arial"/>
                <w:b/>
                <w:sz w:val="20"/>
                <w:lang w:val="en-CA"/>
              </w:rPr>
              <w:t>0.14</w:t>
            </w:r>
            <w:r w:rsidR="00085D33">
              <w:rPr>
                <w:rFonts w:ascii="Arial" w:hAnsi="Arial"/>
                <w:b/>
                <w:sz w:val="20"/>
                <w:lang w:val="en-CA"/>
              </w:rPr>
              <w:t xml:space="preserve"> per unit</w:t>
            </w:r>
            <w:r w:rsidR="00323E96">
              <w:rPr>
                <w:rFonts w:ascii="Arial" w:hAnsi="Arial"/>
                <w:b/>
                <w:sz w:val="20"/>
                <w:lang w:val="en-CA"/>
              </w:rPr>
              <w:t xml:space="preserve"> </w:t>
            </w:r>
          </w:p>
        </w:tc>
        <w:tc>
          <w:tcPr>
            <w:tcW w:w="1376" w:type="dxa"/>
            <w:vAlign w:val="center"/>
          </w:tcPr>
          <w:p w14:paraId="26E8BA19" w14:textId="1BE2E818"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w:t>
            </w:r>
            <w:r w:rsidR="00206E72">
              <w:rPr>
                <w:rFonts w:ascii="Arial" w:hAnsi="Arial"/>
                <w:b/>
                <w:sz w:val="20"/>
                <w:lang w:val="en-CA"/>
              </w:rPr>
              <w:t>0.20</w:t>
            </w:r>
            <w:r>
              <w:rPr>
                <w:rFonts w:ascii="Arial" w:hAnsi="Arial"/>
                <w:b/>
                <w:sz w:val="20"/>
                <w:lang w:val="en-CA"/>
              </w:rPr>
              <w:t xml:space="preserve"> per warrant</w:t>
            </w:r>
          </w:p>
        </w:tc>
        <w:tc>
          <w:tcPr>
            <w:tcW w:w="1376" w:type="dxa"/>
            <w:vAlign w:val="center"/>
          </w:tcPr>
          <w:p w14:paraId="4938253A" w14:textId="77777777" w:rsidR="0019114E" w:rsidRPr="00275AA2" w:rsidRDefault="00323E96" w:rsidP="0019114E">
            <w:pPr>
              <w:jc w:val="center"/>
              <w:rPr>
                <w:i/>
              </w:rPr>
            </w:pPr>
            <w:r>
              <w:rPr>
                <w:rFonts w:ascii="Arial" w:hAnsi="Arial" w:cs="Arial"/>
                <w:i/>
                <w:iCs/>
              </w:rPr>
              <w:t xml:space="preserve"> </w:t>
            </w:r>
          </w:p>
        </w:tc>
        <w:tc>
          <w:tcPr>
            <w:tcW w:w="1742" w:type="dxa"/>
            <w:vAlign w:val="center"/>
          </w:tcPr>
          <w:p w14:paraId="09F8FB3D" w14:textId="77777777" w:rsidR="0019114E" w:rsidRPr="003236D4" w:rsidRDefault="00323E96" w:rsidP="0019114E">
            <w:pPr>
              <w:jc w:val="center"/>
              <w:rPr>
                <w:rFonts w:ascii="Tahoma" w:hAnsi="Tahoma" w:cs="Tahoma"/>
                <w:b/>
              </w:rPr>
            </w:pPr>
            <w:r>
              <w:rPr>
                <w:rFonts w:ascii="Tahoma" w:hAnsi="Tahoma" w:cs="Tahoma"/>
                <w:b/>
              </w:rPr>
              <w:t xml:space="preserve"> </w:t>
            </w:r>
          </w:p>
        </w:tc>
        <w:tc>
          <w:tcPr>
            <w:tcW w:w="1100" w:type="dxa"/>
            <w:vAlign w:val="center"/>
          </w:tcPr>
          <w:p w14:paraId="2FCB0C7B" w14:textId="77777777"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00" w:type="dxa"/>
            <w:vAlign w:val="center"/>
          </w:tcPr>
          <w:p w14:paraId="1BAAA2CD" w14:textId="77777777" w:rsidR="0019114E" w:rsidRPr="00275AA2" w:rsidRDefault="00323E96"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r w:rsidR="006B4352">
              <w:rPr>
                <w:rFonts w:ascii="Arial" w:hAnsi="Arial"/>
                <w:b/>
                <w:color w:val="000000"/>
                <w:sz w:val="20"/>
                <w:lang w:val="en-CA"/>
              </w:rPr>
              <w:t xml:space="preserve">   </w:t>
            </w:r>
          </w:p>
        </w:tc>
      </w:tr>
    </w:tbl>
    <w:p w14:paraId="7FED2499"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47A1EDB4" w14:textId="77777777"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14:paraId="2A28F06D" w14:textId="77777777" w:rsidR="005441E9" w:rsidRDefault="005441E9">
      <w:pPr>
        <w:pStyle w:val="FootnoteText"/>
        <w:rPr>
          <w:rFonts w:ascii="Arial" w:hAnsi="Arial" w:cs="Arial"/>
          <w:vertAlign w:val="superscript"/>
        </w:rPr>
      </w:pPr>
    </w:p>
    <w:p w14:paraId="7F9C5DDC" w14:textId="77777777" w:rsidR="00EA4133"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CC9C014" w14:textId="77777777" w:rsidR="00C666F5" w:rsidRPr="008003B9" w:rsidRDefault="00C666F5">
      <w:pPr>
        <w:pStyle w:val="FootnoteText"/>
        <w:rPr>
          <w:rFonts w:ascii="Arial" w:hAnsi="Arial" w:cs="Arial"/>
          <w:sz w:val="24"/>
          <w:szCs w:val="24"/>
        </w:rPr>
      </w:pPr>
    </w:p>
    <w:p w14:paraId="52DA7C2E" w14:textId="0770D2FC" w:rsidR="00EA4133" w:rsidRPr="00085D33" w:rsidRDefault="00EA4133" w:rsidP="00085D33">
      <w:pPr>
        <w:autoSpaceDE w:val="0"/>
        <w:autoSpaceDN w:val="0"/>
        <w:adjustRightInd w:val="0"/>
        <w:ind w:left="1080" w:hanging="1170"/>
        <w:rPr>
          <w:rFonts w:ascii="Arial" w:hAnsi="Arial" w:cs="Arial"/>
          <w:b/>
        </w:rPr>
      </w:pPr>
      <w:r>
        <w:rPr>
          <w:rFonts w:ascii="Arial" w:hAnsi="Arial"/>
        </w:rPr>
        <w:t>1.</w:t>
      </w:r>
      <w:r>
        <w:rPr>
          <w:rFonts w:ascii="Arial" w:hAnsi="Arial"/>
        </w:rPr>
        <w:tab/>
        <w:t xml:space="preserve">Total amount of funds to be raised: </w:t>
      </w:r>
      <w:r w:rsidR="005441E9">
        <w:rPr>
          <w:rFonts w:ascii="Arial" w:hAnsi="Arial"/>
        </w:rPr>
        <w:t xml:space="preserve">  </w:t>
      </w:r>
      <w:r w:rsidR="00323E96">
        <w:rPr>
          <w:rFonts w:ascii="Arial" w:hAnsi="Arial" w:cs="Arial"/>
          <w:b/>
        </w:rPr>
        <w:t>$</w:t>
      </w:r>
      <w:r w:rsidR="00B25A22">
        <w:rPr>
          <w:rFonts w:ascii="Arial" w:hAnsi="Arial" w:cs="Arial"/>
          <w:b/>
        </w:rPr>
        <w:t>2</w:t>
      </w:r>
      <w:r w:rsidR="00B91C9F">
        <w:rPr>
          <w:rFonts w:ascii="Arial" w:hAnsi="Arial" w:cs="Arial"/>
          <w:b/>
        </w:rPr>
        <w:t>,0</w:t>
      </w:r>
      <w:r w:rsidR="00B25A22">
        <w:rPr>
          <w:rFonts w:ascii="Arial" w:hAnsi="Arial" w:cs="Arial"/>
          <w:b/>
        </w:rPr>
        <w:t>3</w:t>
      </w:r>
      <w:r w:rsidR="00B91C9F">
        <w:rPr>
          <w:rFonts w:ascii="Arial" w:hAnsi="Arial" w:cs="Arial"/>
          <w:b/>
        </w:rPr>
        <w:t>0</w:t>
      </w:r>
      <w:r w:rsidR="00323E96">
        <w:rPr>
          <w:rFonts w:ascii="Arial" w:hAnsi="Arial" w:cs="Arial"/>
          <w:b/>
        </w:rPr>
        <w:t>,000</w:t>
      </w:r>
    </w:p>
    <w:p w14:paraId="22DAE467" w14:textId="078B27F5" w:rsidR="00EA4133" w:rsidRDefault="00EA4133" w:rsidP="00085D33">
      <w:pPr>
        <w:autoSpaceDE w:val="0"/>
        <w:autoSpaceDN w:val="0"/>
        <w:adjustRightInd w:val="0"/>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w:t>
      </w:r>
      <w:r>
        <w:rPr>
          <w:rFonts w:ascii="Arial" w:hAnsi="Arial"/>
        </w:rPr>
        <w:lastRenderedPageBreak/>
        <w:t xml:space="preserve">other material.  </w:t>
      </w:r>
      <w:r w:rsidR="00323E96">
        <w:rPr>
          <w:b/>
          <w:color w:val="000000"/>
          <w:sz w:val="22"/>
          <w:szCs w:val="22"/>
        </w:rPr>
        <w:t>P</w:t>
      </w:r>
      <w:r w:rsidR="00323E96" w:rsidRPr="00323E96">
        <w:rPr>
          <w:b/>
          <w:color w:val="000000"/>
          <w:sz w:val="22"/>
          <w:szCs w:val="22"/>
        </w:rPr>
        <w:t xml:space="preserve">rimarily </w:t>
      </w:r>
      <w:r w:rsidR="00323E96">
        <w:rPr>
          <w:b/>
          <w:color w:val="000000"/>
          <w:sz w:val="22"/>
          <w:szCs w:val="22"/>
        </w:rPr>
        <w:t>for</w:t>
      </w:r>
      <w:r w:rsidR="00323E96" w:rsidRPr="00323E96">
        <w:rPr>
          <w:b/>
          <w:color w:val="000000"/>
          <w:sz w:val="22"/>
          <w:szCs w:val="22"/>
        </w:rPr>
        <w:t xml:space="preserve"> the B</w:t>
      </w:r>
      <w:r w:rsidR="00B25A22">
        <w:rPr>
          <w:b/>
          <w:color w:val="000000"/>
          <w:sz w:val="22"/>
          <w:szCs w:val="22"/>
        </w:rPr>
        <w:t>iotech Complex</w:t>
      </w:r>
      <w:r w:rsidR="00323E96" w:rsidRPr="00323E96">
        <w:rPr>
          <w:b/>
          <w:color w:val="000000"/>
          <w:sz w:val="22"/>
          <w:szCs w:val="22"/>
        </w:rPr>
        <w:t xml:space="preserve"> for preliminary planning and development, plus </w:t>
      </w:r>
      <w:r w:rsidR="00B25A22">
        <w:rPr>
          <w:b/>
          <w:color w:val="000000"/>
          <w:sz w:val="22"/>
          <w:szCs w:val="22"/>
        </w:rPr>
        <w:t xml:space="preserve">construction and development costs for the </w:t>
      </w:r>
      <w:proofErr w:type="spellStart"/>
      <w:r w:rsidR="00B25A22">
        <w:rPr>
          <w:b/>
          <w:color w:val="000000"/>
          <w:sz w:val="22"/>
          <w:szCs w:val="22"/>
        </w:rPr>
        <w:t>Biocannatech</w:t>
      </w:r>
      <w:proofErr w:type="spellEnd"/>
      <w:r w:rsidR="00B25A22">
        <w:rPr>
          <w:b/>
          <w:color w:val="000000"/>
          <w:sz w:val="22"/>
          <w:szCs w:val="22"/>
        </w:rPr>
        <w:t xml:space="preserve"> Facility in Montreal, as we</w:t>
      </w:r>
      <w:r w:rsidR="00323E96" w:rsidRPr="00323E96">
        <w:rPr>
          <w:b/>
          <w:color w:val="000000"/>
          <w:sz w:val="22"/>
          <w:szCs w:val="22"/>
        </w:rPr>
        <w:t>ll as general working capital.</w:t>
      </w:r>
    </w:p>
    <w:p w14:paraId="42790847"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83F62DC" w14:textId="77777777"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14:paraId="72C06E4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B54A51D" w14:textId="6B078C7B" w:rsidR="00EA4133" w:rsidRDefault="00EA4133" w:rsidP="00085D33">
      <w:pPr>
        <w:autoSpaceDE w:val="0"/>
        <w:autoSpaceDN w:val="0"/>
        <w:adjustRightInd w:val="0"/>
        <w:ind w:left="1080" w:hanging="1080"/>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085D33" w:rsidRPr="00085D33">
        <w:rPr>
          <w:rFonts w:ascii="Arial" w:hAnsi="Arial" w:cs="Arial"/>
          <w:b/>
        </w:rPr>
        <w:t>The</w:t>
      </w:r>
      <w:proofErr w:type="gramEnd"/>
      <w:r w:rsidR="00085D33" w:rsidRPr="00085D33">
        <w:rPr>
          <w:rFonts w:ascii="Arial" w:hAnsi="Arial" w:cs="Arial"/>
          <w:b/>
        </w:rPr>
        <w:t xml:space="preserve"> </w:t>
      </w:r>
      <w:r w:rsidR="00742FF9">
        <w:rPr>
          <w:rFonts w:ascii="Arial" w:hAnsi="Arial" w:cs="Arial"/>
          <w:b/>
        </w:rPr>
        <w:t>Company</w:t>
      </w:r>
      <w:r w:rsidR="00085D33" w:rsidRPr="00085D33">
        <w:rPr>
          <w:rFonts w:ascii="Arial" w:hAnsi="Arial" w:cs="Arial"/>
          <w:b/>
        </w:rPr>
        <w:t xml:space="preserve"> will issue Units consisting of 1 common share</w:t>
      </w:r>
      <w:r w:rsidR="00085D33">
        <w:rPr>
          <w:rFonts w:ascii="Arial" w:hAnsi="Arial" w:cs="Arial"/>
          <w:b/>
        </w:rPr>
        <w:t xml:space="preserve"> </w:t>
      </w:r>
      <w:r w:rsidR="00085D33" w:rsidRPr="00085D33">
        <w:rPr>
          <w:rFonts w:ascii="Arial" w:hAnsi="Arial" w:cs="Arial"/>
          <w:b/>
        </w:rPr>
        <w:t xml:space="preserve">and 1 common share purchase warrant. </w:t>
      </w:r>
    </w:p>
    <w:p w14:paraId="594F3043" w14:textId="44285038" w:rsidR="00EA4133" w:rsidRDefault="00EA4133" w:rsidP="00C666F5">
      <w:pPr>
        <w:pStyle w:val="BodyText"/>
        <w:tabs>
          <w:tab w:val="left" w:pos="1080"/>
          <w:tab w:val="left" w:pos="1440"/>
          <w:tab w:val="left" w:pos="2160"/>
          <w:tab w:val="left" w:pos="9180"/>
        </w:tabs>
        <w:ind w:left="1080"/>
        <w:rPr>
          <w:rFonts w:ascii="Arial" w:hAnsi="Arial"/>
        </w:rPr>
      </w:pPr>
      <w:r>
        <w:rPr>
          <w:rFonts w:ascii="Arial" w:hAnsi="Arial"/>
        </w:rPr>
        <w:t>(b)</w:t>
      </w:r>
      <w:r>
        <w:rPr>
          <w:rFonts w:ascii="Arial" w:hAnsi="Arial"/>
        </w:rPr>
        <w:tab/>
      </w:r>
      <w:r>
        <w:rPr>
          <w:rFonts w:ascii="Arial" w:hAnsi="Arial"/>
        </w:rPr>
        <w:tab/>
        <w:t xml:space="preserve">Number </w:t>
      </w:r>
      <w:r w:rsidR="00B25A22" w:rsidRPr="00B25A22">
        <w:rPr>
          <w:rFonts w:ascii="Arial" w:hAnsi="Arial"/>
          <w:sz w:val="20"/>
        </w:rPr>
        <w:t>14,5</w:t>
      </w:r>
      <w:r w:rsidR="00323E96" w:rsidRPr="00B25A22">
        <w:rPr>
          <w:rFonts w:ascii="Arial" w:hAnsi="Arial"/>
          <w:b/>
          <w:sz w:val="20"/>
        </w:rPr>
        <w:t>00</w:t>
      </w:r>
      <w:r w:rsidR="00D81A21" w:rsidRPr="00C666F5">
        <w:rPr>
          <w:rFonts w:ascii="Arial" w:hAnsi="Arial"/>
          <w:b/>
          <w:sz w:val="20"/>
        </w:rPr>
        <w:t>,000</w:t>
      </w:r>
      <w:r w:rsidR="00323E96">
        <w:rPr>
          <w:rFonts w:ascii="Arial" w:hAnsi="Arial"/>
          <w:b/>
          <w:sz w:val="20"/>
        </w:rPr>
        <w:t xml:space="preserve"> common in respect of the units</w:t>
      </w:r>
      <w:r w:rsidR="00C666F5" w:rsidRPr="00C666F5">
        <w:rPr>
          <w:rFonts w:ascii="Arial" w:hAnsi="Arial"/>
          <w:b/>
          <w:sz w:val="20"/>
        </w:rPr>
        <w:t xml:space="preserve"> </w:t>
      </w:r>
    </w:p>
    <w:p w14:paraId="4DFB554D" w14:textId="127F40AF"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C666F5">
        <w:rPr>
          <w:rFonts w:ascii="Arial" w:hAnsi="Arial"/>
          <w:b/>
          <w:sz w:val="20"/>
          <w:u w:val="single"/>
        </w:rPr>
        <w:t>$</w:t>
      </w:r>
      <w:r w:rsidR="00B25A22">
        <w:rPr>
          <w:rFonts w:ascii="Arial" w:hAnsi="Arial"/>
          <w:b/>
          <w:sz w:val="20"/>
          <w:u w:val="single"/>
        </w:rPr>
        <w:t>0.14</w:t>
      </w:r>
      <w:r w:rsidR="00C666F5" w:rsidRPr="00C666F5">
        <w:rPr>
          <w:rFonts w:ascii="Arial" w:hAnsi="Arial"/>
          <w:b/>
          <w:sz w:val="20"/>
          <w:u w:val="single"/>
        </w:rPr>
        <w:t xml:space="preserve"> per common share</w:t>
      </w:r>
      <w:proofErr w:type="gramStart"/>
      <w:r>
        <w:rPr>
          <w:rFonts w:ascii="Arial" w:hAnsi="Arial"/>
          <w:u w:val="single"/>
        </w:rPr>
        <w:tab/>
      </w:r>
      <w:r>
        <w:rPr>
          <w:rFonts w:ascii="Arial" w:hAnsi="Arial"/>
        </w:rPr>
        <w:t xml:space="preserve"> .</w:t>
      </w:r>
      <w:proofErr w:type="gramEnd"/>
    </w:p>
    <w:p w14:paraId="3E04587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C666F5">
        <w:rPr>
          <w:rFonts w:ascii="Arial" w:hAnsi="Arial"/>
          <w:b/>
          <w:sz w:val="20"/>
          <w:u w:val="single"/>
        </w:rPr>
        <w:t>One vote per common share</w:t>
      </w:r>
      <w:r>
        <w:rPr>
          <w:rFonts w:ascii="Arial" w:hAnsi="Arial"/>
          <w:u w:val="single"/>
        </w:rPr>
        <w:tab/>
      </w:r>
      <w:r>
        <w:rPr>
          <w:rFonts w:ascii="Arial" w:hAnsi="Arial"/>
        </w:rPr>
        <w:t xml:space="preserve"> </w:t>
      </w:r>
    </w:p>
    <w:p w14:paraId="47C1CF5A"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13C838A" w14:textId="3E62D41E"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B25A22">
        <w:rPr>
          <w:rFonts w:ascii="Arial" w:hAnsi="Arial"/>
          <w:b/>
          <w:sz w:val="20"/>
          <w:u w:val="single"/>
        </w:rPr>
        <w:t>14,5</w:t>
      </w:r>
      <w:r w:rsidR="00323E96">
        <w:rPr>
          <w:rFonts w:ascii="Arial" w:hAnsi="Arial"/>
          <w:b/>
          <w:sz w:val="20"/>
          <w:u w:val="single"/>
        </w:rPr>
        <w:t>00</w:t>
      </w:r>
      <w:r w:rsidR="000A3A95" w:rsidRPr="00C666F5">
        <w:rPr>
          <w:rFonts w:ascii="Arial" w:hAnsi="Arial"/>
          <w:b/>
          <w:sz w:val="20"/>
          <w:u w:val="single"/>
        </w:rPr>
        <w:t>,000</w:t>
      </w:r>
      <w:r w:rsidR="00C666F5" w:rsidRPr="00C666F5">
        <w:rPr>
          <w:rFonts w:ascii="Arial" w:hAnsi="Arial"/>
          <w:b/>
          <w:sz w:val="20"/>
          <w:u w:val="single"/>
        </w:rPr>
        <w:t xml:space="preserve"> warrants</w:t>
      </w:r>
      <w:proofErr w:type="gramStart"/>
      <w:r>
        <w:rPr>
          <w:rFonts w:ascii="Arial" w:hAnsi="Arial"/>
          <w:u w:val="single"/>
        </w:rPr>
        <w:tab/>
      </w:r>
      <w:r>
        <w:rPr>
          <w:rFonts w:ascii="Arial" w:hAnsi="Arial"/>
        </w:rPr>
        <w:t xml:space="preserve"> .</w:t>
      </w:r>
      <w:proofErr w:type="gramEnd"/>
    </w:p>
    <w:p w14:paraId="398F28CA" w14:textId="6D8A050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Number of securities eligible to be purchased on exercise of Warrants (or options</w:t>
      </w:r>
      <w:proofErr w:type="gramStart"/>
      <w:r>
        <w:rPr>
          <w:rFonts w:ascii="Arial" w:hAnsi="Arial"/>
        </w:rPr>
        <w:t xml:space="preserve">)  </w:t>
      </w:r>
      <w:r w:rsidR="00B25A22" w:rsidRPr="00E776C2">
        <w:rPr>
          <w:rFonts w:ascii="Arial" w:hAnsi="Arial"/>
          <w:sz w:val="20"/>
        </w:rPr>
        <w:t>14,5</w:t>
      </w:r>
      <w:r w:rsidR="00323E96" w:rsidRPr="00E776C2">
        <w:rPr>
          <w:rFonts w:ascii="Arial" w:hAnsi="Arial"/>
          <w:b/>
          <w:sz w:val="20"/>
        </w:rPr>
        <w:t>00</w:t>
      </w:r>
      <w:r w:rsidR="000A3A95" w:rsidRPr="00C666F5">
        <w:rPr>
          <w:rFonts w:ascii="Arial" w:hAnsi="Arial"/>
          <w:b/>
          <w:sz w:val="20"/>
        </w:rPr>
        <w:t>,000</w:t>
      </w:r>
      <w:proofErr w:type="gramEnd"/>
      <w:r>
        <w:rPr>
          <w:rFonts w:ascii="Arial" w:hAnsi="Arial"/>
          <w:u w:val="single"/>
        </w:rPr>
        <w:tab/>
      </w:r>
    </w:p>
    <w:p w14:paraId="441C975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17E6A2CC" w14:textId="1088DECA"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A3A95">
        <w:rPr>
          <w:rFonts w:ascii="Arial" w:hAnsi="Arial"/>
        </w:rPr>
        <w:t xml:space="preserve"> </w:t>
      </w:r>
      <w:r w:rsidR="000A3A95" w:rsidRPr="00C666F5">
        <w:rPr>
          <w:rFonts w:ascii="Arial" w:hAnsi="Arial"/>
          <w:b/>
          <w:sz w:val="20"/>
        </w:rPr>
        <w:t>$</w:t>
      </w:r>
      <w:r w:rsidR="00E776C2">
        <w:rPr>
          <w:rFonts w:ascii="Arial" w:hAnsi="Arial"/>
          <w:b/>
          <w:sz w:val="20"/>
        </w:rPr>
        <w:t>0.20</w:t>
      </w:r>
      <w:r w:rsidR="00C666F5" w:rsidRPr="00C666F5">
        <w:rPr>
          <w:rFonts w:ascii="Arial" w:hAnsi="Arial"/>
          <w:b/>
          <w:sz w:val="20"/>
        </w:rPr>
        <w:t xml:space="preserve"> per warrant</w:t>
      </w:r>
      <w:proofErr w:type="gramStart"/>
      <w:r>
        <w:rPr>
          <w:rFonts w:ascii="Arial" w:hAnsi="Arial"/>
          <w:u w:val="single"/>
        </w:rPr>
        <w:tab/>
      </w:r>
      <w:r>
        <w:rPr>
          <w:rFonts w:ascii="Arial" w:hAnsi="Arial"/>
        </w:rPr>
        <w:t xml:space="preserve"> .</w:t>
      </w:r>
      <w:proofErr w:type="gramEnd"/>
    </w:p>
    <w:p w14:paraId="06003CD0" w14:textId="29491580"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742FF9">
        <w:rPr>
          <w:rFonts w:ascii="Arial" w:hAnsi="Arial"/>
          <w:u w:val="single"/>
        </w:rPr>
        <w:t>3</w:t>
      </w:r>
      <w:r w:rsidR="00AA79BC">
        <w:rPr>
          <w:rFonts w:ascii="Arial" w:hAnsi="Arial"/>
          <w:u w:val="single"/>
        </w:rPr>
        <w:t xml:space="preserve"> years from the date of issuance.</w:t>
      </w:r>
      <w:r w:rsidR="00AA79BC" w:rsidRPr="00AA79BC">
        <w:rPr>
          <w:szCs w:val="24"/>
        </w:rPr>
        <w:t xml:space="preserve"> Exercise of the Warrants may be accelerated by the </w:t>
      </w:r>
      <w:r w:rsidR="00AA79BC" w:rsidRPr="00AA79BC">
        <w:rPr>
          <w:rFonts w:cs="Arial"/>
          <w:szCs w:val="24"/>
        </w:rPr>
        <w:t>Company, if, after the expiry of the hold period, the Shares trade</w:t>
      </w:r>
      <w:r w:rsidR="00AA79BC" w:rsidRPr="00AA79BC">
        <w:rPr>
          <w:rFonts w:cs="Arial"/>
          <w:color w:val="000000"/>
          <w:szCs w:val="24"/>
          <w:lang w:val="en-US"/>
        </w:rPr>
        <w:t xml:space="preserve"> at or above a weighted average trading price of $</w:t>
      </w:r>
      <w:r w:rsidR="00E776C2">
        <w:rPr>
          <w:rFonts w:cs="Arial"/>
          <w:color w:val="000000"/>
          <w:szCs w:val="24"/>
          <w:lang w:val="en-US"/>
        </w:rPr>
        <w:t>0.30</w:t>
      </w:r>
      <w:r w:rsidR="00AA79BC" w:rsidRPr="00AA79BC">
        <w:rPr>
          <w:rFonts w:cs="Arial"/>
          <w:color w:val="000000"/>
          <w:szCs w:val="24"/>
          <w:lang w:val="en-US"/>
        </w:rPr>
        <w:t xml:space="preserve"> per Share for 10 consecutive trading days, by giving written notice to warrant holders that the warrants will expire 30 days from the date of providing such notice.</w:t>
      </w:r>
    </w:p>
    <w:p w14:paraId="52299CBA"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216E6902"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proofErr w:type="gramStart"/>
      <w:r>
        <w:rPr>
          <w:rFonts w:ascii="Arial" w:hAnsi="Arial"/>
          <w:u w:val="single"/>
        </w:rPr>
        <w:tab/>
      </w:r>
      <w:r>
        <w:rPr>
          <w:rFonts w:ascii="Arial" w:hAnsi="Arial"/>
        </w:rPr>
        <w:t xml:space="preserve"> .</w:t>
      </w:r>
      <w:proofErr w:type="gramEnd"/>
    </w:p>
    <w:p w14:paraId="23BF389C"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79EB8C1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5C69486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4E0ABA22" w14:textId="77777777" w:rsidR="00A00C54" w:rsidRDefault="00A00C54">
      <w:pPr>
        <w:pStyle w:val="BodyText"/>
        <w:tabs>
          <w:tab w:val="left" w:pos="1080"/>
          <w:tab w:val="left" w:pos="1440"/>
          <w:tab w:val="left" w:pos="2160"/>
          <w:tab w:val="left" w:pos="9180"/>
        </w:tabs>
        <w:rPr>
          <w:rFonts w:ascii="Arial" w:hAnsi="Arial"/>
        </w:rPr>
      </w:pPr>
    </w:p>
    <w:p w14:paraId="0C937EB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117146E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1BA5254" w14:textId="4CF83409" w:rsidR="00EA4133" w:rsidRPr="00AA79BC" w:rsidRDefault="00EA4133" w:rsidP="00C666F5">
      <w:pPr>
        <w:autoSpaceDE w:val="0"/>
        <w:autoSpaceDN w:val="0"/>
        <w:adjustRightInd w:val="0"/>
        <w:ind w:left="1080"/>
        <w:rPr>
          <w:rFonts w:ascii="Arial" w:hAnsi="Arial"/>
          <w:sz w:val="24"/>
          <w:szCs w:val="24"/>
          <w:u w:val="single"/>
        </w:rPr>
      </w:pPr>
      <w:r w:rsidRPr="00AA79BC">
        <w:rPr>
          <w:rFonts w:ascii="Arial" w:hAnsi="Arial"/>
          <w:sz w:val="24"/>
          <w:szCs w:val="24"/>
        </w:rPr>
        <w:t>(a)</w:t>
      </w:r>
      <w:r w:rsidRPr="00AA79BC">
        <w:rPr>
          <w:rFonts w:ascii="Arial" w:hAnsi="Arial"/>
          <w:sz w:val="24"/>
          <w:szCs w:val="24"/>
        </w:rPr>
        <w:tab/>
        <w:t>Details of any dealer, agent, broker or other person receiving compensation in connection with the placement (name, address. If a corporation, identify persons owning or exercising voting control over 20% or more of the voting shares if known to the Issuer):</w:t>
      </w:r>
      <w:r w:rsidR="00986361" w:rsidRPr="00AA79BC">
        <w:rPr>
          <w:rFonts w:ascii="Arial" w:hAnsi="Arial"/>
          <w:sz w:val="24"/>
          <w:szCs w:val="24"/>
        </w:rPr>
        <w:t xml:space="preserve"> </w:t>
      </w:r>
      <w:r w:rsidR="00742FF9">
        <w:rPr>
          <w:rFonts w:ascii="Arial" w:hAnsi="Arial"/>
          <w:color w:val="000000"/>
          <w:sz w:val="24"/>
          <w:szCs w:val="24"/>
        </w:rPr>
        <w:t xml:space="preserve">Fee Agreement between the Company and </w:t>
      </w:r>
      <w:r w:rsidR="004B4BB6">
        <w:rPr>
          <w:rFonts w:ascii="Arial" w:hAnsi="Arial"/>
          <w:color w:val="000000"/>
          <w:sz w:val="24"/>
          <w:szCs w:val="24"/>
        </w:rPr>
        <w:t>EMD Financial</w:t>
      </w:r>
      <w:r w:rsidR="00742FF9">
        <w:rPr>
          <w:rFonts w:ascii="Arial" w:hAnsi="Arial"/>
          <w:color w:val="000000"/>
          <w:sz w:val="24"/>
          <w:szCs w:val="24"/>
        </w:rPr>
        <w:t xml:space="preserve"> </w:t>
      </w:r>
      <w:r w:rsidR="00C96578">
        <w:rPr>
          <w:rFonts w:ascii="Arial" w:hAnsi="Arial"/>
          <w:color w:val="000000"/>
          <w:sz w:val="24"/>
          <w:szCs w:val="24"/>
        </w:rPr>
        <w:t xml:space="preserve">Inc. </w:t>
      </w:r>
      <w:bookmarkStart w:id="4" w:name="_GoBack"/>
      <w:bookmarkEnd w:id="4"/>
      <w:r w:rsidR="00742FF9">
        <w:rPr>
          <w:rFonts w:ascii="Arial" w:hAnsi="Arial"/>
          <w:color w:val="000000"/>
          <w:sz w:val="24"/>
          <w:szCs w:val="24"/>
        </w:rPr>
        <w:t xml:space="preserve">dated </w:t>
      </w:r>
      <w:r w:rsidR="004B4BB6">
        <w:rPr>
          <w:rFonts w:ascii="Arial" w:hAnsi="Arial"/>
          <w:color w:val="000000"/>
          <w:sz w:val="24"/>
          <w:szCs w:val="24"/>
        </w:rPr>
        <w:t xml:space="preserve">August </w:t>
      </w:r>
      <w:r w:rsidR="00C96578">
        <w:rPr>
          <w:rFonts w:ascii="Arial" w:hAnsi="Arial"/>
          <w:color w:val="000000"/>
          <w:sz w:val="24"/>
          <w:szCs w:val="24"/>
        </w:rPr>
        <w:t>20</w:t>
      </w:r>
      <w:r w:rsidR="004B4BB6">
        <w:rPr>
          <w:rFonts w:ascii="Arial" w:hAnsi="Arial"/>
          <w:color w:val="000000"/>
          <w:sz w:val="24"/>
          <w:szCs w:val="24"/>
        </w:rPr>
        <w:t>, 2018</w:t>
      </w:r>
    </w:p>
    <w:p w14:paraId="23F539C2" w14:textId="1C981F0F"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w:t>
      </w:r>
      <w:r w:rsidR="00AA79BC">
        <w:rPr>
          <w:rFonts w:ascii="Arial" w:hAnsi="Arial"/>
          <w:u w:val="single"/>
        </w:rPr>
        <w:t xml:space="preserve"> </w:t>
      </w:r>
      <w:r>
        <w:rPr>
          <w:rFonts w:ascii="Arial" w:hAnsi="Arial"/>
        </w:rPr>
        <w:t xml:space="preserve"> </w:t>
      </w:r>
      <w:r w:rsidR="00742FF9">
        <w:rPr>
          <w:rFonts w:ascii="Arial" w:hAnsi="Arial"/>
        </w:rPr>
        <w:t>8%</w:t>
      </w:r>
      <w:proofErr w:type="gramStart"/>
      <w:r>
        <w:rPr>
          <w:rFonts w:ascii="Arial" w:hAnsi="Arial"/>
          <w:u w:val="single"/>
        </w:rPr>
        <w:tab/>
      </w:r>
      <w:r>
        <w:rPr>
          <w:rFonts w:ascii="Arial" w:hAnsi="Arial"/>
        </w:rPr>
        <w:t xml:space="preserve"> .</w:t>
      </w:r>
      <w:proofErr w:type="gramEnd"/>
    </w:p>
    <w:p w14:paraId="11B587C5" w14:textId="211A94A8"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4B4BB6">
        <w:rPr>
          <w:rFonts w:ascii="Arial" w:hAnsi="Arial"/>
        </w:rPr>
        <w:t xml:space="preserve"> 4</w:t>
      </w:r>
      <w:r w:rsidR="00742FF9">
        <w:rPr>
          <w:rFonts w:ascii="Arial" w:hAnsi="Arial"/>
        </w:rPr>
        <w:t xml:space="preserve">% </w:t>
      </w:r>
      <w:r w:rsidR="004B4BB6">
        <w:rPr>
          <w:rFonts w:ascii="Arial" w:hAnsi="Arial"/>
        </w:rPr>
        <w:t xml:space="preserve">units </w:t>
      </w:r>
      <w:r w:rsidR="00742FF9">
        <w:rPr>
          <w:rFonts w:ascii="Arial" w:hAnsi="Arial"/>
        </w:rPr>
        <w:t>on the same terms as the offering</w:t>
      </w:r>
      <w:proofErr w:type="gramStart"/>
      <w:r>
        <w:rPr>
          <w:rFonts w:ascii="Arial" w:hAnsi="Arial"/>
          <w:u w:val="single"/>
        </w:rPr>
        <w:tab/>
      </w:r>
      <w:r>
        <w:rPr>
          <w:rFonts w:ascii="Arial" w:hAnsi="Arial"/>
        </w:rPr>
        <w:t xml:space="preserve"> .</w:t>
      </w:r>
      <w:proofErr w:type="gramEnd"/>
    </w:p>
    <w:p w14:paraId="7C263E32"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22CF5C1"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71DCD509"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3FE5B800"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A3A95">
        <w:rPr>
          <w:rFonts w:ascii="Arial" w:hAnsi="Arial"/>
        </w:rPr>
        <w:t>N/A</w:t>
      </w:r>
      <w:r>
        <w:rPr>
          <w:rFonts w:ascii="Arial" w:hAnsi="Arial"/>
          <w:u w:val="single"/>
        </w:rPr>
        <w:tab/>
      </w:r>
    </w:p>
    <w:p w14:paraId="6AD0AA0B"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218643A" w14:textId="77777777" w:rsidR="00EA4133" w:rsidRDefault="00EA4133">
      <w:pPr>
        <w:pStyle w:val="List"/>
        <w:numPr>
          <w:ilvl w:val="0"/>
          <w:numId w:val="10"/>
        </w:numPr>
        <w:rPr>
          <w:rFonts w:ascii="Arial" w:hAnsi="Arial"/>
        </w:rPr>
      </w:pPr>
      <w:r>
        <w:rPr>
          <w:rFonts w:ascii="Arial" w:hAnsi="Arial"/>
        </w:rPr>
        <w:t xml:space="preserve">Describe any unusual </w:t>
      </w:r>
      <w:proofErr w:type="gramStart"/>
      <w:r>
        <w:rPr>
          <w:rFonts w:ascii="Arial" w:hAnsi="Arial"/>
        </w:rPr>
        <w:t>particulars of</w:t>
      </w:r>
      <w:proofErr w:type="gramEnd"/>
      <w:r>
        <w:rPr>
          <w:rFonts w:ascii="Arial" w:hAnsi="Arial"/>
        </w:rPr>
        <w:t xml:space="preserve"> the transaction (i.e. tax “flow through” shares, etc.).</w:t>
      </w:r>
    </w:p>
    <w:p w14:paraId="5CC9E534"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proofErr w:type="gramStart"/>
      <w:r>
        <w:rPr>
          <w:rFonts w:ascii="Arial" w:hAnsi="Arial"/>
          <w:u w:val="single"/>
        </w:rPr>
        <w:tab/>
      </w:r>
      <w:r>
        <w:rPr>
          <w:rFonts w:ascii="Arial" w:hAnsi="Arial"/>
        </w:rPr>
        <w:t xml:space="preserve"> .</w:t>
      </w:r>
      <w:proofErr w:type="gramEnd"/>
    </w:p>
    <w:p w14:paraId="486AD774"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45D855A2"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proofErr w:type="gramStart"/>
      <w:r>
        <w:rPr>
          <w:rFonts w:ascii="Arial" w:hAnsi="Arial"/>
          <w:u w:val="single"/>
        </w:rPr>
        <w:tab/>
      </w:r>
      <w:r>
        <w:rPr>
          <w:rFonts w:ascii="Arial" w:hAnsi="Arial"/>
        </w:rPr>
        <w:t xml:space="preserve"> .</w:t>
      </w:r>
      <w:proofErr w:type="gramEnd"/>
    </w:p>
    <w:p w14:paraId="1759EF30" w14:textId="77777777" w:rsidR="00EA4133" w:rsidRDefault="00EA4133">
      <w:pPr>
        <w:pStyle w:val="List"/>
        <w:tabs>
          <w:tab w:val="left" w:pos="9180"/>
        </w:tabs>
        <w:spacing w:before="0"/>
        <w:jc w:val="both"/>
        <w:rPr>
          <w:rFonts w:ascii="Arial" w:hAnsi="Arial"/>
        </w:rPr>
      </w:pPr>
    </w:p>
    <w:p w14:paraId="7039B4EA"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70DE62D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E832A2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8F3DAE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E20A7A1"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Pr>
          <w:rFonts w:ascii="Arial" w:hAnsi="Arial"/>
        </w:rPr>
        <w:t>Instrument 45-102.</w:t>
      </w:r>
    </w:p>
    <w:p w14:paraId="35CBA6AD"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60C616DC" w14:textId="77777777" w:rsidR="00EA4133" w:rsidRDefault="00EA4133">
      <w:pPr>
        <w:pStyle w:val="List"/>
        <w:tabs>
          <w:tab w:val="left" w:pos="9180"/>
        </w:tabs>
        <w:spacing w:before="0"/>
        <w:ind w:left="0" w:firstLine="0"/>
        <w:jc w:val="both"/>
        <w:rPr>
          <w:rFonts w:ascii="Arial" w:hAnsi="Arial"/>
          <w:color w:val="000000"/>
        </w:rPr>
      </w:pPr>
    </w:p>
    <w:p w14:paraId="2A67D1DC"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6BEAB9E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6EA38EB"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0296682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F26D019"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F0A3BCE"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proofErr w:type="spellStart"/>
      <w:proofErr w:type="gramStart"/>
      <w:r>
        <w:rPr>
          <w:rFonts w:ascii="Arial" w:hAnsi="Arial"/>
          <w:color w:val="000000"/>
        </w:rPr>
        <w:t>dollars:</w:t>
      </w:r>
      <w:r w:rsidR="003E7E4D">
        <w:rPr>
          <w:rFonts w:ascii="Arial" w:hAnsi="Arial"/>
          <w:color w:val="000000"/>
        </w:rPr>
        <w:t>N</w:t>
      </w:r>
      <w:proofErr w:type="spellEnd"/>
      <w:proofErr w:type="gramEnd"/>
      <w:r w:rsidR="003E7E4D">
        <w:rPr>
          <w:rFonts w:ascii="Arial" w:hAnsi="Arial"/>
          <w:color w:val="000000"/>
        </w:rPr>
        <w:t>/A</w:t>
      </w:r>
      <w:r>
        <w:rPr>
          <w:rFonts w:ascii="Arial" w:hAnsi="Arial"/>
          <w:color w:val="000000"/>
          <w:u w:val="single"/>
        </w:rPr>
        <w:tab/>
      </w:r>
      <w:r>
        <w:rPr>
          <w:rFonts w:ascii="Arial" w:hAnsi="Arial"/>
          <w:color w:val="000000"/>
        </w:rPr>
        <w:t xml:space="preserve"> . </w:t>
      </w:r>
    </w:p>
    <w:p w14:paraId="76A52DD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proofErr w:type="gramStart"/>
      <w:r>
        <w:rPr>
          <w:rFonts w:ascii="Arial" w:hAnsi="Arial"/>
          <w:color w:val="000000"/>
          <w:u w:val="single"/>
        </w:rPr>
        <w:tab/>
      </w:r>
      <w:r>
        <w:rPr>
          <w:rFonts w:ascii="Arial" w:hAnsi="Arial"/>
          <w:color w:val="000000"/>
        </w:rPr>
        <w:t xml:space="preserve"> .</w:t>
      </w:r>
      <w:proofErr w:type="gramEnd"/>
    </w:p>
    <w:p w14:paraId="39DB9EF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396F37B0" w14:textId="77777777"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r>
        <w:rPr>
          <w:rFonts w:ascii="Arial" w:hAnsi="Arial"/>
          <w:color w:val="000000"/>
        </w:rPr>
        <w:t xml:space="preserve"> .</w:t>
      </w:r>
    </w:p>
    <w:p w14:paraId="7AB824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u w:val="single"/>
        </w:rPr>
        <w:tab/>
      </w:r>
      <w:r>
        <w:rPr>
          <w:rFonts w:ascii="Arial" w:hAnsi="Arial"/>
          <w:color w:val="000000"/>
        </w:rPr>
        <w:t xml:space="preserve"> .</w:t>
      </w:r>
      <w:proofErr w:type="gramEnd"/>
    </w:p>
    <w:p w14:paraId="0558044B"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1CA9522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26C0FEF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5501A23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3ABA08E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14:paraId="0DF5553A"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7D33F7B"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6F73C6AA" w14:textId="77777777">
        <w:tc>
          <w:tcPr>
            <w:tcW w:w="1440" w:type="dxa"/>
          </w:tcPr>
          <w:p w14:paraId="1E370802" w14:textId="77777777" w:rsidR="00EA4133" w:rsidRDefault="00EA4133">
            <w:pPr>
              <w:pStyle w:val="BodyText"/>
              <w:keepNext/>
              <w:keepLines/>
              <w:spacing w:before="0" w:line="280" w:lineRule="exact"/>
              <w:jc w:val="center"/>
              <w:rPr>
                <w:rFonts w:ascii="Arial" w:hAnsi="Arial"/>
                <w:b/>
                <w:sz w:val="20"/>
                <w:lang w:val="en-CA"/>
              </w:rPr>
            </w:pPr>
          </w:p>
          <w:p w14:paraId="403B02A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2E196E9" w14:textId="77777777" w:rsidR="00EA4133" w:rsidRDefault="00EA4133">
            <w:pPr>
              <w:pStyle w:val="BodyText"/>
              <w:keepNext/>
              <w:keepLines/>
              <w:spacing w:before="0" w:line="280" w:lineRule="exact"/>
              <w:jc w:val="center"/>
              <w:rPr>
                <w:rFonts w:ascii="Arial" w:hAnsi="Arial"/>
                <w:b/>
                <w:sz w:val="20"/>
                <w:lang w:val="en-CA"/>
              </w:rPr>
            </w:pPr>
          </w:p>
          <w:p w14:paraId="1367451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7BD2FC30" w14:textId="77777777" w:rsidR="00EA4133" w:rsidRDefault="00EA4133">
            <w:pPr>
              <w:pStyle w:val="BodyText"/>
              <w:keepNext/>
              <w:keepLines/>
              <w:spacing w:before="0" w:line="280" w:lineRule="exact"/>
              <w:jc w:val="center"/>
              <w:rPr>
                <w:rFonts w:ascii="Arial" w:hAnsi="Arial"/>
                <w:b/>
                <w:sz w:val="20"/>
                <w:lang w:val="en-CA"/>
              </w:rPr>
            </w:pPr>
          </w:p>
          <w:p w14:paraId="6821C66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2C55F1E" w14:textId="77777777" w:rsidR="00EA4133" w:rsidRDefault="00EA4133">
            <w:pPr>
              <w:pStyle w:val="BodyText"/>
              <w:keepNext/>
              <w:keepLines/>
              <w:spacing w:before="0" w:line="280" w:lineRule="exact"/>
              <w:jc w:val="center"/>
              <w:rPr>
                <w:rFonts w:ascii="Arial" w:hAnsi="Arial"/>
                <w:b/>
                <w:sz w:val="20"/>
                <w:lang w:val="en-CA"/>
              </w:rPr>
            </w:pPr>
          </w:p>
          <w:p w14:paraId="18DEEBD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B0AB7AD" w14:textId="77777777" w:rsidR="00EA4133" w:rsidRDefault="00EA4133">
            <w:pPr>
              <w:pStyle w:val="BodyText"/>
              <w:keepNext/>
              <w:keepLines/>
              <w:spacing w:before="0" w:line="280" w:lineRule="exact"/>
              <w:jc w:val="center"/>
              <w:rPr>
                <w:rFonts w:ascii="Arial" w:hAnsi="Arial"/>
                <w:b/>
                <w:sz w:val="20"/>
                <w:lang w:val="en-CA"/>
              </w:rPr>
            </w:pPr>
          </w:p>
          <w:p w14:paraId="25354B8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89E5DAC" w14:textId="77777777" w:rsidR="00EA4133" w:rsidRDefault="00EA4133">
            <w:pPr>
              <w:pStyle w:val="BodyText"/>
              <w:keepNext/>
              <w:keepLines/>
              <w:spacing w:before="0" w:line="280" w:lineRule="exact"/>
              <w:jc w:val="center"/>
              <w:rPr>
                <w:rFonts w:ascii="Arial" w:hAnsi="Arial"/>
                <w:b/>
                <w:sz w:val="20"/>
              </w:rPr>
            </w:pPr>
          </w:p>
          <w:p w14:paraId="3E7C3FB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3FA60E9A" w14:textId="77777777" w:rsidR="00EA4133" w:rsidRDefault="00EA4133">
            <w:pPr>
              <w:pStyle w:val="BodyText"/>
              <w:keepNext/>
              <w:keepLines/>
              <w:spacing w:before="0" w:line="280" w:lineRule="exact"/>
              <w:jc w:val="center"/>
              <w:rPr>
                <w:rFonts w:ascii="Arial" w:hAnsi="Arial"/>
                <w:b/>
                <w:color w:val="000000"/>
                <w:sz w:val="20"/>
                <w:lang w:val="en-CA"/>
              </w:rPr>
            </w:pPr>
          </w:p>
          <w:p w14:paraId="608AF4B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4DDB41A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0C5B815A" w14:textId="77777777">
        <w:trPr>
          <w:trHeight w:hRule="exact" w:val="280"/>
        </w:trPr>
        <w:tc>
          <w:tcPr>
            <w:tcW w:w="1440" w:type="dxa"/>
          </w:tcPr>
          <w:p w14:paraId="47995DC5" w14:textId="77777777" w:rsidR="00EA4133" w:rsidRDefault="00EA4133">
            <w:pPr>
              <w:pStyle w:val="BodyText"/>
              <w:keepNext/>
              <w:keepLines/>
              <w:rPr>
                <w:rFonts w:ascii="Arial" w:hAnsi="Arial"/>
                <w:lang w:val="en-CA"/>
              </w:rPr>
            </w:pPr>
          </w:p>
        </w:tc>
        <w:tc>
          <w:tcPr>
            <w:tcW w:w="1260" w:type="dxa"/>
          </w:tcPr>
          <w:p w14:paraId="61AF2BB3" w14:textId="77777777" w:rsidR="00EA4133" w:rsidRDefault="00EA4133">
            <w:pPr>
              <w:pStyle w:val="BodyText"/>
              <w:keepNext/>
              <w:keepLines/>
              <w:rPr>
                <w:rFonts w:ascii="Arial" w:hAnsi="Arial"/>
                <w:lang w:val="en-CA"/>
              </w:rPr>
            </w:pPr>
          </w:p>
        </w:tc>
        <w:tc>
          <w:tcPr>
            <w:tcW w:w="1260" w:type="dxa"/>
          </w:tcPr>
          <w:p w14:paraId="182C69C4" w14:textId="77777777" w:rsidR="00EA4133" w:rsidRDefault="00EA4133">
            <w:pPr>
              <w:pStyle w:val="BodyText"/>
              <w:keepNext/>
              <w:keepLines/>
              <w:rPr>
                <w:rFonts w:ascii="Arial" w:hAnsi="Arial"/>
                <w:lang w:val="en-CA"/>
              </w:rPr>
            </w:pPr>
          </w:p>
        </w:tc>
        <w:tc>
          <w:tcPr>
            <w:tcW w:w="1440" w:type="dxa"/>
          </w:tcPr>
          <w:p w14:paraId="7AE241B7" w14:textId="77777777" w:rsidR="00EA4133" w:rsidRDefault="00EA4133">
            <w:pPr>
              <w:pStyle w:val="BodyText"/>
              <w:keepNext/>
              <w:keepLines/>
              <w:rPr>
                <w:rFonts w:ascii="Arial" w:hAnsi="Arial"/>
                <w:lang w:val="en-CA"/>
              </w:rPr>
            </w:pPr>
          </w:p>
        </w:tc>
        <w:tc>
          <w:tcPr>
            <w:tcW w:w="1440" w:type="dxa"/>
          </w:tcPr>
          <w:p w14:paraId="55000E8D" w14:textId="77777777" w:rsidR="00EA4133" w:rsidRDefault="00EA4133">
            <w:pPr>
              <w:pStyle w:val="BodyText"/>
              <w:keepNext/>
              <w:keepLines/>
              <w:rPr>
                <w:rFonts w:ascii="Arial" w:hAnsi="Arial"/>
                <w:lang w:val="en-CA"/>
              </w:rPr>
            </w:pPr>
          </w:p>
        </w:tc>
        <w:tc>
          <w:tcPr>
            <w:tcW w:w="1620" w:type="dxa"/>
          </w:tcPr>
          <w:p w14:paraId="7E3B27D6" w14:textId="77777777" w:rsidR="00EA4133" w:rsidRDefault="00EA4133">
            <w:pPr>
              <w:pStyle w:val="BodyText"/>
              <w:keepNext/>
              <w:keepLines/>
              <w:rPr>
                <w:rFonts w:ascii="Arial" w:hAnsi="Arial"/>
                <w:lang w:val="en-CA"/>
              </w:rPr>
            </w:pPr>
          </w:p>
        </w:tc>
        <w:tc>
          <w:tcPr>
            <w:tcW w:w="1530" w:type="dxa"/>
          </w:tcPr>
          <w:p w14:paraId="3E743D2B" w14:textId="77777777" w:rsidR="00EA4133" w:rsidRDefault="00EA4133">
            <w:pPr>
              <w:pStyle w:val="BodyText"/>
              <w:keepNext/>
              <w:keepLines/>
              <w:rPr>
                <w:rFonts w:ascii="Arial" w:hAnsi="Arial"/>
                <w:lang w:val="en-CA"/>
              </w:rPr>
            </w:pPr>
          </w:p>
        </w:tc>
      </w:tr>
      <w:tr w:rsidR="00EA4133" w14:paraId="0342F7DE" w14:textId="77777777">
        <w:trPr>
          <w:trHeight w:hRule="exact" w:val="320"/>
        </w:trPr>
        <w:tc>
          <w:tcPr>
            <w:tcW w:w="1440" w:type="dxa"/>
          </w:tcPr>
          <w:p w14:paraId="2D7E0E4C" w14:textId="77777777" w:rsidR="00EA4133" w:rsidRDefault="00EA4133">
            <w:pPr>
              <w:pStyle w:val="BodyText"/>
              <w:keepNext/>
              <w:keepLines/>
              <w:rPr>
                <w:rFonts w:ascii="Arial" w:hAnsi="Arial"/>
                <w:lang w:val="en-CA"/>
              </w:rPr>
            </w:pPr>
          </w:p>
        </w:tc>
        <w:tc>
          <w:tcPr>
            <w:tcW w:w="1260" w:type="dxa"/>
          </w:tcPr>
          <w:p w14:paraId="57F740B7" w14:textId="77777777" w:rsidR="00EA4133" w:rsidRDefault="00EA4133">
            <w:pPr>
              <w:pStyle w:val="BodyText"/>
              <w:keepNext/>
              <w:keepLines/>
              <w:rPr>
                <w:rFonts w:ascii="Arial" w:hAnsi="Arial"/>
                <w:lang w:val="en-CA"/>
              </w:rPr>
            </w:pPr>
          </w:p>
        </w:tc>
        <w:tc>
          <w:tcPr>
            <w:tcW w:w="1260" w:type="dxa"/>
          </w:tcPr>
          <w:p w14:paraId="437A94C8" w14:textId="77777777" w:rsidR="00EA4133" w:rsidRDefault="00EA4133">
            <w:pPr>
              <w:pStyle w:val="BodyText"/>
              <w:keepNext/>
              <w:keepLines/>
              <w:rPr>
                <w:rFonts w:ascii="Arial" w:hAnsi="Arial"/>
                <w:lang w:val="en-CA"/>
              </w:rPr>
            </w:pPr>
          </w:p>
        </w:tc>
        <w:tc>
          <w:tcPr>
            <w:tcW w:w="1440" w:type="dxa"/>
          </w:tcPr>
          <w:p w14:paraId="50AA9080" w14:textId="77777777" w:rsidR="00EA4133" w:rsidRDefault="00EA4133">
            <w:pPr>
              <w:pStyle w:val="BodyText"/>
              <w:keepNext/>
              <w:keepLines/>
              <w:rPr>
                <w:rFonts w:ascii="Arial" w:hAnsi="Arial"/>
                <w:lang w:val="en-CA"/>
              </w:rPr>
            </w:pPr>
          </w:p>
        </w:tc>
        <w:tc>
          <w:tcPr>
            <w:tcW w:w="1440" w:type="dxa"/>
          </w:tcPr>
          <w:p w14:paraId="3A766228" w14:textId="77777777" w:rsidR="00EA4133" w:rsidRDefault="00EA4133">
            <w:pPr>
              <w:pStyle w:val="BodyText"/>
              <w:keepNext/>
              <w:keepLines/>
              <w:rPr>
                <w:rFonts w:ascii="Arial" w:hAnsi="Arial"/>
                <w:lang w:val="en-CA"/>
              </w:rPr>
            </w:pPr>
          </w:p>
        </w:tc>
        <w:tc>
          <w:tcPr>
            <w:tcW w:w="1620" w:type="dxa"/>
          </w:tcPr>
          <w:p w14:paraId="6AA06255" w14:textId="77777777" w:rsidR="00EA4133" w:rsidRDefault="00EA4133">
            <w:pPr>
              <w:pStyle w:val="BodyText"/>
              <w:keepNext/>
              <w:keepLines/>
              <w:rPr>
                <w:rFonts w:ascii="Arial" w:hAnsi="Arial"/>
                <w:lang w:val="en-CA"/>
              </w:rPr>
            </w:pPr>
          </w:p>
        </w:tc>
        <w:tc>
          <w:tcPr>
            <w:tcW w:w="1530" w:type="dxa"/>
          </w:tcPr>
          <w:p w14:paraId="25E953DC" w14:textId="77777777" w:rsidR="00EA4133" w:rsidRDefault="00EA4133">
            <w:pPr>
              <w:pStyle w:val="BodyText"/>
              <w:keepNext/>
              <w:keepLines/>
              <w:rPr>
                <w:rFonts w:ascii="Arial" w:hAnsi="Arial"/>
                <w:lang w:val="en-CA"/>
              </w:rPr>
            </w:pPr>
          </w:p>
        </w:tc>
      </w:tr>
    </w:tbl>
    <w:p w14:paraId="3B2BA410"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441DE4C"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3DF9C3F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31E03AC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23B4F1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14:paraId="3855EFAF"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3D8ED9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44204CC4"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62DE5E7" w14:textId="77777777" w:rsidR="00EA4133" w:rsidRDefault="00EA4133">
      <w:pPr>
        <w:pStyle w:val="List"/>
        <w:numPr>
          <w:ilvl w:val="0"/>
          <w:numId w:val="15"/>
        </w:numPr>
        <w:tabs>
          <w:tab w:val="left" w:pos="9180"/>
        </w:tabs>
        <w:rPr>
          <w:rFonts w:ascii="Arial" w:hAnsi="Arial"/>
        </w:rPr>
      </w:pPr>
      <w:proofErr w:type="gramStart"/>
      <w:r>
        <w:rPr>
          <w:rFonts w:ascii="Arial" w:hAnsi="Arial"/>
        </w:rPr>
        <w:t>Expiry date of any options,</w:t>
      </w:r>
      <w:proofErr w:type="gramEnd"/>
      <w:r>
        <w:rPr>
          <w:rFonts w:ascii="Arial" w:hAnsi="Arial"/>
        </w:rPr>
        <w:t xml:space="preserve"> warrants etc. </w:t>
      </w:r>
      <w:r>
        <w:rPr>
          <w:rFonts w:ascii="Arial" w:hAnsi="Arial"/>
          <w:u w:val="single"/>
        </w:rPr>
        <w:tab/>
      </w:r>
    </w:p>
    <w:p w14:paraId="49D99B92" w14:textId="77777777"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C3202E9"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5A67A6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3EB3F3B4"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18991224"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r>
        <w:rPr>
          <w:rFonts w:ascii="Arial" w:hAnsi="Arial"/>
          <w:color w:val="000000"/>
        </w:rPr>
        <w:t xml:space="preserve"> .</w:t>
      </w:r>
    </w:p>
    <w:p w14:paraId="4359A913"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61B80801" w14:textId="77777777" w:rsidR="00EA4133" w:rsidRDefault="00EA4133">
      <w:pPr>
        <w:pStyle w:val="BodyText"/>
        <w:rPr>
          <w:rFonts w:ascii="Arial" w:hAnsi="Arial"/>
        </w:rPr>
      </w:pPr>
      <w:r>
        <w:rPr>
          <w:rFonts w:ascii="Arial" w:hAnsi="Arial"/>
        </w:rPr>
        <w:t>The undersigned hereby certifies that:</w:t>
      </w:r>
    </w:p>
    <w:p w14:paraId="6C1800DA"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FE59A03"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5257CE"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FFF5746"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71C3DF4F" w14:textId="46CB5A45"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742FF9">
        <w:rPr>
          <w:rFonts w:ascii="Arial" w:hAnsi="Arial"/>
          <w:u w:val="single"/>
          <w:lang w:val="en-CA"/>
        </w:rPr>
        <w:t>August 2</w:t>
      </w:r>
      <w:r w:rsidR="00C420EE">
        <w:rPr>
          <w:rFonts w:ascii="Arial" w:hAnsi="Arial"/>
          <w:u w:val="single"/>
          <w:lang w:val="en-CA"/>
        </w:rPr>
        <w:t>7</w:t>
      </w:r>
      <w:r w:rsidR="00B91C9F">
        <w:rPr>
          <w:rFonts w:ascii="Arial" w:hAnsi="Arial"/>
          <w:u w:val="single"/>
          <w:lang w:val="en-CA"/>
        </w:rPr>
        <w:t>, 2018</w:t>
      </w:r>
      <w:r>
        <w:rPr>
          <w:rFonts w:ascii="Arial" w:hAnsi="Arial"/>
          <w:u w:val="single"/>
        </w:rPr>
        <w:tab/>
      </w:r>
      <w:r>
        <w:rPr>
          <w:rFonts w:ascii="Arial" w:hAnsi="Arial"/>
        </w:rPr>
        <w:t>.</w:t>
      </w:r>
    </w:p>
    <w:p w14:paraId="025AD376" w14:textId="77777777"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14:paraId="716F0FC9" w14:textId="77777777"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14:paraId="4CBD7B85" w14:textId="77777777"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ABED" w14:textId="77777777" w:rsidR="007E639B" w:rsidRDefault="007E639B">
      <w:r>
        <w:separator/>
      </w:r>
    </w:p>
  </w:endnote>
  <w:endnote w:type="continuationSeparator" w:id="0">
    <w:p w14:paraId="06472091" w14:textId="77777777" w:rsidR="007E639B" w:rsidRDefault="007E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1F32" w14:textId="77777777"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2A0245E7" wp14:editId="34407C18">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14:paraId="1B268115"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F32B3C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97547E">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A476" w14:textId="77777777" w:rsidR="00EA4133" w:rsidRDefault="0097548F">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8630" w14:textId="77777777" w:rsidR="007E639B" w:rsidRDefault="007E639B">
      <w:r>
        <w:separator/>
      </w:r>
    </w:p>
  </w:footnote>
  <w:footnote w:type="continuationSeparator" w:id="0">
    <w:p w14:paraId="6F17D5DC" w14:textId="77777777" w:rsidR="007E639B" w:rsidRDefault="007E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1060A"/>
    <w:rsid w:val="000139FC"/>
    <w:rsid w:val="000458EF"/>
    <w:rsid w:val="00085D33"/>
    <w:rsid w:val="00095AD4"/>
    <w:rsid w:val="000A3A95"/>
    <w:rsid w:val="000B64EF"/>
    <w:rsid w:val="00116314"/>
    <w:rsid w:val="00143A56"/>
    <w:rsid w:val="00144347"/>
    <w:rsid w:val="00173F0B"/>
    <w:rsid w:val="001848AC"/>
    <w:rsid w:val="00186DA5"/>
    <w:rsid w:val="0019114E"/>
    <w:rsid w:val="00191D9A"/>
    <w:rsid w:val="00192C0D"/>
    <w:rsid w:val="00195352"/>
    <w:rsid w:val="001B7C8B"/>
    <w:rsid w:val="001C55C8"/>
    <w:rsid w:val="001D5F4A"/>
    <w:rsid w:val="001D64D7"/>
    <w:rsid w:val="002063DC"/>
    <w:rsid w:val="00206E72"/>
    <w:rsid w:val="0021625E"/>
    <w:rsid w:val="00230C4A"/>
    <w:rsid w:val="002557FD"/>
    <w:rsid w:val="00274D85"/>
    <w:rsid w:val="00275AA2"/>
    <w:rsid w:val="00285A0F"/>
    <w:rsid w:val="00293E72"/>
    <w:rsid w:val="002B6222"/>
    <w:rsid w:val="002C3640"/>
    <w:rsid w:val="002F0416"/>
    <w:rsid w:val="0031229B"/>
    <w:rsid w:val="00323E96"/>
    <w:rsid w:val="003257EB"/>
    <w:rsid w:val="00326D55"/>
    <w:rsid w:val="003B280F"/>
    <w:rsid w:val="003E7E4D"/>
    <w:rsid w:val="00443D4F"/>
    <w:rsid w:val="00445D06"/>
    <w:rsid w:val="00456624"/>
    <w:rsid w:val="00474037"/>
    <w:rsid w:val="004A1403"/>
    <w:rsid w:val="004B214D"/>
    <w:rsid w:val="004B4BB6"/>
    <w:rsid w:val="00540788"/>
    <w:rsid w:val="005441E9"/>
    <w:rsid w:val="0056101E"/>
    <w:rsid w:val="00584035"/>
    <w:rsid w:val="005D3E33"/>
    <w:rsid w:val="00605F07"/>
    <w:rsid w:val="00617A0E"/>
    <w:rsid w:val="00617C30"/>
    <w:rsid w:val="0062717F"/>
    <w:rsid w:val="00673DA3"/>
    <w:rsid w:val="006B27CE"/>
    <w:rsid w:val="006B4352"/>
    <w:rsid w:val="00742FF9"/>
    <w:rsid w:val="00746913"/>
    <w:rsid w:val="007568B3"/>
    <w:rsid w:val="007B0425"/>
    <w:rsid w:val="007C6DC7"/>
    <w:rsid w:val="007D34A2"/>
    <w:rsid w:val="007E2247"/>
    <w:rsid w:val="007E639B"/>
    <w:rsid w:val="008003B9"/>
    <w:rsid w:val="00837CE2"/>
    <w:rsid w:val="00845355"/>
    <w:rsid w:val="00887614"/>
    <w:rsid w:val="008D3F52"/>
    <w:rsid w:val="008F27FF"/>
    <w:rsid w:val="009136E7"/>
    <w:rsid w:val="00934BAB"/>
    <w:rsid w:val="00935C66"/>
    <w:rsid w:val="009466F0"/>
    <w:rsid w:val="0097547E"/>
    <w:rsid w:val="0097548F"/>
    <w:rsid w:val="0097763E"/>
    <w:rsid w:val="00984300"/>
    <w:rsid w:val="00986361"/>
    <w:rsid w:val="009A190D"/>
    <w:rsid w:val="009F33D5"/>
    <w:rsid w:val="00A00C54"/>
    <w:rsid w:val="00A10285"/>
    <w:rsid w:val="00A22D44"/>
    <w:rsid w:val="00A67B7C"/>
    <w:rsid w:val="00A90670"/>
    <w:rsid w:val="00A93530"/>
    <w:rsid w:val="00A9392C"/>
    <w:rsid w:val="00AA79BC"/>
    <w:rsid w:val="00B25A22"/>
    <w:rsid w:val="00B91C9F"/>
    <w:rsid w:val="00B923F6"/>
    <w:rsid w:val="00BD11F2"/>
    <w:rsid w:val="00BF1F49"/>
    <w:rsid w:val="00C40056"/>
    <w:rsid w:val="00C420EE"/>
    <w:rsid w:val="00C56AB5"/>
    <w:rsid w:val="00C666F5"/>
    <w:rsid w:val="00C9413E"/>
    <w:rsid w:val="00C96578"/>
    <w:rsid w:val="00CA05B4"/>
    <w:rsid w:val="00CB0698"/>
    <w:rsid w:val="00CF076A"/>
    <w:rsid w:val="00CF2A90"/>
    <w:rsid w:val="00D2163B"/>
    <w:rsid w:val="00D449FC"/>
    <w:rsid w:val="00D5261D"/>
    <w:rsid w:val="00D81A21"/>
    <w:rsid w:val="00DB640C"/>
    <w:rsid w:val="00DF052A"/>
    <w:rsid w:val="00E55E58"/>
    <w:rsid w:val="00E776C2"/>
    <w:rsid w:val="00E93FB0"/>
    <w:rsid w:val="00E97C13"/>
    <w:rsid w:val="00EA4133"/>
    <w:rsid w:val="00F05862"/>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93FAD"/>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 w:type="paragraph" w:styleId="NoSpacing">
    <w:name w:val="No Spacing"/>
    <w:rsid w:val="006B4352"/>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Ian Lambert</cp:lastModifiedBy>
  <cp:revision>7</cp:revision>
  <cp:lastPrinted>2004-05-20T20:47:00Z</cp:lastPrinted>
  <dcterms:created xsi:type="dcterms:W3CDTF">2018-08-28T04:28:00Z</dcterms:created>
  <dcterms:modified xsi:type="dcterms:W3CDTF">2018-08-28T05:21:00Z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