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30B0" w14:textId="77777777" w:rsidR="00EA4133" w:rsidRPr="0001060A" w:rsidRDefault="00EA4133">
      <w:pPr>
        <w:pStyle w:val="Title"/>
        <w:spacing w:before="0"/>
        <w:rPr>
          <w:sz w:val="28"/>
          <w:lang w:val="en-CA"/>
        </w:rPr>
      </w:pPr>
      <w:r w:rsidRPr="0001060A">
        <w:rPr>
          <w:sz w:val="28"/>
          <w:lang w:val="en-CA"/>
        </w:rPr>
        <w:t>FORM 9</w:t>
      </w:r>
    </w:p>
    <w:p w14:paraId="559A85E3"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240F26EA"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454A37D" w14:textId="77777777" w:rsidR="00EA4133" w:rsidRDefault="00EA4133">
      <w:pPr>
        <w:pStyle w:val="BodyText"/>
        <w:rPr>
          <w:rFonts w:ascii="Arial" w:hAnsi="Arial"/>
          <w:lang w:val="en-CA"/>
        </w:rPr>
      </w:pPr>
      <w:r>
        <w:rPr>
          <w:rFonts w:ascii="Arial" w:hAnsi="Arial"/>
          <w:lang w:val="en-CA"/>
        </w:rPr>
        <w:t>Please complete the following:</w:t>
      </w:r>
    </w:p>
    <w:p w14:paraId="6E10F35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14:paraId="1B55017E" w14:textId="77777777"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14:paraId="2726F5FF" w14:textId="77777777"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B50D12">
        <w:rPr>
          <w:rFonts w:ascii="Arial" w:hAnsi="Arial"/>
          <w:u w:val="single"/>
          <w:lang w:val="en-CA"/>
        </w:rPr>
        <w:t xml:space="preserve">April </w:t>
      </w:r>
      <w:r w:rsidR="006E4489">
        <w:rPr>
          <w:rFonts w:ascii="Arial" w:hAnsi="Arial"/>
          <w:u w:val="single"/>
          <w:lang w:val="en-CA"/>
        </w:rPr>
        <w:t>19</w:t>
      </w:r>
      <w:r w:rsidR="00B50D12">
        <w:rPr>
          <w:rFonts w:ascii="Arial" w:hAnsi="Arial"/>
          <w:u w:val="single"/>
          <w:lang w:val="en-CA"/>
        </w:rPr>
        <w:t>, 2018</w:t>
      </w:r>
      <w:r>
        <w:rPr>
          <w:rFonts w:ascii="Arial" w:hAnsi="Arial"/>
          <w:u w:val="single"/>
          <w:lang w:val="en-CA"/>
        </w:rPr>
        <w:tab/>
      </w:r>
    </w:p>
    <w:p w14:paraId="1CB80C75" w14:textId="77777777"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14:paraId="5BC2AFA8" w14:textId="77777777"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56D9A0FD" w14:textId="77777777"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A435D8">
        <w:rPr>
          <w:rFonts w:ascii="Arial" w:hAnsi="Arial"/>
          <w:u w:val="single"/>
          <w:lang w:val="en-CA"/>
        </w:rPr>
        <w:t>61,1</w:t>
      </w:r>
      <w:r w:rsidR="006E4489">
        <w:rPr>
          <w:rFonts w:ascii="Arial" w:hAnsi="Arial"/>
          <w:u w:val="single"/>
          <w:lang w:val="en-CA"/>
        </w:rPr>
        <w:t>6</w:t>
      </w:r>
      <w:r w:rsidR="00A435D8">
        <w:rPr>
          <w:rFonts w:ascii="Arial" w:hAnsi="Arial"/>
          <w:u w:val="single"/>
          <w:lang w:val="en-CA"/>
        </w:rPr>
        <w:t>8,309</w:t>
      </w:r>
      <w:r>
        <w:rPr>
          <w:rFonts w:ascii="Arial" w:hAnsi="Arial"/>
          <w:u w:val="single"/>
          <w:lang w:val="en-CA"/>
        </w:rPr>
        <w:tab/>
      </w:r>
      <w:r>
        <w:rPr>
          <w:rFonts w:ascii="Arial" w:hAnsi="Arial"/>
          <w:lang w:val="en-CA"/>
        </w:rPr>
        <w:t xml:space="preserve"> .</w:t>
      </w:r>
    </w:p>
    <w:p w14:paraId="7601E565" w14:textId="77777777"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A435D8">
        <w:rPr>
          <w:rFonts w:ascii="Arial" w:hAnsi="Arial"/>
          <w:u w:val="single"/>
          <w:lang w:val="en-CA"/>
        </w:rPr>
        <w:t xml:space="preserve">April </w:t>
      </w:r>
      <w:r w:rsidR="006E4489">
        <w:rPr>
          <w:rFonts w:ascii="Arial" w:hAnsi="Arial"/>
          <w:u w:val="single"/>
          <w:lang w:val="en-CA"/>
        </w:rPr>
        <w:t>19</w:t>
      </w:r>
      <w:r w:rsidR="00A435D8">
        <w:rPr>
          <w:rFonts w:ascii="Arial" w:hAnsi="Arial"/>
          <w:u w:val="single"/>
          <w:lang w:val="en-CA"/>
        </w:rPr>
        <w:t>, 2018</w:t>
      </w:r>
      <w:r>
        <w:rPr>
          <w:rFonts w:ascii="Arial" w:hAnsi="Arial"/>
          <w:u w:val="single"/>
          <w:lang w:val="en-CA"/>
        </w:rPr>
        <w:tab/>
      </w:r>
      <w:r>
        <w:rPr>
          <w:rFonts w:ascii="Arial" w:hAnsi="Arial"/>
          <w:lang w:val="en-CA"/>
        </w:rPr>
        <w:t xml:space="preserve"> .</w:t>
      </w:r>
    </w:p>
    <w:p w14:paraId="41CA4B94" w14:textId="4B59EA9E"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E20596">
        <w:rPr>
          <w:rFonts w:ascii="Arial" w:hAnsi="Arial"/>
          <w:u w:val="single"/>
          <w:lang w:val="en-CA"/>
        </w:rPr>
        <w:t>.</w:t>
      </w:r>
      <w:r w:rsidR="00822026">
        <w:rPr>
          <w:rFonts w:ascii="Arial" w:hAnsi="Arial"/>
          <w:u w:val="single"/>
          <w:lang w:val="en-CA"/>
        </w:rPr>
        <w:t>31</w:t>
      </w:r>
      <w:r>
        <w:rPr>
          <w:rFonts w:ascii="Arial" w:hAnsi="Arial"/>
          <w:lang w:val="en-CA"/>
        </w:rPr>
        <w:t>___</w:t>
      </w:r>
    </w:p>
    <w:p w14:paraId="08C23839"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944A1B" w:rsidRPr="00944A1B" w14:paraId="7B5F4938" w14:textId="77777777" w:rsidTr="00944A1B">
        <w:trPr>
          <w:trHeight w:val="1965"/>
          <w:jc w:val="center"/>
        </w:trPr>
        <w:tc>
          <w:tcPr>
            <w:tcW w:w="1394" w:type="dxa"/>
          </w:tcPr>
          <w:p w14:paraId="1DF392D0" w14:textId="77777777" w:rsidR="00944A1B" w:rsidRPr="00944A1B" w:rsidRDefault="00944A1B" w:rsidP="00504A18">
            <w:pPr>
              <w:pStyle w:val="BodyText"/>
              <w:spacing w:before="0" w:line="280" w:lineRule="exact"/>
              <w:jc w:val="center"/>
              <w:rPr>
                <w:rFonts w:ascii="Arial" w:hAnsi="Arial"/>
                <w:b/>
                <w:sz w:val="20"/>
                <w:lang w:val="en-CA"/>
              </w:rPr>
            </w:pPr>
          </w:p>
          <w:p w14:paraId="24540091"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Full Name &amp; Residential Address of Placee</w:t>
            </w:r>
          </w:p>
        </w:tc>
        <w:tc>
          <w:tcPr>
            <w:tcW w:w="1376" w:type="dxa"/>
          </w:tcPr>
          <w:p w14:paraId="45A68DB2" w14:textId="77777777" w:rsidR="00944A1B" w:rsidRPr="00944A1B" w:rsidRDefault="00944A1B" w:rsidP="00504A18">
            <w:pPr>
              <w:pStyle w:val="BodyText"/>
              <w:spacing w:before="0" w:line="280" w:lineRule="exact"/>
              <w:jc w:val="center"/>
              <w:rPr>
                <w:rFonts w:ascii="Arial" w:hAnsi="Arial"/>
                <w:b/>
                <w:sz w:val="20"/>
                <w:lang w:val="en-CA"/>
              </w:rPr>
            </w:pPr>
          </w:p>
          <w:p w14:paraId="2196C965"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Number of Securities Purchased or to be Purchased</w:t>
            </w:r>
          </w:p>
          <w:p w14:paraId="30B8F877"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 xml:space="preserve"> </w:t>
            </w:r>
          </w:p>
        </w:tc>
        <w:tc>
          <w:tcPr>
            <w:tcW w:w="1192" w:type="dxa"/>
          </w:tcPr>
          <w:p w14:paraId="4320BFBA" w14:textId="77777777" w:rsidR="00944A1B" w:rsidRPr="00944A1B" w:rsidRDefault="00944A1B" w:rsidP="00504A18">
            <w:pPr>
              <w:pStyle w:val="BodyText"/>
              <w:spacing w:before="0" w:line="280" w:lineRule="exact"/>
              <w:jc w:val="center"/>
              <w:rPr>
                <w:rFonts w:ascii="Arial" w:hAnsi="Arial"/>
                <w:b/>
                <w:sz w:val="20"/>
                <w:lang w:val="en-CA"/>
              </w:rPr>
            </w:pPr>
          </w:p>
          <w:p w14:paraId="5A681BE2"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Purchase price per Security (CDN$)</w:t>
            </w:r>
          </w:p>
        </w:tc>
        <w:tc>
          <w:tcPr>
            <w:tcW w:w="1376" w:type="dxa"/>
          </w:tcPr>
          <w:p w14:paraId="67029AB8" w14:textId="77777777" w:rsidR="00944A1B" w:rsidRPr="00944A1B" w:rsidRDefault="00944A1B" w:rsidP="00504A18">
            <w:pPr>
              <w:pStyle w:val="BodyText"/>
              <w:spacing w:before="0" w:line="280" w:lineRule="exact"/>
              <w:jc w:val="center"/>
              <w:rPr>
                <w:rFonts w:ascii="Arial" w:hAnsi="Arial"/>
                <w:b/>
                <w:sz w:val="20"/>
                <w:lang w:val="en-CA"/>
              </w:rPr>
            </w:pPr>
          </w:p>
          <w:p w14:paraId="69F67B14"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Conversion</w:t>
            </w:r>
          </w:p>
          <w:p w14:paraId="2FDCA03C"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Price (if</w:t>
            </w:r>
          </w:p>
          <w:p w14:paraId="3DFBDBD7"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Applicable)</w:t>
            </w:r>
          </w:p>
        </w:tc>
        <w:tc>
          <w:tcPr>
            <w:tcW w:w="1376" w:type="dxa"/>
          </w:tcPr>
          <w:p w14:paraId="022D89DF" w14:textId="77777777" w:rsidR="00944A1B" w:rsidRPr="00944A1B" w:rsidRDefault="00944A1B" w:rsidP="00504A18">
            <w:pPr>
              <w:pStyle w:val="BodyText"/>
              <w:spacing w:before="0" w:line="280" w:lineRule="exact"/>
              <w:jc w:val="center"/>
              <w:rPr>
                <w:rFonts w:ascii="Arial" w:hAnsi="Arial"/>
                <w:b/>
                <w:sz w:val="20"/>
                <w:lang w:val="en-CA"/>
              </w:rPr>
            </w:pPr>
          </w:p>
          <w:p w14:paraId="280EDD6C"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Prospectus Exemption</w:t>
            </w:r>
          </w:p>
        </w:tc>
        <w:tc>
          <w:tcPr>
            <w:tcW w:w="1742" w:type="dxa"/>
          </w:tcPr>
          <w:p w14:paraId="5D512E8F"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rPr>
              <w:t>No. of Securities, directly or indirectly, Owned, Controlled or Directed</w:t>
            </w:r>
          </w:p>
        </w:tc>
        <w:tc>
          <w:tcPr>
            <w:tcW w:w="1100" w:type="dxa"/>
          </w:tcPr>
          <w:p w14:paraId="0E7408E2" w14:textId="77777777" w:rsidR="00944A1B" w:rsidRPr="00944A1B" w:rsidRDefault="00944A1B" w:rsidP="00504A18">
            <w:pPr>
              <w:pStyle w:val="BodyText"/>
              <w:spacing w:before="0" w:line="280" w:lineRule="exact"/>
              <w:jc w:val="center"/>
              <w:rPr>
                <w:rFonts w:ascii="Arial" w:hAnsi="Arial"/>
                <w:b/>
                <w:sz w:val="20"/>
                <w:lang w:val="en-CA"/>
              </w:rPr>
            </w:pPr>
          </w:p>
          <w:p w14:paraId="14856CEB"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Payment Date(1)</w:t>
            </w:r>
          </w:p>
        </w:tc>
        <w:tc>
          <w:tcPr>
            <w:tcW w:w="1100" w:type="dxa"/>
          </w:tcPr>
          <w:p w14:paraId="5DB02A4B" w14:textId="77777777" w:rsidR="00944A1B" w:rsidRPr="00944A1B" w:rsidRDefault="00944A1B" w:rsidP="00504A18">
            <w:pPr>
              <w:pStyle w:val="BodyText"/>
              <w:spacing w:before="0" w:line="280" w:lineRule="exact"/>
              <w:jc w:val="center"/>
              <w:rPr>
                <w:rFonts w:ascii="Arial" w:hAnsi="Arial"/>
                <w:b/>
                <w:color w:val="000000"/>
                <w:sz w:val="20"/>
                <w:lang w:val="en-CA"/>
              </w:rPr>
            </w:pPr>
          </w:p>
          <w:p w14:paraId="4A535E8E" w14:textId="77777777" w:rsidR="00944A1B" w:rsidRPr="00944A1B" w:rsidRDefault="00944A1B" w:rsidP="00504A18">
            <w:pPr>
              <w:pStyle w:val="BodyText"/>
              <w:spacing w:before="0" w:line="280" w:lineRule="exact"/>
              <w:jc w:val="center"/>
              <w:rPr>
                <w:rFonts w:ascii="Arial" w:hAnsi="Arial"/>
                <w:b/>
                <w:color w:val="000000"/>
                <w:sz w:val="20"/>
                <w:lang w:val="en-CA"/>
              </w:rPr>
            </w:pPr>
            <w:r w:rsidRPr="00944A1B">
              <w:rPr>
                <w:rFonts w:ascii="Arial" w:hAnsi="Arial"/>
                <w:b/>
                <w:color w:val="000000"/>
                <w:sz w:val="20"/>
                <w:lang w:val="en-CA"/>
              </w:rPr>
              <w:t>Describe relations-hip to Issuer (2)</w:t>
            </w:r>
          </w:p>
        </w:tc>
      </w:tr>
      <w:tr w:rsidR="00944A1B" w:rsidRPr="00944A1B" w14:paraId="612C7431" w14:textId="77777777" w:rsidTr="00944A1B">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14:paraId="1188EF2B" w14:textId="77777777" w:rsidR="00944A1B" w:rsidRPr="00944A1B" w:rsidRDefault="00944A1B" w:rsidP="00504A18">
            <w:pPr>
              <w:pStyle w:val="NoSpacing"/>
              <w:jc w:val="center"/>
              <w:rPr>
                <w:rFonts w:ascii="Arial" w:eastAsia="Arial" w:hAnsi="Arial" w:cs="Arial"/>
                <w:b/>
                <w:color w:val="auto"/>
                <w:sz w:val="20"/>
                <w:szCs w:val="20"/>
              </w:rPr>
            </w:pPr>
            <w:r w:rsidRPr="00944A1B">
              <w:rPr>
                <w:rFonts w:ascii="Arial" w:hAnsi="Arial" w:cs="Arial"/>
                <w:b/>
                <w:color w:val="auto"/>
                <w:sz w:val="20"/>
                <w:szCs w:val="20"/>
              </w:rPr>
              <w:t xml:space="preserve"> </w:t>
            </w:r>
          </w:p>
          <w:p w14:paraId="4D4C07FB" w14:textId="77777777" w:rsidR="00944A1B" w:rsidRPr="00944A1B" w:rsidRDefault="00944A1B" w:rsidP="00504A18">
            <w:pPr>
              <w:tabs>
                <w:tab w:val="left" w:pos="-5760"/>
                <w:tab w:val="right" w:pos="8784"/>
              </w:tabs>
              <w:jc w:val="center"/>
              <w:rPr>
                <w:rFonts w:ascii="Tahoma" w:hAnsi="Tahoma" w:cs="Tahoma"/>
                <w:b/>
              </w:rPr>
            </w:pPr>
          </w:p>
        </w:tc>
        <w:tc>
          <w:tcPr>
            <w:tcW w:w="1376" w:type="dxa"/>
            <w:tcBorders>
              <w:top w:val="single" w:sz="4" w:space="0" w:color="auto"/>
              <w:left w:val="single" w:sz="4" w:space="0" w:color="auto"/>
              <w:bottom w:val="single" w:sz="4" w:space="0" w:color="auto"/>
              <w:right w:val="single" w:sz="4" w:space="0" w:color="auto"/>
            </w:tcBorders>
            <w:vAlign w:val="center"/>
          </w:tcPr>
          <w:p w14:paraId="78DB0D55" w14:textId="77777777" w:rsidR="00944A1B" w:rsidRPr="00944A1B" w:rsidRDefault="00944A1B" w:rsidP="00504A18">
            <w:pPr>
              <w:jc w:val="center"/>
              <w:rPr>
                <w:rFonts w:ascii="Tahoma" w:hAnsi="Tahoma" w:cs="Tahoma"/>
                <w:b/>
              </w:rPr>
            </w:pPr>
            <w:r w:rsidRPr="00944A1B">
              <w:rPr>
                <w:rFonts w:ascii="Tahoma" w:hAnsi="Tahoma" w:cs="Tahoma"/>
                <w:b/>
              </w:rPr>
              <w:t xml:space="preserve">  </w:t>
            </w:r>
          </w:p>
        </w:tc>
        <w:tc>
          <w:tcPr>
            <w:tcW w:w="1192" w:type="dxa"/>
            <w:vAlign w:val="center"/>
          </w:tcPr>
          <w:p w14:paraId="069B7E54"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 xml:space="preserve">  </w:t>
            </w:r>
          </w:p>
        </w:tc>
        <w:tc>
          <w:tcPr>
            <w:tcW w:w="1376" w:type="dxa"/>
            <w:vAlign w:val="center"/>
          </w:tcPr>
          <w:p w14:paraId="164A0727"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 xml:space="preserve"> </w:t>
            </w:r>
          </w:p>
        </w:tc>
        <w:tc>
          <w:tcPr>
            <w:tcW w:w="1376" w:type="dxa"/>
            <w:vAlign w:val="center"/>
          </w:tcPr>
          <w:p w14:paraId="31012435" w14:textId="77777777" w:rsidR="00944A1B" w:rsidRPr="00944A1B" w:rsidRDefault="00944A1B" w:rsidP="00504A18">
            <w:pPr>
              <w:jc w:val="center"/>
              <w:rPr>
                <w:i/>
              </w:rPr>
            </w:pPr>
            <w:r w:rsidRPr="00944A1B">
              <w:rPr>
                <w:rFonts w:ascii="Arial" w:hAnsi="Arial" w:cs="Arial"/>
                <w:i/>
                <w:iCs/>
              </w:rPr>
              <w:t xml:space="preserve"> </w:t>
            </w:r>
          </w:p>
        </w:tc>
        <w:tc>
          <w:tcPr>
            <w:tcW w:w="1742" w:type="dxa"/>
            <w:vAlign w:val="center"/>
          </w:tcPr>
          <w:p w14:paraId="13D6D235" w14:textId="77777777" w:rsidR="00944A1B" w:rsidRPr="00944A1B" w:rsidRDefault="00944A1B" w:rsidP="00504A18">
            <w:pPr>
              <w:jc w:val="center"/>
              <w:rPr>
                <w:rFonts w:ascii="Tahoma" w:hAnsi="Tahoma" w:cs="Tahoma"/>
                <w:b/>
              </w:rPr>
            </w:pPr>
            <w:r w:rsidRPr="00944A1B">
              <w:rPr>
                <w:rFonts w:ascii="Tahoma" w:hAnsi="Tahoma" w:cs="Tahoma"/>
                <w:b/>
              </w:rPr>
              <w:t xml:space="preserve"> </w:t>
            </w:r>
          </w:p>
        </w:tc>
        <w:tc>
          <w:tcPr>
            <w:tcW w:w="1100" w:type="dxa"/>
            <w:vAlign w:val="center"/>
          </w:tcPr>
          <w:p w14:paraId="334B03A3" w14:textId="77777777" w:rsidR="00944A1B" w:rsidRPr="00944A1B" w:rsidRDefault="00944A1B" w:rsidP="00504A18">
            <w:pPr>
              <w:pStyle w:val="BodyText"/>
              <w:spacing w:before="0" w:line="280" w:lineRule="exact"/>
              <w:jc w:val="center"/>
              <w:rPr>
                <w:rFonts w:ascii="Arial" w:hAnsi="Arial"/>
                <w:b/>
                <w:sz w:val="20"/>
                <w:lang w:val="en-CA"/>
              </w:rPr>
            </w:pPr>
            <w:r w:rsidRPr="00944A1B">
              <w:rPr>
                <w:rFonts w:ascii="Arial" w:hAnsi="Arial"/>
                <w:b/>
                <w:sz w:val="20"/>
                <w:lang w:val="en-CA"/>
              </w:rPr>
              <w:t xml:space="preserve"> </w:t>
            </w:r>
          </w:p>
        </w:tc>
        <w:tc>
          <w:tcPr>
            <w:tcW w:w="1100" w:type="dxa"/>
            <w:vAlign w:val="center"/>
          </w:tcPr>
          <w:p w14:paraId="5FD74986" w14:textId="77777777" w:rsidR="00944A1B" w:rsidRPr="00944A1B" w:rsidRDefault="00944A1B" w:rsidP="00504A18">
            <w:pPr>
              <w:pStyle w:val="BodyText"/>
              <w:spacing w:before="0" w:line="280" w:lineRule="exact"/>
              <w:jc w:val="center"/>
              <w:rPr>
                <w:rFonts w:ascii="Arial" w:hAnsi="Arial"/>
                <w:b/>
                <w:color w:val="000000"/>
                <w:sz w:val="20"/>
                <w:lang w:val="en-CA"/>
              </w:rPr>
            </w:pPr>
            <w:r w:rsidRPr="00944A1B">
              <w:rPr>
                <w:rFonts w:ascii="Arial" w:hAnsi="Arial"/>
                <w:b/>
                <w:color w:val="000000"/>
                <w:sz w:val="20"/>
                <w:lang w:val="en-CA"/>
              </w:rPr>
              <w:t xml:space="preserve">    </w:t>
            </w:r>
          </w:p>
        </w:tc>
      </w:tr>
    </w:tbl>
    <w:p w14:paraId="017265D4" w14:textId="77777777" w:rsidR="005441E9" w:rsidRDefault="005441E9">
      <w:pPr>
        <w:pStyle w:val="FootnoteText"/>
        <w:rPr>
          <w:rFonts w:ascii="Arial" w:hAnsi="Arial" w:cs="Arial"/>
          <w:vertAlign w:val="superscript"/>
        </w:rPr>
      </w:pPr>
    </w:p>
    <w:p w14:paraId="1CB92A51"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06993707"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9169CF">
        <w:rPr>
          <w:rFonts w:ascii="Arial" w:hAnsi="Arial"/>
          <w:u w:val="single"/>
        </w:rPr>
        <w:t>$</w:t>
      </w:r>
      <w:r w:rsidR="00D4272B">
        <w:rPr>
          <w:rFonts w:ascii="Arial" w:hAnsi="Arial"/>
          <w:u w:val="single"/>
        </w:rPr>
        <w:t>Nil</w:t>
      </w:r>
      <w:r>
        <w:rPr>
          <w:rFonts w:ascii="Arial" w:hAnsi="Arial"/>
          <w:u w:val="single"/>
        </w:rPr>
        <w:tab/>
      </w:r>
      <w:r>
        <w:rPr>
          <w:rFonts w:ascii="Arial" w:hAnsi="Arial"/>
        </w:rPr>
        <w:t xml:space="preserve"> .</w:t>
      </w:r>
    </w:p>
    <w:p w14:paraId="3EE0BF1A" w14:textId="77777777" w:rsidR="00EA4133" w:rsidRDefault="00EA4133" w:rsidP="00B76B31">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sidR="00E20596">
        <w:rPr>
          <w:rFonts w:ascii="Arial" w:hAnsi="Arial"/>
        </w:rPr>
        <w:t xml:space="preserve"> </w:t>
      </w:r>
    </w:p>
    <w:p w14:paraId="4F102970"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A129FE1" w14:textId="77777777"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778C4DA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C8D0F56"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r w:rsidR="00D4272B">
        <w:rPr>
          <w:rFonts w:ascii="Arial" w:hAnsi="Arial"/>
        </w:rPr>
        <w:t xml:space="preserve"> </w:t>
      </w:r>
      <w:r>
        <w:rPr>
          <w:rFonts w:ascii="Arial" w:hAnsi="Arial"/>
          <w:u w:val="single"/>
        </w:rPr>
        <w:tab/>
      </w:r>
      <w:r>
        <w:rPr>
          <w:rFonts w:ascii="Arial" w:hAnsi="Arial"/>
        </w:rPr>
        <w:t xml:space="preserve"> .</w:t>
      </w:r>
    </w:p>
    <w:p w14:paraId="2A922B4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D4272B">
        <w:rPr>
          <w:rFonts w:ascii="Arial" w:hAnsi="Arial"/>
          <w:u w:val="single"/>
        </w:rPr>
        <w:t xml:space="preserve"> </w:t>
      </w:r>
      <w:r>
        <w:rPr>
          <w:rFonts w:ascii="Arial" w:hAnsi="Arial"/>
          <w:u w:val="single"/>
        </w:rPr>
        <w:tab/>
      </w:r>
      <w:r>
        <w:rPr>
          <w:rFonts w:ascii="Arial" w:hAnsi="Arial"/>
        </w:rPr>
        <w:t xml:space="preserve"> .</w:t>
      </w:r>
    </w:p>
    <w:p w14:paraId="44936F9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D4272B">
        <w:rPr>
          <w:rFonts w:ascii="Arial" w:hAnsi="Arial"/>
          <w:u w:val="single"/>
        </w:rPr>
        <w:t xml:space="preserve"> </w:t>
      </w:r>
      <w:r>
        <w:rPr>
          <w:rFonts w:ascii="Arial" w:hAnsi="Arial"/>
          <w:u w:val="single"/>
        </w:rPr>
        <w:tab/>
      </w:r>
      <w:r>
        <w:rPr>
          <w:rFonts w:ascii="Arial" w:hAnsi="Arial"/>
        </w:rPr>
        <w:t xml:space="preserve"> .</w:t>
      </w:r>
    </w:p>
    <w:p w14:paraId="672C555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D4272B">
        <w:rPr>
          <w:rFonts w:ascii="Arial" w:hAnsi="Arial"/>
          <w:u w:val="single"/>
        </w:rPr>
        <w:t xml:space="preserve"> </w:t>
      </w:r>
      <w:r>
        <w:rPr>
          <w:rFonts w:ascii="Arial" w:hAnsi="Arial"/>
          <w:u w:val="single"/>
        </w:rPr>
        <w:tab/>
      </w:r>
      <w:r>
        <w:rPr>
          <w:rFonts w:ascii="Arial" w:hAnsi="Arial"/>
        </w:rPr>
        <w:t xml:space="preserve"> </w:t>
      </w:r>
    </w:p>
    <w:p w14:paraId="2AD38709"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0FF02B3B"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D4272B">
        <w:rPr>
          <w:rFonts w:ascii="Arial" w:hAnsi="Arial"/>
          <w:u w:val="single"/>
        </w:rPr>
        <w:t xml:space="preserve"> </w:t>
      </w:r>
      <w:r>
        <w:rPr>
          <w:rFonts w:ascii="Arial" w:hAnsi="Arial"/>
          <w:u w:val="single"/>
        </w:rPr>
        <w:tab/>
      </w:r>
      <w:r>
        <w:rPr>
          <w:rFonts w:ascii="Arial" w:hAnsi="Arial"/>
        </w:rPr>
        <w:t xml:space="preserve"> .</w:t>
      </w:r>
    </w:p>
    <w:p w14:paraId="0BB72A70"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D4272B">
        <w:rPr>
          <w:rFonts w:ascii="Arial" w:hAnsi="Arial"/>
        </w:rPr>
        <w:t xml:space="preserve"> </w:t>
      </w:r>
      <w:r>
        <w:rPr>
          <w:rFonts w:ascii="Arial" w:hAnsi="Arial"/>
          <w:u w:val="single"/>
        </w:rPr>
        <w:tab/>
      </w:r>
    </w:p>
    <w:p w14:paraId="0CE3C06A"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437D39">
        <w:rPr>
          <w:rFonts w:ascii="Arial" w:hAnsi="Arial"/>
        </w:rPr>
        <w:t xml:space="preserve"> </w:t>
      </w:r>
      <w:r w:rsidR="00D4272B">
        <w:rPr>
          <w:rFonts w:ascii="Arial" w:hAnsi="Arial"/>
        </w:rPr>
        <w:t xml:space="preserve"> </w:t>
      </w:r>
      <w:r>
        <w:rPr>
          <w:rFonts w:ascii="Arial" w:hAnsi="Arial"/>
          <w:u w:val="single"/>
        </w:rPr>
        <w:tab/>
      </w:r>
      <w:r>
        <w:rPr>
          <w:rFonts w:ascii="Arial" w:hAnsi="Arial"/>
        </w:rPr>
        <w:t xml:space="preserve"> .</w:t>
      </w:r>
    </w:p>
    <w:p w14:paraId="18595F0D" w14:textId="77777777" w:rsidR="00EA4133" w:rsidRDefault="00EA4133" w:rsidP="00B76B31">
      <w:pPr>
        <w:pStyle w:val="List"/>
        <w:tabs>
          <w:tab w:val="left" w:pos="1440"/>
          <w:tab w:val="left" w:pos="2160"/>
          <w:tab w:val="left" w:pos="3600"/>
          <w:tab w:val="left" w:pos="5040"/>
          <w:tab w:val="left" w:pos="7560"/>
          <w:tab w:val="left" w:pos="9180"/>
        </w:tabs>
        <w:jc w:val="both"/>
        <w:rPr>
          <w:rFonts w:ascii="Arial" w:hAnsi="Arial"/>
        </w:rPr>
      </w:pPr>
      <w:r>
        <w:rPr>
          <w:rFonts w:ascii="Arial" w:hAnsi="Arial"/>
        </w:rPr>
        <w:tab/>
        <w:t xml:space="preserve">(d) </w:t>
      </w:r>
      <w:r>
        <w:rPr>
          <w:rFonts w:ascii="Arial" w:hAnsi="Arial"/>
        </w:rPr>
        <w:tab/>
        <w:t xml:space="preserve">Expiry date </w:t>
      </w:r>
      <w:r w:rsidR="00CF35F6">
        <w:rPr>
          <w:rFonts w:ascii="Arial" w:hAnsi="Arial"/>
        </w:rPr>
        <w:t>-</w:t>
      </w:r>
      <w:r w:rsidRPr="006E4489">
        <w:rPr>
          <w:rFonts w:ascii="Arial" w:hAnsi="Arial"/>
        </w:rPr>
        <w:tab/>
      </w:r>
      <w:r w:rsidR="00D4272B">
        <w:rPr>
          <w:rFonts w:ascii="Arial" w:hAnsi="Arial"/>
        </w:rPr>
        <w:t xml:space="preserve"> </w:t>
      </w:r>
      <w:r w:rsidRPr="005349EE">
        <w:rPr>
          <w:rFonts w:ascii="Arial" w:hAnsi="Arial" w:cs="Arial"/>
          <w:szCs w:val="24"/>
          <w:u w:val="single"/>
        </w:rPr>
        <w:tab/>
      </w:r>
      <w:r w:rsidRPr="005349EE">
        <w:rPr>
          <w:rFonts w:ascii="Arial" w:hAnsi="Arial" w:cs="Arial"/>
          <w:szCs w:val="24"/>
          <w:u w:val="single"/>
        </w:rPr>
        <w:tab/>
      </w:r>
      <w:r w:rsidRPr="005349EE">
        <w:rPr>
          <w:rFonts w:ascii="Arial" w:hAnsi="Arial"/>
          <w:szCs w:val="24"/>
          <w:u w:val="single"/>
        </w:rPr>
        <w:tab/>
      </w:r>
      <w:r>
        <w:rPr>
          <w:rFonts w:ascii="Arial" w:hAnsi="Arial"/>
        </w:rPr>
        <w:t xml:space="preserve"> .</w:t>
      </w:r>
    </w:p>
    <w:p w14:paraId="37A04692"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1AC02882"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14:paraId="58DEB20E"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7261B11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8D33EF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4B24009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3F389AA5"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79917F55"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w:t>
      </w:r>
      <w:r>
        <w:rPr>
          <w:rFonts w:ascii="Arial" w:hAnsi="Arial"/>
        </w:rPr>
        <w:lastRenderedPageBreak/>
        <w:t xml:space="preserve">20% or more of the voting shares if known to the Issuer): </w:t>
      </w:r>
      <w:r w:rsidR="00C40BEA">
        <w:rPr>
          <w:rFonts w:ascii="Arial" w:hAnsi="Arial"/>
          <w:color w:val="000000"/>
        </w:rPr>
        <w:t>Do not have an estimate at this time of what sales may be made by brokers</w:t>
      </w:r>
      <w:r>
        <w:rPr>
          <w:rFonts w:ascii="Arial" w:hAnsi="Arial"/>
          <w:u w:val="single"/>
        </w:rPr>
        <w:tab/>
      </w:r>
      <w:r>
        <w:rPr>
          <w:rFonts w:ascii="Arial" w:hAnsi="Arial"/>
        </w:rPr>
        <w:t xml:space="preserve"> .</w:t>
      </w:r>
    </w:p>
    <w:p w14:paraId="5DCEE673"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14:paraId="656BAC4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EBE2711"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0FEDA540"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2AE93549"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4FADEB5D"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5E2B3150"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A0FC4CC"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9FD8DD2"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14:paraId="5F365E3F"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43CA7020"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14:paraId="483C6247" w14:textId="77777777" w:rsidR="00EA4133" w:rsidRDefault="00EA4133">
      <w:pPr>
        <w:pStyle w:val="List"/>
        <w:tabs>
          <w:tab w:val="left" w:pos="9180"/>
        </w:tabs>
        <w:spacing w:before="0"/>
        <w:jc w:val="both"/>
        <w:rPr>
          <w:rFonts w:ascii="Arial" w:hAnsi="Arial"/>
        </w:rPr>
      </w:pPr>
    </w:p>
    <w:p w14:paraId="4F9311C9"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581E3D9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B2E719A"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14:paraId="5FC8D1F2"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362B292D" w14:textId="77777777" w:rsidR="00EA4133" w:rsidRDefault="00EA4133">
      <w:pPr>
        <w:pStyle w:val="List"/>
        <w:tabs>
          <w:tab w:val="left" w:pos="9180"/>
        </w:tabs>
        <w:spacing w:before="0"/>
        <w:ind w:left="0" w:firstLine="0"/>
        <w:jc w:val="both"/>
        <w:rPr>
          <w:rFonts w:ascii="Arial" w:hAnsi="Arial"/>
          <w:color w:val="000000"/>
        </w:rPr>
      </w:pPr>
    </w:p>
    <w:p w14:paraId="30D76B48" w14:textId="1384603C" w:rsidR="00CF35F6" w:rsidDel="00CF35F6" w:rsidRDefault="00EA4133" w:rsidP="006E4489">
      <w:pPr>
        <w:pStyle w:val="List"/>
        <w:numPr>
          <w:ilvl w:val="0"/>
          <w:numId w:val="14"/>
        </w:numPr>
        <w:tabs>
          <w:tab w:val="clear" w:pos="360"/>
          <w:tab w:val="num" w:pos="1080"/>
          <w:tab w:val="left" w:pos="9180"/>
        </w:tabs>
        <w:spacing w:before="0"/>
        <w:ind w:left="1080" w:hanging="1080"/>
        <w:jc w:val="both"/>
        <w:rPr>
          <w:rFonts w:ascii="Arial" w:hAnsi="Arial"/>
          <w:color w:val="000000"/>
          <w:u w:val="single"/>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214577">
        <w:rPr>
          <w:rFonts w:ascii="Arial" w:hAnsi="Arial"/>
          <w:color w:val="000000"/>
        </w:rPr>
        <w:t xml:space="preserve">Initial </w:t>
      </w:r>
      <w:r w:rsidR="00D4272B">
        <w:rPr>
          <w:rFonts w:ascii="Arial" w:hAnsi="Arial" w:cs="Arial"/>
          <w:color w:val="000000"/>
        </w:rPr>
        <w:t>99% interest in BiocannaTech Inc</w:t>
      </w:r>
      <w:r w:rsidR="00AB41AA" w:rsidRPr="00B76B31">
        <w:rPr>
          <w:rFonts w:ascii="Arial" w:hAnsi="Arial" w:cs="Arial"/>
        </w:rPr>
        <w:t>.</w:t>
      </w:r>
      <w:r w:rsidR="00D4272B">
        <w:rPr>
          <w:rFonts w:ascii="Arial" w:hAnsi="Arial" w:cs="Arial"/>
        </w:rPr>
        <w:t>, a Quebec ACMPR applicant.</w:t>
      </w:r>
      <w:r w:rsidR="00AB41AA" w:rsidRPr="00B76B31">
        <w:rPr>
          <w:rFonts w:ascii="Arial" w:hAnsi="Arial" w:cs="Arial"/>
        </w:rPr>
        <w:t xml:space="preserve"> </w:t>
      </w:r>
      <w:r w:rsidR="00214577">
        <w:rPr>
          <w:rFonts w:ascii="Arial" w:hAnsi="Arial" w:cs="Arial"/>
        </w:rPr>
        <w:t xml:space="preserve">Final 1% on receipt of Health Canada LP license. </w:t>
      </w:r>
      <w:r w:rsidR="00AB41AA" w:rsidRPr="00B76B31">
        <w:rPr>
          <w:rFonts w:ascii="Arial" w:hAnsi="Arial" w:cs="Arial"/>
        </w:rPr>
        <w:t xml:space="preserve">Refer to the attached news release dated </w:t>
      </w:r>
      <w:r w:rsidR="00D4272B">
        <w:rPr>
          <w:rFonts w:ascii="Arial" w:hAnsi="Arial" w:cs="Arial"/>
        </w:rPr>
        <w:t xml:space="preserve">April </w:t>
      </w:r>
      <w:r w:rsidR="00944A1B">
        <w:rPr>
          <w:rFonts w:ascii="Arial" w:hAnsi="Arial" w:cs="Arial"/>
        </w:rPr>
        <w:t>19</w:t>
      </w:r>
      <w:r w:rsidR="00D4272B">
        <w:rPr>
          <w:rFonts w:ascii="Arial" w:hAnsi="Arial" w:cs="Arial"/>
        </w:rPr>
        <w:t>, 2018</w:t>
      </w:r>
      <w:r w:rsidR="00AB41AA" w:rsidRPr="00B76B31">
        <w:rPr>
          <w:rFonts w:ascii="Arial" w:hAnsi="Arial" w:cs="Arial"/>
        </w:rPr>
        <w:t>.</w:t>
      </w:r>
      <w:r w:rsidR="00AB41AA">
        <w:t xml:space="preserve"> </w:t>
      </w:r>
    </w:p>
    <w:p w14:paraId="533B6B04" w14:textId="77777777" w:rsidR="00EA4133" w:rsidRDefault="00EA4133" w:rsidP="006E4489">
      <w:pPr>
        <w:pStyle w:val="List"/>
        <w:tabs>
          <w:tab w:val="left" w:pos="9180"/>
        </w:tabs>
        <w:spacing w:before="0"/>
        <w:ind w:firstLine="0"/>
        <w:jc w:val="both"/>
        <w:rPr>
          <w:rFonts w:ascii="Arial" w:hAnsi="Arial"/>
          <w:color w:val="000000"/>
        </w:rPr>
      </w:pPr>
      <w:r>
        <w:rPr>
          <w:rFonts w:ascii="Arial" w:hAnsi="Arial"/>
          <w:color w:val="000000"/>
        </w:rPr>
        <w:t>.</w:t>
      </w:r>
    </w:p>
    <w:p w14:paraId="29856BB2" w14:textId="77777777" w:rsidR="00AB41AA" w:rsidRPr="00B76B31" w:rsidRDefault="00EA4133" w:rsidP="006E4489">
      <w:pPr>
        <w:pStyle w:val="List"/>
        <w:numPr>
          <w:ilvl w:val="0"/>
          <w:numId w:val="14"/>
        </w:numPr>
        <w:tabs>
          <w:tab w:val="clear" w:pos="360"/>
          <w:tab w:val="num" w:pos="1080"/>
          <w:tab w:val="left" w:pos="9180"/>
        </w:tabs>
        <w:spacing w:before="0" w:after="120"/>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7E814D13" w14:textId="03A60783" w:rsidR="00D4272B" w:rsidRPr="006E4489" w:rsidRDefault="00FA3737" w:rsidP="006E4489">
      <w:pPr>
        <w:pStyle w:val="ListParagraph"/>
        <w:spacing w:after="120"/>
        <w:ind w:left="1080" w:right="86"/>
        <w:jc w:val="both"/>
        <w:rPr>
          <w:rFonts w:ascii="Arial" w:hAnsi="Arial" w:cs="Arial"/>
          <w:sz w:val="24"/>
          <w:szCs w:val="24"/>
        </w:rPr>
      </w:pPr>
      <w:r>
        <w:rPr>
          <w:rFonts w:ascii="Arial" w:hAnsi="Arial" w:cs="Arial"/>
          <w:sz w:val="24"/>
          <w:szCs w:val="24"/>
        </w:rPr>
        <w:t xml:space="preserve">Pursuant to an agreement dated April 18, 2018 </w:t>
      </w:r>
      <w:r w:rsidR="00D4272B" w:rsidRPr="006E4489">
        <w:rPr>
          <w:rFonts w:ascii="Arial" w:hAnsi="Arial" w:cs="Arial"/>
          <w:sz w:val="24"/>
          <w:szCs w:val="24"/>
        </w:rPr>
        <w:t xml:space="preserve">Alliance Growers will acquire </w:t>
      </w:r>
      <w:r>
        <w:rPr>
          <w:rFonts w:ascii="Arial" w:hAnsi="Arial" w:cs="Arial"/>
          <w:sz w:val="24"/>
          <w:szCs w:val="24"/>
        </w:rPr>
        <w:t>100</w:t>
      </w:r>
      <w:r w:rsidR="00D4272B" w:rsidRPr="006E4489">
        <w:rPr>
          <w:rFonts w:ascii="Arial" w:hAnsi="Arial" w:cs="Arial"/>
          <w:sz w:val="24"/>
          <w:szCs w:val="24"/>
        </w:rPr>
        <w:t xml:space="preserve">% of outstanding shares of BiocannaTech </w:t>
      </w:r>
      <w:r w:rsidR="00A621E1" w:rsidRPr="00A621E1">
        <w:rPr>
          <w:rFonts w:ascii="Arial" w:hAnsi="Arial" w:cs="Arial"/>
          <w:sz w:val="24"/>
          <w:szCs w:val="24"/>
        </w:rPr>
        <w:t xml:space="preserve">from Canna Technology Inc (“CannaTechnology”) and </w:t>
      </w:r>
      <w:r w:rsidR="00A621E1" w:rsidRPr="006E4489">
        <w:rPr>
          <w:rFonts w:ascii="Arial" w:hAnsi="Arial" w:cs="Arial"/>
          <w:sz w:val="24"/>
          <w:szCs w:val="24"/>
        </w:rPr>
        <w:t xml:space="preserve">on a prorated basis to as to 5/6 to 1134778 BC </w:t>
      </w:r>
      <w:r w:rsidR="00A621E1">
        <w:rPr>
          <w:rFonts w:ascii="Arial" w:hAnsi="Arial" w:cs="Arial"/>
          <w:sz w:val="24"/>
          <w:szCs w:val="24"/>
        </w:rPr>
        <w:t xml:space="preserve">Ltd. </w:t>
      </w:r>
      <w:r w:rsidR="00A621E1" w:rsidRPr="006E4489">
        <w:rPr>
          <w:rFonts w:ascii="Arial" w:hAnsi="Arial" w:cs="Arial"/>
          <w:sz w:val="24"/>
          <w:szCs w:val="24"/>
        </w:rPr>
        <w:t xml:space="preserve">and 1/6 to Erick Factor (the “Recipients”) </w:t>
      </w:r>
      <w:r w:rsidR="00D4272B" w:rsidRPr="006E4489">
        <w:rPr>
          <w:rFonts w:ascii="Arial" w:hAnsi="Arial" w:cs="Arial"/>
          <w:sz w:val="24"/>
          <w:szCs w:val="24"/>
        </w:rPr>
        <w:t>in exchange for:</w:t>
      </w:r>
    </w:p>
    <w:p w14:paraId="4176C1B2" w14:textId="77777777" w:rsidR="00D4272B" w:rsidRPr="006E4489" w:rsidRDefault="00D4272B" w:rsidP="006E4489">
      <w:pPr>
        <w:pStyle w:val="ListParagraph"/>
        <w:spacing w:after="120"/>
        <w:ind w:left="1080" w:right="91"/>
        <w:rPr>
          <w:rFonts w:ascii="Arial" w:hAnsi="Arial" w:cs="Arial"/>
          <w:sz w:val="24"/>
          <w:szCs w:val="24"/>
        </w:rPr>
      </w:pPr>
    </w:p>
    <w:p w14:paraId="03F1A3CF" w14:textId="77777777" w:rsidR="00FA3737" w:rsidRDefault="00D4272B" w:rsidP="006E4489">
      <w:pPr>
        <w:pStyle w:val="ListParagraph"/>
        <w:widowControl w:val="0"/>
        <w:numPr>
          <w:ilvl w:val="0"/>
          <w:numId w:val="24"/>
        </w:numPr>
        <w:tabs>
          <w:tab w:val="left" w:pos="1567"/>
        </w:tabs>
        <w:autoSpaceDE w:val="0"/>
        <w:autoSpaceDN w:val="0"/>
        <w:spacing w:after="120"/>
        <w:ind w:right="91" w:firstLine="0"/>
        <w:jc w:val="both"/>
        <w:rPr>
          <w:rFonts w:ascii="Arial" w:hAnsi="Arial" w:cs="Arial"/>
          <w:color w:val="000000" w:themeColor="text1"/>
          <w:w w:val="110"/>
          <w:sz w:val="24"/>
          <w:szCs w:val="24"/>
        </w:rPr>
      </w:pPr>
      <w:r w:rsidRPr="006E4489">
        <w:rPr>
          <w:rFonts w:ascii="Arial" w:hAnsi="Arial" w:cs="Arial"/>
          <w:color w:val="000000" w:themeColor="text1"/>
          <w:w w:val="110"/>
          <w:sz w:val="24"/>
          <w:szCs w:val="24"/>
        </w:rPr>
        <w:t>$2</w:t>
      </w:r>
      <w:r w:rsidR="00FA3737">
        <w:rPr>
          <w:rFonts w:ascii="Arial" w:hAnsi="Arial" w:cs="Arial"/>
          <w:color w:val="000000" w:themeColor="text1"/>
          <w:w w:val="110"/>
          <w:sz w:val="24"/>
          <w:szCs w:val="24"/>
        </w:rPr>
        <w:t>38,637 down payment (paid);</w:t>
      </w:r>
    </w:p>
    <w:p w14:paraId="6825DD04" w14:textId="77777777" w:rsidR="00B6181A" w:rsidRDefault="00B6181A" w:rsidP="00B6181A">
      <w:pPr>
        <w:pStyle w:val="ListParagraph"/>
        <w:widowControl w:val="0"/>
        <w:tabs>
          <w:tab w:val="left" w:pos="1567"/>
        </w:tabs>
        <w:autoSpaceDE w:val="0"/>
        <w:autoSpaceDN w:val="0"/>
        <w:spacing w:after="120"/>
        <w:ind w:left="1080" w:right="91"/>
        <w:jc w:val="both"/>
        <w:rPr>
          <w:rFonts w:ascii="Arial" w:hAnsi="Arial" w:cs="Arial"/>
          <w:color w:val="000000" w:themeColor="text1"/>
          <w:w w:val="110"/>
          <w:sz w:val="24"/>
          <w:szCs w:val="24"/>
        </w:rPr>
      </w:pPr>
    </w:p>
    <w:p w14:paraId="0F9CD1BA" w14:textId="3508F87D" w:rsidR="00D4272B" w:rsidRDefault="00D4272B" w:rsidP="006E4489">
      <w:pPr>
        <w:pStyle w:val="ListParagraph"/>
        <w:widowControl w:val="0"/>
        <w:numPr>
          <w:ilvl w:val="0"/>
          <w:numId w:val="24"/>
        </w:numPr>
        <w:tabs>
          <w:tab w:val="left" w:pos="1567"/>
        </w:tabs>
        <w:autoSpaceDE w:val="0"/>
        <w:autoSpaceDN w:val="0"/>
        <w:spacing w:after="120"/>
        <w:ind w:right="91" w:firstLine="0"/>
        <w:jc w:val="both"/>
        <w:rPr>
          <w:rFonts w:ascii="Arial" w:hAnsi="Arial" w:cs="Arial"/>
          <w:color w:val="000000" w:themeColor="text1"/>
          <w:w w:val="110"/>
          <w:sz w:val="24"/>
          <w:szCs w:val="24"/>
        </w:rPr>
      </w:pPr>
      <w:r w:rsidRPr="006E4489">
        <w:rPr>
          <w:rFonts w:ascii="Arial" w:hAnsi="Arial" w:cs="Arial"/>
          <w:color w:val="000000" w:themeColor="text1"/>
          <w:w w:val="110"/>
          <w:sz w:val="24"/>
          <w:szCs w:val="24"/>
        </w:rPr>
        <w:t>$50,000</w:t>
      </w:r>
      <w:r w:rsidRPr="006E4489">
        <w:rPr>
          <w:rFonts w:ascii="Arial" w:hAnsi="Arial" w:cs="Arial"/>
          <w:color w:val="000000" w:themeColor="text1"/>
          <w:spacing w:val="-19"/>
          <w:w w:val="110"/>
          <w:sz w:val="24"/>
          <w:szCs w:val="24"/>
        </w:rPr>
        <w:t xml:space="preserve"> </w:t>
      </w:r>
      <w:r w:rsidRPr="006E4489">
        <w:rPr>
          <w:rFonts w:ascii="Arial" w:hAnsi="Arial" w:cs="Arial"/>
          <w:color w:val="000000" w:themeColor="text1"/>
          <w:w w:val="110"/>
          <w:sz w:val="24"/>
          <w:szCs w:val="24"/>
        </w:rPr>
        <w:t>in</w:t>
      </w:r>
      <w:r w:rsidRPr="006E4489">
        <w:rPr>
          <w:rFonts w:ascii="Arial" w:hAnsi="Arial" w:cs="Arial"/>
          <w:color w:val="000000" w:themeColor="text1"/>
          <w:spacing w:val="-12"/>
          <w:w w:val="110"/>
          <w:sz w:val="24"/>
          <w:szCs w:val="24"/>
        </w:rPr>
        <w:t xml:space="preserve"> </w:t>
      </w:r>
      <w:r w:rsidRPr="006E4489">
        <w:rPr>
          <w:rFonts w:ascii="Arial" w:hAnsi="Arial" w:cs="Arial"/>
          <w:color w:val="000000" w:themeColor="text1"/>
          <w:w w:val="110"/>
          <w:sz w:val="24"/>
          <w:szCs w:val="24"/>
        </w:rPr>
        <w:t>shares</w:t>
      </w:r>
      <w:r w:rsidRPr="006E4489">
        <w:rPr>
          <w:rFonts w:ascii="Arial" w:hAnsi="Arial" w:cs="Arial"/>
          <w:color w:val="000000" w:themeColor="text1"/>
          <w:spacing w:val="-14"/>
          <w:w w:val="110"/>
          <w:sz w:val="24"/>
          <w:szCs w:val="24"/>
        </w:rPr>
        <w:t xml:space="preserve"> </w:t>
      </w:r>
      <w:bookmarkStart w:id="4" w:name="_Hlk509165252"/>
      <w:r w:rsidRPr="006E4489">
        <w:rPr>
          <w:rFonts w:ascii="Arial" w:hAnsi="Arial" w:cs="Arial"/>
          <w:color w:val="000000" w:themeColor="text1"/>
          <w:spacing w:val="-14"/>
          <w:w w:val="110"/>
          <w:sz w:val="24"/>
          <w:szCs w:val="24"/>
        </w:rPr>
        <w:t xml:space="preserve">to CannaTechnology and 1,200,000 shares to the Recipients </w:t>
      </w:r>
      <w:bookmarkEnd w:id="4"/>
      <w:r w:rsidR="00FA3737">
        <w:rPr>
          <w:rFonts w:ascii="Arial" w:hAnsi="Arial" w:cs="Arial"/>
          <w:color w:val="000000" w:themeColor="text1"/>
          <w:spacing w:val="-14"/>
          <w:w w:val="110"/>
          <w:sz w:val="24"/>
          <w:szCs w:val="24"/>
        </w:rPr>
        <w:t>on</w:t>
      </w:r>
      <w:r w:rsidR="00B6181A">
        <w:rPr>
          <w:rFonts w:ascii="Arial" w:hAnsi="Arial" w:cs="Arial"/>
          <w:color w:val="000000" w:themeColor="text1"/>
          <w:spacing w:val="-14"/>
          <w:w w:val="110"/>
          <w:sz w:val="24"/>
          <w:szCs w:val="24"/>
        </w:rPr>
        <w:t xml:space="preserve"> the Closing Date, which will be on or before April 25, 2018</w:t>
      </w:r>
      <w:r w:rsidRPr="006E4489">
        <w:rPr>
          <w:rFonts w:ascii="Arial" w:hAnsi="Arial" w:cs="Arial"/>
          <w:color w:val="000000" w:themeColor="text1"/>
          <w:w w:val="110"/>
          <w:sz w:val="24"/>
          <w:szCs w:val="24"/>
        </w:rPr>
        <w:t>;</w:t>
      </w:r>
    </w:p>
    <w:p w14:paraId="0E2675EF" w14:textId="77777777" w:rsidR="00B6181A" w:rsidRDefault="00B6181A" w:rsidP="00EA07F1">
      <w:pPr>
        <w:pStyle w:val="ListParagraph"/>
        <w:widowControl w:val="0"/>
        <w:tabs>
          <w:tab w:val="left" w:pos="1567"/>
        </w:tabs>
        <w:autoSpaceDE w:val="0"/>
        <w:autoSpaceDN w:val="0"/>
        <w:spacing w:after="120"/>
        <w:ind w:left="1080" w:right="91"/>
        <w:jc w:val="both"/>
        <w:rPr>
          <w:rFonts w:ascii="Arial" w:hAnsi="Arial" w:cs="Arial"/>
          <w:color w:val="000000" w:themeColor="text1"/>
          <w:w w:val="110"/>
          <w:sz w:val="24"/>
          <w:szCs w:val="24"/>
        </w:rPr>
      </w:pPr>
    </w:p>
    <w:p w14:paraId="7C6A1B0E" w14:textId="34319E31" w:rsidR="00D4272B" w:rsidRDefault="00D4272B" w:rsidP="006E4489">
      <w:pPr>
        <w:pStyle w:val="ListParagraph"/>
        <w:widowControl w:val="0"/>
        <w:numPr>
          <w:ilvl w:val="0"/>
          <w:numId w:val="24"/>
        </w:numPr>
        <w:tabs>
          <w:tab w:val="left" w:pos="1567"/>
        </w:tabs>
        <w:autoSpaceDE w:val="0"/>
        <w:autoSpaceDN w:val="0"/>
        <w:spacing w:after="120"/>
        <w:ind w:right="91" w:firstLine="0"/>
        <w:jc w:val="both"/>
        <w:rPr>
          <w:rFonts w:ascii="Arial" w:hAnsi="Arial" w:cs="Arial"/>
          <w:color w:val="000000" w:themeColor="text1"/>
          <w:sz w:val="24"/>
          <w:szCs w:val="24"/>
        </w:rPr>
      </w:pPr>
      <w:r w:rsidRPr="006E4489">
        <w:rPr>
          <w:rFonts w:ascii="Arial" w:hAnsi="Arial" w:cs="Arial"/>
          <w:color w:val="000000" w:themeColor="text1"/>
          <w:sz w:val="24"/>
          <w:szCs w:val="24"/>
        </w:rPr>
        <w:t xml:space="preserve">$250,000 in shares </w:t>
      </w:r>
      <w:bookmarkStart w:id="5" w:name="_Hlk509165374"/>
      <w:r w:rsidRPr="006E4489">
        <w:rPr>
          <w:rFonts w:ascii="Arial" w:hAnsi="Arial" w:cs="Arial"/>
          <w:color w:val="000000" w:themeColor="text1"/>
          <w:spacing w:val="-14"/>
          <w:w w:val="110"/>
          <w:sz w:val="24"/>
          <w:szCs w:val="24"/>
        </w:rPr>
        <w:t xml:space="preserve">to CannaTechnology and 1,200,000 shares to the Recipients </w:t>
      </w:r>
      <w:bookmarkEnd w:id="5"/>
      <w:r w:rsidRPr="006E4489">
        <w:rPr>
          <w:rFonts w:ascii="Arial" w:hAnsi="Arial" w:cs="Arial"/>
          <w:color w:val="000000" w:themeColor="text1"/>
          <w:sz w:val="24"/>
          <w:szCs w:val="24"/>
        </w:rPr>
        <w:t xml:space="preserve">released immediately </w:t>
      </w:r>
      <w:r w:rsidR="00FA3737">
        <w:rPr>
          <w:rFonts w:ascii="Arial" w:hAnsi="Arial" w:cs="Arial"/>
          <w:color w:val="000000" w:themeColor="text1"/>
          <w:sz w:val="24"/>
          <w:szCs w:val="24"/>
        </w:rPr>
        <w:t xml:space="preserve">upon receipt of </w:t>
      </w:r>
      <w:r w:rsidRPr="006E4489">
        <w:rPr>
          <w:rFonts w:ascii="Arial" w:hAnsi="Arial" w:cs="Arial"/>
          <w:color w:val="000000" w:themeColor="text1"/>
          <w:sz w:val="24"/>
          <w:szCs w:val="24"/>
        </w:rPr>
        <w:t>Health Canada approval for Ready to Build stage</w:t>
      </w:r>
      <w:r w:rsidR="00FA3737">
        <w:rPr>
          <w:rFonts w:ascii="Arial" w:hAnsi="Arial" w:cs="Arial"/>
          <w:color w:val="000000" w:themeColor="text1"/>
          <w:sz w:val="24"/>
          <w:szCs w:val="24"/>
        </w:rPr>
        <w:t>, on or before December 31, 2019</w:t>
      </w:r>
      <w:r w:rsidRPr="006E4489">
        <w:rPr>
          <w:rFonts w:ascii="Arial" w:hAnsi="Arial" w:cs="Arial"/>
          <w:color w:val="000000" w:themeColor="text1"/>
          <w:sz w:val="24"/>
          <w:szCs w:val="24"/>
        </w:rPr>
        <w:t>;</w:t>
      </w:r>
    </w:p>
    <w:p w14:paraId="0D9CD09D" w14:textId="77777777" w:rsidR="00B6181A" w:rsidRPr="006E4489" w:rsidRDefault="00B6181A" w:rsidP="00EA07F1">
      <w:pPr>
        <w:pStyle w:val="ListParagraph"/>
        <w:widowControl w:val="0"/>
        <w:tabs>
          <w:tab w:val="left" w:pos="1567"/>
        </w:tabs>
        <w:autoSpaceDE w:val="0"/>
        <w:autoSpaceDN w:val="0"/>
        <w:spacing w:after="120"/>
        <w:ind w:left="1080" w:right="91"/>
        <w:jc w:val="both"/>
        <w:rPr>
          <w:rFonts w:ascii="Arial" w:hAnsi="Arial" w:cs="Arial"/>
          <w:color w:val="000000" w:themeColor="text1"/>
          <w:sz w:val="24"/>
          <w:szCs w:val="24"/>
        </w:rPr>
      </w:pPr>
    </w:p>
    <w:p w14:paraId="53FBD97F" w14:textId="6B34B019" w:rsidR="00D4272B" w:rsidRDefault="00D4272B" w:rsidP="006E4489">
      <w:pPr>
        <w:pStyle w:val="ListParagraph"/>
        <w:widowControl w:val="0"/>
        <w:numPr>
          <w:ilvl w:val="0"/>
          <w:numId w:val="24"/>
        </w:numPr>
        <w:tabs>
          <w:tab w:val="left" w:pos="1567"/>
        </w:tabs>
        <w:autoSpaceDE w:val="0"/>
        <w:autoSpaceDN w:val="0"/>
        <w:spacing w:after="120"/>
        <w:ind w:right="91" w:firstLine="0"/>
        <w:jc w:val="both"/>
        <w:rPr>
          <w:rFonts w:ascii="Arial" w:hAnsi="Arial" w:cs="Arial"/>
          <w:color w:val="000000" w:themeColor="text1"/>
          <w:w w:val="110"/>
          <w:sz w:val="24"/>
          <w:szCs w:val="24"/>
        </w:rPr>
      </w:pPr>
      <w:r w:rsidRPr="006E4489">
        <w:rPr>
          <w:rFonts w:ascii="Arial" w:hAnsi="Arial" w:cs="Arial"/>
          <w:color w:val="000000" w:themeColor="text1"/>
          <w:w w:val="110"/>
          <w:sz w:val="24"/>
          <w:szCs w:val="24"/>
        </w:rPr>
        <w:t xml:space="preserve">$500,000 paid </w:t>
      </w:r>
      <w:r w:rsidRPr="006E4489">
        <w:rPr>
          <w:rFonts w:ascii="Arial" w:hAnsi="Arial" w:cs="Arial"/>
          <w:color w:val="000000" w:themeColor="text1"/>
          <w:spacing w:val="-14"/>
          <w:w w:val="110"/>
          <w:sz w:val="24"/>
          <w:szCs w:val="24"/>
        </w:rPr>
        <w:t xml:space="preserve">to CannaTechnology and 1,200,000 shares to the Recipients </w:t>
      </w:r>
      <w:r w:rsidR="00FA3737">
        <w:rPr>
          <w:rFonts w:ascii="Arial" w:hAnsi="Arial" w:cs="Arial"/>
          <w:color w:val="000000" w:themeColor="text1"/>
          <w:spacing w:val="-14"/>
          <w:w w:val="110"/>
          <w:sz w:val="24"/>
          <w:szCs w:val="24"/>
        </w:rPr>
        <w:t>upon receipt of municipal</w:t>
      </w:r>
      <w:r w:rsidRPr="006E4489">
        <w:rPr>
          <w:rFonts w:ascii="Arial" w:hAnsi="Arial" w:cs="Arial"/>
          <w:sz w:val="24"/>
          <w:szCs w:val="24"/>
        </w:rPr>
        <w:t xml:space="preserve"> building permits to start construction</w:t>
      </w:r>
      <w:r w:rsidR="00FA3737">
        <w:rPr>
          <w:rFonts w:ascii="Arial" w:hAnsi="Arial" w:cs="Arial"/>
          <w:sz w:val="24"/>
          <w:szCs w:val="24"/>
        </w:rPr>
        <w:t xml:space="preserve"> of a facility, on or before December 31, 2019</w:t>
      </w:r>
      <w:r w:rsidRPr="006E4489">
        <w:rPr>
          <w:rFonts w:ascii="Arial" w:hAnsi="Arial" w:cs="Arial"/>
          <w:color w:val="000000" w:themeColor="text1"/>
          <w:w w:val="110"/>
          <w:sz w:val="24"/>
          <w:szCs w:val="24"/>
        </w:rPr>
        <w:t>;</w:t>
      </w:r>
    </w:p>
    <w:p w14:paraId="7FD3BB65" w14:textId="77777777" w:rsidR="00B6181A" w:rsidRPr="006E4489" w:rsidRDefault="00B6181A" w:rsidP="00B6181A">
      <w:pPr>
        <w:pStyle w:val="ListParagraph"/>
        <w:widowControl w:val="0"/>
        <w:tabs>
          <w:tab w:val="left" w:pos="1567"/>
        </w:tabs>
        <w:autoSpaceDE w:val="0"/>
        <w:autoSpaceDN w:val="0"/>
        <w:spacing w:after="120"/>
        <w:ind w:left="1080" w:right="91"/>
        <w:jc w:val="both"/>
        <w:rPr>
          <w:rFonts w:ascii="Arial" w:hAnsi="Arial" w:cs="Arial"/>
          <w:color w:val="000000" w:themeColor="text1"/>
          <w:w w:val="110"/>
          <w:sz w:val="24"/>
          <w:szCs w:val="24"/>
        </w:rPr>
      </w:pPr>
    </w:p>
    <w:p w14:paraId="78C8FEDC" w14:textId="4D4E66DB" w:rsidR="00D4272B" w:rsidRDefault="00D4272B" w:rsidP="006E4489">
      <w:pPr>
        <w:pStyle w:val="ListParagraph"/>
        <w:widowControl w:val="0"/>
        <w:numPr>
          <w:ilvl w:val="0"/>
          <w:numId w:val="24"/>
        </w:numPr>
        <w:tabs>
          <w:tab w:val="left" w:pos="1586"/>
        </w:tabs>
        <w:autoSpaceDE w:val="0"/>
        <w:autoSpaceDN w:val="0"/>
        <w:spacing w:after="120"/>
        <w:ind w:firstLine="0"/>
        <w:jc w:val="both"/>
        <w:rPr>
          <w:rFonts w:ascii="Arial" w:hAnsi="Arial" w:cs="Arial"/>
          <w:color w:val="000000" w:themeColor="text1"/>
          <w:w w:val="110"/>
          <w:sz w:val="24"/>
          <w:szCs w:val="24"/>
        </w:rPr>
      </w:pPr>
      <w:r w:rsidRPr="006E4489">
        <w:rPr>
          <w:rFonts w:ascii="Arial" w:hAnsi="Arial" w:cs="Arial"/>
          <w:color w:val="000000" w:themeColor="text1"/>
          <w:w w:val="110"/>
          <w:sz w:val="24"/>
          <w:szCs w:val="24"/>
        </w:rPr>
        <w:t>$500,000</w:t>
      </w:r>
      <w:r w:rsidRPr="006E4489">
        <w:rPr>
          <w:rFonts w:ascii="Arial" w:hAnsi="Arial" w:cs="Arial"/>
          <w:color w:val="000000" w:themeColor="text1"/>
          <w:spacing w:val="-9"/>
          <w:w w:val="110"/>
          <w:sz w:val="24"/>
          <w:szCs w:val="24"/>
        </w:rPr>
        <w:t xml:space="preserve"> </w:t>
      </w:r>
      <w:r w:rsidRPr="006E4489">
        <w:rPr>
          <w:rFonts w:ascii="Arial" w:hAnsi="Arial" w:cs="Arial"/>
          <w:color w:val="000000" w:themeColor="text1"/>
          <w:w w:val="110"/>
          <w:sz w:val="24"/>
          <w:szCs w:val="24"/>
        </w:rPr>
        <w:t>in</w:t>
      </w:r>
      <w:r w:rsidRPr="006E4489">
        <w:rPr>
          <w:rFonts w:ascii="Arial" w:hAnsi="Arial" w:cs="Arial"/>
          <w:color w:val="000000" w:themeColor="text1"/>
          <w:spacing w:val="-9"/>
          <w:w w:val="110"/>
          <w:sz w:val="24"/>
          <w:szCs w:val="24"/>
        </w:rPr>
        <w:t xml:space="preserve"> </w:t>
      </w:r>
      <w:r w:rsidRPr="006E4489">
        <w:rPr>
          <w:rFonts w:ascii="Arial" w:hAnsi="Arial" w:cs="Arial"/>
          <w:color w:val="000000" w:themeColor="text1"/>
          <w:w w:val="110"/>
          <w:sz w:val="24"/>
          <w:szCs w:val="24"/>
        </w:rPr>
        <w:t>shares</w:t>
      </w:r>
      <w:r w:rsidRPr="006E4489">
        <w:rPr>
          <w:rFonts w:ascii="Arial" w:hAnsi="Arial" w:cs="Arial"/>
          <w:color w:val="000000" w:themeColor="text1"/>
          <w:spacing w:val="-13"/>
          <w:w w:val="110"/>
          <w:sz w:val="24"/>
          <w:szCs w:val="24"/>
        </w:rPr>
        <w:t xml:space="preserve"> </w:t>
      </w:r>
      <w:r w:rsidRPr="006E4489">
        <w:rPr>
          <w:rFonts w:ascii="Arial" w:hAnsi="Arial" w:cs="Arial"/>
          <w:color w:val="000000" w:themeColor="text1"/>
          <w:spacing w:val="-14"/>
          <w:w w:val="110"/>
          <w:sz w:val="24"/>
          <w:szCs w:val="24"/>
        </w:rPr>
        <w:t xml:space="preserve">to CannaTechnology and 1,200,000 shares to the Recipients </w:t>
      </w:r>
      <w:r w:rsidR="00FA3737">
        <w:rPr>
          <w:rFonts w:ascii="Arial" w:hAnsi="Arial" w:cs="Arial"/>
          <w:color w:val="000000" w:themeColor="text1"/>
          <w:spacing w:val="-14"/>
          <w:w w:val="110"/>
          <w:sz w:val="24"/>
          <w:szCs w:val="24"/>
        </w:rPr>
        <w:t xml:space="preserve">upon receipt of </w:t>
      </w:r>
      <w:r w:rsidRPr="006E4489">
        <w:rPr>
          <w:rFonts w:ascii="Arial" w:hAnsi="Arial" w:cs="Arial"/>
          <w:color w:val="000000" w:themeColor="text1"/>
          <w:spacing w:val="-6"/>
          <w:w w:val="110"/>
          <w:sz w:val="24"/>
          <w:szCs w:val="24"/>
        </w:rPr>
        <w:t xml:space="preserve">Health Canada approval of </w:t>
      </w:r>
      <w:r w:rsidR="00FA3737">
        <w:rPr>
          <w:rFonts w:ascii="Arial" w:hAnsi="Arial" w:cs="Arial"/>
          <w:color w:val="000000" w:themeColor="text1"/>
          <w:spacing w:val="-6"/>
          <w:w w:val="110"/>
          <w:sz w:val="24"/>
          <w:szCs w:val="24"/>
        </w:rPr>
        <w:t xml:space="preserve">the </w:t>
      </w:r>
      <w:r w:rsidRPr="006E4489">
        <w:rPr>
          <w:rFonts w:ascii="Arial" w:hAnsi="Arial" w:cs="Arial"/>
          <w:color w:val="000000" w:themeColor="text1"/>
          <w:w w:val="110"/>
          <w:sz w:val="24"/>
          <w:szCs w:val="24"/>
        </w:rPr>
        <w:t>Cultivation</w:t>
      </w:r>
      <w:r w:rsidRPr="006E4489">
        <w:rPr>
          <w:rFonts w:ascii="Arial" w:hAnsi="Arial" w:cs="Arial"/>
          <w:color w:val="000000" w:themeColor="text1"/>
          <w:spacing w:val="-8"/>
          <w:w w:val="110"/>
          <w:sz w:val="24"/>
          <w:szCs w:val="24"/>
        </w:rPr>
        <w:t xml:space="preserve"> </w:t>
      </w:r>
      <w:r w:rsidRPr="006E4489">
        <w:rPr>
          <w:rFonts w:ascii="Arial" w:hAnsi="Arial" w:cs="Arial"/>
          <w:color w:val="000000" w:themeColor="text1"/>
          <w:w w:val="110"/>
          <w:sz w:val="24"/>
          <w:szCs w:val="24"/>
        </w:rPr>
        <w:t>stage</w:t>
      </w:r>
      <w:r w:rsidR="00FA3737">
        <w:rPr>
          <w:rFonts w:ascii="Arial" w:hAnsi="Arial" w:cs="Arial"/>
          <w:color w:val="000000" w:themeColor="text1"/>
          <w:w w:val="110"/>
          <w:sz w:val="24"/>
          <w:szCs w:val="24"/>
        </w:rPr>
        <w:t xml:space="preserve">, </w:t>
      </w:r>
      <w:bookmarkStart w:id="6" w:name="_Hlk511852016"/>
      <w:r w:rsidR="00FA3737">
        <w:rPr>
          <w:rFonts w:ascii="Arial" w:hAnsi="Arial" w:cs="Arial"/>
          <w:color w:val="000000" w:themeColor="text1"/>
          <w:w w:val="110"/>
          <w:sz w:val="24"/>
          <w:szCs w:val="24"/>
        </w:rPr>
        <w:t>on or before December 31, 2019</w:t>
      </w:r>
      <w:bookmarkEnd w:id="6"/>
      <w:r w:rsidRPr="006E4489">
        <w:rPr>
          <w:rFonts w:ascii="Arial" w:hAnsi="Arial" w:cs="Arial"/>
          <w:color w:val="000000" w:themeColor="text1"/>
          <w:w w:val="110"/>
          <w:sz w:val="24"/>
          <w:szCs w:val="24"/>
        </w:rPr>
        <w:t>;</w:t>
      </w:r>
    </w:p>
    <w:p w14:paraId="51E630C9" w14:textId="77777777" w:rsidR="00B6181A" w:rsidRPr="00EA07F1" w:rsidRDefault="00B6181A" w:rsidP="00B6181A">
      <w:pPr>
        <w:pStyle w:val="ListParagraph"/>
        <w:rPr>
          <w:rFonts w:ascii="Arial" w:hAnsi="Arial" w:cs="Arial"/>
          <w:color w:val="000000" w:themeColor="text1"/>
          <w:w w:val="110"/>
          <w:sz w:val="24"/>
          <w:szCs w:val="24"/>
        </w:rPr>
      </w:pPr>
    </w:p>
    <w:p w14:paraId="6C663354" w14:textId="253EC005" w:rsidR="00D4272B" w:rsidRPr="006E4489" w:rsidRDefault="00D4272B" w:rsidP="00B611B0">
      <w:pPr>
        <w:pStyle w:val="ListParagraph"/>
        <w:widowControl w:val="0"/>
        <w:numPr>
          <w:ilvl w:val="0"/>
          <w:numId w:val="24"/>
        </w:numPr>
        <w:tabs>
          <w:tab w:val="left" w:pos="1576"/>
        </w:tabs>
        <w:autoSpaceDE w:val="0"/>
        <w:autoSpaceDN w:val="0"/>
        <w:spacing w:after="120"/>
        <w:ind w:firstLine="0"/>
        <w:jc w:val="both"/>
        <w:rPr>
          <w:rFonts w:ascii="Arial" w:hAnsi="Arial" w:cs="Arial"/>
          <w:color w:val="000000" w:themeColor="text1"/>
          <w:sz w:val="24"/>
          <w:szCs w:val="24"/>
        </w:rPr>
      </w:pPr>
      <w:r w:rsidRPr="006E4489">
        <w:rPr>
          <w:rFonts w:ascii="Arial" w:hAnsi="Arial" w:cs="Arial"/>
          <w:color w:val="000000" w:themeColor="text1"/>
          <w:w w:val="110"/>
          <w:sz w:val="24"/>
          <w:szCs w:val="24"/>
        </w:rPr>
        <w:t>$500,000</w:t>
      </w:r>
      <w:r w:rsidRPr="006E4489">
        <w:rPr>
          <w:rFonts w:ascii="Arial" w:hAnsi="Arial" w:cs="Arial"/>
          <w:color w:val="000000" w:themeColor="text1"/>
          <w:spacing w:val="-9"/>
          <w:w w:val="110"/>
          <w:sz w:val="24"/>
          <w:szCs w:val="24"/>
        </w:rPr>
        <w:t xml:space="preserve"> </w:t>
      </w:r>
      <w:r w:rsidRPr="006E4489">
        <w:rPr>
          <w:rFonts w:ascii="Arial" w:hAnsi="Arial" w:cs="Arial"/>
          <w:color w:val="000000" w:themeColor="text1"/>
          <w:w w:val="110"/>
          <w:sz w:val="24"/>
          <w:szCs w:val="24"/>
        </w:rPr>
        <w:t>in shares</w:t>
      </w:r>
      <w:r w:rsidRPr="006E4489">
        <w:rPr>
          <w:rFonts w:ascii="Arial" w:hAnsi="Arial" w:cs="Arial"/>
          <w:color w:val="000000" w:themeColor="text1"/>
          <w:spacing w:val="-3"/>
          <w:w w:val="110"/>
          <w:sz w:val="24"/>
          <w:szCs w:val="24"/>
        </w:rPr>
        <w:t xml:space="preserve"> </w:t>
      </w:r>
      <w:r w:rsidRPr="006E4489">
        <w:rPr>
          <w:rFonts w:ascii="Arial" w:hAnsi="Arial" w:cs="Arial"/>
          <w:color w:val="000000" w:themeColor="text1"/>
          <w:spacing w:val="-14"/>
          <w:w w:val="110"/>
          <w:sz w:val="24"/>
          <w:szCs w:val="24"/>
        </w:rPr>
        <w:t xml:space="preserve">to CannaTechnology and 1,200,000 shares to the Recipients </w:t>
      </w:r>
      <w:r w:rsidR="00FA3737">
        <w:rPr>
          <w:rFonts w:ascii="Arial" w:hAnsi="Arial" w:cs="Arial"/>
          <w:color w:val="000000" w:themeColor="text1"/>
          <w:spacing w:val="-14"/>
          <w:w w:val="110"/>
          <w:sz w:val="24"/>
          <w:szCs w:val="24"/>
        </w:rPr>
        <w:t xml:space="preserve">upon receipt of </w:t>
      </w:r>
      <w:bookmarkStart w:id="7" w:name="_Hlk509167904"/>
      <w:r w:rsidRPr="006E4489">
        <w:rPr>
          <w:rFonts w:ascii="Arial" w:hAnsi="Arial" w:cs="Arial"/>
          <w:color w:val="000000" w:themeColor="text1"/>
          <w:spacing w:val="-11"/>
          <w:w w:val="110"/>
          <w:sz w:val="24"/>
          <w:szCs w:val="24"/>
        </w:rPr>
        <w:t xml:space="preserve">Health Canada </w:t>
      </w:r>
      <w:bookmarkEnd w:id="7"/>
      <w:r w:rsidR="00FA3737">
        <w:rPr>
          <w:rFonts w:ascii="Arial" w:hAnsi="Arial" w:cs="Arial"/>
          <w:color w:val="000000" w:themeColor="text1"/>
          <w:w w:val="110"/>
          <w:sz w:val="24"/>
          <w:szCs w:val="24"/>
        </w:rPr>
        <w:t>LP License</w:t>
      </w:r>
      <w:r w:rsidR="00214577" w:rsidRPr="00214577">
        <w:rPr>
          <w:rFonts w:ascii="Arial" w:hAnsi="Arial" w:cs="Arial"/>
          <w:color w:val="000000" w:themeColor="text1"/>
          <w:w w:val="110"/>
          <w:sz w:val="24"/>
          <w:szCs w:val="24"/>
        </w:rPr>
        <w:t xml:space="preserve"> </w:t>
      </w:r>
      <w:r w:rsidR="00214577">
        <w:rPr>
          <w:rFonts w:ascii="Arial" w:hAnsi="Arial" w:cs="Arial"/>
          <w:color w:val="000000" w:themeColor="text1"/>
          <w:w w:val="110"/>
          <w:sz w:val="24"/>
          <w:szCs w:val="24"/>
        </w:rPr>
        <w:t>on or before December 31, 2019</w:t>
      </w:r>
      <w:r w:rsidRPr="006E4489">
        <w:rPr>
          <w:rFonts w:ascii="Arial" w:hAnsi="Arial" w:cs="Arial"/>
          <w:color w:val="000000" w:themeColor="text1"/>
          <w:w w:val="110"/>
          <w:sz w:val="24"/>
          <w:szCs w:val="24"/>
        </w:rPr>
        <w:t>.</w:t>
      </w:r>
    </w:p>
    <w:p w14:paraId="27CC1806" w14:textId="77777777" w:rsidR="00B611B0" w:rsidRPr="006E4489" w:rsidRDefault="00B611B0" w:rsidP="006E4489">
      <w:pPr>
        <w:pStyle w:val="ListParagraph"/>
        <w:widowControl w:val="0"/>
        <w:tabs>
          <w:tab w:val="left" w:pos="1576"/>
        </w:tabs>
        <w:autoSpaceDE w:val="0"/>
        <w:autoSpaceDN w:val="0"/>
        <w:spacing w:after="120"/>
        <w:ind w:left="1080"/>
        <w:jc w:val="both"/>
        <w:rPr>
          <w:rFonts w:ascii="Arial" w:hAnsi="Arial" w:cs="Arial"/>
          <w:color w:val="000000" w:themeColor="text1"/>
          <w:sz w:val="24"/>
          <w:szCs w:val="24"/>
        </w:rPr>
      </w:pPr>
    </w:p>
    <w:p w14:paraId="5BC2776B" w14:textId="3E646403" w:rsidR="00D4272B" w:rsidRDefault="00EA2C9C" w:rsidP="00944A1B">
      <w:pPr>
        <w:pStyle w:val="Default"/>
        <w:ind w:left="1080"/>
        <w:rPr>
          <w:rFonts w:ascii="Arial" w:hAnsi="Arial" w:cs="Arial"/>
          <w:color w:val="000000" w:themeColor="text1"/>
          <w:w w:val="110"/>
        </w:rPr>
      </w:pPr>
      <w:r>
        <w:rPr>
          <w:rFonts w:ascii="Arial" w:hAnsi="Arial" w:cs="Arial"/>
        </w:rPr>
        <w:t>Alliance Growers</w:t>
      </w:r>
      <w:r w:rsidRPr="006E4489">
        <w:rPr>
          <w:rFonts w:ascii="Arial" w:hAnsi="Arial" w:cs="Arial"/>
        </w:rPr>
        <w:t xml:space="preserve"> </w:t>
      </w:r>
      <w:r w:rsidR="00D4272B" w:rsidRPr="006E4489">
        <w:rPr>
          <w:rFonts w:ascii="Arial" w:hAnsi="Arial" w:cs="Arial"/>
        </w:rPr>
        <w:t xml:space="preserve">will </w:t>
      </w:r>
      <w:r w:rsidR="00FA3737">
        <w:rPr>
          <w:rFonts w:ascii="Arial" w:hAnsi="Arial" w:cs="Arial"/>
        </w:rPr>
        <w:t xml:space="preserve">initially </w:t>
      </w:r>
      <w:r w:rsidR="00D4272B" w:rsidRPr="006E4489">
        <w:rPr>
          <w:rFonts w:ascii="Arial" w:hAnsi="Arial" w:cs="Arial"/>
        </w:rPr>
        <w:t>own 99% of all of the issued and outstanding shares of BiocannTech and the</w:t>
      </w:r>
      <w:r w:rsidR="00A621E1">
        <w:rPr>
          <w:rFonts w:ascii="Arial" w:hAnsi="Arial" w:cs="Arial"/>
        </w:rPr>
        <w:t xml:space="preserve"> </w:t>
      </w:r>
      <w:r w:rsidR="00D4272B" w:rsidRPr="006E4489">
        <w:rPr>
          <w:rFonts w:ascii="Arial" w:hAnsi="Arial" w:cs="Arial"/>
        </w:rPr>
        <w:t>remaining 1%</w:t>
      </w:r>
      <w:r w:rsidR="00FA3737">
        <w:rPr>
          <w:rFonts w:ascii="Arial" w:hAnsi="Arial" w:cs="Arial"/>
        </w:rPr>
        <w:t xml:space="preserve"> will be transferred to Alliance </w:t>
      </w:r>
      <w:r w:rsidR="00D4272B" w:rsidRPr="006E4489">
        <w:rPr>
          <w:rFonts w:ascii="Arial" w:hAnsi="Arial" w:cs="Arial"/>
        </w:rPr>
        <w:t xml:space="preserve"> for $1 upon </w:t>
      </w:r>
      <w:r w:rsidR="00FA3737">
        <w:rPr>
          <w:rFonts w:ascii="Arial" w:hAnsi="Arial" w:cs="Arial"/>
        </w:rPr>
        <w:t xml:space="preserve">receipt of the </w:t>
      </w:r>
      <w:r w:rsidR="00D4272B" w:rsidRPr="006E4489">
        <w:rPr>
          <w:rFonts w:ascii="Arial" w:hAnsi="Arial" w:cs="Arial"/>
          <w:color w:val="000000" w:themeColor="text1"/>
          <w:spacing w:val="-11"/>
          <w:w w:val="110"/>
        </w:rPr>
        <w:t xml:space="preserve">Health Canada </w:t>
      </w:r>
      <w:r w:rsidR="00FA3737">
        <w:rPr>
          <w:rFonts w:ascii="Arial" w:hAnsi="Arial" w:cs="Arial"/>
          <w:color w:val="000000" w:themeColor="text1"/>
          <w:spacing w:val="-11"/>
          <w:w w:val="110"/>
        </w:rPr>
        <w:t>LP License.</w:t>
      </w:r>
      <w:r w:rsidR="00D4272B" w:rsidRPr="006E4489">
        <w:rPr>
          <w:rFonts w:ascii="Arial" w:hAnsi="Arial" w:cs="Arial"/>
          <w:color w:val="000000" w:themeColor="text1"/>
          <w:w w:val="110"/>
        </w:rPr>
        <w:t>.</w:t>
      </w:r>
    </w:p>
    <w:p w14:paraId="4E6C2A86" w14:textId="77777777" w:rsidR="00944A1B" w:rsidRDefault="00944A1B" w:rsidP="00944A1B">
      <w:pPr>
        <w:pStyle w:val="Default"/>
        <w:ind w:left="1080"/>
        <w:rPr>
          <w:rFonts w:ascii="Arial" w:hAnsi="Arial" w:cs="Arial"/>
          <w:color w:val="000000" w:themeColor="text1"/>
          <w:w w:val="110"/>
        </w:rPr>
      </w:pPr>
    </w:p>
    <w:p w14:paraId="1C79FA14" w14:textId="77777777" w:rsidR="00EA4133" w:rsidRDefault="00EA4133" w:rsidP="00214577">
      <w:pPr>
        <w:pStyle w:val="List"/>
        <w:numPr>
          <w:ilvl w:val="0"/>
          <w:numId w:val="16"/>
        </w:numPr>
        <w:spacing w:before="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0E7B92D5" w14:textId="6F092F83"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A621E1">
        <w:rPr>
          <w:rFonts w:ascii="Arial" w:hAnsi="Arial"/>
          <w:color w:val="000000"/>
        </w:rPr>
        <w:t xml:space="preserve">up to </w:t>
      </w:r>
      <w:r w:rsidR="00C40BEA">
        <w:rPr>
          <w:rFonts w:ascii="Arial" w:hAnsi="Arial"/>
          <w:color w:val="000000"/>
        </w:rPr>
        <w:t>$</w:t>
      </w:r>
      <w:r w:rsidR="009772A2">
        <w:rPr>
          <w:rFonts w:ascii="Arial" w:hAnsi="Arial"/>
          <w:color w:val="000000"/>
        </w:rPr>
        <w:t>3,</w:t>
      </w:r>
      <w:r w:rsidR="00214577">
        <w:rPr>
          <w:rFonts w:ascii="Arial" w:hAnsi="Arial"/>
          <w:color w:val="000000"/>
        </w:rPr>
        <w:t>898,637</w:t>
      </w:r>
      <w:r w:rsidR="00C40BEA">
        <w:rPr>
          <w:rFonts w:ascii="Arial" w:hAnsi="Arial"/>
          <w:color w:val="000000"/>
          <w:u w:val="single"/>
        </w:rPr>
        <w:t>.</w:t>
      </w:r>
      <w:r>
        <w:rPr>
          <w:rFonts w:ascii="Arial" w:hAnsi="Arial"/>
          <w:color w:val="000000"/>
          <w:u w:val="single"/>
        </w:rPr>
        <w:tab/>
      </w:r>
      <w:r>
        <w:rPr>
          <w:rFonts w:ascii="Arial" w:hAnsi="Arial"/>
          <w:color w:val="000000"/>
        </w:rPr>
        <w:t xml:space="preserve"> . </w:t>
      </w:r>
    </w:p>
    <w:p w14:paraId="35BCA662" w14:textId="4BB3E5F4" w:rsidR="00EA4133" w:rsidRDefault="00EA4133" w:rsidP="00B76B31">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Cash: </w:t>
      </w:r>
      <w:r w:rsidR="00C40BEA">
        <w:rPr>
          <w:rFonts w:ascii="Arial" w:hAnsi="Arial"/>
          <w:color w:val="000000"/>
        </w:rPr>
        <w:t>$</w:t>
      </w:r>
      <w:r w:rsidR="009772A2">
        <w:rPr>
          <w:rFonts w:ascii="Arial" w:hAnsi="Arial"/>
          <w:color w:val="000000"/>
        </w:rPr>
        <w:t>7</w:t>
      </w:r>
      <w:r w:rsidR="00B6181A">
        <w:rPr>
          <w:rFonts w:ascii="Arial" w:hAnsi="Arial"/>
          <w:color w:val="000000"/>
        </w:rPr>
        <w:t>38,637</w:t>
      </w:r>
      <w:r w:rsidR="00C40BEA">
        <w:rPr>
          <w:rFonts w:ascii="Arial" w:hAnsi="Arial"/>
          <w:color w:val="000000"/>
        </w:rPr>
        <w:t>, $</w:t>
      </w:r>
      <w:r w:rsidR="00A621E1">
        <w:rPr>
          <w:rFonts w:ascii="Arial" w:hAnsi="Arial"/>
          <w:color w:val="000000"/>
        </w:rPr>
        <w:t>2</w:t>
      </w:r>
      <w:r w:rsidR="00B6181A">
        <w:rPr>
          <w:rFonts w:ascii="Arial" w:hAnsi="Arial"/>
          <w:color w:val="000000"/>
        </w:rPr>
        <w:t>38,637</w:t>
      </w:r>
      <w:r w:rsidR="00C40BEA">
        <w:rPr>
          <w:rFonts w:ascii="Arial" w:hAnsi="Arial"/>
          <w:color w:val="000000"/>
        </w:rPr>
        <w:t xml:space="preserve"> on signing</w:t>
      </w:r>
      <w:r w:rsidR="00A621E1">
        <w:rPr>
          <w:rFonts w:ascii="Arial" w:hAnsi="Arial"/>
          <w:color w:val="000000"/>
        </w:rPr>
        <w:t>,</w:t>
      </w:r>
      <w:r w:rsidR="00C40BEA">
        <w:rPr>
          <w:rFonts w:ascii="Arial" w:hAnsi="Arial"/>
          <w:color w:val="000000"/>
        </w:rPr>
        <w:t xml:space="preserve"> and $</w:t>
      </w:r>
      <w:r w:rsidR="00A621E1">
        <w:rPr>
          <w:rFonts w:ascii="Arial" w:hAnsi="Arial"/>
          <w:color w:val="000000"/>
        </w:rPr>
        <w:t>500</w:t>
      </w:r>
      <w:r w:rsidR="00C40BEA">
        <w:rPr>
          <w:rFonts w:ascii="Arial" w:hAnsi="Arial"/>
          <w:color w:val="000000"/>
        </w:rPr>
        <w:t xml:space="preserve">,000 on </w:t>
      </w:r>
      <w:r w:rsidR="00A621E1" w:rsidRPr="007F18FF">
        <w:rPr>
          <w:rFonts w:ascii="Arial" w:hAnsi="Arial" w:cs="Arial"/>
          <w:szCs w:val="24"/>
        </w:rPr>
        <w:t>City building permits approved stage to start construction</w:t>
      </w:r>
      <w:r>
        <w:rPr>
          <w:rFonts w:ascii="Arial" w:hAnsi="Arial"/>
          <w:color w:val="000000"/>
        </w:rPr>
        <w:t>.</w:t>
      </w:r>
    </w:p>
    <w:p w14:paraId="2147CF80" w14:textId="77777777" w:rsidR="00EA4133" w:rsidRDefault="00EA4133" w:rsidP="00B76B31">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5AF0296E" w14:textId="3B5A433B" w:rsidR="00EA4133" w:rsidRDefault="004B3AAE" w:rsidP="00B76B31">
      <w:pPr>
        <w:pStyle w:val="List"/>
        <w:tabs>
          <w:tab w:val="left" w:pos="1080"/>
          <w:tab w:val="left" w:pos="2160"/>
          <w:tab w:val="left" w:pos="9180"/>
        </w:tabs>
        <w:spacing w:before="0"/>
        <w:ind w:left="2160" w:firstLine="0"/>
        <w:jc w:val="both"/>
        <w:rPr>
          <w:rFonts w:ascii="Arial" w:hAnsi="Arial"/>
          <w:color w:val="000000"/>
        </w:rPr>
      </w:pPr>
      <w:r>
        <w:rPr>
          <w:rFonts w:ascii="Arial" w:hAnsi="Arial"/>
          <w:color w:val="000000"/>
          <w:u w:val="single"/>
        </w:rPr>
        <w:t xml:space="preserve">6,000,000 shares </w:t>
      </w:r>
      <w:r w:rsidR="009772A2">
        <w:rPr>
          <w:rFonts w:ascii="Arial" w:hAnsi="Arial"/>
          <w:color w:val="000000"/>
          <w:u w:val="single"/>
        </w:rPr>
        <w:t xml:space="preserve">in stages </w:t>
      </w:r>
      <w:r>
        <w:rPr>
          <w:rFonts w:ascii="Arial" w:hAnsi="Arial"/>
          <w:color w:val="000000"/>
          <w:u w:val="single"/>
        </w:rPr>
        <w:t>at a deemed price of $.</w:t>
      </w:r>
      <w:r w:rsidR="009772A2">
        <w:rPr>
          <w:rFonts w:ascii="Arial" w:hAnsi="Arial"/>
          <w:color w:val="000000"/>
          <w:u w:val="single"/>
        </w:rPr>
        <w:t>3</w:t>
      </w:r>
      <w:r w:rsidR="00214577">
        <w:rPr>
          <w:rFonts w:ascii="Arial" w:hAnsi="Arial"/>
          <w:color w:val="000000"/>
          <w:u w:val="single"/>
        </w:rPr>
        <w:t>1</w:t>
      </w:r>
      <w:r w:rsidR="009772A2">
        <w:rPr>
          <w:rFonts w:ascii="Arial" w:hAnsi="Arial"/>
          <w:color w:val="000000"/>
          <w:u w:val="single"/>
        </w:rPr>
        <w:t xml:space="preserve"> </w:t>
      </w:r>
      <w:r>
        <w:rPr>
          <w:rFonts w:ascii="Arial" w:hAnsi="Arial"/>
          <w:color w:val="000000"/>
          <w:u w:val="single"/>
        </w:rPr>
        <w:t>for a total of $</w:t>
      </w:r>
      <w:r w:rsidR="009772A2">
        <w:rPr>
          <w:rFonts w:ascii="Arial" w:hAnsi="Arial"/>
          <w:color w:val="000000"/>
          <w:u w:val="single"/>
        </w:rPr>
        <w:t>1,</w:t>
      </w:r>
      <w:r w:rsidR="00214577">
        <w:rPr>
          <w:rFonts w:ascii="Arial" w:hAnsi="Arial"/>
          <w:color w:val="000000"/>
          <w:u w:val="single"/>
        </w:rPr>
        <w:t>86</w:t>
      </w:r>
      <w:r w:rsidR="009772A2">
        <w:rPr>
          <w:rFonts w:ascii="Arial" w:hAnsi="Arial"/>
          <w:color w:val="000000"/>
          <w:u w:val="single"/>
        </w:rPr>
        <w:t>0</w:t>
      </w:r>
      <w:r>
        <w:rPr>
          <w:rFonts w:ascii="Arial" w:hAnsi="Arial"/>
          <w:color w:val="000000"/>
          <w:u w:val="single"/>
        </w:rPr>
        <w:t>,000</w:t>
      </w:r>
      <w:r w:rsidR="005349EE">
        <w:rPr>
          <w:rFonts w:ascii="Arial" w:hAnsi="Arial"/>
          <w:color w:val="000000"/>
          <w:u w:val="single"/>
        </w:rPr>
        <w:t>,</w:t>
      </w:r>
      <w:r>
        <w:rPr>
          <w:rFonts w:ascii="Arial" w:hAnsi="Arial"/>
          <w:color w:val="000000"/>
          <w:u w:val="single"/>
        </w:rPr>
        <w:t>.</w:t>
      </w:r>
      <w:r w:rsidR="00C40BEA">
        <w:rPr>
          <w:rFonts w:ascii="Arial" w:hAnsi="Arial"/>
          <w:color w:val="000000"/>
          <w:u w:val="single"/>
        </w:rPr>
        <w:t xml:space="preserve">  Additionally, </w:t>
      </w:r>
      <w:r w:rsidR="009772A2">
        <w:rPr>
          <w:rFonts w:ascii="Arial" w:hAnsi="Arial"/>
          <w:color w:val="000000"/>
          <w:u w:val="single"/>
        </w:rPr>
        <w:t>$1,30</w:t>
      </w:r>
      <w:r w:rsidR="00C40BEA">
        <w:rPr>
          <w:rFonts w:ascii="Arial" w:hAnsi="Arial"/>
          <w:color w:val="000000"/>
          <w:u w:val="single"/>
        </w:rPr>
        <w:t xml:space="preserve">0,000 </w:t>
      </w:r>
      <w:r w:rsidR="009772A2">
        <w:rPr>
          <w:rFonts w:ascii="Arial" w:hAnsi="Arial"/>
          <w:color w:val="000000"/>
          <w:u w:val="single"/>
        </w:rPr>
        <w:t xml:space="preserve">in common shares to be </w:t>
      </w:r>
      <w:r w:rsidR="009772A2">
        <w:rPr>
          <w:rFonts w:ascii="Arial" w:hAnsi="Arial"/>
          <w:color w:val="000000"/>
          <w:u w:val="single"/>
        </w:rPr>
        <w:lastRenderedPageBreak/>
        <w:t xml:space="preserve">issued in stages at deemed value of the market price at the time of issuance </w:t>
      </w:r>
      <w:r w:rsidR="00EA4133">
        <w:rPr>
          <w:rFonts w:ascii="Arial" w:hAnsi="Arial"/>
          <w:color w:val="000000"/>
        </w:rPr>
        <w:t>.</w:t>
      </w:r>
    </w:p>
    <w:p w14:paraId="4A72493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14:paraId="1D6E835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14:paraId="33B07BD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14:paraId="148BB08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14:paraId="4E0051E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7D531ED3" w14:textId="77777777" w:rsidR="004B3AAE" w:rsidRDefault="004B3AAE" w:rsidP="00B76B31">
      <w:pPr>
        <w:pStyle w:val="List"/>
        <w:tabs>
          <w:tab w:val="left" w:pos="9180"/>
        </w:tabs>
        <w:ind w:firstLine="0"/>
        <w:jc w:val="both"/>
        <w:rPr>
          <w:rFonts w:ascii="Arial" w:hAnsi="Arial"/>
          <w:color w:val="000000"/>
        </w:rPr>
      </w:pPr>
      <w:r>
        <w:rPr>
          <w:rFonts w:ascii="Arial" w:hAnsi="Arial"/>
          <w:color w:val="000000"/>
        </w:rPr>
        <w:t>Arms length negotiations.</w:t>
      </w:r>
    </w:p>
    <w:p w14:paraId="78D273EB" w14:textId="1480893F"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214577">
        <w:rPr>
          <w:rFonts w:ascii="Arial" w:hAnsi="Arial"/>
          <w:color w:val="000000"/>
          <w:u w:val="single"/>
        </w:rPr>
        <w:t>N/A</w:t>
      </w:r>
      <w:r>
        <w:rPr>
          <w:rFonts w:ascii="Arial" w:hAnsi="Arial"/>
          <w:color w:val="000000"/>
          <w:u w:val="single"/>
        </w:rPr>
        <w:tab/>
      </w:r>
    </w:p>
    <w:p w14:paraId="3CB5F48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2B72F07B"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5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85"/>
        <w:gridCol w:w="1260"/>
        <w:gridCol w:w="1080"/>
        <w:gridCol w:w="1350"/>
        <w:gridCol w:w="1350"/>
        <w:gridCol w:w="1631"/>
        <w:gridCol w:w="1100"/>
      </w:tblGrid>
      <w:tr w:rsidR="00EA2C9C" w14:paraId="7761F205" w14:textId="77777777" w:rsidTr="00504A18">
        <w:trPr>
          <w:trHeight w:val="1965"/>
        </w:trPr>
        <w:tc>
          <w:tcPr>
            <w:tcW w:w="1785" w:type="dxa"/>
          </w:tcPr>
          <w:p w14:paraId="738067D0" w14:textId="77777777" w:rsidR="00EA2C9C" w:rsidRDefault="00EA2C9C" w:rsidP="00504A18">
            <w:pPr>
              <w:pStyle w:val="BodyText"/>
              <w:spacing w:before="0" w:line="280" w:lineRule="exact"/>
              <w:jc w:val="center"/>
              <w:rPr>
                <w:rFonts w:ascii="Arial" w:hAnsi="Arial"/>
                <w:b/>
                <w:sz w:val="20"/>
                <w:lang w:val="en-CA"/>
              </w:rPr>
            </w:pPr>
          </w:p>
          <w:p w14:paraId="201B7B32"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260" w:type="dxa"/>
          </w:tcPr>
          <w:p w14:paraId="5951DE8A" w14:textId="77777777" w:rsidR="00EA2C9C" w:rsidRDefault="00EA2C9C" w:rsidP="00504A18">
            <w:pPr>
              <w:pStyle w:val="BodyText"/>
              <w:spacing w:before="0" w:line="280" w:lineRule="exact"/>
              <w:jc w:val="center"/>
              <w:rPr>
                <w:rFonts w:ascii="Arial" w:hAnsi="Arial"/>
                <w:b/>
                <w:sz w:val="20"/>
                <w:lang w:val="en-CA"/>
              </w:rPr>
            </w:pPr>
          </w:p>
          <w:p w14:paraId="34D348DF"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080" w:type="dxa"/>
          </w:tcPr>
          <w:p w14:paraId="289F6CB4" w14:textId="77777777" w:rsidR="00EA2C9C" w:rsidRDefault="00EA2C9C" w:rsidP="00504A18">
            <w:pPr>
              <w:pStyle w:val="BodyText"/>
              <w:spacing w:before="0" w:line="280" w:lineRule="exact"/>
              <w:jc w:val="center"/>
              <w:rPr>
                <w:rFonts w:ascii="Arial" w:hAnsi="Arial"/>
                <w:b/>
                <w:sz w:val="20"/>
                <w:lang w:val="en-CA"/>
              </w:rPr>
            </w:pPr>
          </w:p>
          <w:p w14:paraId="0719F921"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0A772243" w14:textId="77777777" w:rsidR="00EA2C9C" w:rsidRDefault="00EA2C9C" w:rsidP="00504A18">
            <w:pPr>
              <w:pStyle w:val="BodyText"/>
              <w:spacing w:before="0" w:line="280" w:lineRule="exact"/>
              <w:jc w:val="center"/>
              <w:rPr>
                <w:rFonts w:ascii="Arial" w:hAnsi="Arial"/>
                <w:b/>
                <w:sz w:val="20"/>
                <w:lang w:val="en-CA"/>
              </w:rPr>
            </w:pPr>
          </w:p>
          <w:p w14:paraId="176A0B75"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lang w:val="en-CA"/>
              </w:rPr>
              <w:t>Conversion</w:t>
            </w:r>
          </w:p>
          <w:p w14:paraId="5A4633EF"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lang w:val="en-CA"/>
              </w:rPr>
              <w:t>Price (if</w:t>
            </w:r>
          </w:p>
          <w:p w14:paraId="52434D03"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lang w:val="en-CA"/>
              </w:rPr>
              <w:t>Applicable)</w:t>
            </w:r>
          </w:p>
        </w:tc>
        <w:tc>
          <w:tcPr>
            <w:tcW w:w="1350" w:type="dxa"/>
          </w:tcPr>
          <w:p w14:paraId="7AEE4939" w14:textId="77777777" w:rsidR="00EA2C9C" w:rsidRDefault="00EA2C9C" w:rsidP="00504A18">
            <w:pPr>
              <w:pStyle w:val="BodyText"/>
              <w:spacing w:before="0" w:line="280" w:lineRule="exact"/>
              <w:jc w:val="center"/>
              <w:rPr>
                <w:rFonts w:ascii="Arial" w:hAnsi="Arial"/>
                <w:b/>
                <w:sz w:val="20"/>
                <w:lang w:val="en-CA"/>
              </w:rPr>
            </w:pPr>
          </w:p>
          <w:p w14:paraId="227C0772"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31" w:type="dxa"/>
          </w:tcPr>
          <w:p w14:paraId="0B365E15" w14:textId="77777777" w:rsidR="00EA2C9C" w:rsidRDefault="00EA2C9C" w:rsidP="00504A18">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14:paraId="3FC411E9" w14:textId="77777777" w:rsidR="00EA2C9C" w:rsidRDefault="00EA2C9C" w:rsidP="00504A18">
            <w:pPr>
              <w:pStyle w:val="BodyText"/>
              <w:spacing w:before="0" w:line="280" w:lineRule="exact"/>
              <w:jc w:val="center"/>
              <w:rPr>
                <w:rFonts w:ascii="Arial" w:hAnsi="Arial"/>
                <w:b/>
                <w:color w:val="000000"/>
                <w:sz w:val="20"/>
                <w:lang w:val="en-CA"/>
              </w:rPr>
            </w:pPr>
          </w:p>
          <w:p w14:paraId="5FF00005" w14:textId="77777777" w:rsidR="00EA2C9C" w:rsidRDefault="00EA2C9C" w:rsidP="00504A18">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w:t>
            </w:r>
          </w:p>
          <w:p w14:paraId="153D9AA2" w14:textId="77777777" w:rsidR="00EA2C9C" w:rsidRDefault="00EA2C9C" w:rsidP="00504A18">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ship to Issuer </w:t>
            </w:r>
            <w:r>
              <w:rPr>
                <w:rFonts w:ascii="Arial" w:hAnsi="Arial"/>
                <w:b/>
                <w:color w:val="000000"/>
                <w:sz w:val="16"/>
                <w:lang w:val="en-CA"/>
              </w:rPr>
              <w:t>(1)</w:t>
            </w:r>
          </w:p>
        </w:tc>
      </w:tr>
      <w:tr w:rsidR="00EA2C9C" w:rsidRPr="00275AA2" w14:paraId="733CA7AB" w14:textId="77777777" w:rsidTr="00504A18">
        <w:trPr>
          <w:trHeight w:val="864"/>
        </w:trPr>
        <w:tc>
          <w:tcPr>
            <w:tcW w:w="1785" w:type="dxa"/>
            <w:vAlign w:val="center"/>
          </w:tcPr>
          <w:p w14:paraId="038E9A5D" w14:textId="77777777" w:rsidR="00EA2C9C" w:rsidRDefault="00EA2C9C" w:rsidP="00504A18">
            <w:pPr>
              <w:tabs>
                <w:tab w:val="left" w:pos="-5760"/>
                <w:tab w:val="right" w:pos="8784"/>
              </w:tabs>
              <w:rPr>
                <w:rFonts w:ascii="Arial" w:hAnsi="Arial"/>
                <w:b/>
                <w:lang w:val="en-CA"/>
              </w:rPr>
            </w:pPr>
            <w:r>
              <w:rPr>
                <w:rFonts w:ascii="Arial" w:hAnsi="Arial"/>
                <w:b/>
                <w:lang w:val="en-CA"/>
              </w:rPr>
              <w:t>Erick Factor</w:t>
            </w:r>
          </w:p>
          <w:p w14:paraId="10C48EAC" w14:textId="77777777" w:rsidR="00EA2C9C" w:rsidRPr="00017CDA" w:rsidRDefault="00EA2C9C" w:rsidP="00504A18">
            <w:pPr>
              <w:tabs>
                <w:tab w:val="left" w:pos="-5760"/>
                <w:tab w:val="right" w:pos="8784"/>
              </w:tabs>
              <w:rPr>
                <w:rFonts w:ascii="Tahoma" w:hAnsi="Tahoma" w:cs="Tahoma"/>
                <w:b/>
              </w:rPr>
            </w:pPr>
            <w:r w:rsidRPr="00504A18">
              <w:t>c/o #704 595 Howe Street, Vancouver BC V6C 2T5</w:t>
            </w:r>
          </w:p>
        </w:tc>
        <w:tc>
          <w:tcPr>
            <w:tcW w:w="1260" w:type="dxa"/>
            <w:vAlign w:val="center"/>
          </w:tcPr>
          <w:p w14:paraId="5FA20864" w14:textId="77777777" w:rsidR="00EA2C9C" w:rsidRPr="003236D4" w:rsidRDefault="00EA2C9C" w:rsidP="00504A18">
            <w:pPr>
              <w:jc w:val="center"/>
              <w:rPr>
                <w:rFonts w:ascii="Tahoma" w:hAnsi="Tahoma" w:cs="Tahoma"/>
                <w:b/>
              </w:rPr>
            </w:pPr>
            <w:r>
              <w:rPr>
                <w:rFonts w:ascii="Tahoma" w:hAnsi="Tahoma" w:cs="Tahoma"/>
                <w:b/>
              </w:rPr>
              <w:t xml:space="preserve">1,000,000 </w:t>
            </w:r>
          </w:p>
        </w:tc>
        <w:tc>
          <w:tcPr>
            <w:tcW w:w="1080" w:type="dxa"/>
            <w:vAlign w:val="center"/>
          </w:tcPr>
          <w:p w14:paraId="6628CF19" w14:textId="6D358E52" w:rsidR="00EA2C9C" w:rsidRPr="00887614" w:rsidRDefault="00EA2C9C" w:rsidP="00504A18">
            <w:pPr>
              <w:pStyle w:val="BodyText"/>
              <w:spacing w:before="0" w:line="280" w:lineRule="exact"/>
              <w:jc w:val="center"/>
              <w:rPr>
                <w:rFonts w:ascii="Arial" w:hAnsi="Arial"/>
                <w:b/>
                <w:sz w:val="20"/>
                <w:lang w:val="en-CA"/>
              </w:rPr>
            </w:pPr>
            <w:r w:rsidRPr="00887614">
              <w:rPr>
                <w:rFonts w:ascii="Arial" w:hAnsi="Arial"/>
                <w:b/>
                <w:sz w:val="20"/>
                <w:lang w:val="en-CA"/>
              </w:rPr>
              <w:t>$0.</w:t>
            </w:r>
            <w:r w:rsidR="00822026">
              <w:rPr>
                <w:rFonts w:ascii="Arial" w:hAnsi="Arial"/>
                <w:b/>
                <w:sz w:val="20"/>
                <w:lang w:val="en-CA"/>
              </w:rPr>
              <w:t>31</w:t>
            </w:r>
          </w:p>
        </w:tc>
        <w:tc>
          <w:tcPr>
            <w:tcW w:w="1350" w:type="dxa"/>
            <w:vAlign w:val="center"/>
          </w:tcPr>
          <w:p w14:paraId="469DEC11" w14:textId="77777777" w:rsidR="00EA2C9C" w:rsidRPr="00887614" w:rsidRDefault="00EA2C9C" w:rsidP="00504A18">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350" w:type="dxa"/>
            <w:vAlign w:val="center"/>
          </w:tcPr>
          <w:p w14:paraId="337616ED" w14:textId="77777777" w:rsidR="00EA2C9C" w:rsidRPr="00504A18" w:rsidRDefault="00EA2C9C" w:rsidP="00504A18">
            <w:pPr>
              <w:jc w:val="center"/>
            </w:pPr>
            <w:r w:rsidRPr="00504A18">
              <w:rPr>
                <w:rFonts w:ascii="Arial" w:hAnsi="Arial" w:cs="Arial"/>
                <w:iCs/>
              </w:rPr>
              <w:t xml:space="preserve">NI </w:t>
            </w:r>
            <w:r>
              <w:rPr>
                <w:rFonts w:ascii="Arial" w:hAnsi="Arial" w:cs="Arial"/>
                <w:iCs/>
              </w:rPr>
              <w:t>45-106 Section 2.12</w:t>
            </w:r>
          </w:p>
        </w:tc>
        <w:tc>
          <w:tcPr>
            <w:tcW w:w="1631" w:type="dxa"/>
            <w:vAlign w:val="center"/>
          </w:tcPr>
          <w:p w14:paraId="545A5844" w14:textId="77777777" w:rsidR="00EA2C9C" w:rsidRPr="003236D4" w:rsidRDefault="00EA2C9C" w:rsidP="00504A18">
            <w:pPr>
              <w:jc w:val="center"/>
              <w:rPr>
                <w:rFonts w:ascii="Tahoma" w:hAnsi="Tahoma" w:cs="Tahoma"/>
                <w:b/>
              </w:rPr>
            </w:pPr>
            <w:r>
              <w:rPr>
                <w:rFonts w:ascii="Tahoma" w:hAnsi="Tahoma" w:cs="Tahoma"/>
                <w:b/>
              </w:rPr>
              <w:t xml:space="preserve">Nil </w:t>
            </w:r>
          </w:p>
        </w:tc>
        <w:tc>
          <w:tcPr>
            <w:tcW w:w="1100" w:type="dxa"/>
            <w:vAlign w:val="center"/>
          </w:tcPr>
          <w:p w14:paraId="28F8FE33" w14:textId="77777777" w:rsidR="00EA2C9C" w:rsidRPr="00275AA2" w:rsidRDefault="00EA2C9C" w:rsidP="00504A18">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Arms length </w:t>
            </w:r>
          </w:p>
        </w:tc>
      </w:tr>
      <w:tr w:rsidR="00EA2C9C" w:rsidRPr="00275AA2" w14:paraId="4C398992" w14:textId="77777777" w:rsidTr="00504A18">
        <w:trPr>
          <w:trHeight w:val="864"/>
        </w:trPr>
        <w:tc>
          <w:tcPr>
            <w:tcW w:w="1785" w:type="dxa"/>
            <w:vAlign w:val="center"/>
          </w:tcPr>
          <w:p w14:paraId="78F92D59" w14:textId="77777777" w:rsidR="00EA2C9C" w:rsidRDefault="00EA2C9C" w:rsidP="00504A18">
            <w:pPr>
              <w:tabs>
                <w:tab w:val="left" w:pos="-5760"/>
                <w:tab w:val="right" w:pos="8784"/>
              </w:tabs>
              <w:rPr>
                <w:rFonts w:ascii="Arial" w:hAnsi="Arial"/>
                <w:b/>
                <w:lang w:val="en-CA"/>
              </w:rPr>
            </w:pPr>
            <w:r>
              <w:rPr>
                <w:rFonts w:ascii="Arial" w:hAnsi="Arial"/>
                <w:b/>
                <w:lang w:val="en-CA"/>
              </w:rPr>
              <w:t>1134778 BC Ltd.</w:t>
            </w:r>
          </w:p>
          <w:p w14:paraId="0A4DB4A2" w14:textId="77777777" w:rsidR="00EA2C9C" w:rsidRPr="00017CDA" w:rsidRDefault="00EA2C9C" w:rsidP="00504A18">
            <w:pPr>
              <w:tabs>
                <w:tab w:val="left" w:pos="-5760"/>
                <w:tab w:val="right" w:pos="8784"/>
              </w:tabs>
              <w:rPr>
                <w:rFonts w:ascii="Tahoma" w:hAnsi="Tahoma" w:cs="Tahoma"/>
                <w:b/>
              </w:rPr>
            </w:pPr>
            <w:r w:rsidRPr="00504A18">
              <w:t>#704 595 Howe Street, Vancouver BC V6C 2T5</w:t>
            </w:r>
          </w:p>
        </w:tc>
        <w:tc>
          <w:tcPr>
            <w:tcW w:w="1260" w:type="dxa"/>
            <w:vAlign w:val="center"/>
          </w:tcPr>
          <w:p w14:paraId="621763B8" w14:textId="77777777" w:rsidR="00EA2C9C" w:rsidRPr="003236D4" w:rsidRDefault="00EA2C9C" w:rsidP="00504A18">
            <w:pPr>
              <w:jc w:val="center"/>
              <w:rPr>
                <w:rFonts w:ascii="Tahoma" w:hAnsi="Tahoma" w:cs="Tahoma"/>
                <w:b/>
              </w:rPr>
            </w:pPr>
            <w:r>
              <w:rPr>
                <w:rFonts w:ascii="Tahoma" w:hAnsi="Tahoma" w:cs="Tahoma"/>
                <w:b/>
              </w:rPr>
              <w:t xml:space="preserve">5,000,000 </w:t>
            </w:r>
          </w:p>
        </w:tc>
        <w:tc>
          <w:tcPr>
            <w:tcW w:w="1080" w:type="dxa"/>
            <w:vAlign w:val="center"/>
          </w:tcPr>
          <w:p w14:paraId="365984E0" w14:textId="3AA1BE93" w:rsidR="00EA2C9C" w:rsidRPr="00887614" w:rsidRDefault="00EA2C9C" w:rsidP="00504A18">
            <w:pPr>
              <w:pStyle w:val="BodyText"/>
              <w:spacing w:before="0" w:line="280" w:lineRule="exact"/>
              <w:jc w:val="center"/>
              <w:rPr>
                <w:rFonts w:ascii="Arial" w:hAnsi="Arial"/>
                <w:b/>
                <w:sz w:val="20"/>
                <w:lang w:val="en-CA"/>
              </w:rPr>
            </w:pPr>
            <w:r w:rsidRPr="00887614">
              <w:rPr>
                <w:rFonts w:ascii="Arial" w:hAnsi="Arial"/>
                <w:b/>
                <w:sz w:val="20"/>
                <w:lang w:val="en-CA"/>
              </w:rPr>
              <w:t>$0.</w:t>
            </w:r>
            <w:r w:rsidR="00822026">
              <w:rPr>
                <w:rFonts w:ascii="Arial" w:hAnsi="Arial"/>
                <w:b/>
                <w:sz w:val="20"/>
                <w:lang w:val="en-CA"/>
              </w:rPr>
              <w:t>31</w:t>
            </w:r>
          </w:p>
        </w:tc>
        <w:tc>
          <w:tcPr>
            <w:tcW w:w="1350" w:type="dxa"/>
            <w:vAlign w:val="center"/>
          </w:tcPr>
          <w:p w14:paraId="234B68F5" w14:textId="77777777" w:rsidR="00EA2C9C" w:rsidRPr="00887614" w:rsidRDefault="00EA2C9C" w:rsidP="00504A18">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350" w:type="dxa"/>
            <w:vAlign w:val="center"/>
          </w:tcPr>
          <w:p w14:paraId="1F0641D8" w14:textId="77777777" w:rsidR="00EA2C9C" w:rsidRPr="00504A18" w:rsidRDefault="00EA2C9C" w:rsidP="00504A18">
            <w:pPr>
              <w:jc w:val="center"/>
            </w:pPr>
            <w:r w:rsidRPr="00504A18">
              <w:rPr>
                <w:rFonts w:ascii="Arial" w:hAnsi="Arial" w:cs="Arial"/>
                <w:iCs/>
              </w:rPr>
              <w:t xml:space="preserve">NI </w:t>
            </w:r>
            <w:r>
              <w:rPr>
                <w:rFonts w:ascii="Arial" w:hAnsi="Arial" w:cs="Arial"/>
                <w:iCs/>
              </w:rPr>
              <w:t>45-106 Section 2.12</w:t>
            </w:r>
          </w:p>
        </w:tc>
        <w:tc>
          <w:tcPr>
            <w:tcW w:w="1631" w:type="dxa"/>
            <w:vAlign w:val="center"/>
          </w:tcPr>
          <w:p w14:paraId="4E18AFD8" w14:textId="77777777" w:rsidR="00EA2C9C" w:rsidRPr="003236D4" w:rsidRDefault="00EA2C9C" w:rsidP="00504A18">
            <w:pPr>
              <w:jc w:val="center"/>
              <w:rPr>
                <w:rFonts w:ascii="Tahoma" w:hAnsi="Tahoma" w:cs="Tahoma"/>
                <w:b/>
              </w:rPr>
            </w:pPr>
            <w:r>
              <w:rPr>
                <w:rFonts w:ascii="Tahoma" w:hAnsi="Tahoma" w:cs="Tahoma"/>
                <w:b/>
              </w:rPr>
              <w:t xml:space="preserve"> Nil</w:t>
            </w:r>
          </w:p>
        </w:tc>
        <w:tc>
          <w:tcPr>
            <w:tcW w:w="1100" w:type="dxa"/>
            <w:vAlign w:val="center"/>
          </w:tcPr>
          <w:p w14:paraId="241ECA09" w14:textId="77777777" w:rsidR="00EA2C9C" w:rsidRPr="00275AA2" w:rsidRDefault="00EA2C9C" w:rsidP="00504A18">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Arms length </w:t>
            </w:r>
          </w:p>
        </w:tc>
      </w:tr>
      <w:tr w:rsidR="00EA2C9C" w:rsidRPr="00275AA2" w14:paraId="40877C60" w14:textId="77777777" w:rsidTr="00504A18">
        <w:trPr>
          <w:trHeight w:val="864"/>
        </w:trPr>
        <w:tc>
          <w:tcPr>
            <w:tcW w:w="1785" w:type="dxa"/>
            <w:vAlign w:val="center"/>
          </w:tcPr>
          <w:p w14:paraId="565F78C2" w14:textId="77777777" w:rsidR="00EA2C9C" w:rsidRDefault="00EA2C9C" w:rsidP="00504A18">
            <w:pPr>
              <w:tabs>
                <w:tab w:val="left" w:pos="-5760"/>
                <w:tab w:val="right" w:pos="8784"/>
              </w:tabs>
              <w:rPr>
                <w:rFonts w:ascii="Arial" w:hAnsi="Arial"/>
                <w:b/>
                <w:lang w:val="en-CA"/>
              </w:rPr>
            </w:pPr>
            <w:r>
              <w:rPr>
                <w:rFonts w:ascii="Arial" w:hAnsi="Arial"/>
                <w:b/>
                <w:lang w:val="en-CA"/>
              </w:rPr>
              <w:t>Canna Technology Inc.</w:t>
            </w:r>
          </w:p>
          <w:p w14:paraId="27A898B3" w14:textId="77777777" w:rsidR="00EA2C9C" w:rsidRPr="00944A1B" w:rsidRDefault="00EA2C9C" w:rsidP="00504A18">
            <w:pPr>
              <w:tabs>
                <w:tab w:val="left" w:pos="-5760"/>
                <w:tab w:val="right" w:pos="8784"/>
              </w:tabs>
            </w:pPr>
            <w:r w:rsidRPr="00944A1B">
              <w:t xml:space="preserve">5111 avenue de Mayfair, Montreal, Quebec, H4V 2E8 </w:t>
            </w:r>
          </w:p>
          <w:p w14:paraId="09F6C5ED" w14:textId="77777777" w:rsidR="00EA2C9C" w:rsidRPr="003236D4" w:rsidRDefault="00EA2C9C" w:rsidP="00504A18">
            <w:pPr>
              <w:tabs>
                <w:tab w:val="left" w:pos="-5760"/>
                <w:tab w:val="right" w:pos="8784"/>
              </w:tabs>
              <w:rPr>
                <w:rFonts w:ascii="Tahoma" w:hAnsi="Tahoma" w:cs="Tahoma"/>
                <w:b/>
              </w:rPr>
            </w:pPr>
          </w:p>
        </w:tc>
        <w:tc>
          <w:tcPr>
            <w:tcW w:w="1260" w:type="dxa"/>
            <w:vAlign w:val="center"/>
          </w:tcPr>
          <w:p w14:paraId="5B13BFBB" w14:textId="77777777" w:rsidR="00EA2C9C" w:rsidRPr="003236D4" w:rsidRDefault="00EA2C9C" w:rsidP="00504A18">
            <w:pPr>
              <w:jc w:val="center"/>
              <w:rPr>
                <w:rFonts w:ascii="Tahoma" w:hAnsi="Tahoma" w:cs="Tahoma"/>
                <w:b/>
              </w:rPr>
            </w:pPr>
            <w:r>
              <w:rPr>
                <w:rFonts w:ascii="Tahoma" w:hAnsi="Tahoma" w:cs="Tahoma"/>
                <w:b/>
              </w:rPr>
              <w:t xml:space="preserve">Estimated 4,062,500 </w:t>
            </w:r>
          </w:p>
        </w:tc>
        <w:tc>
          <w:tcPr>
            <w:tcW w:w="1080" w:type="dxa"/>
            <w:vAlign w:val="center"/>
          </w:tcPr>
          <w:p w14:paraId="1FAF5056" w14:textId="6A18DEB3" w:rsidR="00EA2C9C" w:rsidRPr="00887614" w:rsidRDefault="00EA2C9C" w:rsidP="00504A18">
            <w:pPr>
              <w:pStyle w:val="BodyText"/>
              <w:spacing w:before="0" w:line="280" w:lineRule="exact"/>
              <w:jc w:val="center"/>
              <w:rPr>
                <w:rFonts w:ascii="Arial" w:hAnsi="Arial"/>
                <w:b/>
                <w:sz w:val="20"/>
                <w:lang w:val="en-CA"/>
              </w:rPr>
            </w:pPr>
            <w:r w:rsidRPr="00887614">
              <w:rPr>
                <w:rFonts w:ascii="Arial" w:hAnsi="Arial"/>
                <w:b/>
                <w:sz w:val="20"/>
                <w:lang w:val="en-CA"/>
              </w:rPr>
              <w:t>$0.</w:t>
            </w:r>
            <w:r w:rsidR="00822026">
              <w:rPr>
                <w:rFonts w:ascii="Arial" w:hAnsi="Arial"/>
                <w:b/>
                <w:sz w:val="20"/>
                <w:lang w:val="en-CA"/>
              </w:rPr>
              <w:t>31</w:t>
            </w:r>
          </w:p>
        </w:tc>
        <w:tc>
          <w:tcPr>
            <w:tcW w:w="1350" w:type="dxa"/>
            <w:vAlign w:val="center"/>
          </w:tcPr>
          <w:p w14:paraId="23A9C032" w14:textId="77777777" w:rsidR="00EA2C9C" w:rsidRPr="00887614" w:rsidRDefault="00EA2C9C" w:rsidP="00504A18">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350" w:type="dxa"/>
            <w:vAlign w:val="center"/>
          </w:tcPr>
          <w:p w14:paraId="423F068C" w14:textId="77777777" w:rsidR="00EA2C9C" w:rsidRPr="00504A18" w:rsidRDefault="00EA2C9C" w:rsidP="00504A18">
            <w:pPr>
              <w:jc w:val="center"/>
            </w:pPr>
            <w:r w:rsidRPr="00504A18">
              <w:rPr>
                <w:rFonts w:ascii="Arial" w:hAnsi="Arial" w:cs="Arial"/>
                <w:iCs/>
              </w:rPr>
              <w:t xml:space="preserve">NI </w:t>
            </w:r>
            <w:r>
              <w:rPr>
                <w:rFonts w:ascii="Arial" w:hAnsi="Arial" w:cs="Arial"/>
                <w:iCs/>
              </w:rPr>
              <w:t>45-106 Section 2.12</w:t>
            </w:r>
          </w:p>
        </w:tc>
        <w:tc>
          <w:tcPr>
            <w:tcW w:w="1631" w:type="dxa"/>
            <w:vAlign w:val="center"/>
          </w:tcPr>
          <w:p w14:paraId="06EAEE2C" w14:textId="77777777" w:rsidR="00EA2C9C" w:rsidRPr="003236D4" w:rsidRDefault="00EA2C9C" w:rsidP="00504A18">
            <w:pPr>
              <w:jc w:val="center"/>
              <w:rPr>
                <w:rFonts w:ascii="Tahoma" w:hAnsi="Tahoma" w:cs="Tahoma"/>
                <w:b/>
              </w:rPr>
            </w:pPr>
            <w:r>
              <w:rPr>
                <w:rFonts w:ascii="Tahoma" w:hAnsi="Tahoma" w:cs="Tahoma"/>
                <w:b/>
              </w:rPr>
              <w:t xml:space="preserve">Nil </w:t>
            </w:r>
          </w:p>
        </w:tc>
        <w:tc>
          <w:tcPr>
            <w:tcW w:w="1100" w:type="dxa"/>
            <w:vAlign w:val="center"/>
          </w:tcPr>
          <w:p w14:paraId="7DBFC222" w14:textId="77777777" w:rsidR="00EA2C9C" w:rsidRPr="00275AA2" w:rsidRDefault="00EA2C9C" w:rsidP="00504A18">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Arms length </w:t>
            </w:r>
          </w:p>
        </w:tc>
      </w:tr>
    </w:tbl>
    <w:p w14:paraId="28BB499D" w14:textId="77777777" w:rsidR="00EA4133" w:rsidRPr="00944A1B" w:rsidRDefault="00944A1B" w:rsidP="009A1955">
      <w:pPr>
        <w:pStyle w:val="BodyText"/>
        <w:numPr>
          <w:ilvl w:val="0"/>
          <w:numId w:val="17"/>
        </w:numPr>
        <w:tabs>
          <w:tab w:val="clear" w:pos="720"/>
          <w:tab w:val="num" w:pos="450"/>
        </w:tabs>
        <w:ind w:left="360" w:hanging="180"/>
        <w:rPr>
          <w:rFonts w:ascii="Arial" w:hAnsi="Arial"/>
          <w:sz w:val="20"/>
        </w:rPr>
      </w:pPr>
      <w:r w:rsidRPr="00944A1B">
        <w:rPr>
          <w:rFonts w:ascii="Arial" w:hAnsi="Arial"/>
          <w:sz w:val="20"/>
        </w:rPr>
        <w:t xml:space="preserve"> </w:t>
      </w:r>
      <w:r w:rsidR="00EA4133" w:rsidRPr="00944A1B">
        <w:rPr>
          <w:rFonts w:ascii="Arial" w:hAnsi="Arial"/>
          <w:sz w:val="20"/>
        </w:rPr>
        <w:t>Indicate if Related Person</w:t>
      </w:r>
    </w:p>
    <w:p w14:paraId="3403E49A"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sidR="003E74D2">
        <w:rPr>
          <w:rFonts w:ascii="Arial" w:hAnsi="Arial"/>
          <w:color w:val="000000"/>
        </w:rPr>
        <w:t xml:space="preserve"> Corporate Search</w:t>
      </w:r>
      <w:r>
        <w:rPr>
          <w:rFonts w:ascii="Arial" w:hAnsi="Arial"/>
          <w:color w:val="000000"/>
          <w:u w:val="single"/>
        </w:rPr>
        <w:tab/>
      </w:r>
    </w:p>
    <w:p w14:paraId="1465B64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rPr>
        <w:t xml:space="preserve"> . </w:t>
      </w:r>
    </w:p>
    <w:p w14:paraId="1D0D619C"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5666588" w14:textId="77777777" w:rsidR="00EA4133" w:rsidRDefault="00EA4133" w:rsidP="004B3AAE">
      <w:pPr>
        <w:pStyle w:val="List"/>
        <w:tabs>
          <w:tab w:val="left" w:pos="2160"/>
          <w:tab w:val="left" w:pos="9180"/>
        </w:tabs>
        <w:ind w:left="2160"/>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p>
    <w:p w14:paraId="6451CD4C"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r>
        <w:rPr>
          <w:rFonts w:ascii="Arial" w:hAnsi="Arial"/>
          <w:u w:val="single"/>
        </w:rPr>
        <w:tab/>
      </w:r>
      <w:r>
        <w:rPr>
          <w:rFonts w:ascii="Arial" w:hAnsi="Arial"/>
        </w:rPr>
        <w:t xml:space="preserve"> .</w:t>
      </w:r>
    </w:p>
    <w:p w14:paraId="313DD3F9"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BF9B87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627AD17"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5B2813BC" w14:textId="77777777"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2B89FEF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B3AAE">
        <w:rPr>
          <w:rFonts w:ascii="Arial" w:hAnsi="Arial"/>
          <w:color w:val="000000"/>
        </w:rPr>
        <w:t>Arms-length</w:t>
      </w:r>
      <w:r>
        <w:rPr>
          <w:rFonts w:ascii="Arial" w:hAnsi="Arial"/>
          <w:color w:val="000000"/>
          <w:u w:val="single"/>
        </w:rPr>
        <w:tab/>
      </w:r>
      <w:r>
        <w:rPr>
          <w:rFonts w:ascii="Arial" w:hAnsi="Arial"/>
          <w:color w:val="000000"/>
          <w:u w:val="single"/>
        </w:rPr>
        <w:tab/>
      </w:r>
      <w:r>
        <w:rPr>
          <w:rFonts w:ascii="Arial" w:hAnsi="Arial"/>
          <w:color w:val="000000"/>
          <w:u w:val="single"/>
        </w:rPr>
        <w:tab/>
      </w:r>
    </w:p>
    <w:p w14:paraId="68074A9B"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4B3AAE">
        <w:rPr>
          <w:rFonts w:ascii="Arial" w:hAnsi="Arial"/>
          <w:color w:val="000000"/>
        </w:rPr>
        <w:t>n/a</w:t>
      </w:r>
      <w:r>
        <w:rPr>
          <w:rFonts w:ascii="Arial" w:hAnsi="Arial"/>
          <w:color w:val="000000"/>
        </w:rPr>
        <w:t xml:space="preserve"> </w:t>
      </w:r>
      <w:r>
        <w:rPr>
          <w:rFonts w:ascii="Arial" w:hAnsi="Arial"/>
          <w:color w:val="000000"/>
          <w:u w:val="single"/>
        </w:rPr>
        <w:tab/>
      </w:r>
    </w:p>
    <w:p w14:paraId="7AC60654"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9EDC58B"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51C0373E" w14:textId="77777777" w:rsidR="00EA4133" w:rsidRDefault="00EA4133">
      <w:pPr>
        <w:pStyle w:val="BodyText"/>
        <w:rPr>
          <w:rFonts w:ascii="Arial" w:hAnsi="Arial"/>
        </w:rPr>
      </w:pPr>
      <w:r>
        <w:rPr>
          <w:rFonts w:ascii="Arial" w:hAnsi="Arial"/>
        </w:rPr>
        <w:t>The undersigned hereby certifies that:</w:t>
      </w:r>
    </w:p>
    <w:p w14:paraId="561425E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DFE1934"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819D261"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1A8C20F"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22985CE" w14:textId="77777777" w:rsidR="00EA4133" w:rsidRDefault="00EA4133">
      <w:pPr>
        <w:pStyle w:val="BodyText"/>
        <w:tabs>
          <w:tab w:val="left" w:pos="4680"/>
          <w:tab w:val="left" w:pos="7200"/>
        </w:tabs>
        <w:spacing w:before="480"/>
        <w:jc w:val="both"/>
        <w:rPr>
          <w:rFonts w:ascii="Arial" w:hAnsi="Arial"/>
        </w:rPr>
      </w:pPr>
      <w:r>
        <w:rPr>
          <w:rFonts w:ascii="Arial" w:hAnsi="Arial"/>
        </w:rPr>
        <w:lastRenderedPageBreak/>
        <w:t xml:space="preserve">Dated </w:t>
      </w:r>
      <w:r w:rsidR="001C6898">
        <w:rPr>
          <w:rFonts w:ascii="Arial" w:hAnsi="Arial"/>
          <w:u w:val="single"/>
        </w:rPr>
        <w:t xml:space="preserve">April </w:t>
      </w:r>
      <w:r w:rsidR="00944A1B">
        <w:rPr>
          <w:rFonts w:ascii="Arial" w:hAnsi="Arial"/>
          <w:u w:val="single"/>
        </w:rPr>
        <w:t>19</w:t>
      </w:r>
      <w:r w:rsidR="001C6898">
        <w:rPr>
          <w:rFonts w:ascii="Arial" w:hAnsi="Arial"/>
          <w:u w:val="single"/>
        </w:rPr>
        <w:t>, 2018</w:t>
      </w:r>
      <w:r>
        <w:rPr>
          <w:rFonts w:ascii="Arial" w:hAnsi="Arial"/>
          <w:u w:val="single"/>
        </w:rPr>
        <w:tab/>
      </w:r>
      <w:r>
        <w:rPr>
          <w:rFonts w:ascii="Arial" w:hAnsi="Arial"/>
        </w:rPr>
        <w:t>.</w:t>
      </w:r>
    </w:p>
    <w:p w14:paraId="5DFEE6D5" w14:textId="77777777"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14:paraId="16EA5FA9" w14:textId="77777777"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14:paraId="3864878C" w14:textId="77777777" w:rsidR="00E20202" w:rsidRDefault="00EA4133">
      <w:pPr>
        <w:pStyle w:val="List"/>
        <w:tabs>
          <w:tab w:val="left" w:pos="9180"/>
          <w:tab w:val="left" w:pos="9360"/>
        </w:tabs>
        <w:ind w:left="5760" w:hanging="5760"/>
        <w:rPr>
          <w:rFonts w:ascii="Arial" w:hAnsi="Arial"/>
        </w:rPr>
        <w:sectPr w:rsidR="00E20202" w:rsidSect="008003B9">
          <w:footerReference w:type="default" r:id="rId8"/>
          <w:footerReference w:type="first" r:id="rId9"/>
          <w:pgSz w:w="12240" w:h="15840" w:code="1"/>
          <w:pgMar w:top="1152" w:right="1440" w:bottom="1152" w:left="1440" w:header="720" w:footer="936" w:gutter="0"/>
          <w:pgNumType w:start="1"/>
          <w:cols w:space="720"/>
        </w:sect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p w14:paraId="16D0AE81" w14:textId="77777777" w:rsidR="00477619" w:rsidRPr="00477619" w:rsidRDefault="00477619" w:rsidP="00477619">
      <w:pPr>
        <w:autoSpaceDE w:val="0"/>
        <w:autoSpaceDN w:val="0"/>
        <w:adjustRightInd w:val="0"/>
        <w:jc w:val="center"/>
        <w:rPr>
          <w:rFonts w:ascii="times roman" w:eastAsiaTheme="minorEastAsia" w:hAnsi="times roman"/>
          <w:color w:val="000000"/>
          <w:sz w:val="22"/>
          <w:szCs w:val="22"/>
        </w:rPr>
      </w:pPr>
      <w:r w:rsidRPr="00477619">
        <w:rPr>
          <w:rFonts w:ascii="times roman" w:eastAsiaTheme="minorEastAsia" w:hAnsi="times roman"/>
          <w:noProof/>
          <w:color w:val="000000"/>
          <w:sz w:val="22"/>
          <w:szCs w:val="22"/>
        </w:rPr>
        <w:lastRenderedPageBreak/>
        <w:drawing>
          <wp:inline distT="0" distB="0" distL="0" distR="0" wp14:anchorId="73C9089E" wp14:editId="025C9382">
            <wp:extent cx="1828800" cy="474896"/>
            <wp:effectExtent l="0" t="0" r="0" b="1905"/>
            <wp:docPr id="3" name="Picture 3"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5EC33592" w14:textId="77777777" w:rsidR="00477619" w:rsidRPr="00477619" w:rsidRDefault="00477619" w:rsidP="00477619">
      <w:pPr>
        <w:autoSpaceDE w:val="0"/>
        <w:autoSpaceDN w:val="0"/>
        <w:adjustRightInd w:val="0"/>
        <w:rPr>
          <w:rFonts w:ascii="times roman" w:eastAsiaTheme="minorEastAsia" w:hAnsi="times roman" w:cs="Calibri"/>
          <w:color w:val="000000"/>
          <w:sz w:val="22"/>
          <w:szCs w:val="22"/>
        </w:rPr>
      </w:pPr>
    </w:p>
    <w:p w14:paraId="01EB106A" w14:textId="77777777" w:rsidR="00477619" w:rsidRPr="00477619" w:rsidRDefault="00477619" w:rsidP="00477619">
      <w:pPr>
        <w:autoSpaceDE w:val="0"/>
        <w:autoSpaceDN w:val="0"/>
        <w:adjustRightInd w:val="0"/>
        <w:jc w:val="center"/>
        <w:rPr>
          <w:rFonts w:ascii="times roman" w:eastAsiaTheme="minorEastAsia" w:hAnsi="times roman" w:cs="Calibri"/>
          <w:b/>
          <w:bCs/>
          <w:color w:val="FF9900"/>
          <w:sz w:val="22"/>
          <w:szCs w:val="22"/>
        </w:rPr>
      </w:pPr>
      <w:r w:rsidRPr="00477619">
        <w:rPr>
          <w:rFonts w:ascii="times roman" w:eastAsiaTheme="minorEastAsia" w:hAnsi="times roman" w:cs="Calibri"/>
          <w:b/>
          <w:bCs/>
          <w:color w:val="365F91" w:themeColor="accent1" w:themeShade="BF"/>
          <w:sz w:val="22"/>
          <w:szCs w:val="22"/>
        </w:rPr>
        <w:t>ALLIANCE GROWERS CORP.</w:t>
      </w:r>
    </w:p>
    <w:p w14:paraId="31E154FA" w14:textId="77777777" w:rsidR="00477619" w:rsidRPr="00477619" w:rsidRDefault="00477619" w:rsidP="00477619">
      <w:pPr>
        <w:autoSpaceDE w:val="0"/>
        <w:autoSpaceDN w:val="0"/>
        <w:adjustRightInd w:val="0"/>
        <w:jc w:val="center"/>
        <w:rPr>
          <w:rFonts w:ascii="times roman" w:eastAsiaTheme="minorEastAsia" w:hAnsi="times roman" w:cs="Calibri"/>
          <w:b/>
          <w:bCs/>
          <w:color w:val="FF9900"/>
          <w:sz w:val="22"/>
          <w:szCs w:val="22"/>
        </w:rPr>
      </w:pPr>
    </w:p>
    <w:p w14:paraId="2C85C394" w14:textId="77777777" w:rsidR="00477619" w:rsidRPr="00477619" w:rsidRDefault="00477619" w:rsidP="00477619">
      <w:pPr>
        <w:pBdr>
          <w:top w:val="single" w:sz="4" w:space="1" w:color="auto"/>
          <w:bottom w:val="single" w:sz="4" w:space="1" w:color="auto"/>
        </w:pBdr>
        <w:autoSpaceDE w:val="0"/>
        <w:autoSpaceDN w:val="0"/>
        <w:adjustRightInd w:val="0"/>
        <w:jc w:val="center"/>
        <w:rPr>
          <w:rFonts w:ascii="times roman" w:eastAsiaTheme="minorEastAsia" w:hAnsi="times roman" w:cs="Calibri"/>
          <w:b/>
          <w:bCs/>
          <w:color w:val="FF9900"/>
          <w:sz w:val="22"/>
          <w:szCs w:val="22"/>
        </w:rPr>
      </w:pPr>
      <w:r w:rsidRPr="00477619">
        <w:rPr>
          <w:rFonts w:ascii="times roman" w:eastAsiaTheme="minorEastAsia" w:hAnsi="times roman" w:cs="Calibri"/>
          <w:b/>
          <w:bCs/>
          <w:sz w:val="22"/>
          <w:szCs w:val="22"/>
        </w:rPr>
        <w:t>NEWS RELEASE</w:t>
      </w:r>
    </w:p>
    <w:p w14:paraId="22ACDD8F" w14:textId="77777777" w:rsidR="00477619" w:rsidRPr="00477619" w:rsidRDefault="00477619" w:rsidP="00477619">
      <w:pPr>
        <w:autoSpaceDE w:val="0"/>
        <w:autoSpaceDN w:val="0"/>
        <w:adjustRightInd w:val="0"/>
        <w:jc w:val="center"/>
        <w:rPr>
          <w:rFonts w:asciiTheme="majorHAnsi" w:eastAsiaTheme="minorEastAsia" w:hAnsiTheme="majorHAnsi"/>
          <w:color w:val="FF9900"/>
          <w:sz w:val="22"/>
          <w:szCs w:val="22"/>
        </w:rPr>
      </w:pPr>
    </w:p>
    <w:p w14:paraId="5CBC73CA" w14:textId="77777777" w:rsidR="00477619" w:rsidRPr="00477619" w:rsidRDefault="00477619" w:rsidP="00477619">
      <w:pPr>
        <w:shd w:val="clear" w:color="auto" w:fill="FFFFFF"/>
        <w:spacing w:line="336" w:lineRule="atLeast"/>
        <w:jc w:val="center"/>
        <w:outlineLvl w:val="1"/>
        <w:rPr>
          <w:b/>
          <w:bCs/>
          <w:sz w:val="28"/>
          <w:szCs w:val="28"/>
        </w:rPr>
      </w:pPr>
      <w:r w:rsidRPr="00477619">
        <w:rPr>
          <w:b/>
          <w:bCs/>
          <w:sz w:val="28"/>
          <w:szCs w:val="28"/>
        </w:rPr>
        <w:t>ALLIANCE GROWERS EXECUTES FINAL AGREEMENT TO ACQUIRE BIOCANNATECH, QUEBEC ACMPR APPLICANT</w:t>
      </w:r>
    </w:p>
    <w:p w14:paraId="44B2F91B" w14:textId="77777777" w:rsidR="00477619" w:rsidRPr="00477619" w:rsidRDefault="00477619" w:rsidP="00477619">
      <w:pPr>
        <w:shd w:val="clear" w:color="auto" w:fill="FFFFFF"/>
        <w:spacing w:line="336" w:lineRule="atLeast"/>
        <w:jc w:val="center"/>
        <w:outlineLvl w:val="1"/>
        <w:rPr>
          <w:sz w:val="24"/>
          <w:szCs w:val="24"/>
        </w:rPr>
      </w:pPr>
    </w:p>
    <w:p w14:paraId="210B49CA" w14:textId="77777777" w:rsidR="00477619" w:rsidRPr="00477619" w:rsidRDefault="00477619" w:rsidP="00477619">
      <w:pPr>
        <w:spacing w:after="120"/>
        <w:jc w:val="both"/>
        <w:rPr>
          <w:rFonts w:eastAsiaTheme="minorHAnsi"/>
          <w:sz w:val="24"/>
          <w:szCs w:val="24"/>
          <w:shd w:val="clear" w:color="auto" w:fill="FFFFFF"/>
        </w:rPr>
      </w:pPr>
      <w:r w:rsidRPr="00477619">
        <w:rPr>
          <w:rFonts w:eastAsiaTheme="minorHAnsi"/>
          <w:b/>
          <w:bCs/>
          <w:color w:val="000000" w:themeColor="text1"/>
          <w:sz w:val="24"/>
          <w:szCs w:val="24"/>
        </w:rPr>
        <w:t>April 19, 2018 – Vancouver, B.C. – A</w:t>
      </w:r>
      <w:r w:rsidRPr="00477619">
        <w:rPr>
          <w:rFonts w:eastAsiaTheme="minorHAnsi"/>
          <w:b/>
          <w:sz w:val="24"/>
          <w:szCs w:val="24"/>
        </w:rPr>
        <w:t>lliance Growers Corp. (CSE: ACG; FWB: 1LA; WKN: A2DFYX</w:t>
      </w:r>
      <w:r w:rsidRPr="00477619">
        <w:rPr>
          <w:rFonts w:eastAsiaTheme="minorHAnsi"/>
          <w:sz w:val="24"/>
          <w:szCs w:val="24"/>
        </w:rPr>
        <w:t>) (“</w:t>
      </w:r>
      <w:r w:rsidRPr="00477619">
        <w:rPr>
          <w:rFonts w:eastAsiaTheme="minorHAnsi"/>
          <w:b/>
          <w:sz w:val="24"/>
          <w:szCs w:val="24"/>
        </w:rPr>
        <w:t>Alliance Growers</w:t>
      </w:r>
      <w:r w:rsidRPr="00477619">
        <w:rPr>
          <w:rFonts w:eastAsiaTheme="minorHAnsi"/>
          <w:sz w:val="24"/>
          <w:szCs w:val="24"/>
        </w:rPr>
        <w:t>” or the “</w:t>
      </w:r>
      <w:r w:rsidRPr="00477619">
        <w:rPr>
          <w:rFonts w:eastAsiaTheme="minorHAnsi"/>
          <w:b/>
          <w:sz w:val="24"/>
          <w:szCs w:val="24"/>
        </w:rPr>
        <w:t>Company</w:t>
      </w:r>
      <w:r w:rsidRPr="00477619">
        <w:rPr>
          <w:rFonts w:eastAsiaTheme="minorHAnsi"/>
          <w:sz w:val="24"/>
          <w:szCs w:val="24"/>
        </w:rPr>
        <w:t xml:space="preserve">”) is </w:t>
      </w:r>
      <w:r w:rsidRPr="00477619">
        <w:rPr>
          <w:sz w:val="24"/>
          <w:szCs w:val="24"/>
        </w:rPr>
        <w:t xml:space="preserve">pleased to report that it has executed </w:t>
      </w:r>
      <w:r w:rsidRPr="00477619">
        <w:rPr>
          <w:rFonts w:eastAsiaTheme="minorHAnsi"/>
          <w:sz w:val="24"/>
          <w:szCs w:val="24"/>
          <w:shd w:val="clear" w:color="auto" w:fill="FFFFFF"/>
        </w:rPr>
        <w:t>the  exclusive agreement to acquire the licensed producer applicant, BiocannaTech Inc. (“BiocannaTech”), to become a licensed producer under Health Canada’s access to cannabis for medical purposes regulations (“ACMPR”) in Quebec.  Closing will be on or before April 25, 2018, five business days after the fully executed agreement. 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p>
    <w:p w14:paraId="491AA113" w14:textId="77777777" w:rsidR="00477619" w:rsidRPr="00477619" w:rsidRDefault="00477619" w:rsidP="00477619">
      <w:pPr>
        <w:shd w:val="clear" w:color="auto" w:fill="FFFFFF"/>
        <w:spacing w:after="120"/>
        <w:jc w:val="both"/>
        <w:rPr>
          <w:sz w:val="24"/>
          <w:szCs w:val="24"/>
        </w:rPr>
      </w:pPr>
      <w:r w:rsidRPr="00477619">
        <w:rPr>
          <w:sz w:val="24"/>
          <w:szCs w:val="24"/>
        </w:rPr>
        <w:t>Quebec is considered the optimal locale for an ACMPR for many reasons. The province is host to 20% of Canada’s population and has only had two ACMPR licenses approved to date with only one currently producing. Quebec is currently vastly under represented relative to many other provinces in Canada. The Quebec government has always maintained an aggressive approach to attaining 25% of whatever Canada’s intentions are with business. Specifically regarding ACMPR licenses, Quebec has publicly stated they want Health Canada to process all 16 of the license applications in Quebec and have them approved expeditiously. When it comes time for Quebec licensees to purchase their supply, they will have a high priority on purchasing from Quebec growers. In Canada there are many</w:t>
      </w:r>
      <w:r w:rsidRPr="00477619">
        <w:rPr>
          <w:rFonts w:eastAsiaTheme="minorHAnsi"/>
          <w:sz w:val="24"/>
          <w:szCs w:val="24"/>
          <w:shd w:val="clear" w:color="auto" w:fill="FFFFFF"/>
        </w:rPr>
        <w:t xml:space="preserve"> politicians who act on the premise that Quebec deserves continual special policy treatment and defenders of the foregoing justify the exceptions with an observation that French language and culture in Quebec makes that province unique; that merits special treatment.</w:t>
      </w:r>
      <w:r w:rsidRPr="00477619">
        <w:rPr>
          <w:rFonts w:ascii="Georgia" w:eastAsiaTheme="minorHAnsi" w:hAnsi="Georgia" w:cstheme="minorBidi"/>
          <w:sz w:val="22"/>
          <w:szCs w:val="22"/>
          <w:shd w:val="clear" w:color="auto" w:fill="FFFFFF"/>
        </w:rPr>
        <w:t xml:space="preserve">  </w:t>
      </w:r>
    </w:p>
    <w:p w14:paraId="1DA235D0" w14:textId="77777777" w:rsidR="00477619" w:rsidRPr="00477619" w:rsidRDefault="00477619" w:rsidP="00477619">
      <w:pPr>
        <w:shd w:val="clear" w:color="auto" w:fill="FFFFFF"/>
        <w:spacing w:after="120"/>
        <w:jc w:val="both"/>
        <w:rPr>
          <w:rFonts w:eastAsiaTheme="minorHAnsi"/>
          <w:sz w:val="24"/>
          <w:szCs w:val="24"/>
        </w:rPr>
      </w:pPr>
      <w:r w:rsidRPr="00477619">
        <w:rPr>
          <w:rFonts w:eastAsiaTheme="minorHAnsi"/>
          <w:sz w:val="24"/>
          <w:szCs w:val="24"/>
          <w:shd w:val="clear" w:color="auto" w:fill="FFFFFF"/>
        </w:rPr>
        <w:t xml:space="preserve">Alliance Growers will immediately acquire the Quebec late stage licensed producer applicant, with payments issued in stages. The </w:t>
      </w:r>
      <w:r w:rsidRPr="00477619">
        <w:rPr>
          <w:rFonts w:eastAsiaTheme="minorHAnsi"/>
          <w:sz w:val="24"/>
          <w:szCs w:val="24"/>
        </w:rPr>
        <w:t>terms of the BiocannaTech acquisition are as follows:</w:t>
      </w:r>
    </w:p>
    <w:p w14:paraId="72F73338" w14:textId="77777777" w:rsidR="00477619" w:rsidRPr="00477619" w:rsidRDefault="00477619" w:rsidP="00477619">
      <w:pPr>
        <w:shd w:val="clear" w:color="auto" w:fill="FFFFFF"/>
        <w:spacing w:after="120"/>
        <w:jc w:val="both"/>
        <w:rPr>
          <w:rFonts w:eastAsiaTheme="minorHAnsi"/>
          <w:sz w:val="24"/>
          <w:szCs w:val="24"/>
        </w:rPr>
      </w:pPr>
      <w:r w:rsidRPr="00477619">
        <w:rPr>
          <w:rFonts w:eastAsiaTheme="minorHAnsi"/>
          <w:sz w:val="24"/>
          <w:szCs w:val="24"/>
        </w:rPr>
        <w:t>A down payment of $238,637, which has been paid.</w:t>
      </w:r>
    </w:p>
    <w:p w14:paraId="1074D033" w14:textId="77777777" w:rsidR="00477619" w:rsidRPr="00477619" w:rsidRDefault="00477619" w:rsidP="00477619">
      <w:pPr>
        <w:shd w:val="clear" w:color="auto" w:fill="FFFFFF"/>
        <w:spacing w:after="120"/>
        <w:jc w:val="both"/>
        <w:rPr>
          <w:rFonts w:eastAsiaTheme="minorHAnsi"/>
          <w:sz w:val="24"/>
          <w:szCs w:val="24"/>
        </w:rPr>
      </w:pPr>
      <w:r w:rsidRPr="00477619">
        <w:rPr>
          <w:rFonts w:eastAsiaTheme="minorHAnsi"/>
          <w:sz w:val="24"/>
          <w:szCs w:val="24"/>
        </w:rPr>
        <w:t xml:space="preserve">a) </w:t>
      </w:r>
      <w:r w:rsidRPr="00477619">
        <w:rPr>
          <w:rFonts w:eastAsiaTheme="minorHAnsi"/>
          <w:sz w:val="24"/>
          <w:szCs w:val="24"/>
        </w:rPr>
        <w:tab/>
        <w:t>The issuance of $50,000</w:t>
      </w:r>
      <w:r w:rsidRPr="00477619">
        <w:rPr>
          <w:rFonts w:eastAsiaTheme="minorHAnsi"/>
          <w:spacing w:val="-19"/>
          <w:sz w:val="24"/>
          <w:szCs w:val="24"/>
        </w:rPr>
        <w:t xml:space="preserve"> </w:t>
      </w:r>
      <w:r w:rsidRPr="00477619">
        <w:rPr>
          <w:rFonts w:eastAsiaTheme="minorHAnsi"/>
          <w:sz w:val="24"/>
          <w:szCs w:val="24"/>
        </w:rPr>
        <w:t>in</w:t>
      </w:r>
      <w:r w:rsidRPr="00477619">
        <w:rPr>
          <w:rFonts w:eastAsiaTheme="minorHAnsi"/>
          <w:spacing w:val="-12"/>
          <w:sz w:val="24"/>
          <w:szCs w:val="24"/>
        </w:rPr>
        <w:t xml:space="preserve"> </w:t>
      </w:r>
      <w:r w:rsidRPr="00477619">
        <w:rPr>
          <w:rFonts w:eastAsiaTheme="minorHAnsi"/>
          <w:sz w:val="24"/>
          <w:szCs w:val="24"/>
        </w:rPr>
        <w:t>shares</w:t>
      </w:r>
      <w:r w:rsidRPr="00477619">
        <w:rPr>
          <w:rFonts w:eastAsiaTheme="minorHAnsi"/>
          <w:spacing w:val="-14"/>
          <w:sz w:val="24"/>
          <w:szCs w:val="24"/>
        </w:rPr>
        <w:t xml:space="preserve"> to Canna Technology Inc. and 1,200,000 shares to </w:t>
      </w:r>
      <w:r w:rsidRPr="00477619">
        <w:rPr>
          <w:rFonts w:eastAsiaTheme="minorHAnsi"/>
          <w:sz w:val="24"/>
          <w:szCs w:val="24"/>
        </w:rPr>
        <w:t>1134778 BC Ltd (5/6) and Erick Factor (1/6) (“the Recipients”) will take place within five days following execution of the purchase agreement and</w:t>
      </w:r>
      <w:r w:rsidRPr="00477619">
        <w:rPr>
          <w:rFonts w:eastAsiaTheme="minorHAnsi"/>
          <w:spacing w:val="-4"/>
          <w:sz w:val="24"/>
          <w:szCs w:val="24"/>
        </w:rPr>
        <w:t xml:space="preserve"> </w:t>
      </w:r>
      <w:r w:rsidRPr="00477619">
        <w:rPr>
          <w:rFonts w:eastAsiaTheme="minorHAnsi"/>
          <w:sz w:val="24"/>
          <w:szCs w:val="24"/>
        </w:rPr>
        <w:t>filing</w:t>
      </w:r>
      <w:r w:rsidRPr="00477619">
        <w:rPr>
          <w:rFonts w:eastAsiaTheme="minorHAnsi"/>
          <w:spacing w:val="-11"/>
          <w:sz w:val="24"/>
          <w:szCs w:val="24"/>
        </w:rPr>
        <w:t xml:space="preserve"> </w:t>
      </w:r>
      <w:r w:rsidRPr="00477619">
        <w:rPr>
          <w:rFonts w:eastAsiaTheme="minorHAnsi"/>
          <w:sz w:val="24"/>
          <w:szCs w:val="24"/>
        </w:rPr>
        <w:t>with the CSE;</w:t>
      </w:r>
    </w:p>
    <w:p w14:paraId="6C63FAE2" w14:textId="77777777" w:rsidR="00477619" w:rsidRPr="00477619" w:rsidRDefault="00477619" w:rsidP="00477619">
      <w:pPr>
        <w:numPr>
          <w:ilvl w:val="0"/>
          <w:numId w:val="25"/>
        </w:numPr>
        <w:autoSpaceDE w:val="0"/>
        <w:autoSpaceDN w:val="0"/>
        <w:spacing w:after="120" w:line="276" w:lineRule="auto"/>
        <w:ind w:left="86" w:hanging="86"/>
        <w:contextualSpacing/>
        <w:jc w:val="both"/>
        <w:rPr>
          <w:rFonts w:eastAsiaTheme="minorHAnsi"/>
          <w:sz w:val="24"/>
          <w:szCs w:val="24"/>
        </w:rPr>
      </w:pPr>
      <w:r w:rsidRPr="00477619">
        <w:rPr>
          <w:rFonts w:eastAsiaTheme="minorHAnsi"/>
          <w:sz w:val="24"/>
          <w:szCs w:val="24"/>
        </w:rPr>
        <w:t xml:space="preserve">$250,000 in shares </w:t>
      </w:r>
      <w:r w:rsidRPr="00477619">
        <w:rPr>
          <w:rFonts w:eastAsiaTheme="minorHAnsi"/>
          <w:spacing w:val="-14"/>
          <w:sz w:val="24"/>
          <w:szCs w:val="24"/>
        </w:rPr>
        <w:t xml:space="preserve">to Canna Technology and 1,200,000 shares to the Recipients to be </w:t>
      </w:r>
      <w:r w:rsidRPr="00477619">
        <w:rPr>
          <w:rFonts w:eastAsiaTheme="minorHAnsi"/>
          <w:sz w:val="24"/>
          <w:szCs w:val="24"/>
        </w:rPr>
        <w:t>released immediately upon receipt of Health Canada approval for Ready to Build stage on or before December 31, 2019;</w:t>
      </w:r>
    </w:p>
    <w:p w14:paraId="529C9F72" w14:textId="77777777" w:rsidR="00477619" w:rsidRPr="00477619" w:rsidRDefault="00477619" w:rsidP="00477619">
      <w:pPr>
        <w:numPr>
          <w:ilvl w:val="0"/>
          <w:numId w:val="25"/>
        </w:numPr>
        <w:autoSpaceDE w:val="0"/>
        <w:autoSpaceDN w:val="0"/>
        <w:spacing w:after="120" w:line="276" w:lineRule="auto"/>
        <w:ind w:left="86" w:hanging="86"/>
        <w:contextualSpacing/>
        <w:jc w:val="both"/>
        <w:rPr>
          <w:rFonts w:eastAsiaTheme="minorHAnsi"/>
          <w:sz w:val="24"/>
          <w:szCs w:val="24"/>
        </w:rPr>
      </w:pPr>
      <w:r w:rsidRPr="00477619">
        <w:rPr>
          <w:rFonts w:eastAsiaTheme="minorHAnsi"/>
          <w:sz w:val="24"/>
          <w:szCs w:val="24"/>
        </w:rPr>
        <w:t xml:space="preserve">$500,000 paid </w:t>
      </w:r>
      <w:r w:rsidRPr="00477619">
        <w:rPr>
          <w:rFonts w:eastAsiaTheme="minorHAnsi"/>
          <w:spacing w:val="-14"/>
          <w:sz w:val="24"/>
          <w:szCs w:val="24"/>
        </w:rPr>
        <w:t xml:space="preserve">to Canna Technology and 1,200,000 shares to the Recipients upon receipt of municipal </w:t>
      </w:r>
      <w:r w:rsidRPr="00477619">
        <w:rPr>
          <w:rFonts w:eastAsiaTheme="minorHAnsi"/>
          <w:sz w:val="24"/>
          <w:szCs w:val="24"/>
        </w:rPr>
        <w:t xml:space="preserve"> building permits to start construction on or before December 31, 2019;</w:t>
      </w:r>
    </w:p>
    <w:p w14:paraId="5D9DAF41" w14:textId="77777777" w:rsidR="00477619" w:rsidRPr="00477619" w:rsidRDefault="00477619" w:rsidP="00477619">
      <w:pPr>
        <w:numPr>
          <w:ilvl w:val="0"/>
          <w:numId w:val="25"/>
        </w:numPr>
        <w:autoSpaceDE w:val="0"/>
        <w:autoSpaceDN w:val="0"/>
        <w:spacing w:after="120" w:line="276" w:lineRule="auto"/>
        <w:ind w:left="90" w:hanging="90"/>
        <w:contextualSpacing/>
        <w:jc w:val="both"/>
        <w:rPr>
          <w:rFonts w:eastAsiaTheme="minorHAnsi"/>
          <w:sz w:val="24"/>
          <w:szCs w:val="24"/>
        </w:rPr>
      </w:pPr>
      <w:r w:rsidRPr="00477619">
        <w:rPr>
          <w:rFonts w:eastAsiaTheme="minorHAnsi"/>
          <w:sz w:val="24"/>
          <w:szCs w:val="24"/>
        </w:rPr>
        <w:t>$500,000</w:t>
      </w:r>
      <w:r w:rsidRPr="00477619">
        <w:rPr>
          <w:rFonts w:eastAsiaTheme="minorHAnsi"/>
          <w:spacing w:val="-9"/>
          <w:sz w:val="24"/>
          <w:szCs w:val="24"/>
        </w:rPr>
        <w:t xml:space="preserve"> </w:t>
      </w:r>
      <w:r w:rsidRPr="00477619">
        <w:rPr>
          <w:rFonts w:eastAsiaTheme="minorHAnsi"/>
          <w:sz w:val="24"/>
          <w:szCs w:val="24"/>
        </w:rPr>
        <w:t>in</w:t>
      </w:r>
      <w:r w:rsidRPr="00477619">
        <w:rPr>
          <w:rFonts w:eastAsiaTheme="minorHAnsi"/>
          <w:spacing w:val="-9"/>
          <w:sz w:val="24"/>
          <w:szCs w:val="24"/>
        </w:rPr>
        <w:t xml:space="preserve"> </w:t>
      </w:r>
      <w:r w:rsidRPr="00477619">
        <w:rPr>
          <w:rFonts w:eastAsiaTheme="minorHAnsi"/>
          <w:sz w:val="24"/>
          <w:szCs w:val="24"/>
        </w:rPr>
        <w:t>shares</w:t>
      </w:r>
      <w:r w:rsidRPr="00477619">
        <w:rPr>
          <w:rFonts w:eastAsiaTheme="minorHAnsi"/>
          <w:spacing w:val="-13"/>
          <w:sz w:val="24"/>
          <w:szCs w:val="24"/>
        </w:rPr>
        <w:t xml:space="preserve"> </w:t>
      </w:r>
      <w:r w:rsidRPr="00477619">
        <w:rPr>
          <w:rFonts w:eastAsiaTheme="minorHAnsi"/>
          <w:spacing w:val="-14"/>
          <w:sz w:val="24"/>
          <w:szCs w:val="24"/>
        </w:rPr>
        <w:t xml:space="preserve">to Canna Technology and 1,200,000 shares to the Recipients upon receipt of </w:t>
      </w:r>
      <w:r w:rsidRPr="00477619">
        <w:rPr>
          <w:rFonts w:eastAsiaTheme="minorHAnsi"/>
          <w:spacing w:val="-6"/>
          <w:sz w:val="24"/>
          <w:szCs w:val="24"/>
        </w:rPr>
        <w:t xml:space="preserve">Health Canada approval of </w:t>
      </w:r>
      <w:r w:rsidRPr="00477619">
        <w:rPr>
          <w:rFonts w:eastAsiaTheme="minorHAnsi"/>
          <w:sz w:val="24"/>
          <w:szCs w:val="24"/>
        </w:rPr>
        <w:t>Cultivation</w:t>
      </w:r>
      <w:r w:rsidRPr="00477619">
        <w:rPr>
          <w:rFonts w:eastAsiaTheme="minorHAnsi"/>
          <w:spacing w:val="-8"/>
          <w:sz w:val="24"/>
          <w:szCs w:val="24"/>
        </w:rPr>
        <w:t xml:space="preserve"> </w:t>
      </w:r>
      <w:r w:rsidRPr="00477619">
        <w:rPr>
          <w:rFonts w:eastAsiaTheme="minorHAnsi"/>
          <w:sz w:val="24"/>
          <w:szCs w:val="24"/>
        </w:rPr>
        <w:t>stage on or before December 31, 2019;</w:t>
      </w:r>
    </w:p>
    <w:p w14:paraId="05593E76" w14:textId="77777777" w:rsidR="00477619" w:rsidRPr="00477619" w:rsidRDefault="00477619" w:rsidP="00477619">
      <w:pPr>
        <w:numPr>
          <w:ilvl w:val="0"/>
          <w:numId w:val="25"/>
        </w:numPr>
        <w:spacing w:after="120" w:line="276" w:lineRule="auto"/>
        <w:ind w:left="90" w:hanging="90"/>
        <w:contextualSpacing/>
        <w:jc w:val="both"/>
        <w:rPr>
          <w:rFonts w:eastAsiaTheme="minorHAnsi"/>
          <w:sz w:val="24"/>
          <w:szCs w:val="24"/>
        </w:rPr>
      </w:pPr>
      <w:r w:rsidRPr="00477619">
        <w:rPr>
          <w:rFonts w:eastAsiaTheme="minorHAnsi"/>
          <w:sz w:val="24"/>
          <w:szCs w:val="24"/>
        </w:rPr>
        <w:lastRenderedPageBreak/>
        <w:t>$500,000</w:t>
      </w:r>
      <w:r w:rsidRPr="00477619">
        <w:rPr>
          <w:rFonts w:eastAsiaTheme="minorHAnsi"/>
          <w:spacing w:val="-9"/>
          <w:sz w:val="24"/>
          <w:szCs w:val="24"/>
        </w:rPr>
        <w:t xml:space="preserve"> </w:t>
      </w:r>
      <w:r w:rsidRPr="00477619">
        <w:rPr>
          <w:rFonts w:eastAsiaTheme="minorHAnsi"/>
          <w:sz w:val="24"/>
          <w:szCs w:val="24"/>
        </w:rPr>
        <w:t>in shares</w:t>
      </w:r>
      <w:r w:rsidRPr="00477619">
        <w:rPr>
          <w:rFonts w:eastAsiaTheme="minorHAnsi"/>
          <w:spacing w:val="-3"/>
          <w:sz w:val="24"/>
          <w:szCs w:val="24"/>
        </w:rPr>
        <w:t xml:space="preserve"> </w:t>
      </w:r>
      <w:r w:rsidRPr="00477619">
        <w:rPr>
          <w:rFonts w:eastAsiaTheme="minorHAnsi"/>
          <w:spacing w:val="-14"/>
          <w:sz w:val="24"/>
          <w:szCs w:val="24"/>
        </w:rPr>
        <w:t xml:space="preserve">to Canna Technology and 1,200,000 shares to the Recipients upon receipt of </w:t>
      </w:r>
      <w:r w:rsidRPr="00477619">
        <w:rPr>
          <w:rFonts w:eastAsiaTheme="minorHAnsi"/>
          <w:spacing w:val="-11"/>
          <w:sz w:val="24"/>
          <w:szCs w:val="24"/>
        </w:rPr>
        <w:t xml:space="preserve">Health Canada LP License </w:t>
      </w:r>
      <w:r w:rsidRPr="00477619">
        <w:rPr>
          <w:rFonts w:eastAsiaTheme="minorHAnsi"/>
          <w:sz w:val="24"/>
          <w:szCs w:val="24"/>
        </w:rPr>
        <w:t>on or before December 31, 2019</w:t>
      </w:r>
      <w:r w:rsidRPr="00477619">
        <w:rPr>
          <w:rFonts w:eastAsiaTheme="minorHAnsi"/>
          <w:spacing w:val="-11"/>
          <w:sz w:val="24"/>
          <w:szCs w:val="24"/>
        </w:rPr>
        <w:t>.</w:t>
      </w:r>
    </w:p>
    <w:p w14:paraId="4BBDF348" w14:textId="77777777" w:rsidR="00477619" w:rsidRPr="00477619" w:rsidRDefault="00477619" w:rsidP="00477619">
      <w:pPr>
        <w:shd w:val="clear" w:color="auto" w:fill="FFFFFF"/>
        <w:spacing w:after="120"/>
        <w:jc w:val="both"/>
        <w:rPr>
          <w:rFonts w:eastAsiaTheme="minorHAnsi"/>
          <w:sz w:val="24"/>
          <w:szCs w:val="24"/>
          <w:shd w:val="clear" w:color="auto" w:fill="FFFFFF"/>
        </w:rPr>
      </w:pPr>
      <w:r w:rsidRPr="00477619">
        <w:rPr>
          <w:rFonts w:eastAsiaTheme="minorHAnsi"/>
          <w:sz w:val="24"/>
          <w:szCs w:val="24"/>
          <w:shd w:val="clear" w:color="auto" w:fill="FFFFFF"/>
        </w:rPr>
        <w:t xml:space="preserve">The initial </w:t>
      </w:r>
      <w:bookmarkStart w:id="8" w:name="_Hlk511811211"/>
      <w:r w:rsidRPr="00477619">
        <w:rPr>
          <w:rFonts w:eastAsiaTheme="minorHAnsi"/>
          <w:sz w:val="24"/>
          <w:szCs w:val="24"/>
          <w:shd w:val="clear" w:color="auto" w:fill="FFFFFF"/>
        </w:rPr>
        <w:t>BiocannaTech</w:t>
      </w:r>
      <w:bookmarkEnd w:id="8"/>
      <w:r w:rsidRPr="00477619">
        <w:rPr>
          <w:rFonts w:eastAsiaTheme="minorHAnsi"/>
          <w:sz w:val="24"/>
          <w:szCs w:val="24"/>
          <w:shd w:val="clear" w:color="auto" w:fill="FFFFFF"/>
        </w:rPr>
        <w:t xml:space="preserve"> facility is configured at 10,000 sq. ft. and is attached to a 120,000-sq. ft. warehouse to provide for phased expansion.  BiocannaTech will have the capacity to produce up to 1,000 kg per year initially and be able to increase that output in subsequent phases of expansion. The building is in the Town of Mount Royal (“T.M.R.”) in Montreal.  This site is zoned for Medical Cannabis Production and BiocannaTech has the confirmation letter from the city of T.M.R. It is important to note that the lease provides the option to buy the facility and build equity for Alliance Growers and its shareholders.</w:t>
      </w:r>
    </w:p>
    <w:p w14:paraId="512AF6C2" w14:textId="77777777" w:rsidR="00477619" w:rsidRPr="00477619" w:rsidRDefault="00477619" w:rsidP="00477619">
      <w:pPr>
        <w:shd w:val="clear" w:color="auto" w:fill="FFFFFF"/>
        <w:spacing w:after="120"/>
        <w:jc w:val="both"/>
        <w:rPr>
          <w:sz w:val="24"/>
          <w:szCs w:val="24"/>
        </w:rPr>
      </w:pPr>
      <w:r w:rsidRPr="00477619">
        <w:rPr>
          <w:sz w:val="24"/>
          <w:szCs w:val="24"/>
        </w:rPr>
        <w:t>Commenting on execution of the final agreement to acquire BiocannaTech, Dennis Petke, Alliance Growers’ President and CEO, stated “We are very pleased to finalize this important and exceptional opportunity to acquire BiocannaTech for Alliance Growers and the Company’s shareholders. We are fortunate to have financing support from the partnerships we have developed over the past 12 months.</w:t>
      </w:r>
      <w:r w:rsidRPr="00477619">
        <w:rPr>
          <w:rFonts w:eastAsiaTheme="minorHAnsi"/>
          <w:sz w:val="24"/>
          <w:szCs w:val="24"/>
          <w:shd w:val="clear" w:color="auto" w:fill="FFFFFF"/>
        </w:rPr>
        <w:t xml:space="preserve"> In December of 2017 and earlier this year, Alliance Growers finalized funding of over $1M from a private placement and the exercise of warrants and options. Upon conclusion of a small financing in April, we expect to complete a larger financing in May for up to $10 Million. Alliance Growers will then be moving full steam ahead on financing the “initial build stage” of BiocannaTech to create a premier cannabis supplier in Quebec. </w:t>
      </w:r>
      <w:r w:rsidRPr="00477619">
        <w:rPr>
          <w:sz w:val="24"/>
          <w:szCs w:val="24"/>
        </w:rPr>
        <w:t xml:space="preserve">Management of Alliance Growers believes it is advantageous to capitalize on the governmental goal to increase the number of ACMPR licensed companies in Quebec. We are pleased to have now entered the grow space in Quebec whilst we negotiate additional license applicants in the province. </w:t>
      </w:r>
      <w:r w:rsidRPr="00477619">
        <w:rPr>
          <w:rFonts w:eastAsiaTheme="minorHAnsi"/>
          <w:sz w:val="24"/>
          <w:szCs w:val="24"/>
          <w:shd w:val="clear" w:color="auto" w:fill="FFFFFF"/>
        </w:rPr>
        <w:t xml:space="preserve">These are exciting times for the cannabis industry and especially for Alliance Growers as we execute on our additional plans including further acquisitions of interests in ACMPR applicants, development of the Canna-App and finalization of the Company’s Pharmaceutical Grade CDB Oil partnership with an Israeli Medical Cannabis Company. We ask all stakeholders to watch for news on further developments of the Cannabis Botany Centre as well.  </w:t>
      </w:r>
      <w:r w:rsidRPr="00477619">
        <w:rPr>
          <w:sz w:val="24"/>
          <w:szCs w:val="24"/>
        </w:rPr>
        <w:t>We also look forward to becoming a preferred tissue cultured plantlet supplier through the partnership we are developing with Pharmagreen on the Cannabis Botany Centre, to not only the Quebec ACMPR community but right across Canada.”</w:t>
      </w:r>
    </w:p>
    <w:p w14:paraId="78495600" w14:textId="77777777" w:rsidR="00477619" w:rsidRPr="00477619" w:rsidRDefault="00477619" w:rsidP="00477619">
      <w:pPr>
        <w:shd w:val="clear" w:color="auto" w:fill="FFFFFF"/>
        <w:spacing w:after="120"/>
        <w:jc w:val="both"/>
        <w:textAlignment w:val="baseline"/>
        <w:rPr>
          <w:b/>
          <w:sz w:val="24"/>
          <w:szCs w:val="24"/>
        </w:rPr>
      </w:pPr>
      <w:r w:rsidRPr="00477619">
        <w:rPr>
          <w:b/>
          <w:sz w:val="24"/>
          <w:szCs w:val="24"/>
        </w:rPr>
        <w:t>About Alliance Growers</w:t>
      </w:r>
    </w:p>
    <w:p w14:paraId="307542ED" w14:textId="77777777" w:rsidR="00477619" w:rsidRPr="00477619" w:rsidRDefault="00477619" w:rsidP="00477619">
      <w:pPr>
        <w:shd w:val="clear" w:color="auto" w:fill="FFFFFF"/>
        <w:spacing w:after="120"/>
        <w:jc w:val="both"/>
        <w:textAlignment w:val="baseline"/>
        <w:rPr>
          <w:sz w:val="24"/>
          <w:szCs w:val="24"/>
        </w:rPr>
      </w:pPr>
      <w:r w:rsidRPr="00477619">
        <w:rPr>
          <w:sz w:val="24"/>
          <w:szCs w:val="24"/>
        </w:rPr>
        <w:t>Alliance Growers is a diversified cannabis company driven by the Company’s ‘Four Pillars’ Organization Plan – Cannabis Botany Centre, Strategic ACMPR Investments, CBD Oil Supply and Distribution, and Research and Development.</w:t>
      </w:r>
    </w:p>
    <w:p w14:paraId="1D953A91" w14:textId="77777777" w:rsidR="00477619" w:rsidRPr="00477619" w:rsidRDefault="00477619" w:rsidP="00477619">
      <w:pPr>
        <w:shd w:val="clear" w:color="auto" w:fill="FFFFFF"/>
        <w:spacing w:after="120"/>
        <w:jc w:val="both"/>
        <w:textAlignment w:val="baseline"/>
        <w:rPr>
          <w:sz w:val="24"/>
          <w:szCs w:val="24"/>
        </w:rPr>
      </w:pPr>
      <w:r w:rsidRPr="00477619">
        <w:rPr>
          <w:sz w:val="24"/>
          <w:szCs w:val="24"/>
        </w:rPr>
        <w:t>Alliance Growers is working with WFS Pharmagreen Inc. advancing a new business partnership,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14:paraId="00F4968F" w14:textId="77777777" w:rsidR="00477619" w:rsidRPr="00477619" w:rsidRDefault="00477619" w:rsidP="00477619">
      <w:pPr>
        <w:spacing w:after="120"/>
        <w:jc w:val="both"/>
        <w:rPr>
          <w:rFonts w:eastAsiaTheme="minorEastAsia"/>
          <w:sz w:val="24"/>
          <w:szCs w:val="24"/>
          <w:shd w:val="clear" w:color="auto" w:fill="FFFFFF"/>
          <w:lang w:eastAsia="en-CA"/>
        </w:rPr>
      </w:pPr>
      <w:r w:rsidRPr="00477619">
        <w:rPr>
          <w:rFonts w:eastAsiaTheme="minorEastAsia"/>
          <w:sz w:val="24"/>
          <w:szCs w:val="24"/>
          <w:shd w:val="clear" w:color="auto" w:fill="FFFFFF"/>
          <w:lang w:eastAsia="en-CA"/>
        </w:rPr>
        <w:t xml:space="preserve">Alliance Growers </w:t>
      </w:r>
      <w:r w:rsidRPr="00477619">
        <w:rPr>
          <w:rFonts w:eastAsiaTheme="minorEastAsia"/>
          <w:color w:val="132833"/>
          <w:sz w:val="24"/>
          <w:szCs w:val="24"/>
        </w:rPr>
        <w:t>has signed a</w:t>
      </w:r>
      <w:r w:rsidRPr="00477619">
        <w:rPr>
          <w:rFonts w:eastAsiaTheme="minorEastAsia"/>
          <w:sz w:val="24"/>
          <w:szCs w:val="24"/>
          <w:shd w:val="clear" w:color="auto" w:fill="FFFFFF"/>
          <w:lang w:eastAsia="en-CA"/>
        </w:rPr>
        <w:t xml:space="preserve"> fully executed agreement to acquire a licensed producer applicant, </w:t>
      </w:r>
      <w:r w:rsidRPr="00477619">
        <w:rPr>
          <w:rFonts w:eastAsiaTheme="minorEastAsia"/>
          <w:sz w:val="24"/>
          <w:szCs w:val="24"/>
          <w:lang w:eastAsia="en-CA"/>
        </w:rPr>
        <w:t>BiocannaTech,</w:t>
      </w:r>
      <w:r w:rsidRPr="00477619">
        <w:rPr>
          <w:rFonts w:eastAsiaTheme="minorEastAsia"/>
          <w:sz w:val="24"/>
          <w:szCs w:val="24"/>
          <w:shd w:val="clear" w:color="auto" w:fill="FFFFFF"/>
          <w:lang w:eastAsia="en-CA"/>
        </w:rPr>
        <w:t xml:space="preserve"> to become a licensed producer under Health Canada</w:t>
      </w:r>
      <w:r w:rsidRPr="00477619">
        <w:rPr>
          <w:rFonts w:eastAsiaTheme="minorEastAsia"/>
          <w:sz w:val="24"/>
          <w:szCs w:val="24"/>
          <w:shd w:val="clear" w:color="auto" w:fill="FFFFFF"/>
          <w:lang w:val="en-CA" w:eastAsia="en-CA"/>
        </w:rPr>
        <w:t>’</w:t>
      </w:r>
      <w:r w:rsidRPr="00477619">
        <w:rPr>
          <w:rFonts w:eastAsiaTheme="minorEastAsia"/>
          <w:sz w:val="24"/>
          <w:szCs w:val="24"/>
          <w:shd w:val="clear" w:color="auto" w:fill="FFFFFF"/>
          <w:lang w:eastAsia="en-CA"/>
        </w:rPr>
        <w:t xml:space="preserve">s access to cannabis for medical purposes regulations (“ACMPR”) in Quebec. </w:t>
      </w:r>
      <w:r w:rsidRPr="00477619">
        <w:rPr>
          <w:rFonts w:eastAsiaTheme="minorEastAsia"/>
          <w:sz w:val="24"/>
          <w:szCs w:val="24"/>
          <w:shd w:val="clear" w:color="auto" w:fill="FFFFFF"/>
          <w:lang w:val="en-CA" w:eastAsia="en-CA"/>
        </w:rPr>
        <w:t xml:space="preserve"> Closing is on or before five business days after the fully executed agreement. </w:t>
      </w:r>
      <w:r w:rsidRPr="00477619">
        <w:rPr>
          <w:rFonts w:eastAsiaTheme="minorEastAsia"/>
          <w:sz w:val="24"/>
          <w:szCs w:val="24"/>
          <w:shd w:val="clear" w:color="auto" w:fill="FFFFFF"/>
          <w:lang w:eastAsia="en-CA"/>
        </w:rPr>
        <w:t xml:space="preserve">Alliance Growers will supply financing and resources to build out the medical marijuana facility in preparation for the inspection </w:t>
      </w:r>
      <w:r w:rsidRPr="00477619">
        <w:rPr>
          <w:rFonts w:eastAsiaTheme="minorEastAsia"/>
          <w:sz w:val="24"/>
          <w:szCs w:val="24"/>
          <w:shd w:val="clear" w:color="auto" w:fill="FFFFFF"/>
          <w:lang w:eastAsia="en-CA"/>
        </w:rPr>
        <w:lastRenderedPageBreak/>
        <w:t>required to obtain a growing license. Once Health Canada is satisfied with a successful crop, Alliance Growers will be granted its distribution license.  This acquisition allows the Company an opportunity to become a licensed producer in the Province of Quebec and gain an in-road to provide tissue culture plantlets to all licensed producers in Quebec.</w:t>
      </w:r>
    </w:p>
    <w:p w14:paraId="4240A32C" w14:textId="77777777" w:rsidR="00477619" w:rsidRPr="00477619" w:rsidRDefault="00477619" w:rsidP="00477619">
      <w:pPr>
        <w:shd w:val="clear" w:color="auto" w:fill="FFFFFF"/>
        <w:spacing w:after="120"/>
        <w:jc w:val="both"/>
        <w:textAlignment w:val="baseline"/>
        <w:rPr>
          <w:sz w:val="24"/>
          <w:szCs w:val="24"/>
        </w:rPr>
      </w:pPr>
      <w:r w:rsidRPr="00477619">
        <w:rPr>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14:paraId="44C0A3CE" w14:textId="77777777" w:rsidR="00477619" w:rsidRPr="00477619" w:rsidRDefault="00477619" w:rsidP="00477619">
      <w:pPr>
        <w:spacing w:after="120"/>
        <w:rPr>
          <w:color w:val="000000"/>
          <w:sz w:val="24"/>
          <w:szCs w:val="24"/>
        </w:rPr>
      </w:pPr>
      <w:r w:rsidRPr="00477619">
        <w:rPr>
          <w:color w:val="000000"/>
          <w:sz w:val="24"/>
          <w:szCs w:val="24"/>
        </w:rPr>
        <w:t xml:space="preserve">For further information, please visit the Company’s website at </w:t>
      </w:r>
      <w:hyperlink r:id="rId11" w:history="1">
        <w:r w:rsidRPr="00477619">
          <w:rPr>
            <w:color w:val="0000FF" w:themeColor="hyperlink"/>
            <w:sz w:val="24"/>
            <w:szCs w:val="24"/>
            <w:u w:val="single"/>
          </w:rPr>
          <w:t>www.alliancegrowers.com</w:t>
        </w:r>
      </w:hyperlink>
      <w:r w:rsidRPr="00477619">
        <w:rPr>
          <w:color w:val="000000"/>
          <w:sz w:val="24"/>
          <w:szCs w:val="24"/>
        </w:rPr>
        <w:t xml:space="preserve"> or the Company’s profile at </w:t>
      </w:r>
      <w:hyperlink r:id="rId12" w:history="1">
        <w:r w:rsidRPr="00477619">
          <w:rPr>
            <w:color w:val="0000FF" w:themeColor="hyperlink"/>
            <w:sz w:val="24"/>
            <w:szCs w:val="24"/>
            <w:u w:val="single"/>
          </w:rPr>
          <w:t>www.sedar.com</w:t>
        </w:r>
      </w:hyperlink>
      <w:r w:rsidRPr="00477619">
        <w:rPr>
          <w:color w:val="000000"/>
          <w:sz w:val="24"/>
          <w:szCs w:val="24"/>
        </w:rPr>
        <w:t xml:space="preserve">. </w:t>
      </w:r>
    </w:p>
    <w:p w14:paraId="2D58EC74" w14:textId="77777777" w:rsidR="00477619" w:rsidRPr="00477619" w:rsidRDefault="00477619" w:rsidP="00477619">
      <w:pPr>
        <w:shd w:val="clear" w:color="auto" w:fill="FFFFFF"/>
        <w:spacing w:after="120"/>
        <w:jc w:val="both"/>
        <w:rPr>
          <w:sz w:val="24"/>
          <w:szCs w:val="24"/>
        </w:rPr>
      </w:pPr>
      <w:r w:rsidRPr="00477619">
        <w:rPr>
          <w:color w:val="000000"/>
          <w:sz w:val="24"/>
          <w:szCs w:val="24"/>
        </w:rPr>
        <w:t>If you would like to be added to Alliance Growers’ news distribution list, please send your email address to </w:t>
      </w:r>
      <w:hyperlink r:id="rId13" w:history="1">
        <w:r w:rsidRPr="00477619">
          <w:rPr>
            <w:color w:val="000000"/>
            <w:sz w:val="24"/>
            <w:szCs w:val="24"/>
            <w:u w:val="single"/>
          </w:rPr>
          <w:t>newsletter@alliancegrowers.com</w:t>
        </w:r>
      </w:hyperlink>
    </w:p>
    <w:p w14:paraId="4773F715" w14:textId="77777777" w:rsidR="00477619" w:rsidRPr="00477619" w:rsidRDefault="00477619" w:rsidP="00477619">
      <w:pPr>
        <w:shd w:val="clear" w:color="auto" w:fill="FFFFFF"/>
        <w:spacing w:after="180"/>
        <w:jc w:val="both"/>
        <w:textAlignment w:val="baseline"/>
        <w:rPr>
          <w:sz w:val="24"/>
          <w:szCs w:val="24"/>
        </w:rPr>
      </w:pPr>
      <w:r w:rsidRPr="00477619">
        <w:rPr>
          <w:sz w:val="24"/>
          <w:szCs w:val="24"/>
        </w:rPr>
        <w:t>On behalf of the board of directors of</w:t>
      </w:r>
    </w:p>
    <w:p w14:paraId="46DAAB68" w14:textId="77777777" w:rsidR="00477619" w:rsidRPr="00477619" w:rsidRDefault="00477619" w:rsidP="00477619">
      <w:pPr>
        <w:shd w:val="clear" w:color="auto" w:fill="FFFFFF"/>
        <w:jc w:val="both"/>
        <w:textAlignment w:val="baseline"/>
        <w:rPr>
          <w:sz w:val="24"/>
          <w:szCs w:val="24"/>
        </w:rPr>
      </w:pPr>
      <w:r w:rsidRPr="00477619">
        <w:rPr>
          <w:sz w:val="24"/>
          <w:szCs w:val="24"/>
        </w:rPr>
        <w:t>ALLIANCE GROWERS CORP.</w:t>
      </w:r>
    </w:p>
    <w:p w14:paraId="4DEE9942" w14:textId="77777777" w:rsidR="00477619" w:rsidRPr="00477619" w:rsidRDefault="00477619" w:rsidP="00477619">
      <w:pPr>
        <w:shd w:val="clear" w:color="auto" w:fill="FFFFFF"/>
        <w:jc w:val="both"/>
        <w:textAlignment w:val="baseline"/>
        <w:rPr>
          <w:sz w:val="24"/>
          <w:szCs w:val="24"/>
        </w:rPr>
      </w:pPr>
      <w:r w:rsidRPr="00477619">
        <w:rPr>
          <w:sz w:val="24"/>
          <w:szCs w:val="24"/>
        </w:rPr>
        <w:t>“Dennis Petke”</w:t>
      </w:r>
    </w:p>
    <w:p w14:paraId="557A6911" w14:textId="77777777" w:rsidR="00477619" w:rsidRPr="00477619" w:rsidRDefault="00477619" w:rsidP="00477619">
      <w:pPr>
        <w:shd w:val="clear" w:color="auto" w:fill="FFFFFF"/>
        <w:jc w:val="both"/>
        <w:textAlignment w:val="baseline"/>
        <w:rPr>
          <w:sz w:val="24"/>
          <w:szCs w:val="24"/>
        </w:rPr>
      </w:pPr>
      <w:r w:rsidRPr="00477619">
        <w:rPr>
          <w:sz w:val="24"/>
          <w:szCs w:val="24"/>
        </w:rPr>
        <w:t>Dennis Petke</w:t>
      </w:r>
    </w:p>
    <w:p w14:paraId="541DA730" w14:textId="77777777" w:rsidR="00477619" w:rsidRPr="00477619" w:rsidRDefault="00477619" w:rsidP="00477619">
      <w:pPr>
        <w:shd w:val="clear" w:color="auto" w:fill="FFFFFF"/>
        <w:jc w:val="both"/>
        <w:textAlignment w:val="baseline"/>
        <w:rPr>
          <w:sz w:val="24"/>
          <w:szCs w:val="24"/>
        </w:rPr>
      </w:pPr>
      <w:r w:rsidRPr="00477619">
        <w:rPr>
          <w:sz w:val="24"/>
          <w:szCs w:val="24"/>
        </w:rPr>
        <w:t>President and CEO</w:t>
      </w:r>
    </w:p>
    <w:p w14:paraId="10A3B980" w14:textId="77777777" w:rsidR="00477619" w:rsidRPr="00477619" w:rsidRDefault="00477619" w:rsidP="00477619">
      <w:pPr>
        <w:shd w:val="clear" w:color="auto" w:fill="FFFFFF"/>
        <w:jc w:val="both"/>
        <w:textAlignment w:val="baseline"/>
        <w:rPr>
          <w:sz w:val="24"/>
          <w:szCs w:val="24"/>
        </w:rPr>
      </w:pPr>
      <w:r w:rsidRPr="00477619">
        <w:rPr>
          <w:sz w:val="24"/>
          <w:szCs w:val="24"/>
        </w:rPr>
        <w:t>For more information contact:</w:t>
      </w:r>
    </w:p>
    <w:p w14:paraId="74102DE7" w14:textId="77777777" w:rsidR="00477619" w:rsidRPr="00477619" w:rsidRDefault="00477619" w:rsidP="00477619">
      <w:pPr>
        <w:shd w:val="clear" w:color="auto" w:fill="FFFFFF"/>
        <w:jc w:val="both"/>
        <w:textAlignment w:val="baseline"/>
        <w:rPr>
          <w:sz w:val="24"/>
          <w:szCs w:val="24"/>
        </w:rPr>
      </w:pPr>
      <w:r w:rsidRPr="00477619">
        <w:rPr>
          <w:sz w:val="24"/>
          <w:szCs w:val="24"/>
        </w:rPr>
        <w:t>Dennis Petke</w:t>
      </w:r>
    </w:p>
    <w:p w14:paraId="2BBDDEEC" w14:textId="77777777" w:rsidR="00477619" w:rsidRPr="00477619" w:rsidRDefault="00477619" w:rsidP="00477619">
      <w:pPr>
        <w:shd w:val="clear" w:color="auto" w:fill="FFFFFF"/>
        <w:jc w:val="both"/>
        <w:textAlignment w:val="baseline"/>
        <w:rPr>
          <w:sz w:val="24"/>
          <w:szCs w:val="24"/>
        </w:rPr>
      </w:pPr>
      <w:r w:rsidRPr="00477619">
        <w:rPr>
          <w:sz w:val="24"/>
          <w:szCs w:val="24"/>
        </w:rPr>
        <w:t>Tel: 778-331-4266</w:t>
      </w:r>
    </w:p>
    <w:p w14:paraId="2E1DBBB5" w14:textId="77777777" w:rsidR="00477619" w:rsidRPr="00477619" w:rsidRDefault="00477619" w:rsidP="00477619">
      <w:pPr>
        <w:shd w:val="clear" w:color="auto" w:fill="FFFFFF"/>
        <w:jc w:val="both"/>
        <w:textAlignment w:val="baseline"/>
        <w:rPr>
          <w:rFonts w:eastAsiaTheme="minorHAnsi"/>
          <w:sz w:val="24"/>
          <w:szCs w:val="24"/>
        </w:rPr>
      </w:pPr>
      <w:hyperlink r:id="rId14" w:history="1">
        <w:r w:rsidRPr="00477619">
          <w:rPr>
            <w:rFonts w:eastAsiaTheme="minorHAnsi"/>
            <w:color w:val="0000FF" w:themeColor="hyperlink"/>
            <w:sz w:val="24"/>
            <w:szCs w:val="24"/>
            <w:u w:val="single"/>
          </w:rPr>
          <w:t>DennisPetke@alliancegrowers.com</w:t>
        </w:r>
      </w:hyperlink>
      <w:r w:rsidRPr="00477619">
        <w:rPr>
          <w:rFonts w:eastAsiaTheme="minorHAnsi"/>
          <w:sz w:val="24"/>
          <w:szCs w:val="24"/>
        </w:rPr>
        <w:t xml:space="preserve">  </w:t>
      </w:r>
    </w:p>
    <w:p w14:paraId="45B6DC88" w14:textId="77777777" w:rsidR="00477619" w:rsidRPr="00477619" w:rsidRDefault="00477619" w:rsidP="00477619">
      <w:pPr>
        <w:shd w:val="clear" w:color="auto" w:fill="FFFFFF"/>
        <w:jc w:val="both"/>
        <w:textAlignment w:val="baseline"/>
        <w:rPr>
          <w:sz w:val="24"/>
          <w:szCs w:val="24"/>
        </w:rPr>
      </w:pPr>
    </w:p>
    <w:p w14:paraId="133715B7" w14:textId="77777777" w:rsidR="00477619" w:rsidRPr="00477619" w:rsidRDefault="00477619" w:rsidP="00477619">
      <w:pPr>
        <w:shd w:val="clear" w:color="auto" w:fill="FFFFFF"/>
        <w:jc w:val="both"/>
        <w:textAlignment w:val="baseline"/>
        <w:rPr>
          <w:sz w:val="24"/>
          <w:szCs w:val="24"/>
        </w:rPr>
      </w:pPr>
      <w:r w:rsidRPr="00477619">
        <w:rPr>
          <w:sz w:val="24"/>
          <w:szCs w:val="24"/>
        </w:rPr>
        <w:t>Rob Grace</w:t>
      </w:r>
    </w:p>
    <w:p w14:paraId="4348CBD2" w14:textId="77777777" w:rsidR="00477619" w:rsidRPr="00477619" w:rsidRDefault="00477619" w:rsidP="00477619">
      <w:pPr>
        <w:shd w:val="clear" w:color="auto" w:fill="FFFFFF"/>
        <w:jc w:val="both"/>
        <w:textAlignment w:val="baseline"/>
        <w:rPr>
          <w:sz w:val="24"/>
          <w:szCs w:val="24"/>
        </w:rPr>
      </w:pPr>
      <w:r w:rsidRPr="00477619">
        <w:rPr>
          <w:sz w:val="24"/>
          <w:szCs w:val="24"/>
        </w:rPr>
        <w:t>Communications Consultant</w:t>
      </w:r>
    </w:p>
    <w:p w14:paraId="5AC015EC" w14:textId="77777777" w:rsidR="00477619" w:rsidRPr="00477619" w:rsidRDefault="00477619" w:rsidP="00477619">
      <w:pPr>
        <w:shd w:val="clear" w:color="auto" w:fill="FFFFFF"/>
        <w:jc w:val="both"/>
        <w:textAlignment w:val="baseline"/>
        <w:rPr>
          <w:sz w:val="24"/>
          <w:szCs w:val="24"/>
        </w:rPr>
      </w:pPr>
      <w:r w:rsidRPr="00477619">
        <w:rPr>
          <w:sz w:val="24"/>
          <w:szCs w:val="24"/>
        </w:rPr>
        <w:t>Tel: 778-998-5431</w:t>
      </w:r>
    </w:p>
    <w:p w14:paraId="1615E863" w14:textId="77777777" w:rsidR="00477619" w:rsidRPr="00477619" w:rsidRDefault="00477619" w:rsidP="00477619">
      <w:pPr>
        <w:shd w:val="clear" w:color="auto" w:fill="FFFFFF"/>
        <w:jc w:val="both"/>
        <w:textAlignment w:val="baseline"/>
        <w:rPr>
          <w:rFonts w:eastAsiaTheme="minorHAnsi"/>
          <w:sz w:val="24"/>
          <w:szCs w:val="24"/>
        </w:rPr>
      </w:pPr>
      <w:hyperlink r:id="rId15" w:history="1">
        <w:r w:rsidRPr="00477619">
          <w:rPr>
            <w:rFonts w:eastAsiaTheme="minorHAnsi"/>
            <w:color w:val="0000FF" w:themeColor="hyperlink"/>
            <w:sz w:val="24"/>
            <w:szCs w:val="24"/>
            <w:u w:val="single"/>
          </w:rPr>
          <w:t>RobDGrace@gmail.com</w:t>
        </w:r>
      </w:hyperlink>
    </w:p>
    <w:p w14:paraId="6180D5C9" w14:textId="77777777" w:rsidR="00477619" w:rsidRPr="00477619" w:rsidRDefault="00477619" w:rsidP="00477619">
      <w:pPr>
        <w:shd w:val="clear" w:color="auto" w:fill="FFFFFF"/>
        <w:jc w:val="both"/>
        <w:textAlignment w:val="baseline"/>
        <w:rPr>
          <w:sz w:val="24"/>
          <w:szCs w:val="24"/>
        </w:rPr>
      </w:pPr>
    </w:p>
    <w:p w14:paraId="26966639" w14:textId="77777777" w:rsidR="00477619" w:rsidRPr="00477619" w:rsidRDefault="00477619" w:rsidP="00477619">
      <w:pPr>
        <w:shd w:val="clear" w:color="auto" w:fill="FFFFFF"/>
        <w:spacing w:after="180"/>
        <w:jc w:val="both"/>
        <w:textAlignment w:val="baseline"/>
        <w:rPr>
          <w:sz w:val="24"/>
          <w:szCs w:val="24"/>
        </w:rPr>
      </w:pPr>
      <w:r w:rsidRPr="00477619">
        <w:rPr>
          <w:sz w:val="24"/>
          <w:szCs w:val="24"/>
        </w:rPr>
        <w:t>THE CANADIAN SECURITIES EXCHANGE HAS NOT REVIEWED AND DOES NOT ACCEPT RESPONSIBILITY FOR THE ACCURACY OR ADEQUACY OF THIS RELEASE.</w:t>
      </w:r>
    </w:p>
    <w:p w14:paraId="72DC6941" w14:textId="77777777" w:rsidR="00477619" w:rsidRPr="00477619" w:rsidRDefault="00477619" w:rsidP="00477619">
      <w:pPr>
        <w:shd w:val="clear" w:color="auto" w:fill="FFFFFF"/>
        <w:spacing w:after="180"/>
        <w:jc w:val="both"/>
        <w:textAlignment w:val="baseline"/>
        <w:rPr>
          <w:sz w:val="24"/>
          <w:szCs w:val="24"/>
        </w:rPr>
      </w:pPr>
      <w:r w:rsidRPr="00477619">
        <w:rPr>
          <w:sz w:val="24"/>
          <w:szCs w:val="24"/>
        </w:rPr>
        <w:t>FORWARD LOOKING INFORMATION</w:t>
      </w:r>
    </w:p>
    <w:p w14:paraId="0CBEC692" w14:textId="77777777" w:rsidR="00477619" w:rsidRPr="00477619" w:rsidRDefault="00477619" w:rsidP="00477619">
      <w:pPr>
        <w:shd w:val="clear" w:color="auto" w:fill="FFFFFF"/>
        <w:spacing w:after="180"/>
        <w:jc w:val="both"/>
        <w:textAlignment w:val="baseline"/>
        <w:rPr>
          <w:sz w:val="18"/>
          <w:szCs w:val="18"/>
        </w:rPr>
      </w:pPr>
      <w:r w:rsidRPr="00477619">
        <w:rPr>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0DD48E82" w14:textId="77777777" w:rsidR="00477619" w:rsidRPr="00477619" w:rsidRDefault="00477619" w:rsidP="00477619">
      <w:pPr>
        <w:shd w:val="clear" w:color="auto" w:fill="FFFFFF"/>
        <w:spacing w:after="180"/>
        <w:jc w:val="both"/>
        <w:textAlignment w:val="baseline"/>
        <w:rPr>
          <w:sz w:val="18"/>
          <w:szCs w:val="18"/>
        </w:rPr>
      </w:pPr>
      <w:r w:rsidRPr="00477619">
        <w:rPr>
          <w:sz w:val="18"/>
          <w:szCs w:val="18"/>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w:t>
      </w:r>
      <w:r w:rsidRPr="00477619">
        <w:rPr>
          <w:sz w:val="18"/>
          <w:szCs w:val="18"/>
        </w:rPr>
        <w:lastRenderedPageBreak/>
        <w:t>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2E6BBEEF" w14:textId="77777777" w:rsidR="00477619" w:rsidRPr="00477619" w:rsidRDefault="00477619" w:rsidP="00477619">
      <w:pPr>
        <w:shd w:val="clear" w:color="auto" w:fill="FFFFFF"/>
        <w:spacing w:after="180"/>
        <w:jc w:val="both"/>
        <w:textAlignment w:val="baseline"/>
        <w:rPr>
          <w:sz w:val="18"/>
          <w:szCs w:val="18"/>
        </w:rPr>
      </w:pPr>
      <w:r w:rsidRPr="00477619">
        <w:rPr>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14:paraId="7688A904" w14:textId="77777777" w:rsidR="00477619" w:rsidRPr="00477619" w:rsidRDefault="00477619" w:rsidP="00477619">
      <w:pPr>
        <w:shd w:val="clear" w:color="auto" w:fill="FFFFFF"/>
        <w:spacing w:after="180"/>
        <w:jc w:val="both"/>
        <w:textAlignment w:val="baseline"/>
        <w:rPr>
          <w:sz w:val="24"/>
          <w:szCs w:val="24"/>
        </w:rPr>
      </w:pPr>
    </w:p>
    <w:p w14:paraId="129DD1AF" w14:textId="6FF056BD" w:rsidR="00EA4133" w:rsidRDefault="00EA4133" w:rsidP="00477619">
      <w:pPr>
        <w:autoSpaceDE w:val="0"/>
        <w:autoSpaceDN w:val="0"/>
        <w:adjustRightInd w:val="0"/>
        <w:jc w:val="center"/>
        <w:rPr>
          <w:rFonts w:ascii="Arial" w:hAnsi="Arial"/>
        </w:rPr>
      </w:pPr>
      <w:bookmarkStart w:id="9" w:name="_GoBack"/>
      <w:bookmarkEnd w:id="9"/>
    </w:p>
    <w:sectPr w:rsidR="00EA4133" w:rsidSect="00BF485B">
      <w:pgSz w:w="12240" w:h="15840"/>
      <w:pgMar w:top="1152"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048BE" w14:textId="77777777" w:rsidR="007D5811" w:rsidRDefault="007D5811">
      <w:r>
        <w:separator/>
      </w:r>
    </w:p>
  </w:endnote>
  <w:endnote w:type="continuationSeparator" w:id="0">
    <w:p w14:paraId="05483042" w14:textId="77777777" w:rsidR="007D5811" w:rsidRDefault="007D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B331" w14:textId="3FF63FA2" w:rsidR="00EA4133" w:rsidRDefault="00822026"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14:anchorId="767D46C6" wp14:editId="281EC848">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4647"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14:paraId="72AC2CF3"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5245516D"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994CA9"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994CA9" w:rsidRPr="002557FD">
      <w:rPr>
        <w:rStyle w:val="PageNumber"/>
        <w:rFonts w:ascii="Arial" w:hAnsi="Arial" w:cs="Arial"/>
        <w:sz w:val="16"/>
        <w:szCs w:val="16"/>
      </w:rPr>
      <w:fldChar w:fldCharType="separate"/>
    </w:r>
    <w:r w:rsidR="00B6181A">
      <w:rPr>
        <w:rStyle w:val="PageNumber"/>
        <w:rFonts w:ascii="Arial" w:hAnsi="Arial" w:cs="Arial"/>
        <w:noProof/>
        <w:sz w:val="16"/>
        <w:szCs w:val="16"/>
      </w:rPr>
      <w:t>1</w:t>
    </w:r>
    <w:r w:rsidR="00994CA9"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56E9" w14:textId="77777777" w:rsidR="00EA4133" w:rsidRDefault="007D5811">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15A1" w14:textId="77777777" w:rsidR="007D5811" w:rsidRDefault="007D5811">
      <w:r>
        <w:separator/>
      </w:r>
    </w:p>
  </w:footnote>
  <w:footnote w:type="continuationSeparator" w:id="0">
    <w:p w14:paraId="7F79C8C6" w14:textId="77777777" w:rsidR="007D5811" w:rsidRDefault="007D5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3B56F06"/>
    <w:multiLevelType w:val="hybridMultilevel"/>
    <w:tmpl w:val="52FE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D676DC"/>
    <w:multiLevelType w:val="hybridMultilevel"/>
    <w:tmpl w:val="95A6ABB6"/>
    <w:lvl w:ilvl="0" w:tplc="3D126A54">
      <w:start w:val="2"/>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D4C41BC"/>
    <w:multiLevelType w:val="hybridMultilevel"/>
    <w:tmpl w:val="B5EE141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7"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8" w15:restartNumberingAfterBreak="0">
    <w:nsid w:val="305208C1"/>
    <w:multiLevelType w:val="hybridMultilevel"/>
    <w:tmpl w:val="67FA6C70"/>
    <w:lvl w:ilvl="0" w:tplc="423AFA6A">
      <w:start w:val="9"/>
      <w:numFmt w:val="lowerLetter"/>
      <w:lvlText w:val="(%1)"/>
      <w:lvlJc w:val="left"/>
      <w:pPr>
        <w:ind w:left="1080" w:hanging="36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0"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37130E"/>
    <w:multiLevelType w:val="hybridMultilevel"/>
    <w:tmpl w:val="F3D4B2AA"/>
    <w:lvl w:ilvl="0" w:tplc="4A38D0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4"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6"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7"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8"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9"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0"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2" w15:restartNumberingAfterBreak="0">
    <w:nsid w:val="7DDC21E8"/>
    <w:multiLevelType w:val="hybridMultilevel"/>
    <w:tmpl w:val="52FE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7"/>
  </w:num>
  <w:num w:numId="3">
    <w:abstractNumId w:val="14"/>
  </w:num>
  <w:num w:numId="4">
    <w:abstractNumId w:val="18"/>
  </w:num>
  <w:num w:numId="5">
    <w:abstractNumId w:val="16"/>
  </w:num>
  <w:num w:numId="6">
    <w:abstractNumId w:val="0"/>
  </w:num>
  <w:num w:numId="7">
    <w:abstractNumId w:val="15"/>
  </w:num>
  <w:num w:numId="8">
    <w:abstractNumId w:val="9"/>
  </w:num>
  <w:num w:numId="9">
    <w:abstractNumId w:val="12"/>
  </w:num>
  <w:num w:numId="10">
    <w:abstractNumId w:val="7"/>
  </w:num>
  <w:num w:numId="11">
    <w:abstractNumId w:val="19"/>
  </w:num>
  <w:num w:numId="12">
    <w:abstractNumId w:val="21"/>
  </w:num>
  <w:num w:numId="13">
    <w:abstractNumId w:val="6"/>
  </w:num>
  <w:num w:numId="14">
    <w:abstractNumId w:val="13"/>
  </w:num>
  <w:num w:numId="15">
    <w:abstractNumId w:val="2"/>
  </w:num>
  <w:num w:numId="16">
    <w:abstractNumId w:val="20"/>
  </w:num>
  <w:num w:numId="17">
    <w:abstractNumId w:val="10"/>
  </w:num>
  <w:num w:numId="18">
    <w:abstractNumId w:val="8"/>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17CDA"/>
    <w:rsid w:val="000B64EF"/>
    <w:rsid w:val="000D033A"/>
    <w:rsid w:val="000E13D1"/>
    <w:rsid w:val="00116314"/>
    <w:rsid w:val="00143A56"/>
    <w:rsid w:val="00173F0B"/>
    <w:rsid w:val="00181981"/>
    <w:rsid w:val="00186DA5"/>
    <w:rsid w:val="00192C0D"/>
    <w:rsid w:val="001C6898"/>
    <w:rsid w:val="00214577"/>
    <w:rsid w:val="00230C4A"/>
    <w:rsid w:val="002557FD"/>
    <w:rsid w:val="00275AA2"/>
    <w:rsid w:val="002F0416"/>
    <w:rsid w:val="00326D55"/>
    <w:rsid w:val="0033737E"/>
    <w:rsid w:val="003C0273"/>
    <w:rsid w:val="003E74D2"/>
    <w:rsid w:val="00437D39"/>
    <w:rsid w:val="00456624"/>
    <w:rsid w:val="004570DC"/>
    <w:rsid w:val="00477619"/>
    <w:rsid w:val="004A1403"/>
    <w:rsid w:val="004B214D"/>
    <w:rsid w:val="004B3AAE"/>
    <w:rsid w:val="005349EE"/>
    <w:rsid w:val="005441E9"/>
    <w:rsid w:val="0056101E"/>
    <w:rsid w:val="0059366F"/>
    <w:rsid w:val="00617A0E"/>
    <w:rsid w:val="0062717F"/>
    <w:rsid w:val="00673DA3"/>
    <w:rsid w:val="006B77C2"/>
    <w:rsid w:val="006D2DA7"/>
    <w:rsid w:val="006E4489"/>
    <w:rsid w:val="00740296"/>
    <w:rsid w:val="007568B3"/>
    <w:rsid w:val="007B0425"/>
    <w:rsid w:val="007D5811"/>
    <w:rsid w:val="007E2247"/>
    <w:rsid w:val="008003B9"/>
    <w:rsid w:val="00822026"/>
    <w:rsid w:val="00884D51"/>
    <w:rsid w:val="00887614"/>
    <w:rsid w:val="008D3F52"/>
    <w:rsid w:val="008F27FF"/>
    <w:rsid w:val="009136E7"/>
    <w:rsid w:val="009169CF"/>
    <w:rsid w:val="00944A1B"/>
    <w:rsid w:val="009466F0"/>
    <w:rsid w:val="009772A2"/>
    <w:rsid w:val="0097763E"/>
    <w:rsid w:val="00994CA9"/>
    <w:rsid w:val="009B79B4"/>
    <w:rsid w:val="009C5B2A"/>
    <w:rsid w:val="00A00C54"/>
    <w:rsid w:val="00A10285"/>
    <w:rsid w:val="00A435D8"/>
    <w:rsid w:val="00A621E1"/>
    <w:rsid w:val="00A83483"/>
    <w:rsid w:val="00A90670"/>
    <w:rsid w:val="00A93530"/>
    <w:rsid w:val="00A9392C"/>
    <w:rsid w:val="00AA60FB"/>
    <w:rsid w:val="00AB41AA"/>
    <w:rsid w:val="00AD7E53"/>
    <w:rsid w:val="00AF6D33"/>
    <w:rsid w:val="00B50D12"/>
    <w:rsid w:val="00B611B0"/>
    <w:rsid w:val="00B6181A"/>
    <w:rsid w:val="00B76B31"/>
    <w:rsid w:val="00B7772A"/>
    <w:rsid w:val="00B923F6"/>
    <w:rsid w:val="00BC69F4"/>
    <w:rsid w:val="00BD11F2"/>
    <w:rsid w:val="00BF7215"/>
    <w:rsid w:val="00C40BEA"/>
    <w:rsid w:val="00C56AB5"/>
    <w:rsid w:val="00C9413E"/>
    <w:rsid w:val="00CA05B4"/>
    <w:rsid w:val="00CB0698"/>
    <w:rsid w:val="00CC5FE6"/>
    <w:rsid w:val="00CF076A"/>
    <w:rsid w:val="00CF2A90"/>
    <w:rsid w:val="00CF35F6"/>
    <w:rsid w:val="00D2163B"/>
    <w:rsid w:val="00D4272B"/>
    <w:rsid w:val="00D5001C"/>
    <w:rsid w:val="00DB640C"/>
    <w:rsid w:val="00DF052A"/>
    <w:rsid w:val="00E20202"/>
    <w:rsid w:val="00E20596"/>
    <w:rsid w:val="00E55E58"/>
    <w:rsid w:val="00E97C13"/>
    <w:rsid w:val="00EA07F1"/>
    <w:rsid w:val="00EA2C9C"/>
    <w:rsid w:val="00EA4133"/>
    <w:rsid w:val="00EB353F"/>
    <w:rsid w:val="00F85428"/>
    <w:rsid w:val="00FA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28BB2"/>
  <w15:docId w15:val="{3E20DB74-72AE-4952-9402-15B5482D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C9C"/>
  </w:style>
  <w:style w:type="paragraph" w:styleId="Heading2">
    <w:name w:val="heading 2"/>
    <w:basedOn w:val="BodyText"/>
    <w:next w:val="BodyText"/>
    <w:qFormat/>
    <w:rsid w:val="00994CA9"/>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4CA9"/>
    <w:pPr>
      <w:spacing w:before="240"/>
    </w:pPr>
    <w:rPr>
      <w:sz w:val="24"/>
      <w:lang w:val="en-GB"/>
    </w:rPr>
  </w:style>
  <w:style w:type="paragraph" w:styleId="List">
    <w:name w:val="List"/>
    <w:basedOn w:val="BodyText"/>
    <w:rsid w:val="00994CA9"/>
    <w:pPr>
      <w:ind w:left="1080" w:hanging="1080"/>
    </w:pPr>
  </w:style>
  <w:style w:type="paragraph" w:styleId="List2">
    <w:name w:val="List 2"/>
    <w:basedOn w:val="List"/>
    <w:rsid w:val="00994CA9"/>
    <w:pPr>
      <w:ind w:left="1800" w:hanging="720"/>
    </w:pPr>
  </w:style>
  <w:style w:type="paragraph" w:styleId="Title">
    <w:name w:val="Title"/>
    <w:basedOn w:val="BodyText"/>
    <w:qFormat/>
    <w:rsid w:val="00994CA9"/>
    <w:pPr>
      <w:spacing w:after="240"/>
      <w:jc w:val="center"/>
    </w:pPr>
    <w:rPr>
      <w:rFonts w:ascii="Arial" w:hAnsi="Arial"/>
      <w:b/>
      <w:sz w:val="40"/>
    </w:rPr>
  </w:style>
  <w:style w:type="paragraph" w:customStyle="1" w:styleId="amend">
    <w:name w:val="amend"/>
    <w:basedOn w:val="Normal"/>
    <w:rsid w:val="00994CA9"/>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94CA9"/>
    <w:pPr>
      <w:tabs>
        <w:tab w:val="center" w:pos="4320"/>
        <w:tab w:val="right" w:pos="8640"/>
      </w:tabs>
    </w:pPr>
  </w:style>
  <w:style w:type="paragraph" w:styleId="Footer">
    <w:name w:val="footer"/>
    <w:basedOn w:val="Normal"/>
    <w:rsid w:val="00994CA9"/>
    <w:pPr>
      <w:tabs>
        <w:tab w:val="center" w:pos="4320"/>
        <w:tab w:val="right" w:pos="8640"/>
      </w:tabs>
    </w:pPr>
  </w:style>
  <w:style w:type="character" w:styleId="PageNumber">
    <w:name w:val="page number"/>
    <w:basedOn w:val="DefaultParagraphFont"/>
    <w:rsid w:val="00994CA9"/>
  </w:style>
  <w:style w:type="paragraph" w:styleId="EndnoteText">
    <w:name w:val="endnote text"/>
    <w:basedOn w:val="Normal"/>
    <w:semiHidden/>
    <w:rsid w:val="00994CA9"/>
    <w:pPr>
      <w:widowControl w:val="0"/>
    </w:pPr>
    <w:rPr>
      <w:rFonts w:ascii="Helv 12pt" w:hAnsi="Helv 12pt"/>
      <w:sz w:val="24"/>
    </w:rPr>
  </w:style>
  <w:style w:type="paragraph" w:styleId="BalloonText">
    <w:name w:val="Balloon Text"/>
    <w:basedOn w:val="Normal"/>
    <w:semiHidden/>
    <w:rsid w:val="00994CA9"/>
    <w:rPr>
      <w:rFonts w:ascii="Tahoma" w:hAnsi="Tahoma" w:cs="Tahoma"/>
      <w:sz w:val="16"/>
      <w:szCs w:val="16"/>
    </w:rPr>
  </w:style>
  <w:style w:type="paragraph" w:styleId="FootnoteText">
    <w:name w:val="footnote text"/>
    <w:basedOn w:val="Normal"/>
    <w:semiHidden/>
    <w:rsid w:val="00994CA9"/>
  </w:style>
  <w:style w:type="character" w:styleId="FootnoteReference">
    <w:name w:val="footnote reference"/>
    <w:semiHidden/>
    <w:rsid w:val="00994CA9"/>
    <w:rPr>
      <w:vertAlign w:val="superscript"/>
    </w:rPr>
  </w:style>
  <w:style w:type="character" w:customStyle="1" w:styleId="BodyTextChar">
    <w:name w:val="Body Text Char"/>
    <w:basedOn w:val="DefaultParagraphFont"/>
    <w:link w:val="BodyText"/>
    <w:rsid w:val="00887614"/>
    <w:rPr>
      <w:sz w:val="24"/>
      <w:lang w:val="en-GB"/>
    </w:rPr>
  </w:style>
  <w:style w:type="character" w:styleId="CommentReference">
    <w:name w:val="annotation reference"/>
    <w:basedOn w:val="DefaultParagraphFont"/>
    <w:uiPriority w:val="99"/>
    <w:semiHidden/>
    <w:unhideWhenUsed/>
    <w:rsid w:val="00AB41AA"/>
    <w:rPr>
      <w:sz w:val="16"/>
      <w:szCs w:val="16"/>
    </w:rPr>
  </w:style>
  <w:style w:type="paragraph" w:styleId="CommentText">
    <w:name w:val="annotation text"/>
    <w:basedOn w:val="Normal"/>
    <w:link w:val="CommentTextChar"/>
    <w:uiPriority w:val="99"/>
    <w:semiHidden/>
    <w:unhideWhenUsed/>
    <w:rsid w:val="00AB41AA"/>
  </w:style>
  <w:style w:type="character" w:customStyle="1" w:styleId="CommentTextChar">
    <w:name w:val="Comment Text Char"/>
    <w:basedOn w:val="DefaultParagraphFont"/>
    <w:link w:val="CommentText"/>
    <w:uiPriority w:val="99"/>
    <w:semiHidden/>
    <w:rsid w:val="00AB41AA"/>
  </w:style>
  <w:style w:type="paragraph" w:styleId="CommentSubject">
    <w:name w:val="annotation subject"/>
    <w:basedOn w:val="CommentText"/>
    <w:next w:val="CommentText"/>
    <w:link w:val="CommentSubjectChar"/>
    <w:uiPriority w:val="99"/>
    <w:semiHidden/>
    <w:unhideWhenUsed/>
    <w:rsid w:val="00AB41AA"/>
    <w:rPr>
      <w:b/>
      <w:bCs/>
    </w:rPr>
  </w:style>
  <w:style w:type="character" w:customStyle="1" w:styleId="CommentSubjectChar">
    <w:name w:val="Comment Subject Char"/>
    <w:basedOn w:val="CommentTextChar"/>
    <w:link w:val="CommentSubject"/>
    <w:uiPriority w:val="99"/>
    <w:semiHidden/>
    <w:rsid w:val="00AB41AA"/>
    <w:rPr>
      <w:b/>
      <w:bCs/>
    </w:rPr>
  </w:style>
  <w:style w:type="paragraph" w:styleId="ListParagraph">
    <w:name w:val="List Paragraph"/>
    <w:basedOn w:val="Normal"/>
    <w:uiPriority w:val="34"/>
    <w:qFormat/>
    <w:rsid w:val="00AB41AA"/>
    <w:pPr>
      <w:ind w:left="720"/>
      <w:contextualSpacing/>
    </w:pPr>
  </w:style>
  <w:style w:type="paragraph" w:styleId="NoSpacing">
    <w:name w:val="No Spacing"/>
    <w:rsid w:val="00944A1B"/>
    <w:pPr>
      <w:pBdr>
        <w:top w:val="nil"/>
        <w:left w:val="nil"/>
        <w:bottom w:val="nil"/>
        <w:right w:val="nil"/>
        <w:between w:val="nil"/>
        <w:bar w:val="nil"/>
      </w:pBdr>
    </w:pPr>
    <w:rPr>
      <w:rFonts w:ascii="Calibri" w:eastAsia="Calibri" w:hAnsi="Calibri" w:cs="Calibri"/>
      <w:color w:val="000000"/>
      <w:sz w:val="21"/>
      <w:szCs w:val="21"/>
      <w:u w:color="000000"/>
      <w:bdr w:val="nil"/>
      <w:lang w:eastAsia="en-CA"/>
    </w:rPr>
  </w:style>
  <w:style w:type="paragraph" w:customStyle="1" w:styleId="Default">
    <w:name w:val="Default"/>
    <w:rsid w:val="00944A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1482">
      <w:bodyDiv w:val="1"/>
      <w:marLeft w:val="0"/>
      <w:marRight w:val="0"/>
      <w:marTop w:val="0"/>
      <w:marBottom w:val="0"/>
      <w:divBdr>
        <w:top w:val="none" w:sz="0" w:space="0" w:color="auto"/>
        <w:left w:val="none" w:sz="0" w:space="0" w:color="auto"/>
        <w:bottom w:val="none" w:sz="0" w:space="0" w:color="auto"/>
        <w:right w:val="none" w:sz="0" w:space="0" w:color="auto"/>
      </w:divBdr>
    </w:div>
    <w:div w:id="1077947313">
      <w:bodyDiv w:val="1"/>
      <w:marLeft w:val="0"/>
      <w:marRight w:val="0"/>
      <w:marTop w:val="0"/>
      <w:marBottom w:val="0"/>
      <w:divBdr>
        <w:top w:val="none" w:sz="0" w:space="0" w:color="auto"/>
        <w:left w:val="none" w:sz="0" w:space="0" w:color="auto"/>
        <w:bottom w:val="none" w:sz="0" w:space="0" w:color="auto"/>
        <w:right w:val="none" w:sz="0" w:space="0" w:color="auto"/>
      </w:divBdr>
    </w:div>
    <w:div w:id="17812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ewsletter@alliancegrow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growers.com" TargetMode="External"/><Relationship Id="rId5" Type="http://schemas.openxmlformats.org/officeDocument/2006/relationships/webSettings" Target="webSettings.xml"/><Relationship Id="rId15" Type="http://schemas.openxmlformats.org/officeDocument/2006/relationships/hyperlink" Target="mailto:RobDGrace@gmail.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FE4DDA-9B58-45F0-8C36-BCFCA3CE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Ian Lambert</cp:lastModifiedBy>
  <cp:revision>3</cp:revision>
  <cp:lastPrinted>2004-05-20T20:47:00Z</cp:lastPrinted>
  <dcterms:created xsi:type="dcterms:W3CDTF">2018-04-19T03:03:00Z</dcterms:created>
  <dcterms:modified xsi:type="dcterms:W3CDTF">2018-04-19T14:00:00Z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