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6F" w:rsidRDefault="00783621" w:rsidP="00614C6F">
      <w:pPr>
        <w:pStyle w:val="Default"/>
        <w:rPr>
          <w:b/>
          <w:bCs/>
        </w:rPr>
      </w:pPr>
    </w:p>
    <w:p w:rsidR="00E12D6C" w:rsidRPr="00851AD2" w:rsidRDefault="00783621" w:rsidP="00E906A5">
      <w:pPr>
        <w:pStyle w:val="Default"/>
        <w:jc w:val="center"/>
        <w:rPr>
          <w:b/>
          <w:bCs/>
        </w:rPr>
      </w:pPr>
      <w:r>
        <w:rPr>
          <w:b/>
          <w:bCs/>
        </w:rPr>
        <w:t>AFFINOR GROWERS ANNOUNCES UNSECURED CONVERTIBLE DEBENTURE OFFERING</w:t>
      </w:r>
    </w:p>
    <w:p w:rsidR="00614C6F" w:rsidRPr="00D80694" w:rsidRDefault="00783621" w:rsidP="00614C6F">
      <w:pPr>
        <w:pStyle w:val="Default"/>
      </w:pPr>
    </w:p>
    <w:p w:rsidR="006A3635" w:rsidRPr="00E906A5" w:rsidRDefault="00783621" w:rsidP="00D80694">
      <w:pPr>
        <w:pStyle w:val="Default"/>
        <w:jc w:val="both"/>
      </w:pPr>
      <w:r w:rsidRPr="00D80694">
        <w:rPr>
          <w:b/>
          <w:bCs/>
          <w:iCs/>
        </w:rPr>
        <w:t>Vancouver (Canada)</w:t>
      </w:r>
      <w:r w:rsidRPr="00D80694">
        <w:rPr>
          <w:b/>
          <w:bCs/>
          <w:iCs/>
        </w:rPr>
        <w:t>,</w:t>
      </w:r>
      <w:r w:rsidRPr="00D8069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September </w:t>
      </w:r>
      <w:r w:rsidR="007D062B">
        <w:rPr>
          <w:b/>
          <w:bCs/>
          <w:iCs/>
        </w:rPr>
        <w:t>24</w:t>
      </w:r>
      <w:r w:rsidRPr="00D80694">
        <w:rPr>
          <w:b/>
          <w:bCs/>
          <w:iCs/>
        </w:rPr>
        <w:t>, 201</w:t>
      </w:r>
      <w:r>
        <w:rPr>
          <w:b/>
          <w:bCs/>
          <w:iCs/>
        </w:rPr>
        <w:t>9</w:t>
      </w:r>
      <w:r w:rsidRPr="00D80694">
        <w:rPr>
          <w:b/>
          <w:bCs/>
          <w:iCs/>
        </w:rPr>
        <w:t xml:space="preserve"> – Affinor Growers Inc. (</w:t>
      </w:r>
      <w:r>
        <w:rPr>
          <w:b/>
          <w:bCs/>
          <w:iCs/>
        </w:rPr>
        <w:t xml:space="preserve">the “Company” or </w:t>
      </w:r>
      <w:r w:rsidRPr="00D80694">
        <w:rPr>
          <w:b/>
          <w:bCs/>
          <w:iCs/>
        </w:rPr>
        <w:t>“Affinor Growers”)</w:t>
      </w:r>
      <w:r>
        <w:t xml:space="preserve"> (</w:t>
      </w:r>
      <w:proofErr w:type="gramStart"/>
      <w:r>
        <w:t>CSE:AFI</w:t>
      </w:r>
      <w:proofErr w:type="gramEnd"/>
      <w:r>
        <w:t xml:space="preserve">, OTC:RSSFF, Frankfurt:1AF) announces </w:t>
      </w:r>
      <w:r>
        <w:t>a non-brokered financing of unsecured convertible debentures (the “</w:t>
      </w:r>
      <w:r>
        <w:rPr>
          <w:b/>
        </w:rPr>
        <w:t>Debenture</w:t>
      </w:r>
      <w:r>
        <w:rPr>
          <w:b/>
        </w:rPr>
        <w:t>s</w:t>
      </w:r>
      <w:r>
        <w:t>”) in the principal amount of $500,000 (the “</w:t>
      </w:r>
      <w:r w:rsidRPr="00E906A5">
        <w:rPr>
          <w:b/>
        </w:rPr>
        <w:t>Offering</w:t>
      </w:r>
      <w:r>
        <w:t>”</w:t>
      </w:r>
      <w:r>
        <w:t xml:space="preserve"> or “</w:t>
      </w:r>
      <w:r w:rsidRPr="003242C1">
        <w:rPr>
          <w:b/>
        </w:rPr>
        <w:t>Principal Amount</w:t>
      </w:r>
      <w:r>
        <w:t>”</w:t>
      </w:r>
      <w:r>
        <w:t>)</w:t>
      </w:r>
      <w:r>
        <w:rPr>
          <w:bCs/>
        </w:rPr>
        <w:t>.  The Company may increase the size of the Offering at</w:t>
      </w:r>
      <w:r>
        <w:rPr>
          <w:bCs/>
        </w:rPr>
        <w:t xml:space="preserve"> the sole discretion of the board of directors.</w:t>
      </w:r>
    </w:p>
    <w:p w:rsidR="00D80694" w:rsidRDefault="00783621" w:rsidP="00D80694">
      <w:pPr>
        <w:pStyle w:val="Default"/>
        <w:jc w:val="both"/>
        <w:rPr>
          <w:bCs/>
        </w:rPr>
      </w:pPr>
    </w:p>
    <w:p w:rsidR="003242C1" w:rsidRDefault="00783621" w:rsidP="00D80694">
      <w:pPr>
        <w:pStyle w:val="Default"/>
        <w:jc w:val="both"/>
        <w:rPr>
          <w:bCs/>
        </w:rPr>
      </w:pPr>
      <w:r>
        <w:rPr>
          <w:bCs/>
        </w:rPr>
        <w:t>The Debenture</w:t>
      </w:r>
      <w:r>
        <w:rPr>
          <w:bCs/>
        </w:rPr>
        <w:t>s</w:t>
      </w:r>
      <w:r>
        <w:rPr>
          <w:bCs/>
        </w:rPr>
        <w:t xml:space="preserve"> will mature on the date that is twelve months from the date of issuance (the “</w:t>
      </w:r>
      <w:r w:rsidRPr="00073F61">
        <w:rPr>
          <w:b/>
          <w:bCs/>
        </w:rPr>
        <w:t>Issue Date</w:t>
      </w:r>
      <w:r>
        <w:rPr>
          <w:bCs/>
        </w:rPr>
        <w:t>”) and bear inte</w:t>
      </w:r>
      <w:r>
        <w:rPr>
          <w:bCs/>
        </w:rPr>
        <w:t>rest at a rate of 15</w:t>
      </w:r>
      <w:r>
        <w:rPr>
          <w:bCs/>
        </w:rPr>
        <w:t xml:space="preserve">% per annum, </w:t>
      </w:r>
      <w:r>
        <w:rPr>
          <w:bCs/>
        </w:rPr>
        <w:t xml:space="preserve">accrued and paid </w:t>
      </w:r>
      <w:r>
        <w:rPr>
          <w:bCs/>
        </w:rPr>
        <w:t>annually, with such interest rate bein</w:t>
      </w:r>
      <w:r>
        <w:rPr>
          <w:bCs/>
        </w:rPr>
        <w:t>g calculated on the basis of 30 days per month and 360 days per year.</w:t>
      </w:r>
    </w:p>
    <w:p w:rsidR="003242C1" w:rsidRDefault="00783621" w:rsidP="00D80694">
      <w:pPr>
        <w:pStyle w:val="Default"/>
        <w:jc w:val="both"/>
        <w:rPr>
          <w:bCs/>
        </w:rPr>
      </w:pPr>
    </w:p>
    <w:p w:rsidR="00D80694" w:rsidRDefault="00783621" w:rsidP="00D80694">
      <w:pPr>
        <w:pStyle w:val="Default"/>
        <w:jc w:val="both"/>
        <w:rPr>
          <w:bCs/>
        </w:rPr>
      </w:pPr>
      <w:r>
        <w:rPr>
          <w:bCs/>
        </w:rPr>
        <w:t>Repayment of the Principal Amount, together with the interest accrued but unpaid, will be made on or prior to 5:00 p.m. (Vancouver time), on the date which i</w:t>
      </w:r>
      <w:bookmarkStart w:id="0" w:name="_GoBack"/>
      <w:bookmarkEnd w:id="0"/>
      <w:r>
        <w:rPr>
          <w:bCs/>
        </w:rPr>
        <w:t>s 12 months following the Is</w:t>
      </w:r>
      <w:r>
        <w:rPr>
          <w:bCs/>
        </w:rPr>
        <w:t>sue Date (</w:t>
      </w:r>
      <w:r>
        <w:rPr>
          <w:bCs/>
        </w:rPr>
        <w:t xml:space="preserve">the </w:t>
      </w:r>
      <w:r>
        <w:rPr>
          <w:bCs/>
        </w:rPr>
        <w:t>“</w:t>
      </w:r>
      <w:r w:rsidRPr="003242C1">
        <w:rPr>
          <w:b/>
          <w:bCs/>
        </w:rPr>
        <w:t>Maturity Date</w:t>
      </w:r>
      <w:r>
        <w:rPr>
          <w:bCs/>
        </w:rPr>
        <w:t>”).</w:t>
      </w:r>
    </w:p>
    <w:p w:rsidR="00073F61" w:rsidRDefault="00783621" w:rsidP="00D80694">
      <w:pPr>
        <w:pStyle w:val="Default"/>
        <w:jc w:val="both"/>
        <w:rPr>
          <w:bCs/>
        </w:rPr>
      </w:pPr>
    </w:p>
    <w:p w:rsidR="00073F61" w:rsidRDefault="00783621" w:rsidP="00D80694">
      <w:pPr>
        <w:pStyle w:val="Default"/>
        <w:jc w:val="both"/>
        <w:rPr>
          <w:bCs/>
        </w:rPr>
      </w:pPr>
      <w:r>
        <w:rPr>
          <w:bCs/>
        </w:rPr>
        <w:t>The Principal Amount and any accrued and unpaid interest on the Debenture</w:t>
      </w:r>
      <w:r>
        <w:rPr>
          <w:bCs/>
        </w:rPr>
        <w:t>s</w:t>
      </w:r>
      <w:r>
        <w:rPr>
          <w:bCs/>
        </w:rPr>
        <w:t xml:space="preserve"> may be convertible </w:t>
      </w:r>
      <w:r>
        <w:rPr>
          <w:bCs/>
        </w:rPr>
        <w:t xml:space="preserve">at the election of the holder </w:t>
      </w:r>
      <w:r>
        <w:rPr>
          <w:bCs/>
        </w:rPr>
        <w:t>into common shares in the capital of the Company (the “</w:t>
      </w:r>
      <w:r w:rsidRPr="00073F61">
        <w:rPr>
          <w:b/>
          <w:bCs/>
        </w:rPr>
        <w:t>Shares</w:t>
      </w:r>
      <w:r>
        <w:rPr>
          <w:bCs/>
        </w:rPr>
        <w:t>”), in whole or in part, at any time following the Issue Date but on or before the Maturity Date at a conversion price of the greater of $0.05 per Share or the 20 day volume weighted average trading price of the Shares, or such other minimum as required by</w:t>
      </w:r>
      <w:r>
        <w:rPr>
          <w:bCs/>
        </w:rPr>
        <w:t xml:space="preserve"> the policies of the Canadian Securities Exchange (the “</w:t>
      </w:r>
      <w:r w:rsidRPr="003242C1">
        <w:rPr>
          <w:b/>
          <w:bCs/>
        </w:rPr>
        <w:t>Conversion Price</w:t>
      </w:r>
      <w:r>
        <w:rPr>
          <w:bCs/>
        </w:rPr>
        <w:t>”).</w:t>
      </w:r>
    </w:p>
    <w:p w:rsidR="00073F61" w:rsidRDefault="00783621" w:rsidP="00D80694">
      <w:pPr>
        <w:pStyle w:val="Default"/>
        <w:jc w:val="both"/>
        <w:rPr>
          <w:bCs/>
        </w:rPr>
      </w:pPr>
    </w:p>
    <w:p w:rsidR="003242C1" w:rsidRDefault="00783621" w:rsidP="00D80694">
      <w:pPr>
        <w:pStyle w:val="Default"/>
        <w:jc w:val="both"/>
        <w:rPr>
          <w:bCs/>
        </w:rPr>
      </w:pPr>
      <w:r>
        <w:rPr>
          <w:bCs/>
        </w:rPr>
        <w:t xml:space="preserve">Further, the Company may elect to force settlement of the Principal Amount together with any interest accrued but unpaid </w:t>
      </w:r>
      <w:r>
        <w:rPr>
          <w:bCs/>
        </w:rPr>
        <w:t>on the Debenture</w:t>
      </w:r>
      <w:r>
        <w:rPr>
          <w:bCs/>
        </w:rPr>
        <w:t>s</w:t>
      </w:r>
      <w:r>
        <w:rPr>
          <w:bCs/>
        </w:rPr>
        <w:t xml:space="preserve"> if the Company completes an equity finan</w:t>
      </w:r>
      <w:r>
        <w:rPr>
          <w:bCs/>
        </w:rPr>
        <w:t xml:space="preserve">cing of common shares or units on not less than 5 days’ notice.  The </w:t>
      </w:r>
      <w:r>
        <w:rPr>
          <w:bCs/>
        </w:rPr>
        <w:t xml:space="preserve">Company </w:t>
      </w:r>
      <w:r>
        <w:rPr>
          <w:bCs/>
        </w:rPr>
        <w:t>may also from time to time prepay all or part of the Principal Amount plus accrued and unpaid interest without penalty or bonus.</w:t>
      </w:r>
    </w:p>
    <w:p w:rsidR="003242C1" w:rsidRDefault="00783621" w:rsidP="00D80694">
      <w:pPr>
        <w:pStyle w:val="Default"/>
        <w:jc w:val="both"/>
        <w:rPr>
          <w:bCs/>
        </w:rPr>
      </w:pPr>
    </w:p>
    <w:p w:rsidR="00073F61" w:rsidRDefault="00783621" w:rsidP="00D80694">
      <w:pPr>
        <w:pStyle w:val="Default"/>
        <w:jc w:val="both"/>
        <w:rPr>
          <w:bCs/>
        </w:rPr>
      </w:pPr>
      <w:r>
        <w:rPr>
          <w:bCs/>
        </w:rPr>
        <w:t>The Debentures and the Shares issuable upon the c</w:t>
      </w:r>
      <w:r>
        <w:rPr>
          <w:bCs/>
        </w:rPr>
        <w:t>onversion of the Debentures will be subject to a statutory resale restriction for four months and one day from the date of closing.</w:t>
      </w:r>
    </w:p>
    <w:p w:rsidR="00D80694" w:rsidRDefault="00783621" w:rsidP="00D80694">
      <w:pPr>
        <w:pStyle w:val="Default"/>
        <w:jc w:val="both"/>
        <w:rPr>
          <w:bCs/>
        </w:rPr>
      </w:pPr>
    </w:p>
    <w:p w:rsidR="00073F61" w:rsidRDefault="00783621" w:rsidP="00D80694">
      <w:pPr>
        <w:pStyle w:val="Default"/>
        <w:jc w:val="both"/>
      </w:pPr>
      <w:r>
        <w:t>The proceeds of the O</w:t>
      </w:r>
      <w:r w:rsidRPr="00D80694">
        <w:t>ffering will be used to for gene</w:t>
      </w:r>
      <w:r>
        <w:t>ral working capital purposes</w:t>
      </w:r>
      <w:r>
        <w:t>.</w:t>
      </w:r>
    </w:p>
    <w:p w:rsidR="00073F61" w:rsidRDefault="00783621" w:rsidP="00D80694">
      <w:pPr>
        <w:pStyle w:val="Default"/>
        <w:jc w:val="both"/>
      </w:pPr>
    </w:p>
    <w:p w:rsidR="00073F61" w:rsidRPr="00073F61" w:rsidRDefault="00783621" w:rsidP="00073F61">
      <w:pPr>
        <w:pStyle w:val="Default"/>
        <w:jc w:val="both"/>
      </w:pPr>
      <w:r>
        <w:t>The Debentures will not be listed or po</w:t>
      </w:r>
      <w:r>
        <w:t>ste</w:t>
      </w:r>
      <w:r>
        <w:t>d for trading on any exchange.</w:t>
      </w:r>
    </w:p>
    <w:p w:rsidR="00073F61" w:rsidRDefault="00783621" w:rsidP="00D80694">
      <w:pPr>
        <w:pStyle w:val="Default"/>
        <w:jc w:val="both"/>
      </w:pPr>
    </w:p>
    <w:p w:rsidR="00D80694" w:rsidRDefault="00783621" w:rsidP="00D80694">
      <w:pPr>
        <w:rPr>
          <w:b/>
          <w:bCs/>
        </w:rPr>
      </w:pPr>
      <w:r>
        <w:rPr>
          <w:b/>
          <w:bCs/>
        </w:rPr>
        <w:t>About Affinor Growers Inc.</w:t>
      </w:r>
    </w:p>
    <w:p w:rsidR="00D80694" w:rsidRDefault="00783621" w:rsidP="00D80694">
      <w:pPr>
        <w:rPr>
          <w:b/>
          <w:bCs/>
        </w:rPr>
      </w:pPr>
    </w:p>
    <w:p w:rsidR="00D80694" w:rsidRDefault="00783621" w:rsidP="00D80694">
      <w:pPr>
        <w:jc w:val="both"/>
      </w:pPr>
      <w:r>
        <w:lastRenderedPageBreak/>
        <w:t>Affinor Growers is a publicly traded company on the Canadian Securities Exchange under the symbol (“AFI”). Affinor</w:t>
      </w:r>
      <w:r>
        <w:t xml:space="preserve"> i</w:t>
      </w:r>
      <w:r w:rsidRPr="005C74DD">
        <w:t>s focused on developing vertical farming technologies and using those technol</w:t>
      </w:r>
      <w:r w:rsidRPr="005C74DD">
        <w:t>ogies to grow fruits and veg</w:t>
      </w:r>
      <w:r>
        <w:t>etables in a sustainable manner</w:t>
      </w:r>
      <w:r>
        <w:t xml:space="preserve">. </w:t>
      </w:r>
    </w:p>
    <w:p w:rsidR="00D80694" w:rsidRDefault="00783621" w:rsidP="00D80694"/>
    <w:p w:rsidR="00D80694" w:rsidRDefault="00783621" w:rsidP="00D80694">
      <w:pPr>
        <w:rPr>
          <w:lang w:val="en-US"/>
        </w:rPr>
      </w:pPr>
    </w:p>
    <w:p w:rsidR="00D80694" w:rsidRDefault="00783621" w:rsidP="00963480">
      <w:pPr>
        <w:jc w:val="both"/>
        <w:rPr>
          <w:lang w:val="en-US"/>
        </w:rPr>
      </w:pPr>
      <w:r>
        <w:rPr>
          <w:lang w:val="en-US"/>
        </w:rPr>
        <w:t>T</w:t>
      </w:r>
      <w:r w:rsidRPr="00D80694">
        <w:rPr>
          <w:lang w:val="en-US"/>
        </w:rPr>
        <w:t xml:space="preserve">his news release may contain assumptions, estimates, and other forward-looking statements regarding future events. Such forward-looking statements involve inherent risks and </w:t>
      </w:r>
      <w:r w:rsidRPr="00D80694">
        <w:rPr>
          <w:lang w:val="en-US"/>
        </w:rPr>
        <w:t>uncertainties and are subject to factor</w:t>
      </w:r>
      <w:r>
        <w:rPr>
          <w:lang w:val="en-US"/>
        </w:rPr>
        <w:t xml:space="preserve">s, many of which are beyond Affinor Growers’ </w:t>
      </w:r>
      <w:r w:rsidRPr="00D80694">
        <w:rPr>
          <w:lang w:val="en-US"/>
        </w:rPr>
        <w:t>control that may cause actual results or performance to differ materially from those currently anticipated in such statem</w:t>
      </w:r>
      <w:r>
        <w:rPr>
          <w:lang w:val="en-US"/>
        </w:rPr>
        <w:t xml:space="preserve">ents. </w:t>
      </w:r>
    </w:p>
    <w:p w:rsidR="006E3B7F" w:rsidRDefault="00783621" w:rsidP="00D80694">
      <w:pPr>
        <w:rPr>
          <w:lang w:val="en-US"/>
        </w:rPr>
      </w:pPr>
    </w:p>
    <w:p w:rsidR="00D80694" w:rsidRDefault="00783621" w:rsidP="00D80694">
      <w:pPr>
        <w:rPr>
          <w:lang w:val="en-US"/>
        </w:rPr>
      </w:pPr>
      <w:r w:rsidRPr="00D80694">
        <w:rPr>
          <w:b/>
          <w:bCs/>
          <w:lang w:val="en-US"/>
        </w:rPr>
        <w:t xml:space="preserve">AFFINOR GROWERS INC. </w:t>
      </w:r>
      <w:r w:rsidRPr="00D80694">
        <w:rPr>
          <w:b/>
          <w:bCs/>
          <w:lang w:val="en-US"/>
        </w:rPr>
        <w:br/>
      </w:r>
    </w:p>
    <w:p w:rsidR="00D80694" w:rsidRPr="00D80694" w:rsidRDefault="00783621" w:rsidP="00D80694">
      <w:pPr>
        <w:rPr>
          <w:lang w:val="en-US"/>
        </w:rPr>
      </w:pPr>
      <w:r w:rsidRPr="00963480">
        <w:rPr>
          <w:lang w:val="en-US"/>
        </w:rPr>
        <w:t>Randy Minhas</w:t>
      </w:r>
      <w:r w:rsidRPr="00963480">
        <w:rPr>
          <w:lang w:val="en-US"/>
        </w:rPr>
        <w:br/>
      </w:r>
      <w:r>
        <w:rPr>
          <w:lang w:val="en-US"/>
        </w:rPr>
        <w:t xml:space="preserve">President and CEO </w:t>
      </w:r>
      <w:r>
        <w:rPr>
          <w:lang w:val="en-US"/>
        </w:rPr>
        <w:br/>
      </w:r>
      <w:r w:rsidRPr="00D80694">
        <w:rPr>
          <w:lang w:val="en-US"/>
        </w:rPr>
        <w:br/>
      </w:r>
    </w:p>
    <w:p w:rsidR="00D80694" w:rsidRPr="00D80694" w:rsidRDefault="00783621" w:rsidP="00D80694">
      <w:pPr>
        <w:rPr>
          <w:lang w:val="en-US"/>
        </w:rPr>
      </w:pPr>
    </w:p>
    <w:p w:rsidR="007B460C" w:rsidRPr="00255784" w:rsidRDefault="00783621" w:rsidP="007B460C">
      <w:pPr>
        <w:pStyle w:val="Default"/>
        <w:jc w:val="both"/>
        <w:rPr>
          <w:i/>
          <w:color w:val="auto"/>
          <w:lang w:val="en-CA"/>
        </w:rPr>
      </w:pPr>
    </w:p>
    <w:sectPr w:rsidR="007B460C" w:rsidRPr="00255784" w:rsidSect="0077140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21" w:rsidRDefault="00783621">
      <w:r>
        <w:separator/>
      </w:r>
    </w:p>
  </w:endnote>
  <w:endnote w:type="continuationSeparator" w:id="0">
    <w:p w:rsidR="00783621" w:rsidRDefault="0078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6C" w:rsidRDefault="00783621" w:rsidP="004B5D82">
    <w:pPr>
      <w:pStyle w:val="Footer"/>
      <w:rPr>
        <w:color w:val="000000"/>
      </w:rPr>
    </w:pPr>
    <w:r w:rsidRPr="008A4A29">
      <w:rPr>
        <w:rStyle w:val="DocID"/>
      </w:rPr>
      <w:fldChar w:fldCharType="begin"/>
    </w:r>
    <w:r w:rsidRPr="008A4A29">
      <w:rPr>
        <w:rStyle w:val="DocID"/>
      </w:rPr>
      <w:instrText xml:space="preserve"> DOCPROPERTY "DocID" \* MERGEFORMAT </w:instrText>
    </w:r>
    <w:r w:rsidRPr="008A4A29">
      <w:rPr>
        <w:rStyle w:val="DocID"/>
      </w:rPr>
      <w:fldChar w:fldCharType="separate"/>
    </w:r>
    <w:r w:rsidRPr="00275FC6">
      <w:rPr>
        <w:rStyle w:val="DocID"/>
      </w:rPr>
      <w:t>LEGAL_31880874.1</w:t>
    </w:r>
    <w:r w:rsidRPr="008A4A29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4C" w:rsidRDefault="00783621" w:rsidP="00364AC5">
    <w:pPr>
      <w:pStyle w:val="Footer"/>
      <w:rPr>
        <w:color w:val="000000"/>
      </w:rPr>
    </w:pPr>
  </w:p>
  <w:p w:rsidR="001E09E8" w:rsidRDefault="00783621" w:rsidP="004B5D82">
    <w:pPr>
      <w:pStyle w:val="Footer"/>
      <w:rPr>
        <w:color w:val="000000"/>
      </w:rPr>
    </w:pPr>
    <w:r w:rsidRPr="008A4A29">
      <w:rPr>
        <w:rStyle w:val="DocID"/>
      </w:rPr>
      <w:fldChar w:fldCharType="begin"/>
    </w:r>
    <w:r w:rsidRPr="008A4A29">
      <w:rPr>
        <w:rStyle w:val="DocID"/>
      </w:rPr>
      <w:instrText xml:space="preserve"> DOCPROPERTY "DocID" \* MERGEFORMAT </w:instrText>
    </w:r>
    <w:r w:rsidRPr="008A4A29">
      <w:rPr>
        <w:rStyle w:val="DocID"/>
      </w:rPr>
      <w:fldChar w:fldCharType="separate"/>
    </w:r>
    <w:r w:rsidRPr="00275FC6">
      <w:rPr>
        <w:rStyle w:val="DocID"/>
      </w:rPr>
      <w:t>LEGAL_31880874.1</w:t>
    </w:r>
    <w:r w:rsidRPr="008A4A29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E8" w:rsidRDefault="00783621" w:rsidP="004B5D82">
    <w:pPr>
      <w:pStyle w:val="Footer"/>
      <w:rPr>
        <w:color w:val="000000"/>
      </w:rPr>
    </w:pPr>
    <w:r w:rsidRPr="008A4A29">
      <w:rPr>
        <w:rStyle w:val="DocID"/>
      </w:rPr>
      <w:fldChar w:fldCharType="begin"/>
    </w:r>
    <w:r w:rsidRPr="008A4A29">
      <w:rPr>
        <w:rStyle w:val="DocID"/>
      </w:rPr>
      <w:instrText xml:space="preserve"> DOCPROPERTY "DocID" \* MERGEFORMAT </w:instrText>
    </w:r>
    <w:r w:rsidRPr="008A4A29">
      <w:rPr>
        <w:rStyle w:val="DocID"/>
      </w:rPr>
      <w:fldChar w:fldCharType="separate"/>
    </w:r>
    <w:r w:rsidRPr="00275FC6">
      <w:rPr>
        <w:rStyle w:val="DocID"/>
      </w:rPr>
      <w:t>LEGAL_31880874.1</w:t>
    </w:r>
    <w:r w:rsidRPr="008A4A29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21" w:rsidRDefault="00783621">
      <w:r>
        <w:separator/>
      </w:r>
    </w:p>
  </w:footnote>
  <w:footnote w:type="continuationSeparator" w:id="0">
    <w:p w:rsidR="00783621" w:rsidRDefault="0078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93" w:rsidRDefault="00783621" w:rsidP="005C1B05">
    <w:pPr>
      <w:pStyle w:val="Head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74"/>
      <w:gridCol w:w="4974"/>
    </w:tblGrid>
    <w:tr w:rsidR="007D062B" w:rsidTr="00161204">
      <w:trPr>
        <w:cantSplit/>
        <w:trHeight w:val="2320"/>
      </w:trPr>
      <w:tc>
        <w:tcPr>
          <w:tcW w:w="497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D062B" w:rsidRDefault="007D062B" w:rsidP="007D062B">
          <w:pPr>
            <w:spacing w:line="300" w:lineRule="auto"/>
          </w:pPr>
          <w:r>
            <w:rPr>
              <w:noProof/>
            </w:rPr>
            <w:drawing>
              <wp:inline distT="0" distB="0" distL="0" distR="0">
                <wp:extent cx="2286000" cy="1333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D062B" w:rsidRDefault="007D062B" w:rsidP="007D062B">
          <w:pPr>
            <w:pStyle w:val="MediumShading1-Accent11"/>
            <w:spacing w:line="300" w:lineRule="auto"/>
            <w:jc w:val="right"/>
            <w:rPr>
              <w:rFonts w:ascii="Myriad Pro" w:hAnsi="Myriad Pro"/>
              <w:color w:val="000000"/>
              <w:lang w:val="fr-FR"/>
            </w:rPr>
          </w:pPr>
        </w:p>
        <w:p w:rsidR="007D062B" w:rsidRPr="00121CF4" w:rsidRDefault="007D062B" w:rsidP="007D062B">
          <w:pPr>
            <w:pStyle w:val="MediumShading1-Accent11"/>
            <w:jc w:val="right"/>
            <w:rPr>
              <w:rFonts w:ascii="Calibri" w:hAnsi="Calibri"/>
              <w:color w:val="6B6B6B"/>
              <w:lang w:val="en-CA"/>
            </w:rPr>
          </w:pPr>
          <w:r>
            <w:rPr>
              <w:rFonts w:ascii="Calibri" w:hAnsi="Calibri"/>
              <w:lang w:val="en-CA"/>
            </w:rPr>
            <w:t>A</w:t>
          </w:r>
          <w:r w:rsidRPr="00121CF4">
            <w:rPr>
              <w:rFonts w:ascii="Calibri" w:hAnsi="Calibri"/>
              <w:lang w:val="en-CA"/>
            </w:rPr>
            <w:t>FFINOR GROWERS</w:t>
          </w:r>
        </w:p>
        <w:p w:rsidR="007D062B" w:rsidRPr="00121CF4" w:rsidRDefault="007D062B" w:rsidP="007D062B">
          <w:pPr>
            <w:pStyle w:val="MediumShading1-Accent11"/>
            <w:jc w:val="right"/>
            <w:rPr>
              <w:rFonts w:ascii="Calibri" w:hAnsi="Calibri"/>
              <w:color w:val="6B6B6B"/>
              <w:lang w:val="en-CA"/>
            </w:rPr>
          </w:pPr>
          <w:r w:rsidRPr="00121CF4">
            <w:rPr>
              <w:rFonts w:ascii="Calibri" w:hAnsi="Calibri"/>
              <w:color w:val="6B6B6B"/>
              <w:lang w:val="en-CA"/>
            </w:rPr>
            <w:t xml:space="preserve">Suite </w:t>
          </w:r>
          <w:r>
            <w:rPr>
              <w:rFonts w:ascii="Calibri" w:hAnsi="Calibri"/>
              <w:color w:val="6B6B6B"/>
              <w:lang w:val="en-CA"/>
            </w:rPr>
            <w:t>410</w:t>
          </w:r>
          <w:r w:rsidRPr="00121CF4">
            <w:rPr>
              <w:rFonts w:ascii="Calibri" w:hAnsi="Calibri"/>
              <w:color w:val="6B6B6B"/>
              <w:lang w:val="en-CA"/>
            </w:rPr>
            <w:t xml:space="preserve"> – </w:t>
          </w:r>
          <w:r>
            <w:rPr>
              <w:rFonts w:ascii="Calibri" w:hAnsi="Calibri"/>
              <w:color w:val="6B6B6B"/>
              <w:lang w:val="en-CA"/>
            </w:rPr>
            <w:t>325</w:t>
          </w:r>
          <w:r w:rsidRPr="00121CF4">
            <w:rPr>
              <w:rFonts w:ascii="Calibri" w:hAnsi="Calibri"/>
              <w:color w:val="6B6B6B"/>
              <w:lang w:val="en-CA"/>
            </w:rPr>
            <w:t xml:space="preserve"> </w:t>
          </w:r>
          <w:r>
            <w:rPr>
              <w:rFonts w:ascii="Calibri" w:hAnsi="Calibri"/>
              <w:color w:val="6B6B6B"/>
              <w:lang w:val="en-CA"/>
            </w:rPr>
            <w:t>Howe</w:t>
          </w:r>
          <w:r w:rsidRPr="00121CF4">
            <w:rPr>
              <w:rFonts w:ascii="Calibri" w:hAnsi="Calibri"/>
              <w:color w:val="6B6B6B"/>
              <w:lang w:val="en-CA"/>
            </w:rPr>
            <w:t xml:space="preserve"> Street </w:t>
          </w:r>
        </w:p>
        <w:p w:rsidR="007D062B" w:rsidRPr="00A55828" w:rsidRDefault="007D062B" w:rsidP="007D062B">
          <w:pPr>
            <w:pStyle w:val="MediumShading1-Accent11"/>
            <w:jc w:val="right"/>
            <w:rPr>
              <w:rFonts w:ascii="Calibri" w:hAnsi="Calibri"/>
              <w:color w:val="6B6B6B"/>
              <w:lang w:val="en-CA"/>
            </w:rPr>
          </w:pPr>
          <w:r w:rsidRPr="00121CF4">
            <w:rPr>
              <w:rFonts w:ascii="Calibri" w:hAnsi="Calibri"/>
              <w:color w:val="6B6B6B"/>
              <w:lang w:val="en-CA"/>
            </w:rPr>
            <w:t xml:space="preserve">            </w:t>
          </w:r>
          <w:r w:rsidRPr="00A55828">
            <w:rPr>
              <w:rFonts w:ascii="Calibri" w:hAnsi="Calibri"/>
              <w:color w:val="6B6B6B"/>
              <w:lang w:val="en-CA"/>
            </w:rPr>
            <w:t>Vancouver, Canada, V6C 1Z7</w:t>
          </w:r>
        </w:p>
        <w:p w:rsidR="007D062B" w:rsidRPr="001C5757" w:rsidRDefault="007D062B" w:rsidP="007D062B">
          <w:pPr>
            <w:pStyle w:val="MediumShading1-Accent11"/>
            <w:jc w:val="right"/>
            <w:rPr>
              <w:rFonts w:ascii="Calibri" w:hAnsi="Calibri"/>
              <w:color w:val="6B6B6B"/>
            </w:rPr>
          </w:pPr>
          <w:r w:rsidRPr="00A55828">
            <w:rPr>
              <w:rFonts w:ascii="Calibri" w:hAnsi="Calibri"/>
              <w:color w:val="6B6B6B"/>
              <w:lang w:val="en-CA"/>
            </w:rPr>
            <w:t xml:space="preserve">    </w:t>
          </w:r>
          <w:r w:rsidRPr="00121CF4">
            <w:rPr>
              <w:rFonts w:ascii="Calibri" w:hAnsi="Calibri"/>
              <w:color w:val="6B6B6B"/>
              <w:lang w:val="fr-CA"/>
            </w:rPr>
            <w:t>Phone: (</w:t>
          </w:r>
          <w:r>
            <w:rPr>
              <w:rFonts w:ascii="Calibri" w:hAnsi="Calibri"/>
              <w:color w:val="6B6B6B"/>
              <w:lang w:val="fr-CA"/>
            </w:rPr>
            <w:t>604</w:t>
          </w:r>
          <w:r w:rsidRPr="00121CF4">
            <w:rPr>
              <w:rFonts w:ascii="Calibri" w:hAnsi="Calibri"/>
              <w:color w:val="6B6B6B"/>
              <w:lang w:val="fr-CA"/>
            </w:rPr>
            <w:t xml:space="preserve">) </w:t>
          </w:r>
          <w:r>
            <w:rPr>
              <w:rFonts w:ascii="Calibri" w:hAnsi="Calibri"/>
              <w:color w:val="6B6B6B"/>
              <w:lang w:val="fr-CA"/>
            </w:rPr>
            <w:t>687-3520</w:t>
          </w:r>
          <w:r w:rsidRPr="00121CF4">
            <w:rPr>
              <w:rFonts w:ascii="Calibri" w:hAnsi="Calibri"/>
              <w:color w:val="6B6B6B"/>
              <w:lang w:val="fr-CA"/>
            </w:rPr>
            <w:t xml:space="preserve">                       </w:t>
          </w:r>
        </w:p>
        <w:p w:rsidR="007D062B" w:rsidRDefault="007D062B" w:rsidP="007D062B">
          <w:pPr>
            <w:pStyle w:val="MediumShading1-Accent11"/>
            <w:jc w:val="right"/>
            <w:rPr>
              <w:color w:val="6B6B6B"/>
              <w:lang w:val="en-GB"/>
            </w:rPr>
          </w:pPr>
          <w:r w:rsidRPr="001C5757">
            <w:rPr>
              <w:rFonts w:ascii="Calibri" w:hAnsi="Calibri"/>
              <w:color w:val="6B6B6B"/>
            </w:rPr>
            <w:t xml:space="preserve">           </w:t>
          </w:r>
          <w:r w:rsidRPr="007862E7">
            <w:rPr>
              <w:rFonts w:ascii="Calibri" w:hAnsi="Calibri"/>
              <w:color w:val="6B6B6B"/>
              <w:lang w:val="en-GB"/>
            </w:rPr>
            <w:t>Website www.affinorgrowers.com</w:t>
          </w:r>
        </w:p>
        <w:p w:rsidR="007D062B" w:rsidRDefault="007D062B" w:rsidP="007D062B">
          <w:pPr>
            <w:pStyle w:val="ContactInformation"/>
            <w:spacing w:line="300" w:lineRule="auto"/>
            <w:jc w:val="center"/>
          </w:pPr>
        </w:p>
      </w:tc>
    </w:tr>
  </w:tbl>
  <w:p w:rsidR="007D062B" w:rsidRDefault="007D062B" w:rsidP="007D062B">
    <w:pPr>
      <w:pStyle w:val="MediumShading1-Accent11"/>
      <w:rPr>
        <w:b/>
        <w:i/>
        <w:color w:val="6B6B6B"/>
        <w:lang w:val="en-GB"/>
      </w:rPr>
    </w:pPr>
    <w:r>
      <w:rPr>
        <w:b/>
        <w:i/>
        <w:color w:val="6B6B6B"/>
        <w:lang w:val="en-GB"/>
      </w:rPr>
      <w:t>Listed on the Canadian Securities Exchange under the symbol (“AFI”)</w:t>
    </w:r>
  </w:p>
  <w:p w:rsidR="008A4A29" w:rsidRPr="007D062B" w:rsidRDefault="007D062B" w:rsidP="007D062B">
    <w:r>
      <w:rPr>
        <w:color w:val="6B6B6B"/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EAB5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6E77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7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934"/>
    <w:multiLevelType w:val="hybridMultilevel"/>
    <w:tmpl w:val="B2DAD60A"/>
    <w:lvl w:ilvl="0" w:tplc="C08C3720">
      <w:start w:val="1"/>
      <w:numFmt w:val="lowerLetter"/>
      <w:lvlText w:val="%1)"/>
      <w:lvlJc w:val="left"/>
      <w:pPr>
        <w:ind w:left="720" w:hanging="360"/>
      </w:pPr>
    </w:lvl>
    <w:lvl w:ilvl="1" w:tplc="35AC673A" w:tentative="1">
      <w:start w:val="1"/>
      <w:numFmt w:val="lowerLetter"/>
      <w:lvlText w:val="%2."/>
      <w:lvlJc w:val="left"/>
      <w:pPr>
        <w:ind w:left="1440" w:hanging="360"/>
      </w:pPr>
    </w:lvl>
    <w:lvl w:ilvl="2" w:tplc="BD48E494" w:tentative="1">
      <w:start w:val="1"/>
      <w:numFmt w:val="lowerRoman"/>
      <w:lvlText w:val="%3."/>
      <w:lvlJc w:val="right"/>
      <w:pPr>
        <w:ind w:left="2160" w:hanging="180"/>
      </w:pPr>
    </w:lvl>
    <w:lvl w:ilvl="3" w:tplc="8EC0E278" w:tentative="1">
      <w:start w:val="1"/>
      <w:numFmt w:val="decimal"/>
      <w:lvlText w:val="%4."/>
      <w:lvlJc w:val="left"/>
      <w:pPr>
        <w:ind w:left="2880" w:hanging="360"/>
      </w:pPr>
    </w:lvl>
    <w:lvl w:ilvl="4" w:tplc="98D80C60" w:tentative="1">
      <w:start w:val="1"/>
      <w:numFmt w:val="lowerLetter"/>
      <w:lvlText w:val="%5."/>
      <w:lvlJc w:val="left"/>
      <w:pPr>
        <w:ind w:left="3600" w:hanging="360"/>
      </w:pPr>
    </w:lvl>
    <w:lvl w:ilvl="5" w:tplc="FC98E844" w:tentative="1">
      <w:start w:val="1"/>
      <w:numFmt w:val="lowerRoman"/>
      <w:lvlText w:val="%6."/>
      <w:lvlJc w:val="right"/>
      <w:pPr>
        <w:ind w:left="4320" w:hanging="180"/>
      </w:pPr>
    </w:lvl>
    <w:lvl w:ilvl="6" w:tplc="0F34814E" w:tentative="1">
      <w:start w:val="1"/>
      <w:numFmt w:val="decimal"/>
      <w:lvlText w:val="%7."/>
      <w:lvlJc w:val="left"/>
      <w:pPr>
        <w:ind w:left="5040" w:hanging="360"/>
      </w:pPr>
    </w:lvl>
    <w:lvl w:ilvl="7" w:tplc="EA5C6C40" w:tentative="1">
      <w:start w:val="1"/>
      <w:numFmt w:val="lowerLetter"/>
      <w:lvlText w:val="%8."/>
      <w:lvlJc w:val="left"/>
      <w:pPr>
        <w:ind w:left="5760" w:hanging="360"/>
      </w:pPr>
    </w:lvl>
    <w:lvl w:ilvl="8" w:tplc="3D626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2578B"/>
    <w:multiLevelType w:val="hybridMultilevel"/>
    <w:tmpl w:val="873EE854"/>
    <w:lvl w:ilvl="0" w:tplc="92B0D1D8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680B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B6EE8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624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ACAB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DDB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7D836C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882961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E18EC95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7947FB3"/>
    <w:multiLevelType w:val="hybridMultilevel"/>
    <w:tmpl w:val="8B70B4A0"/>
    <w:lvl w:ilvl="0" w:tplc="E02229D0">
      <w:start w:val="1"/>
      <w:numFmt w:val="bullet"/>
      <w:pStyle w:val="List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1" w:tplc="585C2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4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A3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C9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C4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6B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6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89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D348B"/>
    <w:multiLevelType w:val="hybridMultilevel"/>
    <w:tmpl w:val="E5B616B6"/>
    <w:lvl w:ilvl="0" w:tplc="A4480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80AC54" w:tentative="1">
      <w:start w:val="1"/>
      <w:numFmt w:val="lowerLetter"/>
      <w:lvlText w:val="%2."/>
      <w:lvlJc w:val="left"/>
      <w:pPr>
        <w:ind w:left="1440" w:hanging="360"/>
      </w:pPr>
    </w:lvl>
    <w:lvl w:ilvl="2" w:tplc="8CF63DF8" w:tentative="1">
      <w:start w:val="1"/>
      <w:numFmt w:val="lowerRoman"/>
      <w:lvlText w:val="%3."/>
      <w:lvlJc w:val="right"/>
      <w:pPr>
        <w:ind w:left="2160" w:hanging="180"/>
      </w:pPr>
    </w:lvl>
    <w:lvl w:ilvl="3" w:tplc="C008A216" w:tentative="1">
      <w:start w:val="1"/>
      <w:numFmt w:val="decimal"/>
      <w:lvlText w:val="%4."/>
      <w:lvlJc w:val="left"/>
      <w:pPr>
        <w:ind w:left="2880" w:hanging="360"/>
      </w:pPr>
    </w:lvl>
    <w:lvl w:ilvl="4" w:tplc="95DC7C20" w:tentative="1">
      <w:start w:val="1"/>
      <w:numFmt w:val="lowerLetter"/>
      <w:lvlText w:val="%5."/>
      <w:lvlJc w:val="left"/>
      <w:pPr>
        <w:ind w:left="3600" w:hanging="360"/>
      </w:pPr>
    </w:lvl>
    <w:lvl w:ilvl="5" w:tplc="57AAACF2" w:tentative="1">
      <w:start w:val="1"/>
      <w:numFmt w:val="lowerRoman"/>
      <w:lvlText w:val="%6."/>
      <w:lvlJc w:val="right"/>
      <w:pPr>
        <w:ind w:left="4320" w:hanging="180"/>
      </w:pPr>
    </w:lvl>
    <w:lvl w:ilvl="6" w:tplc="2C9CCD58" w:tentative="1">
      <w:start w:val="1"/>
      <w:numFmt w:val="decimal"/>
      <w:lvlText w:val="%7."/>
      <w:lvlJc w:val="left"/>
      <w:pPr>
        <w:ind w:left="5040" w:hanging="360"/>
      </w:pPr>
    </w:lvl>
    <w:lvl w:ilvl="7" w:tplc="2544EABC" w:tentative="1">
      <w:start w:val="1"/>
      <w:numFmt w:val="lowerLetter"/>
      <w:lvlText w:val="%8."/>
      <w:lvlJc w:val="left"/>
      <w:pPr>
        <w:ind w:left="5760" w:hanging="360"/>
      </w:pPr>
    </w:lvl>
    <w:lvl w:ilvl="8" w:tplc="EA30C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2B"/>
    <w:rsid w:val="00783621"/>
    <w:rsid w:val="007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542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2D6C"/>
    <w:rPr>
      <w:sz w:val="24"/>
      <w:szCs w:val="24"/>
      <w:lang w:val="en-CA" w:eastAsia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  <w:rPr>
      <w:szCs w:val="20"/>
      <w:lang w:eastAsia="en-US"/>
    </w:r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aliases w:val="1,2,3,BT,Body Text Char1,Indent,Names,Single line,b,body text,bodytext,bt,single space"/>
    <w:basedOn w:val="Normal"/>
    <w:link w:val="BodyTextChar"/>
    <w:qFormat/>
    <w:rsid w:val="008D58B7"/>
    <w:pPr>
      <w:spacing w:before="240"/>
    </w:pPr>
    <w:rPr>
      <w:szCs w:val="20"/>
      <w:lang w:eastAsia="en-US"/>
    </w:r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  <w:rPr>
      <w:szCs w:val="20"/>
      <w:lang w:eastAsia="en-US"/>
    </w:r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  <w:szCs w:val="20"/>
      <w:lang w:eastAsia="en-US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basedOn w:val="DefaultParagraphFon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  <w:rPr>
      <w:szCs w:val="20"/>
      <w:lang w:eastAsia="en-US"/>
    </w:r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customStyle="1" w:styleId="iManageFooter">
    <w:name w:val="iManage Footer"/>
    <w:rsid w:val="005C1B05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14"/>
      <w:szCs w:val="96"/>
      <w:u w:val="none"/>
      <w:effect w:val="none"/>
      <w:vertAlign w:val="baseline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  <w:lang w:eastAsia="en-US"/>
    </w:rPr>
  </w:style>
  <w:style w:type="paragraph" w:customStyle="1" w:styleId="Default">
    <w:name w:val="Default"/>
    <w:rsid w:val="00E12D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  <w:rPr>
      <w:szCs w:val="20"/>
      <w:lang w:eastAsia="en-US"/>
    </w:r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  <w:rPr>
      <w:szCs w:val="20"/>
      <w:lang w:eastAsia="en-US"/>
    </w:rPr>
  </w:style>
  <w:style w:type="paragraph" w:customStyle="1" w:styleId="TableText">
    <w:name w:val="Table Text"/>
    <w:basedOn w:val="BodyText"/>
    <w:rsid w:val="008102EC"/>
  </w:style>
  <w:style w:type="character" w:customStyle="1" w:styleId="BodyTextChar">
    <w:name w:val="Body Text Char"/>
    <w:aliases w:val="1 Char,2 Char,3 Char,BT Char,Body Text Char1 Char,Indent Char,Names Char,Single line Char,b Char,body text Char,bodytext Char,bt Char,single space Char"/>
    <w:basedOn w:val="DefaultParagraphFont"/>
    <w:link w:val="BodyText"/>
    <w:rsid w:val="00E12D6C"/>
    <w:rPr>
      <w:sz w:val="24"/>
      <w:lang w:val="en-CA"/>
    </w:rPr>
  </w:style>
  <w:style w:type="character" w:customStyle="1" w:styleId="EasyID">
    <w:name w:val="EasyID"/>
    <w:basedOn w:val="DefaultParagraphFont"/>
    <w:rsid w:val="004B5D82"/>
    <w:rPr>
      <w:rFonts w:ascii="Arial" w:hAnsi="Arial" w:cs="Arial"/>
      <w:i w:val="0"/>
      <w:sz w:val="14"/>
      <w:szCs w:val="20"/>
      <w:lang w:val="en-US" w:eastAsia="en-US" w:bidi="ar-SA"/>
    </w:rPr>
  </w:style>
  <w:style w:type="paragraph" w:styleId="NoSpacing">
    <w:name w:val="No Spacing"/>
    <w:uiPriority w:val="1"/>
    <w:qFormat/>
    <w:rsid w:val="00D652AA"/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LMBodyFirstIndent">
    <w:name w:val="LMBodyFirstIndent"/>
    <w:aliases w:val="bfi"/>
    <w:basedOn w:val="Normal"/>
    <w:link w:val="LMBodyFirstIndentChar"/>
    <w:rsid w:val="00A52E5C"/>
    <w:pPr>
      <w:spacing w:after="240"/>
      <w:ind w:firstLine="720"/>
      <w:jc w:val="both"/>
    </w:pPr>
    <w:rPr>
      <w:lang w:val="en-US" w:eastAsia="en-US"/>
    </w:rPr>
  </w:style>
  <w:style w:type="character" w:customStyle="1" w:styleId="LMBodyFirstIndentChar">
    <w:name w:val="LMBodyFirstIndent Char"/>
    <w:aliases w:val="bfi Char"/>
    <w:link w:val="LMBodyFirstIndent"/>
    <w:rsid w:val="00A52E5C"/>
    <w:rPr>
      <w:sz w:val="24"/>
      <w:szCs w:val="24"/>
    </w:rPr>
  </w:style>
  <w:style w:type="paragraph" w:styleId="BalloonText">
    <w:name w:val="Balloon Text"/>
    <w:basedOn w:val="Normal"/>
    <w:link w:val="BalloonTextChar"/>
    <w:rsid w:val="0061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C6F"/>
    <w:rPr>
      <w:rFonts w:ascii="Tahoma" w:hAnsi="Tahoma" w:cs="Tahoma"/>
      <w:sz w:val="16"/>
      <w:szCs w:val="16"/>
      <w:lang w:val="en-CA" w:eastAsia="en-CA"/>
    </w:rPr>
  </w:style>
  <w:style w:type="character" w:customStyle="1" w:styleId="DocID">
    <w:name w:val="DocID"/>
    <w:basedOn w:val="DefaultParagraphFont"/>
    <w:rsid w:val="00AD36E2"/>
    <w:rPr>
      <w:rFonts w:ascii="Verdana" w:hAnsi="Verdana"/>
      <w:b w:val="0"/>
      <w:bCs/>
      <w:i w:val="0"/>
      <w:caps w:val="0"/>
      <w:vanish w:val="0"/>
      <w:color w:val="000000"/>
      <w:sz w:val="14"/>
      <w:u w:val="none"/>
    </w:rPr>
  </w:style>
  <w:style w:type="paragraph" w:customStyle="1" w:styleId="MediumShading1-Accent11">
    <w:name w:val="Medium Shading 1 - Accent 11"/>
    <w:qFormat/>
    <w:rsid w:val="007D062B"/>
    <w:rPr>
      <w:rFonts w:ascii="Trebuchet MS" w:eastAsia="ヒラギノ角ゴ Pro W3" w:hAnsi="Trebuchet MS"/>
      <w:color w:val="303030"/>
      <w:sz w:val="19"/>
    </w:rPr>
  </w:style>
  <w:style w:type="paragraph" w:customStyle="1" w:styleId="ContactInformation">
    <w:name w:val="Contact Information"/>
    <w:rsid w:val="007D062B"/>
    <w:pPr>
      <w:spacing w:before="40" w:line="220" w:lineRule="atLeast"/>
      <w:jc w:val="right"/>
    </w:pPr>
    <w:rPr>
      <w:rFonts w:ascii="Trebuchet MS" w:eastAsia="ヒラギノ角ゴ Pro W3" w:hAnsi="Trebuchet MS"/>
      <w:color w:val="2F99E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2019-09-24T04:57:00Z</dcterms:created>
  <dcterms:modified xsi:type="dcterms:W3CDTF">2019-09-24T04:57:00Z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LEGAL_31880874.1</vt:lpwstr>
  </property>
</Properties>
</file>