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D0CE" w14:textId="77777777" w:rsidR="00796F80" w:rsidRPr="009C5959" w:rsidRDefault="00796F80">
      <w:pPr>
        <w:rPr>
          <w:rFonts w:asciiTheme="minorHAnsi" w:hAnsiTheme="minorHAnsi"/>
        </w:rPr>
      </w:pPr>
    </w:p>
    <w:p w14:paraId="7C2B1053" w14:textId="431F041B" w:rsidR="00796F80" w:rsidRPr="009C5959" w:rsidRDefault="00DD2B59">
      <w:pPr>
        <w:jc w:val="center"/>
        <w:rPr>
          <w:rFonts w:asciiTheme="minorHAnsi" w:eastAsia="Roboto" w:hAnsiTheme="minorHAnsi" w:cs="Roboto"/>
          <w:b/>
        </w:rPr>
      </w:pPr>
      <w:r>
        <w:rPr>
          <w:rFonts w:asciiTheme="minorHAnsi" w:eastAsia="Roboto" w:hAnsiTheme="minorHAnsi" w:cs="Roboto"/>
          <w:b/>
        </w:rPr>
        <w:t>AWH</w:t>
      </w:r>
      <w:r w:rsidR="00F60817" w:rsidRPr="009C5959">
        <w:rPr>
          <w:rFonts w:asciiTheme="minorHAnsi" w:eastAsia="Roboto" w:hAnsiTheme="minorHAnsi" w:cs="Roboto"/>
          <w:b/>
        </w:rPr>
        <w:t xml:space="preserve"> </w:t>
      </w:r>
      <w:r w:rsidR="00E2661F">
        <w:rPr>
          <w:rFonts w:asciiTheme="minorHAnsi" w:eastAsia="Roboto" w:hAnsiTheme="minorHAnsi" w:cs="Roboto"/>
          <w:b/>
        </w:rPr>
        <w:t>Signs</w:t>
      </w:r>
      <w:r w:rsidR="001025F8" w:rsidRPr="009C5959">
        <w:rPr>
          <w:rFonts w:asciiTheme="minorHAnsi" w:eastAsia="Roboto" w:hAnsiTheme="minorHAnsi" w:cs="Roboto"/>
          <w:b/>
        </w:rPr>
        <w:t xml:space="preserve"> </w:t>
      </w:r>
      <w:r w:rsidR="00E2661F">
        <w:rPr>
          <w:rFonts w:asciiTheme="minorHAnsi" w:eastAsia="Roboto" w:hAnsiTheme="minorHAnsi" w:cs="Roboto"/>
          <w:b/>
        </w:rPr>
        <w:t>T</w:t>
      </w:r>
      <w:r w:rsidR="001025F8" w:rsidRPr="009C5959">
        <w:rPr>
          <w:rFonts w:asciiTheme="minorHAnsi" w:eastAsia="Roboto" w:hAnsiTheme="minorHAnsi" w:cs="Roboto"/>
          <w:b/>
        </w:rPr>
        <w:t xml:space="preserve">erm </w:t>
      </w:r>
      <w:r w:rsidR="00E2661F">
        <w:rPr>
          <w:rFonts w:asciiTheme="minorHAnsi" w:eastAsia="Roboto" w:hAnsiTheme="minorHAnsi" w:cs="Roboto"/>
          <w:b/>
        </w:rPr>
        <w:t>S</w:t>
      </w:r>
      <w:r w:rsidR="001025F8" w:rsidRPr="009C5959">
        <w:rPr>
          <w:rFonts w:asciiTheme="minorHAnsi" w:eastAsia="Roboto" w:hAnsiTheme="minorHAnsi" w:cs="Roboto"/>
          <w:b/>
        </w:rPr>
        <w:t xml:space="preserve">heet to </w:t>
      </w:r>
      <w:r w:rsidR="00E2661F">
        <w:rPr>
          <w:rFonts w:asciiTheme="minorHAnsi" w:eastAsia="Roboto" w:hAnsiTheme="minorHAnsi" w:cs="Roboto"/>
          <w:b/>
        </w:rPr>
        <w:t>S</w:t>
      </w:r>
      <w:r w:rsidR="001025F8" w:rsidRPr="009C5959">
        <w:rPr>
          <w:rFonts w:asciiTheme="minorHAnsi" w:eastAsia="Roboto" w:hAnsiTheme="minorHAnsi" w:cs="Roboto"/>
          <w:b/>
        </w:rPr>
        <w:t>ettle</w:t>
      </w:r>
      <w:r w:rsidR="00F60817" w:rsidRPr="009C5959">
        <w:rPr>
          <w:rFonts w:asciiTheme="minorHAnsi" w:eastAsia="Roboto" w:hAnsiTheme="minorHAnsi" w:cs="Roboto"/>
          <w:b/>
        </w:rPr>
        <w:t xml:space="preserve"> </w:t>
      </w:r>
      <w:r w:rsidR="00E2661F">
        <w:rPr>
          <w:rFonts w:asciiTheme="minorHAnsi" w:eastAsia="Roboto" w:hAnsiTheme="minorHAnsi" w:cs="Roboto"/>
          <w:b/>
        </w:rPr>
        <w:t>L</w:t>
      </w:r>
      <w:r w:rsidR="00F60817" w:rsidRPr="009C5959">
        <w:rPr>
          <w:rFonts w:asciiTheme="minorHAnsi" w:eastAsia="Roboto" w:hAnsiTheme="minorHAnsi" w:cs="Roboto"/>
          <w:b/>
        </w:rPr>
        <w:t xml:space="preserve">awsuit with </w:t>
      </w:r>
      <w:r w:rsidR="005E4496" w:rsidRPr="009C5959">
        <w:rPr>
          <w:rFonts w:asciiTheme="minorHAnsi" w:eastAsia="Roboto" w:hAnsiTheme="minorHAnsi" w:cs="Roboto"/>
          <w:b/>
        </w:rPr>
        <w:t xml:space="preserve">MedMen </w:t>
      </w:r>
    </w:p>
    <w:p w14:paraId="1B1E47C6" w14:textId="77777777" w:rsidR="00796F80" w:rsidRPr="009C5959" w:rsidRDefault="00796F80">
      <w:pPr>
        <w:jc w:val="center"/>
        <w:rPr>
          <w:rFonts w:asciiTheme="minorHAnsi" w:eastAsia="Roboto" w:hAnsiTheme="minorHAnsi" w:cs="Roboto"/>
          <w:b/>
        </w:rPr>
      </w:pPr>
    </w:p>
    <w:p w14:paraId="73B44813" w14:textId="373C6A49" w:rsidR="00796F80" w:rsidRPr="009C5959" w:rsidRDefault="00066A83">
      <w:pPr>
        <w:jc w:val="center"/>
        <w:rPr>
          <w:rFonts w:asciiTheme="minorHAnsi" w:eastAsia="Roboto" w:hAnsiTheme="minorHAnsi" w:cs="Roboto"/>
          <w:i/>
        </w:rPr>
      </w:pPr>
      <w:r>
        <w:rPr>
          <w:rFonts w:asciiTheme="minorHAnsi" w:eastAsia="Roboto" w:hAnsiTheme="minorHAnsi" w:cs="Roboto"/>
          <w:i/>
        </w:rPr>
        <w:t>Transaction expected to close</w:t>
      </w:r>
      <w:r w:rsidR="00F60817" w:rsidRPr="009C5959">
        <w:rPr>
          <w:rFonts w:asciiTheme="minorHAnsi" w:eastAsia="Roboto" w:hAnsiTheme="minorHAnsi" w:cs="Roboto"/>
          <w:i/>
        </w:rPr>
        <w:t xml:space="preserve"> </w:t>
      </w:r>
      <w:r w:rsidR="00EF4B90">
        <w:rPr>
          <w:rFonts w:asciiTheme="minorHAnsi" w:eastAsia="Roboto" w:hAnsiTheme="minorHAnsi" w:cs="Roboto"/>
          <w:i/>
        </w:rPr>
        <w:t xml:space="preserve">within </w:t>
      </w:r>
      <w:r w:rsidR="00EC4724">
        <w:rPr>
          <w:rFonts w:asciiTheme="minorHAnsi" w:eastAsia="Roboto" w:hAnsiTheme="minorHAnsi" w:cs="Roboto"/>
          <w:i/>
        </w:rPr>
        <w:t>the coming month</w:t>
      </w:r>
    </w:p>
    <w:p w14:paraId="663DF63D" w14:textId="77777777" w:rsidR="00796F80" w:rsidRPr="009C5959" w:rsidRDefault="00796F80">
      <w:pPr>
        <w:rPr>
          <w:rFonts w:asciiTheme="minorHAnsi" w:eastAsia="Roboto" w:hAnsiTheme="minorHAnsi" w:cs="Roboto"/>
          <w:i/>
        </w:rPr>
      </w:pPr>
    </w:p>
    <w:p w14:paraId="449BC174" w14:textId="23C64637" w:rsidR="004F1254" w:rsidRDefault="004F1254" w:rsidP="004F1254">
      <w:pPr>
        <w:rPr>
          <w:rFonts w:asciiTheme="minorHAnsi" w:eastAsia="Roboto" w:hAnsiTheme="minorHAnsi" w:cs="Roboto"/>
        </w:rPr>
      </w:pPr>
      <w:r w:rsidRPr="009C5959">
        <w:rPr>
          <w:rFonts w:asciiTheme="minorHAnsi" w:eastAsia="Roboto" w:hAnsiTheme="minorHAnsi" w:cs="Roboto"/>
        </w:rPr>
        <w:t xml:space="preserve">NEW YORK, </w:t>
      </w:r>
      <w:r>
        <w:rPr>
          <w:rFonts w:asciiTheme="minorHAnsi" w:eastAsia="Roboto" w:hAnsiTheme="minorHAnsi" w:cs="Roboto"/>
        </w:rPr>
        <w:t>May</w:t>
      </w:r>
      <w:r w:rsidRPr="009C5959">
        <w:rPr>
          <w:rFonts w:asciiTheme="minorHAnsi" w:eastAsia="Roboto" w:hAnsiTheme="minorHAnsi" w:cs="Roboto"/>
        </w:rPr>
        <w:t xml:space="preserve"> </w:t>
      </w:r>
      <w:r w:rsidRPr="009C5959">
        <w:rPr>
          <w:rFonts w:asciiTheme="minorHAnsi" w:eastAsia="Roboto" w:hAnsiTheme="minorHAnsi" w:cs="Roboto"/>
          <w:highlight w:val="yellow"/>
        </w:rPr>
        <w:t>xx</w:t>
      </w:r>
      <w:r w:rsidRPr="009C5959">
        <w:rPr>
          <w:rFonts w:asciiTheme="minorHAnsi" w:eastAsia="Roboto" w:hAnsiTheme="minorHAnsi" w:cs="Roboto"/>
        </w:rPr>
        <w:t xml:space="preserve">, 2022 -- </w:t>
      </w:r>
      <w:r w:rsidRPr="009C5959">
        <w:rPr>
          <w:rFonts w:asciiTheme="minorHAnsi" w:eastAsia="Roboto" w:hAnsiTheme="minorHAnsi" w:cs="Roboto"/>
          <w:b/>
        </w:rPr>
        <w:t xml:space="preserve">Ascend Wellness Holdings, Inc. </w:t>
      </w:r>
      <w:r w:rsidRPr="009C5959">
        <w:rPr>
          <w:rFonts w:asciiTheme="minorHAnsi" w:eastAsia="Roboto" w:hAnsiTheme="minorHAnsi" w:cs="Roboto"/>
        </w:rPr>
        <w:t xml:space="preserve">(“AWH” or the “Company”) </w:t>
      </w:r>
      <w:r w:rsidRPr="009C5959">
        <w:rPr>
          <w:rFonts w:asciiTheme="minorHAnsi" w:eastAsia="Roboto" w:hAnsiTheme="minorHAnsi" w:cs="Roboto"/>
          <w:highlight w:val="white"/>
        </w:rPr>
        <w:t>(CSE: AAWH.U) (OT</w:t>
      </w:r>
      <w:r w:rsidRPr="009C5959">
        <w:rPr>
          <w:rFonts w:asciiTheme="minorHAnsi" w:eastAsia="Roboto" w:hAnsiTheme="minorHAnsi" w:cs="Roboto"/>
        </w:rPr>
        <w:t>CQX: AAWH), a multi-state, vertically integrated cannabis operator focused on bettering lives through cannabis, is pleased to announce that it has signed a term sheet</w:t>
      </w:r>
      <w:r>
        <w:rPr>
          <w:rFonts w:asciiTheme="minorHAnsi" w:eastAsia="Roboto" w:hAnsiTheme="minorHAnsi" w:cs="Roboto"/>
        </w:rPr>
        <w:t xml:space="preserve"> to resolve</w:t>
      </w:r>
      <w:r w:rsidRPr="009C5959">
        <w:rPr>
          <w:rFonts w:asciiTheme="minorHAnsi" w:eastAsia="Roboto" w:hAnsiTheme="minorHAnsi" w:cs="Roboto"/>
        </w:rPr>
        <w:t xml:space="preserve"> its </w:t>
      </w:r>
      <w:hyperlink r:id="rId10" w:history="1">
        <w:r w:rsidRPr="009C5959">
          <w:rPr>
            <w:rStyle w:val="Hyperlink"/>
            <w:rFonts w:asciiTheme="minorHAnsi" w:eastAsia="Roboto" w:hAnsiTheme="minorHAnsi" w:cs="Roboto"/>
          </w:rPr>
          <w:t>previously announced</w:t>
        </w:r>
      </w:hyperlink>
      <w:r w:rsidRPr="009C5959">
        <w:rPr>
          <w:rFonts w:asciiTheme="minorHAnsi" w:eastAsia="Roboto" w:hAnsiTheme="minorHAnsi" w:cs="Roboto"/>
        </w:rPr>
        <w:t xml:space="preserve"> lawsuit against MedMen NY, Inc. and MM Enterprises USA, LLC (CSE: MMEN) (OTCQX: MMNFF) (“MedMen”)</w:t>
      </w:r>
      <w:r w:rsidR="00A84BDD">
        <w:rPr>
          <w:rFonts w:asciiTheme="minorHAnsi" w:eastAsia="Roboto" w:hAnsiTheme="minorHAnsi" w:cs="Roboto"/>
        </w:rPr>
        <w:t xml:space="preserve"> </w:t>
      </w:r>
      <w:r w:rsidR="00A84BDD" w:rsidRPr="009C5959">
        <w:rPr>
          <w:rFonts w:asciiTheme="minorHAnsi" w:eastAsia="Roboto" w:hAnsiTheme="minorHAnsi" w:cs="Roboto"/>
        </w:rPr>
        <w:t>in the Commercial Division of the Supreme Court of the State of New York in New York County</w:t>
      </w:r>
      <w:r>
        <w:rPr>
          <w:rFonts w:asciiTheme="minorHAnsi" w:eastAsia="Roboto" w:hAnsiTheme="minorHAnsi" w:cs="Roboto"/>
        </w:rPr>
        <w:t>. Pursuant to the term sheet, MedMen has agreed to complete the sale of MedMen NY, Inc. to AWH, and upon closing,</w:t>
      </w:r>
      <w:r w:rsidRPr="009C5959">
        <w:rPr>
          <w:rFonts w:asciiTheme="minorHAnsi" w:eastAsia="Roboto" w:hAnsiTheme="minorHAnsi" w:cs="Roboto"/>
        </w:rPr>
        <w:t xml:space="preserve"> </w:t>
      </w:r>
      <w:r w:rsidRPr="009E3DD5">
        <w:rPr>
          <w:rFonts w:asciiTheme="minorHAnsi" w:eastAsia="Roboto" w:hAnsiTheme="minorHAnsi" w:cs="Roboto"/>
        </w:rPr>
        <w:t>AWH will enter its seventh state.</w:t>
      </w:r>
    </w:p>
    <w:p w14:paraId="26595B61" w14:textId="77777777" w:rsidR="004F1254" w:rsidRDefault="004F1254" w:rsidP="004F1254">
      <w:pPr>
        <w:rPr>
          <w:rFonts w:asciiTheme="minorHAnsi" w:eastAsia="Roboto" w:hAnsiTheme="minorHAnsi" w:cs="Roboto"/>
        </w:rPr>
      </w:pPr>
    </w:p>
    <w:p w14:paraId="479D1FAB" w14:textId="0A903ABA" w:rsidR="00655612" w:rsidRDefault="004F1254" w:rsidP="004F1254">
      <w:pPr>
        <w:rPr>
          <w:rFonts w:asciiTheme="minorHAnsi" w:eastAsia="Roboto" w:hAnsiTheme="minorHAnsi" w:cs="Roboto"/>
        </w:rPr>
      </w:pPr>
      <w:r w:rsidRPr="009C5959">
        <w:rPr>
          <w:rFonts w:asciiTheme="minorHAnsi" w:eastAsia="Roboto" w:hAnsiTheme="minorHAnsi" w:cs="Roboto"/>
        </w:rPr>
        <w:t xml:space="preserve">To settle the dispute, AWH will </w:t>
      </w:r>
      <w:r w:rsidR="005119B3">
        <w:rPr>
          <w:rFonts w:asciiTheme="minorHAnsi" w:eastAsia="Roboto" w:hAnsiTheme="minorHAnsi" w:cs="Roboto"/>
        </w:rPr>
        <w:t>increase</w:t>
      </w:r>
      <w:r w:rsidR="0078560B">
        <w:rPr>
          <w:rFonts w:asciiTheme="minorHAnsi" w:eastAsia="Roboto" w:hAnsiTheme="minorHAnsi" w:cs="Roboto"/>
        </w:rPr>
        <w:t xml:space="preserve"> </w:t>
      </w:r>
      <w:r w:rsidR="006B0657">
        <w:rPr>
          <w:rFonts w:asciiTheme="minorHAnsi" w:eastAsia="Roboto" w:hAnsiTheme="minorHAnsi" w:cs="Roboto"/>
        </w:rPr>
        <w:t xml:space="preserve">the </w:t>
      </w:r>
      <w:r w:rsidR="0078560B">
        <w:rPr>
          <w:rFonts w:asciiTheme="minorHAnsi" w:eastAsia="Roboto" w:hAnsiTheme="minorHAnsi" w:cs="Roboto"/>
        </w:rPr>
        <w:t>transaction consideration by</w:t>
      </w:r>
      <w:r>
        <w:rPr>
          <w:rFonts w:asciiTheme="minorHAnsi" w:eastAsia="Roboto" w:hAnsiTheme="minorHAnsi" w:cs="Roboto"/>
        </w:rPr>
        <w:t xml:space="preserve"> $15 million, $4 million of which is contingent on the start of adult-use sales at a MedMen NY dispensary. The revised total consideration of $88 million remains significantly below recent precedent transactions. As part of the settlement, MedMen will withdraw its counterclaims against AWH. The</w:t>
      </w:r>
      <w:r w:rsidRPr="009C5959">
        <w:rPr>
          <w:rFonts w:asciiTheme="minorHAnsi" w:eastAsia="Roboto" w:hAnsiTheme="minorHAnsi" w:cs="Roboto"/>
        </w:rPr>
        <w:t xml:space="preserve"> parties </w:t>
      </w:r>
      <w:r>
        <w:rPr>
          <w:rFonts w:asciiTheme="minorHAnsi" w:eastAsia="Roboto" w:hAnsiTheme="minorHAnsi" w:cs="Roboto"/>
        </w:rPr>
        <w:t>will</w:t>
      </w:r>
      <w:r w:rsidRPr="009C5959">
        <w:rPr>
          <w:rFonts w:asciiTheme="minorHAnsi" w:eastAsia="Roboto" w:hAnsiTheme="minorHAnsi" w:cs="Roboto"/>
        </w:rPr>
        <w:t xml:space="preserve"> also amend certain terms in the </w:t>
      </w:r>
      <w:hyperlink r:id="rId11" w:history="1">
        <w:r w:rsidRPr="009C5959">
          <w:rPr>
            <w:rStyle w:val="Hyperlink"/>
            <w:rFonts w:asciiTheme="minorHAnsi" w:eastAsia="Roboto" w:hAnsiTheme="minorHAnsi" w:cs="Roboto"/>
          </w:rPr>
          <w:t>previously announced</w:t>
        </w:r>
      </w:hyperlink>
      <w:r w:rsidRPr="009C5959">
        <w:rPr>
          <w:rFonts w:asciiTheme="minorHAnsi" w:eastAsia="Roboto" w:hAnsiTheme="minorHAnsi" w:cs="Roboto"/>
        </w:rPr>
        <w:t xml:space="preserve"> transaction agreement.</w:t>
      </w:r>
    </w:p>
    <w:p w14:paraId="0BE54D50" w14:textId="77777777" w:rsidR="004F1254" w:rsidRPr="009C5959" w:rsidRDefault="004F1254" w:rsidP="004F1254">
      <w:pPr>
        <w:rPr>
          <w:rFonts w:asciiTheme="minorHAnsi" w:eastAsia="Roboto" w:hAnsiTheme="minorHAnsi" w:cs="Roboto"/>
          <w:b/>
          <w:bCs/>
        </w:rPr>
      </w:pPr>
    </w:p>
    <w:p w14:paraId="71D4BFA8" w14:textId="77777777" w:rsidR="00655612" w:rsidRPr="009C5959" w:rsidRDefault="00BD24EB">
      <w:pPr>
        <w:rPr>
          <w:rFonts w:asciiTheme="minorHAnsi" w:eastAsia="Roboto" w:hAnsiTheme="minorHAnsi" w:cs="Roboto"/>
          <w:b/>
          <w:bCs/>
        </w:rPr>
      </w:pPr>
      <w:r w:rsidRPr="009C5959">
        <w:rPr>
          <w:rFonts w:asciiTheme="minorHAnsi" w:eastAsia="Roboto" w:hAnsiTheme="minorHAnsi" w:cs="Roboto"/>
          <w:b/>
          <w:bCs/>
        </w:rPr>
        <w:t xml:space="preserve">Amended </w:t>
      </w:r>
      <w:r w:rsidR="00655612" w:rsidRPr="009C5959">
        <w:rPr>
          <w:rFonts w:asciiTheme="minorHAnsi" w:eastAsia="Roboto" w:hAnsiTheme="minorHAnsi" w:cs="Roboto"/>
          <w:b/>
          <w:bCs/>
        </w:rPr>
        <w:t>Transaction Terms</w:t>
      </w:r>
      <w:r w:rsidR="00DC04CB">
        <w:rPr>
          <w:rFonts w:asciiTheme="minorHAnsi" w:eastAsia="Roboto" w:hAnsiTheme="minorHAnsi" w:cs="Roboto"/>
          <w:b/>
          <w:bCs/>
        </w:rPr>
        <w:t xml:space="preserve">  </w:t>
      </w:r>
    </w:p>
    <w:p w14:paraId="09C97663" w14:textId="1A879381" w:rsidR="00046F85" w:rsidRPr="00673673" w:rsidRDefault="00655612" w:rsidP="00B7480B">
      <w:pPr>
        <w:pStyle w:val="ListParagraph"/>
        <w:numPr>
          <w:ilvl w:val="0"/>
          <w:numId w:val="1"/>
        </w:numPr>
        <w:rPr>
          <w:rFonts w:asciiTheme="minorHAnsi" w:eastAsia="Roboto" w:hAnsiTheme="minorHAnsi" w:cs="Roboto"/>
        </w:rPr>
      </w:pPr>
      <w:r w:rsidRPr="009C5959">
        <w:rPr>
          <w:rFonts w:asciiTheme="minorHAnsi" w:eastAsia="Roboto" w:hAnsiTheme="minorHAnsi" w:cs="Roboto"/>
        </w:rPr>
        <w:t xml:space="preserve">AWH will </w:t>
      </w:r>
      <w:r w:rsidR="00115C0A" w:rsidRPr="009C5959">
        <w:rPr>
          <w:rFonts w:asciiTheme="minorHAnsi" w:eastAsia="Roboto" w:hAnsiTheme="minorHAnsi" w:cs="Roboto"/>
        </w:rPr>
        <w:t>receive</w:t>
      </w:r>
      <w:r w:rsidR="00B7480B" w:rsidRPr="009C5959">
        <w:rPr>
          <w:rFonts w:asciiTheme="minorHAnsi" w:eastAsia="Roboto" w:hAnsiTheme="minorHAnsi" w:cs="Roboto"/>
          <w:b/>
          <w:bCs/>
        </w:rPr>
        <w:t xml:space="preserve"> </w:t>
      </w:r>
      <w:r w:rsidR="007C66B7" w:rsidRPr="003B3F75">
        <w:rPr>
          <w:rFonts w:asciiTheme="minorHAnsi" w:eastAsia="Roboto" w:hAnsiTheme="minorHAnsi" w:cs="Roboto"/>
        </w:rPr>
        <w:t>a</w:t>
      </w:r>
      <w:r w:rsidR="007C66B7">
        <w:rPr>
          <w:rFonts w:asciiTheme="minorHAnsi" w:eastAsia="Roboto" w:hAnsiTheme="minorHAnsi" w:cs="Roboto"/>
          <w:b/>
          <w:bCs/>
        </w:rPr>
        <w:t xml:space="preserve"> </w:t>
      </w:r>
      <w:r w:rsidR="000559AA">
        <w:rPr>
          <w:rFonts w:asciiTheme="minorHAnsi" w:eastAsia="Roboto" w:hAnsiTheme="minorHAnsi" w:cs="Roboto"/>
          <w:iCs/>
        </w:rPr>
        <w:t>99.99</w:t>
      </w:r>
      <w:r w:rsidR="000362DD" w:rsidRPr="009C5959">
        <w:rPr>
          <w:rFonts w:asciiTheme="minorHAnsi" w:eastAsia="Roboto" w:hAnsiTheme="minorHAnsi" w:cs="Roboto"/>
          <w:iCs/>
        </w:rPr>
        <w:t xml:space="preserve">% controlling interest </w:t>
      </w:r>
      <w:r w:rsidR="006B0657">
        <w:rPr>
          <w:rFonts w:asciiTheme="minorHAnsi" w:eastAsia="Roboto" w:hAnsiTheme="minorHAnsi" w:cs="Roboto"/>
          <w:iCs/>
        </w:rPr>
        <w:t>in</w:t>
      </w:r>
      <w:r w:rsidR="000362DD" w:rsidRPr="009C5959">
        <w:rPr>
          <w:rFonts w:asciiTheme="minorHAnsi" w:eastAsia="Roboto" w:hAnsiTheme="minorHAnsi" w:cs="Roboto"/>
          <w:iCs/>
        </w:rPr>
        <w:t xml:space="preserve"> M</w:t>
      </w:r>
      <w:r w:rsidR="00793D33" w:rsidRPr="009C5959">
        <w:rPr>
          <w:rFonts w:asciiTheme="minorHAnsi" w:eastAsia="Roboto" w:hAnsiTheme="minorHAnsi" w:cs="Roboto"/>
          <w:iCs/>
        </w:rPr>
        <w:t xml:space="preserve">edMen </w:t>
      </w:r>
      <w:r w:rsidR="000362DD" w:rsidRPr="009C5959">
        <w:rPr>
          <w:rFonts w:asciiTheme="minorHAnsi" w:eastAsia="Roboto" w:hAnsiTheme="minorHAnsi" w:cs="Roboto"/>
          <w:iCs/>
        </w:rPr>
        <w:t>NY</w:t>
      </w:r>
      <w:r w:rsidR="003C3E1B" w:rsidRPr="009C5959">
        <w:rPr>
          <w:rFonts w:asciiTheme="minorHAnsi" w:eastAsia="Roboto" w:hAnsiTheme="minorHAnsi" w:cs="Roboto"/>
          <w:iCs/>
        </w:rPr>
        <w:t xml:space="preserve"> at clos</w:t>
      </w:r>
      <w:r w:rsidR="00B83683">
        <w:rPr>
          <w:rFonts w:asciiTheme="minorHAnsi" w:eastAsia="Roboto" w:hAnsiTheme="minorHAnsi" w:cs="Roboto"/>
          <w:iCs/>
        </w:rPr>
        <w:t>ing</w:t>
      </w:r>
      <w:r w:rsidR="00514D30">
        <w:rPr>
          <w:rFonts w:asciiTheme="minorHAnsi" w:eastAsia="Roboto" w:hAnsiTheme="minorHAnsi" w:cs="Roboto"/>
          <w:iCs/>
        </w:rPr>
        <w:t>.</w:t>
      </w:r>
    </w:p>
    <w:p w14:paraId="10CF6C3D" w14:textId="78854D43" w:rsidR="00F00B68" w:rsidRPr="009C5959" w:rsidRDefault="00046F85" w:rsidP="00B7480B">
      <w:pPr>
        <w:pStyle w:val="ListParagraph"/>
        <w:numPr>
          <w:ilvl w:val="0"/>
          <w:numId w:val="1"/>
        </w:numPr>
        <w:rPr>
          <w:rFonts w:asciiTheme="minorHAnsi" w:eastAsia="Roboto" w:hAnsiTheme="minorHAnsi" w:cs="Roboto"/>
        </w:rPr>
      </w:pPr>
      <w:r>
        <w:rPr>
          <w:rFonts w:asciiTheme="minorHAnsi" w:eastAsia="Roboto" w:hAnsiTheme="minorHAnsi" w:cs="Roboto"/>
          <w:iCs/>
        </w:rPr>
        <w:t xml:space="preserve">AWH will pay MedMen $74 million at </w:t>
      </w:r>
      <w:r w:rsidR="00B83683">
        <w:rPr>
          <w:rFonts w:asciiTheme="minorHAnsi" w:eastAsia="Roboto" w:hAnsiTheme="minorHAnsi" w:cs="Roboto"/>
          <w:iCs/>
        </w:rPr>
        <w:t>closing</w:t>
      </w:r>
      <w:r w:rsidR="00CC2FEF">
        <w:rPr>
          <w:rFonts w:asciiTheme="minorHAnsi" w:eastAsia="Roboto" w:hAnsiTheme="minorHAnsi" w:cs="Roboto"/>
          <w:iCs/>
        </w:rPr>
        <w:t xml:space="preserve">, </w:t>
      </w:r>
      <w:r w:rsidR="00336D39">
        <w:rPr>
          <w:rFonts w:asciiTheme="minorHAnsi" w:eastAsia="Roboto" w:hAnsiTheme="minorHAnsi" w:cs="Roboto"/>
          <w:iCs/>
        </w:rPr>
        <w:t>inclusive of</w:t>
      </w:r>
      <w:r w:rsidR="00964440">
        <w:rPr>
          <w:rFonts w:asciiTheme="minorHAnsi" w:eastAsia="Roboto" w:hAnsiTheme="minorHAnsi" w:cs="Roboto"/>
          <w:iCs/>
        </w:rPr>
        <w:t xml:space="preserve"> the</w:t>
      </w:r>
      <w:r w:rsidR="00345C05">
        <w:rPr>
          <w:rFonts w:asciiTheme="minorHAnsi" w:eastAsia="Roboto" w:hAnsiTheme="minorHAnsi" w:cs="Roboto"/>
          <w:iCs/>
        </w:rPr>
        <w:t xml:space="preserve"> </w:t>
      </w:r>
      <w:r w:rsidR="00336D39">
        <w:rPr>
          <w:rFonts w:asciiTheme="minorHAnsi" w:eastAsia="Roboto" w:hAnsiTheme="minorHAnsi" w:cs="Roboto"/>
          <w:iCs/>
        </w:rPr>
        <w:t xml:space="preserve">$63 million </w:t>
      </w:r>
      <w:r w:rsidR="009D5095">
        <w:rPr>
          <w:rFonts w:asciiTheme="minorHAnsi" w:eastAsia="Roboto" w:hAnsiTheme="minorHAnsi" w:cs="Roboto"/>
          <w:iCs/>
        </w:rPr>
        <w:t xml:space="preserve">transaction </w:t>
      </w:r>
      <w:r w:rsidR="00336D39">
        <w:rPr>
          <w:rFonts w:asciiTheme="minorHAnsi" w:eastAsia="Roboto" w:hAnsiTheme="minorHAnsi" w:cs="Roboto"/>
          <w:iCs/>
        </w:rPr>
        <w:t xml:space="preserve">consideration and </w:t>
      </w:r>
      <w:r w:rsidR="00325448">
        <w:rPr>
          <w:rFonts w:asciiTheme="minorHAnsi" w:eastAsia="Roboto" w:hAnsiTheme="minorHAnsi" w:cs="Roboto"/>
          <w:iCs/>
        </w:rPr>
        <w:t>the</w:t>
      </w:r>
      <w:r w:rsidR="00345C05">
        <w:rPr>
          <w:rFonts w:asciiTheme="minorHAnsi" w:eastAsia="Roboto" w:hAnsiTheme="minorHAnsi" w:cs="Roboto"/>
          <w:iCs/>
        </w:rPr>
        <w:t xml:space="preserve"> </w:t>
      </w:r>
      <w:r w:rsidR="00CC2FEF">
        <w:rPr>
          <w:rFonts w:asciiTheme="minorHAnsi" w:eastAsia="Roboto" w:hAnsiTheme="minorHAnsi" w:cs="Roboto"/>
          <w:iCs/>
        </w:rPr>
        <w:t xml:space="preserve">$11 million </w:t>
      </w:r>
      <w:r w:rsidR="009D5095">
        <w:rPr>
          <w:rFonts w:asciiTheme="minorHAnsi" w:eastAsia="Roboto" w:hAnsiTheme="minorHAnsi" w:cs="Roboto"/>
          <w:iCs/>
        </w:rPr>
        <w:t xml:space="preserve">settlement </w:t>
      </w:r>
      <w:r w:rsidR="00CC2FEF">
        <w:rPr>
          <w:rFonts w:asciiTheme="minorHAnsi" w:eastAsia="Roboto" w:hAnsiTheme="minorHAnsi" w:cs="Roboto"/>
          <w:iCs/>
        </w:rPr>
        <w:t>payment.</w:t>
      </w:r>
      <w:r w:rsidR="00B2565C">
        <w:rPr>
          <w:rFonts w:asciiTheme="minorHAnsi" w:eastAsia="Roboto" w:hAnsiTheme="minorHAnsi" w:cs="Roboto"/>
          <w:iCs/>
        </w:rPr>
        <w:t xml:space="preserve"> AWH has already paid $4 million of the consideration as a deposit. </w:t>
      </w:r>
    </w:p>
    <w:p w14:paraId="158180FE" w14:textId="4BB296B0" w:rsidR="001617C2" w:rsidRPr="001617C2" w:rsidRDefault="000362DD" w:rsidP="00C27BFE">
      <w:pPr>
        <w:pStyle w:val="ListParagraph"/>
        <w:numPr>
          <w:ilvl w:val="0"/>
          <w:numId w:val="1"/>
        </w:numPr>
        <w:rPr>
          <w:rFonts w:asciiTheme="minorHAnsi" w:eastAsia="Roboto" w:hAnsiTheme="minorHAnsi" w:cs="Roboto"/>
        </w:rPr>
      </w:pPr>
      <w:r w:rsidRPr="009C5959">
        <w:rPr>
          <w:rFonts w:asciiTheme="minorHAnsi" w:eastAsia="Roboto" w:hAnsiTheme="minorHAnsi" w:cs="Roboto"/>
        </w:rPr>
        <w:t>AWH will make a subsequent payment of $1</w:t>
      </w:r>
      <w:r w:rsidR="00C56A6C" w:rsidRPr="009C5959">
        <w:rPr>
          <w:rFonts w:asciiTheme="minorHAnsi" w:eastAsia="Roboto" w:hAnsiTheme="minorHAnsi" w:cs="Roboto"/>
        </w:rPr>
        <w:t>4</w:t>
      </w:r>
      <w:r w:rsidRPr="009C5959">
        <w:rPr>
          <w:rFonts w:asciiTheme="minorHAnsi" w:eastAsia="Roboto" w:hAnsiTheme="minorHAnsi" w:cs="Roboto"/>
        </w:rPr>
        <w:t xml:space="preserve"> million upon the first sale of recreational cannabis in a M</w:t>
      </w:r>
      <w:r w:rsidR="0098186D" w:rsidRPr="009C5959">
        <w:rPr>
          <w:rFonts w:asciiTheme="minorHAnsi" w:eastAsia="Roboto" w:hAnsiTheme="minorHAnsi" w:cs="Roboto"/>
        </w:rPr>
        <w:t>ed</w:t>
      </w:r>
      <w:r w:rsidRPr="009C5959">
        <w:rPr>
          <w:rFonts w:asciiTheme="minorHAnsi" w:eastAsia="Roboto" w:hAnsiTheme="minorHAnsi" w:cs="Roboto"/>
        </w:rPr>
        <w:t>M</w:t>
      </w:r>
      <w:r w:rsidR="0098186D" w:rsidRPr="009C5959">
        <w:rPr>
          <w:rFonts w:asciiTheme="minorHAnsi" w:eastAsia="Roboto" w:hAnsiTheme="minorHAnsi" w:cs="Roboto"/>
        </w:rPr>
        <w:t xml:space="preserve">en </w:t>
      </w:r>
      <w:r w:rsidRPr="009C5959">
        <w:rPr>
          <w:rFonts w:asciiTheme="minorHAnsi" w:eastAsia="Roboto" w:hAnsiTheme="minorHAnsi" w:cs="Roboto"/>
        </w:rPr>
        <w:t>NY dispensary</w:t>
      </w:r>
      <w:r w:rsidR="00CC2FEF">
        <w:rPr>
          <w:rFonts w:asciiTheme="minorHAnsi" w:eastAsia="Roboto" w:hAnsiTheme="minorHAnsi" w:cs="Roboto"/>
        </w:rPr>
        <w:t>, inc</w:t>
      </w:r>
      <w:r w:rsidR="00980FE1">
        <w:rPr>
          <w:rFonts w:asciiTheme="minorHAnsi" w:eastAsia="Roboto" w:hAnsiTheme="minorHAnsi" w:cs="Roboto"/>
        </w:rPr>
        <w:t xml:space="preserve">lusive of the </w:t>
      </w:r>
      <w:r w:rsidR="00980FE1" w:rsidRPr="00957D9F">
        <w:rPr>
          <w:rFonts w:asciiTheme="minorHAnsi" w:eastAsia="Roboto" w:hAnsiTheme="minorHAnsi" w:cs="Roboto"/>
        </w:rPr>
        <w:t xml:space="preserve">$10 million </w:t>
      </w:r>
      <w:r w:rsidR="009D5095">
        <w:rPr>
          <w:rFonts w:asciiTheme="minorHAnsi" w:eastAsia="Roboto" w:hAnsiTheme="minorHAnsi" w:cs="Roboto"/>
        </w:rPr>
        <w:t xml:space="preserve">transaction </w:t>
      </w:r>
      <w:r w:rsidR="00F7142A" w:rsidRPr="00957D9F">
        <w:rPr>
          <w:rFonts w:asciiTheme="minorHAnsi" w:eastAsia="Roboto" w:hAnsiTheme="minorHAnsi" w:cs="Roboto"/>
        </w:rPr>
        <w:t>earn-out and</w:t>
      </w:r>
      <w:r w:rsidR="00CC2FEF" w:rsidRPr="00957D9F">
        <w:rPr>
          <w:rFonts w:asciiTheme="minorHAnsi" w:eastAsia="Roboto" w:hAnsiTheme="minorHAnsi" w:cs="Roboto"/>
        </w:rPr>
        <w:t xml:space="preserve"> </w:t>
      </w:r>
      <w:r w:rsidR="005F7080">
        <w:rPr>
          <w:rFonts w:asciiTheme="minorHAnsi" w:eastAsia="Roboto" w:hAnsiTheme="minorHAnsi" w:cs="Roboto"/>
        </w:rPr>
        <w:t>the</w:t>
      </w:r>
      <w:r w:rsidR="00345C05" w:rsidRPr="00957D9F">
        <w:rPr>
          <w:rFonts w:asciiTheme="minorHAnsi" w:eastAsia="Roboto" w:hAnsiTheme="minorHAnsi" w:cs="Roboto"/>
        </w:rPr>
        <w:t xml:space="preserve"> incremental</w:t>
      </w:r>
      <w:r w:rsidR="00CC2FEF" w:rsidRPr="00957D9F">
        <w:rPr>
          <w:rFonts w:asciiTheme="minorHAnsi" w:eastAsia="Roboto" w:hAnsiTheme="minorHAnsi" w:cs="Roboto"/>
        </w:rPr>
        <w:t xml:space="preserve"> $4 million</w:t>
      </w:r>
      <w:r w:rsidR="00762131" w:rsidRPr="00957D9F">
        <w:rPr>
          <w:rFonts w:asciiTheme="minorHAnsi" w:eastAsia="Roboto" w:hAnsiTheme="minorHAnsi" w:cs="Roboto"/>
        </w:rPr>
        <w:t xml:space="preserve"> related to the </w:t>
      </w:r>
      <w:r w:rsidR="009D5095">
        <w:rPr>
          <w:rFonts w:asciiTheme="minorHAnsi" w:eastAsia="Roboto" w:hAnsiTheme="minorHAnsi" w:cs="Roboto"/>
        </w:rPr>
        <w:t>settlement</w:t>
      </w:r>
      <w:r w:rsidRPr="00957D9F">
        <w:rPr>
          <w:rFonts w:asciiTheme="minorHAnsi" w:eastAsia="Roboto" w:hAnsiTheme="minorHAnsi" w:cs="Roboto"/>
        </w:rPr>
        <w:t>.</w:t>
      </w:r>
      <w:r w:rsidR="001617C2" w:rsidRPr="001617C2">
        <w:rPr>
          <w:rFonts w:asciiTheme="minorHAnsi" w:eastAsia="Roboto" w:hAnsiTheme="minorHAnsi" w:cs="Roboto"/>
        </w:rPr>
        <w:t xml:space="preserve"> </w:t>
      </w:r>
    </w:p>
    <w:p w14:paraId="144195CA" w14:textId="77777777" w:rsidR="00BD24EB" w:rsidRPr="009C5959" w:rsidRDefault="00705172" w:rsidP="00E23652">
      <w:pPr>
        <w:pStyle w:val="ListParagraph"/>
        <w:numPr>
          <w:ilvl w:val="0"/>
          <w:numId w:val="1"/>
        </w:numPr>
        <w:rPr>
          <w:rFonts w:asciiTheme="minorHAnsi" w:eastAsia="Roboto" w:hAnsiTheme="minorHAnsi" w:cs="Roboto"/>
        </w:rPr>
      </w:pPr>
      <w:r w:rsidRPr="009C5959">
        <w:rPr>
          <w:rFonts w:asciiTheme="minorHAnsi" w:eastAsia="Roboto" w:hAnsiTheme="minorHAnsi" w:cs="Roboto"/>
        </w:rPr>
        <w:t xml:space="preserve">There will be no additional earn-outs </w:t>
      </w:r>
      <w:r w:rsidR="00F7142A">
        <w:rPr>
          <w:rFonts w:asciiTheme="minorHAnsi" w:eastAsia="Roboto" w:hAnsiTheme="minorHAnsi" w:cs="Roboto"/>
        </w:rPr>
        <w:t>and</w:t>
      </w:r>
      <w:r w:rsidR="0098186D" w:rsidRPr="009C5959">
        <w:rPr>
          <w:rFonts w:asciiTheme="minorHAnsi" w:eastAsia="Roboto" w:hAnsiTheme="minorHAnsi" w:cs="Roboto"/>
        </w:rPr>
        <w:t xml:space="preserve"> </w:t>
      </w:r>
      <w:r w:rsidRPr="009C5959">
        <w:rPr>
          <w:rFonts w:asciiTheme="minorHAnsi" w:eastAsia="Roboto" w:hAnsiTheme="minorHAnsi" w:cs="Roboto"/>
        </w:rPr>
        <w:t xml:space="preserve">no assumption of debt. </w:t>
      </w:r>
      <w:r w:rsidR="00E23652" w:rsidRPr="009C5959">
        <w:rPr>
          <w:rFonts w:asciiTheme="minorHAnsi" w:eastAsia="Roboto" w:hAnsiTheme="minorHAnsi" w:cs="Roboto"/>
        </w:rPr>
        <w:t xml:space="preserve"> </w:t>
      </w:r>
      <w:r w:rsidR="00E23652" w:rsidRPr="009C5959">
        <w:rPr>
          <w:rFonts w:asciiTheme="minorHAnsi" w:eastAsia="Roboto" w:hAnsiTheme="minorHAnsi" w:cs="Roboto"/>
          <w:b/>
          <w:bCs/>
        </w:rPr>
        <w:t xml:space="preserve"> </w:t>
      </w:r>
    </w:p>
    <w:p w14:paraId="331C1C12" w14:textId="77777777" w:rsidR="006556D9" w:rsidRPr="009C5959" w:rsidRDefault="006556D9">
      <w:pPr>
        <w:rPr>
          <w:rFonts w:asciiTheme="minorHAnsi" w:eastAsia="Roboto" w:hAnsiTheme="minorHAnsi" w:cs="Roboto"/>
        </w:rPr>
      </w:pPr>
    </w:p>
    <w:p w14:paraId="586DAAC7" w14:textId="260BD029" w:rsidR="0098186D" w:rsidRPr="009C5959" w:rsidRDefault="0098186D" w:rsidP="0098186D">
      <w:pPr>
        <w:rPr>
          <w:rFonts w:asciiTheme="minorHAnsi" w:eastAsia="Roboto" w:hAnsiTheme="minorHAnsi" w:cs="Roboto"/>
        </w:rPr>
      </w:pPr>
      <w:bookmarkStart w:id="0" w:name="_Hlk102999445"/>
      <w:r w:rsidRPr="009C5959">
        <w:rPr>
          <w:rFonts w:asciiTheme="minorHAnsi" w:eastAsia="Roboto" w:hAnsiTheme="minorHAnsi" w:cs="Roboto"/>
        </w:rPr>
        <w:t>“</w:t>
      </w:r>
      <w:r w:rsidR="00B83683">
        <w:rPr>
          <w:rFonts w:asciiTheme="minorHAnsi" w:eastAsia="Roboto" w:hAnsiTheme="minorHAnsi" w:cs="Roboto"/>
        </w:rPr>
        <w:t>We are</w:t>
      </w:r>
      <w:r w:rsidRPr="009C5959">
        <w:rPr>
          <w:rFonts w:asciiTheme="minorHAnsi" w:eastAsia="Roboto" w:hAnsiTheme="minorHAnsi" w:cs="Roboto"/>
        </w:rPr>
        <w:t xml:space="preserve"> thrilled to </w:t>
      </w:r>
      <w:r w:rsidR="000C45F8">
        <w:rPr>
          <w:rFonts w:asciiTheme="minorHAnsi" w:eastAsia="Roboto" w:hAnsiTheme="minorHAnsi" w:cs="Roboto"/>
        </w:rPr>
        <w:t>put this</w:t>
      </w:r>
      <w:r w:rsidRPr="009C5959">
        <w:rPr>
          <w:rFonts w:asciiTheme="minorHAnsi" w:eastAsia="Roboto" w:hAnsiTheme="minorHAnsi" w:cs="Roboto"/>
        </w:rPr>
        <w:t xml:space="preserve"> dispute</w:t>
      </w:r>
      <w:r w:rsidR="000C45F8">
        <w:rPr>
          <w:rFonts w:asciiTheme="minorHAnsi" w:eastAsia="Roboto" w:hAnsiTheme="minorHAnsi" w:cs="Roboto"/>
        </w:rPr>
        <w:t xml:space="preserve"> behind </w:t>
      </w:r>
      <w:r w:rsidR="005F2080">
        <w:rPr>
          <w:rFonts w:asciiTheme="minorHAnsi" w:eastAsia="Roboto" w:hAnsiTheme="minorHAnsi" w:cs="Roboto"/>
        </w:rPr>
        <w:t>us</w:t>
      </w:r>
      <w:r w:rsidRPr="009C5959">
        <w:rPr>
          <w:rFonts w:asciiTheme="minorHAnsi" w:eastAsia="Roboto" w:hAnsiTheme="minorHAnsi" w:cs="Roboto"/>
        </w:rPr>
        <w:t xml:space="preserve"> and look forward to the imminent closing of this transaction,” </w:t>
      </w:r>
      <w:bookmarkEnd w:id="0"/>
      <w:r w:rsidRPr="009C5959">
        <w:rPr>
          <w:rFonts w:asciiTheme="minorHAnsi" w:eastAsia="Roboto" w:hAnsiTheme="minorHAnsi" w:cs="Roboto"/>
        </w:rPr>
        <w:t>said Abner Kurtin, Founder and CEO of AWH. “</w:t>
      </w:r>
      <w:r w:rsidR="00B11AB4" w:rsidRPr="009C5959">
        <w:rPr>
          <w:rFonts w:asciiTheme="minorHAnsi" w:eastAsia="Roboto" w:hAnsiTheme="minorHAnsi" w:cs="Roboto"/>
        </w:rPr>
        <w:t xml:space="preserve">We continue to build scale in some of the most sought-after locations in premier, limited license markets in the country, and with this investment, we will bring our high-quality products and exceptional retail experiences to our seventh state. </w:t>
      </w:r>
      <w:r w:rsidRPr="009C5959">
        <w:rPr>
          <w:rFonts w:asciiTheme="minorHAnsi" w:eastAsia="Roboto" w:hAnsiTheme="minorHAnsi" w:cs="Roboto"/>
        </w:rPr>
        <w:t xml:space="preserve">While we always seek accretive deals, this transaction is particularly attractive given a recent comparable acquisition valued at </w:t>
      </w:r>
      <w:r w:rsidRPr="009E3C75">
        <w:rPr>
          <w:rFonts w:asciiTheme="minorHAnsi" w:eastAsia="Roboto" w:hAnsiTheme="minorHAnsi" w:cs="Roboto"/>
        </w:rPr>
        <w:t>$2</w:t>
      </w:r>
      <w:r w:rsidR="00FA02C5" w:rsidRPr="009E3C75">
        <w:rPr>
          <w:rFonts w:asciiTheme="minorHAnsi" w:eastAsia="Roboto" w:hAnsiTheme="minorHAnsi" w:cs="Roboto"/>
        </w:rPr>
        <w:t>4</w:t>
      </w:r>
      <w:r w:rsidRPr="009E3C75">
        <w:rPr>
          <w:rFonts w:asciiTheme="minorHAnsi" w:eastAsia="Roboto" w:hAnsiTheme="minorHAnsi" w:cs="Roboto"/>
        </w:rPr>
        <w:t>7</w:t>
      </w:r>
      <w:r w:rsidRPr="009C5959">
        <w:rPr>
          <w:rFonts w:asciiTheme="minorHAnsi" w:eastAsia="Roboto" w:hAnsiTheme="minorHAnsi" w:cs="Roboto"/>
        </w:rPr>
        <w:t xml:space="preserve"> million.”</w:t>
      </w:r>
    </w:p>
    <w:p w14:paraId="023D7A63" w14:textId="77777777" w:rsidR="0098186D" w:rsidRPr="009C5959" w:rsidRDefault="0098186D" w:rsidP="0098186D">
      <w:pPr>
        <w:rPr>
          <w:rFonts w:asciiTheme="minorHAnsi" w:eastAsia="Roboto" w:hAnsiTheme="minorHAnsi" w:cs="Roboto"/>
        </w:rPr>
      </w:pPr>
    </w:p>
    <w:p w14:paraId="18EEC524" w14:textId="59EFF99A" w:rsidR="00AB1DB6" w:rsidRPr="009C5959" w:rsidRDefault="00AB1DB6" w:rsidP="00AB1DB6">
      <w:pPr>
        <w:rPr>
          <w:rFonts w:asciiTheme="minorHAnsi" w:eastAsia="Roboto" w:hAnsiTheme="minorHAnsi" w:cs="Roboto"/>
        </w:rPr>
      </w:pPr>
      <w:r w:rsidRPr="009C5959">
        <w:rPr>
          <w:rFonts w:asciiTheme="minorHAnsi" w:eastAsia="Roboto" w:hAnsiTheme="minorHAnsi" w:cs="Roboto"/>
        </w:rPr>
        <w:t>T. Andrew Brown, President of AWH NY</w:t>
      </w:r>
      <w:r>
        <w:rPr>
          <w:rFonts w:asciiTheme="minorHAnsi" w:eastAsia="Roboto" w:hAnsiTheme="minorHAnsi" w:cs="Roboto"/>
        </w:rPr>
        <w:t xml:space="preserve">, added, </w:t>
      </w:r>
      <w:r w:rsidRPr="009C5959">
        <w:rPr>
          <w:rFonts w:asciiTheme="minorHAnsi" w:eastAsia="Roboto" w:hAnsiTheme="minorHAnsi" w:cs="Roboto"/>
        </w:rPr>
        <w:t>“</w:t>
      </w:r>
      <w:r w:rsidR="00B11AB4" w:rsidRPr="009C5959">
        <w:rPr>
          <w:rFonts w:asciiTheme="minorHAnsi" w:eastAsia="Roboto" w:hAnsiTheme="minorHAnsi" w:cs="Roboto"/>
        </w:rPr>
        <w:t xml:space="preserve">We look forward to shifting our attention toward operating </w:t>
      </w:r>
      <w:r w:rsidR="001B7386">
        <w:rPr>
          <w:rFonts w:asciiTheme="minorHAnsi" w:eastAsia="Roboto" w:hAnsiTheme="minorHAnsi" w:cs="Roboto"/>
        </w:rPr>
        <w:t>the</w:t>
      </w:r>
      <w:r w:rsidR="001B7386" w:rsidRPr="009C5959">
        <w:rPr>
          <w:rFonts w:asciiTheme="minorHAnsi" w:eastAsia="Roboto" w:hAnsiTheme="minorHAnsi" w:cs="Roboto"/>
        </w:rPr>
        <w:t xml:space="preserve"> </w:t>
      </w:r>
      <w:r w:rsidR="00B11AB4" w:rsidRPr="009C5959">
        <w:rPr>
          <w:rFonts w:asciiTheme="minorHAnsi" w:eastAsia="Roboto" w:hAnsiTheme="minorHAnsi" w:cs="Roboto"/>
        </w:rPr>
        <w:t>four dispensaries</w:t>
      </w:r>
      <w:r w:rsidR="001B7386">
        <w:rPr>
          <w:rFonts w:asciiTheme="minorHAnsi" w:eastAsia="Roboto" w:hAnsiTheme="minorHAnsi" w:cs="Roboto"/>
        </w:rPr>
        <w:t>,</w:t>
      </w:r>
      <w:r w:rsidR="00B11AB4" w:rsidRPr="009C5959">
        <w:rPr>
          <w:rFonts w:asciiTheme="minorHAnsi" w:eastAsia="Roboto" w:hAnsiTheme="minorHAnsi" w:cs="Roboto"/>
        </w:rPr>
        <w:t xml:space="preserve"> expanding </w:t>
      </w:r>
      <w:r w:rsidR="001B7386">
        <w:rPr>
          <w:rFonts w:asciiTheme="minorHAnsi" w:eastAsia="Roboto" w:hAnsiTheme="minorHAnsi" w:cs="Roboto"/>
        </w:rPr>
        <w:t>the</w:t>
      </w:r>
      <w:r w:rsidR="00B11AB4" w:rsidRPr="009C5959">
        <w:rPr>
          <w:rFonts w:asciiTheme="minorHAnsi" w:eastAsia="Roboto" w:hAnsiTheme="minorHAnsi" w:cs="Roboto"/>
        </w:rPr>
        <w:t xml:space="preserve"> cultivation facility</w:t>
      </w:r>
      <w:r w:rsidR="001B7386">
        <w:rPr>
          <w:rFonts w:asciiTheme="minorHAnsi" w:eastAsia="Roboto" w:hAnsiTheme="minorHAnsi" w:cs="Roboto"/>
        </w:rPr>
        <w:t>, and working alongside the</w:t>
      </w:r>
      <w:r w:rsidRPr="009C5959">
        <w:rPr>
          <w:rFonts w:asciiTheme="minorHAnsi" w:eastAsia="Roboto" w:hAnsiTheme="minorHAnsi" w:cs="Roboto"/>
        </w:rPr>
        <w:t xml:space="preserve"> Office of Cannabis Management and the Cannabis Control Board</w:t>
      </w:r>
      <w:r w:rsidR="00B11AB4">
        <w:rPr>
          <w:rFonts w:asciiTheme="minorHAnsi" w:eastAsia="Roboto" w:hAnsiTheme="minorHAnsi" w:cs="Roboto"/>
        </w:rPr>
        <w:t>. S</w:t>
      </w:r>
      <w:r w:rsidRPr="009C5959">
        <w:rPr>
          <w:rFonts w:asciiTheme="minorHAnsi" w:eastAsia="Roboto" w:hAnsiTheme="minorHAnsi" w:cs="Roboto"/>
        </w:rPr>
        <w:t xml:space="preserve">ervicing the patients of New </w:t>
      </w:r>
      <w:r w:rsidR="00C07B04" w:rsidRPr="009C5959">
        <w:rPr>
          <w:rFonts w:asciiTheme="minorHAnsi" w:eastAsia="Roboto" w:hAnsiTheme="minorHAnsi" w:cs="Roboto"/>
        </w:rPr>
        <w:t>York</w:t>
      </w:r>
      <w:r w:rsidR="00C07B04">
        <w:rPr>
          <w:rFonts w:asciiTheme="minorHAnsi" w:eastAsia="Roboto" w:hAnsiTheme="minorHAnsi" w:cs="Roboto"/>
        </w:rPr>
        <w:t>,</w:t>
      </w:r>
      <w:r w:rsidR="00C07B04" w:rsidRPr="009C5959">
        <w:rPr>
          <w:rFonts w:asciiTheme="minorHAnsi" w:eastAsia="Roboto" w:hAnsiTheme="minorHAnsi" w:cs="Roboto"/>
        </w:rPr>
        <w:t xml:space="preserve"> </w:t>
      </w:r>
      <w:r w:rsidRPr="009C5959">
        <w:rPr>
          <w:rFonts w:asciiTheme="minorHAnsi" w:eastAsia="Roboto" w:hAnsiTheme="minorHAnsi" w:cs="Roboto"/>
        </w:rPr>
        <w:t>creating diverse jobs</w:t>
      </w:r>
      <w:r w:rsidR="00C07B04">
        <w:rPr>
          <w:rFonts w:asciiTheme="minorHAnsi" w:eastAsia="Roboto" w:hAnsiTheme="minorHAnsi" w:cs="Roboto"/>
        </w:rPr>
        <w:t>, and enhancing our social-equity initiatives</w:t>
      </w:r>
      <w:r w:rsidRPr="009C5959">
        <w:rPr>
          <w:rFonts w:asciiTheme="minorHAnsi" w:eastAsia="Roboto" w:hAnsiTheme="minorHAnsi" w:cs="Roboto"/>
        </w:rPr>
        <w:t xml:space="preserve"> throughout the state</w:t>
      </w:r>
      <w:r w:rsidR="00B11AB4">
        <w:rPr>
          <w:rFonts w:asciiTheme="minorHAnsi" w:eastAsia="Roboto" w:hAnsiTheme="minorHAnsi" w:cs="Roboto"/>
        </w:rPr>
        <w:t xml:space="preserve"> </w:t>
      </w:r>
      <w:r w:rsidR="00C07B04">
        <w:rPr>
          <w:rFonts w:asciiTheme="minorHAnsi" w:eastAsia="Roboto" w:hAnsiTheme="minorHAnsi" w:cs="Roboto"/>
        </w:rPr>
        <w:t xml:space="preserve">are </w:t>
      </w:r>
      <w:r w:rsidR="00B11AB4">
        <w:rPr>
          <w:rFonts w:asciiTheme="minorHAnsi" w:eastAsia="Roboto" w:hAnsiTheme="minorHAnsi" w:cs="Roboto"/>
        </w:rPr>
        <w:t>among my top priorities.</w:t>
      </w:r>
      <w:r w:rsidRPr="009C5959">
        <w:rPr>
          <w:rFonts w:asciiTheme="minorHAnsi" w:eastAsia="Roboto" w:hAnsiTheme="minorHAnsi" w:cs="Roboto"/>
        </w:rPr>
        <w:t>”</w:t>
      </w:r>
      <w:r w:rsidR="00272291">
        <w:rPr>
          <w:rFonts w:asciiTheme="minorHAnsi" w:eastAsia="Roboto" w:hAnsiTheme="minorHAnsi" w:cs="Roboto"/>
        </w:rPr>
        <w:t xml:space="preserve"> </w:t>
      </w:r>
    </w:p>
    <w:p w14:paraId="35B730A2" w14:textId="77777777" w:rsidR="00A4116C" w:rsidRPr="009C5959" w:rsidRDefault="00A4116C" w:rsidP="00A4116C">
      <w:pPr>
        <w:rPr>
          <w:rFonts w:asciiTheme="minorHAnsi" w:eastAsia="Roboto" w:hAnsiTheme="minorHAnsi" w:cs="Roboto"/>
        </w:rPr>
      </w:pPr>
    </w:p>
    <w:p w14:paraId="4FD1775B" w14:textId="77777777" w:rsidR="003C3D04" w:rsidRPr="009C5959" w:rsidRDefault="003C3D04" w:rsidP="003C3D04">
      <w:pPr>
        <w:rPr>
          <w:rFonts w:asciiTheme="minorHAnsi" w:eastAsia="Roboto" w:hAnsiTheme="minorHAnsi" w:cs="Roboto"/>
        </w:rPr>
      </w:pPr>
      <w:r w:rsidRPr="009C5959">
        <w:rPr>
          <w:rFonts w:asciiTheme="minorHAnsi" w:eastAsia="Roboto" w:hAnsiTheme="minorHAnsi" w:cs="Roboto"/>
        </w:rPr>
        <w:lastRenderedPageBreak/>
        <w:t>MedMen NY owns and operates four medical cannabis dispensaries located in Manhattan, Long Island, Syracuse, and Buffalo; and one cultivation facility located in Utica, New York.</w:t>
      </w:r>
    </w:p>
    <w:p w14:paraId="31DCB7AD" w14:textId="77777777" w:rsidR="00796F80" w:rsidRPr="009C5959" w:rsidRDefault="00796F80">
      <w:pPr>
        <w:rPr>
          <w:rFonts w:asciiTheme="minorHAnsi" w:eastAsia="Roboto" w:hAnsiTheme="minorHAnsi" w:cs="Roboto"/>
        </w:rPr>
      </w:pPr>
    </w:p>
    <w:p w14:paraId="7B7F249C" w14:textId="77777777" w:rsidR="00640205" w:rsidRPr="009C5959" w:rsidRDefault="00640205" w:rsidP="00640205">
      <w:pPr>
        <w:shd w:val="clear" w:color="auto" w:fill="FFFFFF"/>
        <w:jc w:val="both"/>
        <w:rPr>
          <w:rFonts w:asciiTheme="minorHAnsi" w:eastAsia="Calibri" w:hAnsiTheme="minorHAnsi" w:cs="Calibri"/>
          <w:b/>
        </w:rPr>
      </w:pPr>
      <w:r w:rsidRPr="009C5959">
        <w:rPr>
          <w:rFonts w:asciiTheme="minorHAnsi" w:eastAsia="Calibri" w:hAnsiTheme="minorHAnsi" w:cs="Calibri"/>
          <w:b/>
        </w:rPr>
        <w:t>About Ascend Wellness Holdings, Inc (AWH):</w:t>
      </w:r>
    </w:p>
    <w:p w14:paraId="57AC80C9" w14:textId="77777777" w:rsidR="00640205" w:rsidRPr="009C5959" w:rsidRDefault="00640205" w:rsidP="00640205">
      <w:pPr>
        <w:jc w:val="both"/>
        <w:rPr>
          <w:rFonts w:asciiTheme="minorHAnsi" w:eastAsia="Calibri" w:hAnsiTheme="minorHAnsi" w:cs="Calibri"/>
          <w:color w:val="1155CC"/>
        </w:rPr>
      </w:pPr>
      <w:r w:rsidRPr="009C5959">
        <w:rPr>
          <w:rFonts w:asciiTheme="minorHAnsi" w:eastAsia="Calibri" w:hAnsiTheme="minorHAnsi" w:cs="Calibri"/>
        </w:rPr>
        <w:t xml:space="preserve">AWH is a vertically integrated multistate cannabis operator with licenses and assets in Illinois, Michigan, Ohio, Massachusetts, New Jersey, and Pennsylvania. AWH owns and operates state-of-the-art cultivation facilities, growing award-winning strains and producing a curated selection of products for retail and wholesale customers. AWH produces and distributes its in-house Simply Herb, Ozone, and Ozone Reserve branded products. For more information, visit </w:t>
      </w:r>
      <w:hyperlink r:id="rId12">
        <w:r w:rsidRPr="009C5959">
          <w:rPr>
            <w:rFonts w:asciiTheme="minorHAnsi" w:eastAsia="Calibri" w:hAnsiTheme="minorHAnsi" w:cs="Calibri"/>
            <w:color w:val="1155CC"/>
          </w:rPr>
          <w:t>www.awholdings.com</w:t>
        </w:r>
      </w:hyperlink>
      <w:r w:rsidRPr="009C5959">
        <w:rPr>
          <w:rFonts w:asciiTheme="minorHAnsi" w:eastAsia="Calibri" w:hAnsiTheme="minorHAnsi" w:cs="Calibri"/>
        </w:rPr>
        <w:t xml:space="preserve">.  </w:t>
      </w:r>
    </w:p>
    <w:p w14:paraId="0FD592A3" w14:textId="77777777" w:rsidR="00796F80" w:rsidRPr="009C5959" w:rsidRDefault="00796F80">
      <w:pPr>
        <w:rPr>
          <w:rFonts w:asciiTheme="minorHAnsi" w:eastAsia="Roboto" w:hAnsiTheme="minorHAnsi" w:cs="Roboto"/>
        </w:rPr>
      </w:pPr>
    </w:p>
    <w:p w14:paraId="0F67351C" w14:textId="77777777" w:rsidR="00796F80" w:rsidRPr="009C5959" w:rsidRDefault="005E4496">
      <w:pPr>
        <w:shd w:val="clear" w:color="auto" w:fill="FFFFFF"/>
        <w:rPr>
          <w:rFonts w:asciiTheme="minorHAnsi" w:eastAsia="Roboto" w:hAnsiTheme="minorHAnsi" w:cs="Roboto"/>
          <w:b/>
        </w:rPr>
      </w:pPr>
      <w:r w:rsidRPr="009C5959">
        <w:rPr>
          <w:rFonts w:asciiTheme="minorHAnsi" w:eastAsia="Roboto" w:hAnsiTheme="minorHAnsi" w:cs="Roboto"/>
          <w:b/>
        </w:rPr>
        <w:t>Forward-Looking Statements</w:t>
      </w:r>
    </w:p>
    <w:p w14:paraId="056D2800" w14:textId="77777777" w:rsidR="00796F80" w:rsidRPr="009C5959" w:rsidRDefault="005E4496">
      <w:pPr>
        <w:shd w:val="clear" w:color="auto" w:fill="FFFFFF"/>
        <w:rPr>
          <w:rFonts w:asciiTheme="minorHAnsi" w:eastAsia="Roboto" w:hAnsiTheme="minorHAnsi" w:cs="Roboto"/>
        </w:rPr>
      </w:pPr>
      <w:r w:rsidRPr="009C5959">
        <w:rPr>
          <w:rFonts w:asciiTheme="minorHAnsi" w:eastAsia="Roboto" w:hAnsiTheme="minorHAnsi" w:cs="Roboto"/>
        </w:rPr>
        <w:t>This news release includes forward-looking information and statements, which may include, but are not limited to, information and statements regarding the plans, intentions, expectations, estimates, and beliefs of the Company. Words such as "expects", "continue", "will", "anticipates" and "intends" or similar expressions are intended to identify forward-looking statements. These forward-looking statements are based on the Company's current projections and expectations about future events and financial trends, and on certain assumptions and analysis made by the Company in light of experience and perception of historical trends, current conditions and expected future developments and other factors management believes are appropriate.</w:t>
      </w:r>
    </w:p>
    <w:p w14:paraId="47A43DA6" w14:textId="77777777" w:rsidR="00AD5613" w:rsidRPr="009C5959" w:rsidRDefault="00AD5613">
      <w:pPr>
        <w:shd w:val="clear" w:color="auto" w:fill="FFFFFF"/>
        <w:rPr>
          <w:rFonts w:asciiTheme="minorHAnsi" w:eastAsia="Roboto" w:hAnsiTheme="minorHAnsi" w:cs="Roboto"/>
        </w:rPr>
      </w:pPr>
    </w:p>
    <w:p w14:paraId="02DDE53F" w14:textId="03152723" w:rsidR="00796F80" w:rsidRPr="009C5959" w:rsidRDefault="005E4496">
      <w:pPr>
        <w:shd w:val="clear" w:color="auto" w:fill="FFFFFF"/>
        <w:rPr>
          <w:rFonts w:asciiTheme="minorHAnsi" w:eastAsia="Roboto" w:hAnsiTheme="minorHAnsi" w:cs="Roboto"/>
        </w:rPr>
      </w:pPr>
      <w:r w:rsidRPr="009C5959">
        <w:rPr>
          <w:rFonts w:asciiTheme="minorHAnsi" w:eastAsia="Roboto" w:hAnsiTheme="minorHAnsi" w:cs="Roboto"/>
        </w:rPr>
        <w:t xml:space="preserve">Forward-looking information and statements involve and are subject to assumptions and known and unknown risks, uncertainties, and other factors which may cause actual events, results, performance, or achievements of the Company to be materially different from future events, results, performance, and achievements expressed or implied by forward-looking information and statements herein. Such factors include, among others: the risks and uncertainties identified in the Company's </w:t>
      </w:r>
      <w:r w:rsidR="00BF1E2F">
        <w:rPr>
          <w:rFonts w:asciiTheme="minorHAnsi" w:eastAsia="Roboto" w:hAnsiTheme="minorHAnsi" w:cs="Roboto"/>
        </w:rPr>
        <w:t xml:space="preserve">Annual </w:t>
      </w:r>
      <w:r w:rsidRPr="009C5959">
        <w:rPr>
          <w:rFonts w:asciiTheme="minorHAnsi" w:eastAsia="Roboto" w:hAnsiTheme="minorHAnsi" w:cs="Roboto"/>
        </w:rPr>
        <w:t>Report on Form 10-</w:t>
      </w:r>
      <w:r w:rsidR="00640205" w:rsidRPr="009C5959">
        <w:rPr>
          <w:rFonts w:asciiTheme="minorHAnsi" w:eastAsia="Roboto" w:hAnsiTheme="minorHAnsi" w:cs="Roboto"/>
        </w:rPr>
        <w:t>K</w:t>
      </w:r>
      <w:r w:rsidRPr="009C5959">
        <w:rPr>
          <w:rFonts w:asciiTheme="minorHAnsi" w:eastAsia="Roboto" w:hAnsiTheme="minorHAnsi" w:cs="Roboto"/>
        </w:rPr>
        <w:t xml:space="preserve"> for the </w:t>
      </w:r>
      <w:r w:rsidR="00F42CBB">
        <w:rPr>
          <w:rFonts w:asciiTheme="minorHAnsi" w:eastAsia="Roboto" w:hAnsiTheme="minorHAnsi" w:cs="Roboto"/>
        </w:rPr>
        <w:t>year</w:t>
      </w:r>
      <w:r w:rsidRPr="009C5959">
        <w:rPr>
          <w:rFonts w:asciiTheme="minorHAnsi" w:eastAsia="Roboto" w:hAnsiTheme="minorHAnsi" w:cs="Roboto"/>
        </w:rPr>
        <w:t xml:space="preserve"> ended </w:t>
      </w:r>
      <w:r w:rsidR="00640205" w:rsidRPr="009C5959">
        <w:rPr>
          <w:rFonts w:asciiTheme="minorHAnsi" w:eastAsia="Roboto" w:hAnsiTheme="minorHAnsi" w:cs="Roboto"/>
        </w:rPr>
        <w:t xml:space="preserve">December </w:t>
      </w:r>
      <w:r w:rsidRPr="009C5959">
        <w:rPr>
          <w:rFonts w:asciiTheme="minorHAnsi" w:eastAsia="Roboto" w:hAnsiTheme="minorHAnsi" w:cs="Roboto"/>
        </w:rPr>
        <w:t>31, 2021, and in the Company's other reports and filings with the applicable Canadian securities regulators and the U.S. Securities and Exchange Commission. 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w:t>
      </w:r>
      <w:r w:rsidR="00EE1C2A">
        <w:rPr>
          <w:rFonts w:asciiTheme="minorHAnsi" w:eastAsia="Roboto" w:hAnsiTheme="minorHAnsi" w:cs="Roboto"/>
        </w:rPr>
        <w:t>,</w:t>
      </w:r>
      <w:r w:rsidRPr="009C5959">
        <w:rPr>
          <w:rFonts w:asciiTheme="minorHAnsi" w:eastAsia="Roboto" w:hAnsiTheme="minorHAnsi" w:cs="Roboto"/>
        </w:rPr>
        <w:t xml:space="preserve"> readers are advised to rely on their own evaluation of such risks and uncertainties and should not place undue reliance upon such forward-looking information and statements. Any forward-looking information and statements herein are made as of the date hereof, and except as required by applicable laws, the Company assumes no obligation and disclaims any intention to update or revise any forward-looking information and statements herein or to update the reasons that actual events or results could or do differ from those projected in any </w:t>
      </w:r>
      <w:r w:rsidR="00EE1C2A">
        <w:rPr>
          <w:rFonts w:asciiTheme="minorHAnsi" w:eastAsia="Roboto" w:hAnsiTheme="minorHAnsi" w:cs="Roboto"/>
        </w:rPr>
        <w:t>forward-looking</w:t>
      </w:r>
      <w:r w:rsidRPr="009C5959">
        <w:rPr>
          <w:rFonts w:asciiTheme="minorHAnsi" w:eastAsia="Roboto" w:hAnsiTheme="minorHAnsi" w:cs="Roboto"/>
        </w:rPr>
        <w:t xml:space="preserve"> information and statements herein, whether as a result of new information, future events or results, or otherwise, except as required by applicable laws.</w:t>
      </w:r>
    </w:p>
    <w:p w14:paraId="15B0507F" w14:textId="77777777" w:rsidR="00796F80" w:rsidRPr="009C5959" w:rsidRDefault="00796F80">
      <w:pPr>
        <w:shd w:val="clear" w:color="auto" w:fill="FFFFFF"/>
        <w:rPr>
          <w:rFonts w:asciiTheme="minorHAnsi" w:eastAsia="Roboto" w:hAnsiTheme="minorHAnsi" w:cs="Roboto"/>
        </w:rPr>
      </w:pPr>
    </w:p>
    <w:p w14:paraId="280CCADE" w14:textId="77777777" w:rsidR="00796F80" w:rsidRPr="009C5959" w:rsidRDefault="005E4496">
      <w:pPr>
        <w:shd w:val="clear" w:color="auto" w:fill="FFFFFF"/>
        <w:rPr>
          <w:rFonts w:asciiTheme="minorHAnsi" w:eastAsia="Roboto" w:hAnsiTheme="minorHAnsi" w:cs="Roboto"/>
          <w:b/>
        </w:rPr>
      </w:pPr>
      <w:r w:rsidRPr="009C5959">
        <w:rPr>
          <w:rFonts w:asciiTheme="minorHAnsi" w:eastAsia="Roboto" w:hAnsiTheme="minorHAnsi" w:cs="Roboto"/>
          <w:b/>
        </w:rPr>
        <w:t>The CSE has not reviewed, approved or disapproved the content of this news release.</w:t>
      </w:r>
    </w:p>
    <w:p w14:paraId="0DCF7002" w14:textId="77777777" w:rsidR="00796F80" w:rsidRPr="009C5959" w:rsidRDefault="00796F80">
      <w:pPr>
        <w:rPr>
          <w:rFonts w:asciiTheme="minorHAnsi" w:eastAsia="Roboto" w:hAnsiTheme="minorHAnsi" w:cs="Roboto"/>
        </w:rPr>
      </w:pPr>
    </w:p>
    <w:p w14:paraId="6A08A988" w14:textId="77777777" w:rsidR="00796F80" w:rsidRPr="009C5959" w:rsidRDefault="00796F80">
      <w:pPr>
        <w:jc w:val="both"/>
        <w:rPr>
          <w:rFonts w:asciiTheme="minorHAnsi" w:eastAsia="Roboto" w:hAnsiTheme="minorHAnsi" w:cs="Roboto"/>
          <w:b/>
        </w:rPr>
      </w:pPr>
    </w:p>
    <w:p w14:paraId="695CB812" w14:textId="77777777" w:rsidR="00796F80" w:rsidRPr="009C5959" w:rsidRDefault="005E4496">
      <w:pPr>
        <w:rPr>
          <w:rFonts w:asciiTheme="minorHAnsi" w:eastAsia="Roboto" w:hAnsiTheme="minorHAnsi" w:cs="Roboto"/>
        </w:rPr>
      </w:pPr>
      <w:r w:rsidRPr="009C5959">
        <w:rPr>
          <w:rFonts w:asciiTheme="minorHAnsi" w:eastAsia="Roboto" w:hAnsiTheme="minorHAnsi" w:cs="Roboto"/>
          <w:b/>
        </w:rPr>
        <w:lastRenderedPageBreak/>
        <w:t>AWH Media Contact</w:t>
      </w:r>
    </w:p>
    <w:p w14:paraId="250E796F" w14:textId="77777777" w:rsidR="00796F80" w:rsidRPr="009C5959" w:rsidRDefault="005E4496">
      <w:pPr>
        <w:shd w:val="clear" w:color="auto" w:fill="FFFFFF"/>
        <w:spacing w:line="240" w:lineRule="auto"/>
        <w:rPr>
          <w:rFonts w:asciiTheme="minorHAnsi" w:eastAsia="Calibri" w:hAnsiTheme="minorHAnsi" w:cs="Calibri"/>
          <w:color w:val="0A0A0A"/>
        </w:rPr>
      </w:pPr>
      <w:r w:rsidRPr="009C5959">
        <w:rPr>
          <w:rFonts w:asciiTheme="minorHAnsi" w:eastAsia="Calibri" w:hAnsiTheme="minorHAnsi" w:cs="Calibri"/>
          <w:color w:val="0A0A0A"/>
        </w:rPr>
        <w:t>Mark Sinclair</w:t>
      </w:r>
    </w:p>
    <w:p w14:paraId="37556A92" w14:textId="77777777" w:rsidR="00796F80" w:rsidRPr="009C5959" w:rsidRDefault="005E4496">
      <w:pPr>
        <w:shd w:val="clear" w:color="auto" w:fill="FFFFFF"/>
        <w:spacing w:line="240" w:lineRule="auto"/>
        <w:rPr>
          <w:rFonts w:asciiTheme="minorHAnsi" w:eastAsia="Calibri" w:hAnsiTheme="minorHAnsi" w:cs="Calibri"/>
          <w:color w:val="0A0A0A"/>
        </w:rPr>
      </w:pPr>
      <w:r w:rsidRPr="009C5959">
        <w:rPr>
          <w:rFonts w:asciiTheme="minorHAnsi" w:eastAsia="Calibri" w:hAnsiTheme="minorHAnsi" w:cs="Calibri"/>
          <w:color w:val="0A0A0A"/>
        </w:rPr>
        <w:t>MATTIO Communications</w:t>
      </w:r>
    </w:p>
    <w:p w14:paraId="62E6354F" w14:textId="77777777" w:rsidR="00796F80" w:rsidRPr="009C5959" w:rsidRDefault="005E4496">
      <w:pPr>
        <w:shd w:val="clear" w:color="auto" w:fill="FFFFFF"/>
        <w:spacing w:line="240" w:lineRule="auto"/>
        <w:rPr>
          <w:rFonts w:asciiTheme="minorHAnsi" w:eastAsia="Calibri" w:hAnsiTheme="minorHAnsi" w:cs="Calibri"/>
        </w:rPr>
      </w:pPr>
      <w:r w:rsidRPr="009C5959">
        <w:rPr>
          <w:rFonts w:asciiTheme="minorHAnsi" w:eastAsia="Calibri" w:hAnsiTheme="minorHAnsi" w:cs="Calibri"/>
          <w:color w:val="0A0A0A"/>
        </w:rPr>
        <w:t>650-269-9530</w:t>
      </w:r>
    </w:p>
    <w:p w14:paraId="34980279" w14:textId="77777777" w:rsidR="00796F80" w:rsidRPr="009C5959" w:rsidRDefault="00EC4724">
      <w:pPr>
        <w:shd w:val="clear" w:color="auto" w:fill="FFFFFF"/>
        <w:spacing w:line="240" w:lineRule="auto"/>
        <w:rPr>
          <w:rFonts w:asciiTheme="minorHAnsi" w:eastAsia="Roboto" w:hAnsiTheme="minorHAnsi" w:cs="Roboto"/>
        </w:rPr>
      </w:pPr>
      <w:hyperlink r:id="rId13">
        <w:r w:rsidR="005E4496" w:rsidRPr="009C5959">
          <w:rPr>
            <w:rFonts w:asciiTheme="minorHAnsi" w:eastAsia="Calibri" w:hAnsiTheme="minorHAnsi" w:cs="Calibri"/>
            <w:color w:val="1155CC"/>
            <w:u w:val="single"/>
          </w:rPr>
          <w:t>awh@mattio.com</w:t>
        </w:r>
      </w:hyperlink>
    </w:p>
    <w:p w14:paraId="46A3AF94" w14:textId="77777777" w:rsidR="00796F80" w:rsidRPr="009C5959" w:rsidRDefault="00796F80">
      <w:pPr>
        <w:shd w:val="clear" w:color="auto" w:fill="FFFFFF"/>
        <w:spacing w:line="240" w:lineRule="auto"/>
        <w:rPr>
          <w:rFonts w:asciiTheme="minorHAnsi" w:eastAsia="Roboto" w:hAnsiTheme="minorHAnsi" w:cs="Roboto"/>
        </w:rPr>
      </w:pPr>
    </w:p>
    <w:p w14:paraId="10938F85" w14:textId="77777777" w:rsidR="00796F80" w:rsidRPr="009C5959" w:rsidRDefault="005E4496">
      <w:pPr>
        <w:rPr>
          <w:rFonts w:asciiTheme="minorHAnsi" w:eastAsia="Roboto" w:hAnsiTheme="minorHAnsi" w:cs="Roboto"/>
          <w:b/>
        </w:rPr>
      </w:pPr>
      <w:r w:rsidRPr="009C5959">
        <w:rPr>
          <w:rFonts w:asciiTheme="minorHAnsi" w:eastAsia="Roboto" w:hAnsiTheme="minorHAnsi" w:cs="Roboto"/>
          <w:b/>
        </w:rPr>
        <w:t>AWH Investor Contact</w:t>
      </w:r>
    </w:p>
    <w:p w14:paraId="07F59120" w14:textId="77777777" w:rsidR="00796F80" w:rsidRPr="009C5959" w:rsidRDefault="005E4496">
      <w:pPr>
        <w:rPr>
          <w:rFonts w:asciiTheme="minorHAnsi" w:eastAsia="Roboto" w:hAnsiTheme="minorHAnsi" w:cs="Roboto"/>
        </w:rPr>
      </w:pPr>
      <w:r w:rsidRPr="009C5959">
        <w:rPr>
          <w:rFonts w:asciiTheme="minorHAnsi" w:eastAsia="Roboto" w:hAnsiTheme="minorHAnsi" w:cs="Roboto"/>
        </w:rPr>
        <w:t>Rebecca Koar</w:t>
      </w:r>
    </w:p>
    <w:p w14:paraId="72CD27C1" w14:textId="77777777" w:rsidR="00796F80" w:rsidRPr="009C5959" w:rsidRDefault="005E4496">
      <w:pPr>
        <w:rPr>
          <w:rFonts w:asciiTheme="minorHAnsi" w:eastAsia="Roboto" w:hAnsiTheme="minorHAnsi" w:cs="Roboto"/>
        </w:rPr>
      </w:pPr>
      <w:r w:rsidRPr="009C5959">
        <w:rPr>
          <w:rFonts w:asciiTheme="minorHAnsi" w:eastAsia="Roboto" w:hAnsiTheme="minorHAnsi" w:cs="Roboto"/>
        </w:rPr>
        <w:t>(617) 453-4042 ext. 90102</w:t>
      </w:r>
    </w:p>
    <w:p w14:paraId="437AFA9E" w14:textId="77777777" w:rsidR="00796F80" w:rsidRPr="009C5959" w:rsidRDefault="00EC4724">
      <w:pPr>
        <w:rPr>
          <w:rFonts w:asciiTheme="minorHAnsi" w:eastAsia="Roboto" w:hAnsiTheme="minorHAnsi" w:cs="Roboto"/>
        </w:rPr>
      </w:pPr>
      <w:hyperlink r:id="rId14">
        <w:r w:rsidR="005E4496" w:rsidRPr="009C5959">
          <w:rPr>
            <w:rFonts w:asciiTheme="minorHAnsi" w:eastAsia="Roboto" w:hAnsiTheme="minorHAnsi" w:cs="Roboto"/>
            <w:color w:val="1155CC"/>
            <w:u w:val="single"/>
          </w:rPr>
          <w:t>IR@awholdings.com</w:t>
        </w:r>
      </w:hyperlink>
    </w:p>
    <w:p w14:paraId="5FED61A1" w14:textId="77777777" w:rsidR="00796F80" w:rsidRPr="009C5959" w:rsidRDefault="00796F80">
      <w:pPr>
        <w:jc w:val="both"/>
        <w:rPr>
          <w:rFonts w:asciiTheme="minorHAnsi" w:eastAsia="Roboto" w:hAnsiTheme="minorHAnsi" w:cs="Roboto"/>
          <w:b/>
        </w:rPr>
      </w:pPr>
    </w:p>
    <w:sectPr w:rsidR="00796F80" w:rsidRPr="009C595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89B2" w14:textId="77777777" w:rsidR="007D02CD" w:rsidRDefault="007D02CD">
      <w:pPr>
        <w:spacing w:line="240" w:lineRule="auto"/>
      </w:pPr>
      <w:r>
        <w:separator/>
      </w:r>
    </w:p>
  </w:endnote>
  <w:endnote w:type="continuationSeparator" w:id="0">
    <w:p w14:paraId="5B54F592" w14:textId="77777777" w:rsidR="007D02CD" w:rsidRDefault="007D0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3FC7" w14:textId="77777777" w:rsidR="002E3BEB" w:rsidRDefault="002E3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9145" w14:textId="77777777" w:rsidR="002E3BEB" w:rsidRDefault="002E3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D948" w14:textId="77777777" w:rsidR="00796F80" w:rsidRDefault="00796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4DDA" w14:textId="77777777" w:rsidR="007D02CD" w:rsidRDefault="007D02CD">
      <w:pPr>
        <w:spacing w:line="240" w:lineRule="auto"/>
      </w:pPr>
      <w:r>
        <w:separator/>
      </w:r>
    </w:p>
  </w:footnote>
  <w:footnote w:type="continuationSeparator" w:id="0">
    <w:p w14:paraId="7829BA2D" w14:textId="77777777" w:rsidR="007D02CD" w:rsidRDefault="007D02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0023" w14:textId="77777777" w:rsidR="002E3BEB" w:rsidRDefault="002E3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EB2E" w14:textId="77777777" w:rsidR="00796F80" w:rsidRDefault="00796F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0559" w14:textId="77777777" w:rsidR="00796F80" w:rsidRDefault="005E4496">
    <w:r>
      <w:rPr>
        <w:noProof/>
      </w:rPr>
      <w:drawing>
        <wp:anchor distT="114300" distB="114300" distL="114300" distR="114300" simplePos="0" relativeHeight="251658240" behindDoc="0" locked="0" layoutInCell="1" hidden="0" allowOverlap="1" wp14:anchorId="0B2AD27D" wp14:editId="04D9B84A">
          <wp:simplePos x="0" y="0"/>
          <wp:positionH relativeFrom="margin">
            <wp:posOffset>2033588</wp:posOffset>
          </wp:positionH>
          <wp:positionV relativeFrom="margin">
            <wp:posOffset>-628648</wp:posOffset>
          </wp:positionV>
          <wp:extent cx="1876425" cy="6286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3437" b="25000"/>
                  <a:stretch>
                    <a:fillRect/>
                  </a:stretch>
                </pic:blipFill>
                <pic:spPr>
                  <a:xfrm>
                    <a:off x="0" y="0"/>
                    <a:ext cx="1876425" cy="628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171"/>
    <w:multiLevelType w:val="hybridMultilevel"/>
    <w:tmpl w:val="2A86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B0A2B"/>
    <w:multiLevelType w:val="hybridMultilevel"/>
    <w:tmpl w:val="9334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41325"/>
    <w:multiLevelType w:val="hybridMultilevel"/>
    <w:tmpl w:val="610C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136464">
    <w:abstractNumId w:val="1"/>
  </w:num>
  <w:num w:numId="2" w16cid:durableId="399446589">
    <w:abstractNumId w:val="0"/>
  </w:num>
  <w:num w:numId="3" w16cid:durableId="17218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796F80"/>
    <w:rsid w:val="000028E0"/>
    <w:rsid w:val="00021E40"/>
    <w:rsid w:val="00025A7A"/>
    <w:rsid w:val="0003000D"/>
    <w:rsid w:val="000362DD"/>
    <w:rsid w:val="00046F85"/>
    <w:rsid w:val="000559AA"/>
    <w:rsid w:val="0006066B"/>
    <w:rsid w:val="00061C66"/>
    <w:rsid w:val="00066884"/>
    <w:rsid w:val="00066A83"/>
    <w:rsid w:val="00070E50"/>
    <w:rsid w:val="0007250B"/>
    <w:rsid w:val="00074EE8"/>
    <w:rsid w:val="0008431E"/>
    <w:rsid w:val="000849DD"/>
    <w:rsid w:val="000939A8"/>
    <w:rsid w:val="000A5BBB"/>
    <w:rsid w:val="000B5927"/>
    <w:rsid w:val="000C00D5"/>
    <w:rsid w:val="000C1010"/>
    <w:rsid w:val="000C2B66"/>
    <w:rsid w:val="000C45B3"/>
    <w:rsid w:val="000C45F8"/>
    <w:rsid w:val="000C6976"/>
    <w:rsid w:val="000E187F"/>
    <w:rsid w:val="000F0BA9"/>
    <w:rsid w:val="000F7D73"/>
    <w:rsid w:val="00100EF6"/>
    <w:rsid w:val="001025F8"/>
    <w:rsid w:val="00112A65"/>
    <w:rsid w:val="001142CF"/>
    <w:rsid w:val="00114ED5"/>
    <w:rsid w:val="00115C0A"/>
    <w:rsid w:val="00131DDD"/>
    <w:rsid w:val="001617C2"/>
    <w:rsid w:val="00163B81"/>
    <w:rsid w:val="0016439D"/>
    <w:rsid w:val="00165ACA"/>
    <w:rsid w:val="001765A5"/>
    <w:rsid w:val="00176755"/>
    <w:rsid w:val="0017746D"/>
    <w:rsid w:val="00185A0C"/>
    <w:rsid w:val="001A5D68"/>
    <w:rsid w:val="001B7386"/>
    <w:rsid w:val="001C6823"/>
    <w:rsid w:val="001D0AB9"/>
    <w:rsid w:val="001E1C60"/>
    <w:rsid w:val="001F3F1A"/>
    <w:rsid w:val="00202A7D"/>
    <w:rsid w:val="00203E66"/>
    <w:rsid w:val="002055E2"/>
    <w:rsid w:val="00207F48"/>
    <w:rsid w:val="0021152D"/>
    <w:rsid w:val="00213162"/>
    <w:rsid w:val="00215ACD"/>
    <w:rsid w:val="00221591"/>
    <w:rsid w:val="00225505"/>
    <w:rsid w:val="0023018E"/>
    <w:rsid w:val="00232BDD"/>
    <w:rsid w:val="0024004A"/>
    <w:rsid w:val="00242DF7"/>
    <w:rsid w:val="00251AE1"/>
    <w:rsid w:val="00253BCF"/>
    <w:rsid w:val="00256E36"/>
    <w:rsid w:val="00267F4C"/>
    <w:rsid w:val="00272291"/>
    <w:rsid w:val="00272AFD"/>
    <w:rsid w:val="00277F83"/>
    <w:rsid w:val="002828F4"/>
    <w:rsid w:val="00282993"/>
    <w:rsid w:val="0028627E"/>
    <w:rsid w:val="00296712"/>
    <w:rsid w:val="002968F9"/>
    <w:rsid w:val="002B23D3"/>
    <w:rsid w:val="002B2BAD"/>
    <w:rsid w:val="002C4180"/>
    <w:rsid w:val="002D205A"/>
    <w:rsid w:val="002D25C8"/>
    <w:rsid w:val="002D381D"/>
    <w:rsid w:val="002D3D80"/>
    <w:rsid w:val="002E11C3"/>
    <w:rsid w:val="002E1A77"/>
    <w:rsid w:val="002E3BEB"/>
    <w:rsid w:val="002E43A7"/>
    <w:rsid w:val="002E6CC3"/>
    <w:rsid w:val="002F56B9"/>
    <w:rsid w:val="002F63A5"/>
    <w:rsid w:val="002F63A8"/>
    <w:rsid w:val="00302A62"/>
    <w:rsid w:val="00317D7E"/>
    <w:rsid w:val="00325448"/>
    <w:rsid w:val="00336D39"/>
    <w:rsid w:val="00337338"/>
    <w:rsid w:val="00343653"/>
    <w:rsid w:val="00345C05"/>
    <w:rsid w:val="00350933"/>
    <w:rsid w:val="003570D6"/>
    <w:rsid w:val="003623AD"/>
    <w:rsid w:val="00363044"/>
    <w:rsid w:val="003702B8"/>
    <w:rsid w:val="0037043F"/>
    <w:rsid w:val="00375877"/>
    <w:rsid w:val="003827D7"/>
    <w:rsid w:val="003A24EF"/>
    <w:rsid w:val="003A4D28"/>
    <w:rsid w:val="003B3F75"/>
    <w:rsid w:val="003C3D04"/>
    <w:rsid w:val="003C3E1B"/>
    <w:rsid w:val="003D5A0A"/>
    <w:rsid w:val="003D68B7"/>
    <w:rsid w:val="003F5861"/>
    <w:rsid w:val="003F6CDE"/>
    <w:rsid w:val="00404BA1"/>
    <w:rsid w:val="004050DE"/>
    <w:rsid w:val="004075EB"/>
    <w:rsid w:val="00411D27"/>
    <w:rsid w:val="00413E9B"/>
    <w:rsid w:val="004212A1"/>
    <w:rsid w:val="004225D9"/>
    <w:rsid w:val="00423F0D"/>
    <w:rsid w:val="00436252"/>
    <w:rsid w:val="00461DBA"/>
    <w:rsid w:val="004670DD"/>
    <w:rsid w:val="0047696D"/>
    <w:rsid w:val="00477DB1"/>
    <w:rsid w:val="00493004"/>
    <w:rsid w:val="00495C26"/>
    <w:rsid w:val="004B0AB4"/>
    <w:rsid w:val="004C044E"/>
    <w:rsid w:val="004C4932"/>
    <w:rsid w:val="004C4FEB"/>
    <w:rsid w:val="004C693F"/>
    <w:rsid w:val="004D655D"/>
    <w:rsid w:val="004E3132"/>
    <w:rsid w:val="004F0EDD"/>
    <w:rsid w:val="004F1254"/>
    <w:rsid w:val="004F23F5"/>
    <w:rsid w:val="004F7624"/>
    <w:rsid w:val="005032BC"/>
    <w:rsid w:val="005119B3"/>
    <w:rsid w:val="00512285"/>
    <w:rsid w:val="00514D30"/>
    <w:rsid w:val="005239E7"/>
    <w:rsid w:val="00524A7B"/>
    <w:rsid w:val="0053273D"/>
    <w:rsid w:val="0054749A"/>
    <w:rsid w:val="00547C86"/>
    <w:rsid w:val="00550878"/>
    <w:rsid w:val="00557843"/>
    <w:rsid w:val="005708E9"/>
    <w:rsid w:val="00582920"/>
    <w:rsid w:val="00585B5E"/>
    <w:rsid w:val="005A247F"/>
    <w:rsid w:val="005B47E0"/>
    <w:rsid w:val="005B482C"/>
    <w:rsid w:val="005C4B38"/>
    <w:rsid w:val="005C7B33"/>
    <w:rsid w:val="005D48D1"/>
    <w:rsid w:val="005E4496"/>
    <w:rsid w:val="005F2080"/>
    <w:rsid w:val="005F2691"/>
    <w:rsid w:val="005F7080"/>
    <w:rsid w:val="00600279"/>
    <w:rsid w:val="00602565"/>
    <w:rsid w:val="00612992"/>
    <w:rsid w:val="006305ED"/>
    <w:rsid w:val="00631491"/>
    <w:rsid w:val="0063697D"/>
    <w:rsid w:val="00640205"/>
    <w:rsid w:val="00650353"/>
    <w:rsid w:val="00655612"/>
    <w:rsid w:val="006556D9"/>
    <w:rsid w:val="00666485"/>
    <w:rsid w:val="0067318C"/>
    <w:rsid w:val="00673673"/>
    <w:rsid w:val="006827A7"/>
    <w:rsid w:val="006A04F4"/>
    <w:rsid w:val="006A17A0"/>
    <w:rsid w:val="006A1914"/>
    <w:rsid w:val="006A3E0C"/>
    <w:rsid w:val="006A4570"/>
    <w:rsid w:val="006A57E9"/>
    <w:rsid w:val="006B0657"/>
    <w:rsid w:val="006D1051"/>
    <w:rsid w:val="006D2750"/>
    <w:rsid w:val="006D6960"/>
    <w:rsid w:val="006E5303"/>
    <w:rsid w:val="006F0D53"/>
    <w:rsid w:val="006F4CB2"/>
    <w:rsid w:val="00704283"/>
    <w:rsid w:val="007050A9"/>
    <w:rsid w:val="00705172"/>
    <w:rsid w:val="0072088F"/>
    <w:rsid w:val="00721BA8"/>
    <w:rsid w:val="00722275"/>
    <w:rsid w:val="00722FE7"/>
    <w:rsid w:val="0073345E"/>
    <w:rsid w:val="0074037E"/>
    <w:rsid w:val="007406DC"/>
    <w:rsid w:val="007429DB"/>
    <w:rsid w:val="00746A8B"/>
    <w:rsid w:val="0075136C"/>
    <w:rsid w:val="00752A79"/>
    <w:rsid w:val="00752DD5"/>
    <w:rsid w:val="00762131"/>
    <w:rsid w:val="00765C02"/>
    <w:rsid w:val="00771D4D"/>
    <w:rsid w:val="007773CB"/>
    <w:rsid w:val="00780749"/>
    <w:rsid w:val="00782580"/>
    <w:rsid w:val="0078560B"/>
    <w:rsid w:val="00793D33"/>
    <w:rsid w:val="0079644C"/>
    <w:rsid w:val="00796F80"/>
    <w:rsid w:val="007A7F67"/>
    <w:rsid w:val="007B059A"/>
    <w:rsid w:val="007C2461"/>
    <w:rsid w:val="007C66B7"/>
    <w:rsid w:val="007C705A"/>
    <w:rsid w:val="007C72E9"/>
    <w:rsid w:val="007D02CD"/>
    <w:rsid w:val="007D319F"/>
    <w:rsid w:val="007E4ED2"/>
    <w:rsid w:val="007F3D67"/>
    <w:rsid w:val="0080768E"/>
    <w:rsid w:val="008117F8"/>
    <w:rsid w:val="00817970"/>
    <w:rsid w:val="008212AC"/>
    <w:rsid w:val="0082138E"/>
    <w:rsid w:val="00825C90"/>
    <w:rsid w:val="008308BC"/>
    <w:rsid w:val="00830A66"/>
    <w:rsid w:val="00832385"/>
    <w:rsid w:val="00836968"/>
    <w:rsid w:val="00842D9A"/>
    <w:rsid w:val="008477F8"/>
    <w:rsid w:val="00875EBF"/>
    <w:rsid w:val="00881D3F"/>
    <w:rsid w:val="00883B8A"/>
    <w:rsid w:val="008849FE"/>
    <w:rsid w:val="00885823"/>
    <w:rsid w:val="00891D07"/>
    <w:rsid w:val="008A5B6C"/>
    <w:rsid w:val="008B4533"/>
    <w:rsid w:val="008C00F2"/>
    <w:rsid w:val="008C5958"/>
    <w:rsid w:val="008D185D"/>
    <w:rsid w:val="008D2E54"/>
    <w:rsid w:val="008E0465"/>
    <w:rsid w:val="008F3990"/>
    <w:rsid w:val="0091150A"/>
    <w:rsid w:val="00915F90"/>
    <w:rsid w:val="009178C4"/>
    <w:rsid w:val="00921128"/>
    <w:rsid w:val="00930F85"/>
    <w:rsid w:val="00933865"/>
    <w:rsid w:val="00940133"/>
    <w:rsid w:val="00944489"/>
    <w:rsid w:val="00946034"/>
    <w:rsid w:val="00954244"/>
    <w:rsid w:val="00957D9F"/>
    <w:rsid w:val="0096049E"/>
    <w:rsid w:val="00964440"/>
    <w:rsid w:val="00965C7E"/>
    <w:rsid w:val="0097161E"/>
    <w:rsid w:val="0097538B"/>
    <w:rsid w:val="00980FE1"/>
    <w:rsid w:val="0098186D"/>
    <w:rsid w:val="00981DC8"/>
    <w:rsid w:val="00981EF0"/>
    <w:rsid w:val="0098366D"/>
    <w:rsid w:val="009944CA"/>
    <w:rsid w:val="0099755F"/>
    <w:rsid w:val="009B1853"/>
    <w:rsid w:val="009B5621"/>
    <w:rsid w:val="009C5959"/>
    <w:rsid w:val="009D5095"/>
    <w:rsid w:val="009E1BAD"/>
    <w:rsid w:val="009E3C75"/>
    <w:rsid w:val="009E3DD5"/>
    <w:rsid w:val="009F2DAD"/>
    <w:rsid w:val="009F3E0D"/>
    <w:rsid w:val="009F7FC4"/>
    <w:rsid w:val="00A12FB5"/>
    <w:rsid w:val="00A14801"/>
    <w:rsid w:val="00A201D8"/>
    <w:rsid w:val="00A203EE"/>
    <w:rsid w:val="00A23064"/>
    <w:rsid w:val="00A25F9A"/>
    <w:rsid w:val="00A41011"/>
    <w:rsid w:val="00A410E7"/>
    <w:rsid w:val="00A4116C"/>
    <w:rsid w:val="00A432C2"/>
    <w:rsid w:val="00A45674"/>
    <w:rsid w:val="00A5330A"/>
    <w:rsid w:val="00A627CB"/>
    <w:rsid w:val="00A663BA"/>
    <w:rsid w:val="00A84BDD"/>
    <w:rsid w:val="00A85CD3"/>
    <w:rsid w:val="00A876CE"/>
    <w:rsid w:val="00A95873"/>
    <w:rsid w:val="00AA4B8E"/>
    <w:rsid w:val="00AB1DB6"/>
    <w:rsid w:val="00AB7D5C"/>
    <w:rsid w:val="00AC7329"/>
    <w:rsid w:val="00AD0104"/>
    <w:rsid w:val="00AD5613"/>
    <w:rsid w:val="00AD564F"/>
    <w:rsid w:val="00AD5681"/>
    <w:rsid w:val="00AE23C5"/>
    <w:rsid w:val="00AF749D"/>
    <w:rsid w:val="00B11833"/>
    <w:rsid w:val="00B11AB4"/>
    <w:rsid w:val="00B136C0"/>
    <w:rsid w:val="00B14224"/>
    <w:rsid w:val="00B2565C"/>
    <w:rsid w:val="00B31753"/>
    <w:rsid w:val="00B33765"/>
    <w:rsid w:val="00B36DED"/>
    <w:rsid w:val="00B45B47"/>
    <w:rsid w:val="00B53CC3"/>
    <w:rsid w:val="00B6401A"/>
    <w:rsid w:val="00B65911"/>
    <w:rsid w:val="00B7480B"/>
    <w:rsid w:val="00B83683"/>
    <w:rsid w:val="00B92302"/>
    <w:rsid w:val="00B94A03"/>
    <w:rsid w:val="00B97DCF"/>
    <w:rsid w:val="00BB53CF"/>
    <w:rsid w:val="00BB6F4B"/>
    <w:rsid w:val="00BC43E3"/>
    <w:rsid w:val="00BC566E"/>
    <w:rsid w:val="00BD06F3"/>
    <w:rsid w:val="00BD24EB"/>
    <w:rsid w:val="00BD44F7"/>
    <w:rsid w:val="00BD7FE0"/>
    <w:rsid w:val="00BE2570"/>
    <w:rsid w:val="00BE5093"/>
    <w:rsid w:val="00BE6DC2"/>
    <w:rsid w:val="00BF1E2F"/>
    <w:rsid w:val="00C07B04"/>
    <w:rsid w:val="00C1181E"/>
    <w:rsid w:val="00C27BFE"/>
    <w:rsid w:val="00C42F29"/>
    <w:rsid w:val="00C45DB8"/>
    <w:rsid w:val="00C51931"/>
    <w:rsid w:val="00C56A6C"/>
    <w:rsid w:val="00C56D79"/>
    <w:rsid w:val="00C70140"/>
    <w:rsid w:val="00C70536"/>
    <w:rsid w:val="00C71B30"/>
    <w:rsid w:val="00C800DC"/>
    <w:rsid w:val="00C80AB4"/>
    <w:rsid w:val="00C8712A"/>
    <w:rsid w:val="00C9352D"/>
    <w:rsid w:val="00CA464B"/>
    <w:rsid w:val="00CA6714"/>
    <w:rsid w:val="00CB1D68"/>
    <w:rsid w:val="00CB292C"/>
    <w:rsid w:val="00CB7B74"/>
    <w:rsid w:val="00CC22F1"/>
    <w:rsid w:val="00CC2E92"/>
    <w:rsid w:val="00CC2FEF"/>
    <w:rsid w:val="00CC3681"/>
    <w:rsid w:val="00CD2057"/>
    <w:rsid w:val="00CE04E9"/>
    <w:rsid w:val="00CE0C86"/>
    <w:rsid w:val="00CE589A"/>
    <w:rsid w:val="00CF4333"/>
    <w:rsid w:val="00CF4BA2"/>
    <w:rsid w:val="00CF582C"/>
    <w:rsid w:val="00D002BD"/>
    <w:rsid w:val="00D02882"/>
    <w:rsid w:val="00D04DB1"/>
    <w:rsid w:val="00D06A53"/>
    <w:rsid w:val="00D1255D"/>
    <w:rsid w:val="00D132AC"/>
    <w:rsid w:val="00D17FDE"/>
    <w:rsid w:val="00D314E6"/>
    <w:rsid w:val="00D41CB4"/>
    <w:rsid w:val="00D5079A"/>
    <w:rsid w:val="00D50913"/>
    <w:rsid w:val="00D602FB"/>
    <w:rsid w:val="00D6497A"/>
    <w:rsid w:val="00D72686"/>
    <w:rsid w:val="00D84F20"/>
    <w:rsid w:val="00D96FB7"/>
    <w:rsid w:val="00DA6C65"/>
    <w:rsid w:val="00DB0C56"/>
    <w:rsid w:val="00DC04CB"/>
    <w:rsid w:val="00DC41BD"/>
    <w:rsid w:val="00DD0546"/>
    <w:rsid w:val="00DD2B59"/>
    <w:rsid w:val="00DE43F7"/>
    <w:rsid w:val="00E04230"/>
    <w:rsid w:val="00E23652"/>
    <w:rsid w:val="00E2661F"/>
    <w:rsid w:val="00E319A4"/>
    <w:rsid w:val="00E41843"/>
    <w:rsid w:val="00E4663E"/>
    <w:rsid w:val="00E512BB"/>
    <w:rsid w:val="00E512F5"/>
    <w:rsid w:val="00E54DA9"/>
    <w:rsid w:val="00E579A7"/>
    <w:rsid w:val="00E6625D"/>
    <w:rsid w:val="00E74A0A"/>
    <w:rsid w:val="00E75DF6"/>
    <w:rsid w:val="00E778C9"/>
    <w:rsid w:val="00E849E8"/>
    <w:rsid w:val="00E93B79"/>
    <w:rsid w:val="00E94CBE"/>
    <w:rsid w:val="00EA1017"/>
    <w:rsid w:val="00EA7A86"/>
    <w:rsid w:val="00EC39CE"/>
    <w:rsid w:val="00EC4724"/>
    <w:rsid w:val="00EC5ABB"/>
    <w:rsid w:val="00EC5DF0"/>
    <w:rsid w:val="00EE1C2A"/>
    <w:rsid w:val="00EE7EC6"/>
    <w:rsid w:val="00EF0E7D"/>
    <w:rsid w:val="00EF1E4B"/>
    <w:rsid w:val="00EF1F7A"/>
    <w:rsid w:val="00EF4B90"/>
    <w:rsid w:val="00F00B68"/>
    <w:rsid w:val="00F14067"/>
    <w:rsid w:val="00F14299"/>
    <w:rsid w:val="00F14968"/>
    <w:rsid w:val="00F22F67"/>
    <w:rsid w:val="00F232B8"/>
    <w:rsid w:val="00F24669"/>
    <w:rsid w:val="00F25FAF"/>
    <w:rsid w:val="00F30D76"/>
    <w:rsid w:val="00F42CBB"/>
    <w:rsid w:val="00F55B6B"/>
    <w:rsid w:val="00F6003B"/>
    <w:rsid w:val="00F60817"/>
    <w:rsid w:val="00F6331A"/>
    <w:rsid w:val="00F7142A"/>
    <w:rsid w:val="00F74EDC"/>
    <w:rsid w:val="00F75E90"/>
    <w:rsid w:val="00F822BB"/>
    <w:rsid w:val="00F85335"/>
    <w:rsid w:val="00F86521"/>
    <w:rsid w:val="00F954B1"/>
    <w:rsid w:val="00F95ABC"/>
    <w:rsid w:val="00FA02C5"/>
    <w:rsid w:val="00FA5A5C"/>
    <w:rsid w:val="00FB5901"/>
    <w:rsid w:val="00FC32AA"/>
    <w:rsid w:val="00FC50A2"/>
    <w:rsid w:val="00FC7503"/>
    <w:rsid w:val="00FD6266"/>
    <w:rsid w:val="00FD6A83"/>
    <w:rsid w:val="00FE087D"/>
    <w:rsid w:val="00FE7B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FEFA"/>
  <w15:docId w15:val="{06A8CBFC-B20F-49B6-B8CD-26061282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03E66"/>
    <w:rPr>
      <w:sz w:val="16"/>
      <w:szCs w:val="16"/>
    </w:rPr>
  </w:style>
  <w:style w:type="paragraph" w:styleId="CommentText">
    <w:name w:val="annotation text"/>
    <w:basedOn w:val="Normal"/>
    <w:link w:val="CommentTextChar"/>
    <w:uiPriority w:val="99"/>
    <w:semiHidden/>
    <w:unhideWhenUsed/>
    <w:rsid w:val="00203E66"/>
    <w:pPr>
      <w:spacing w:line="240" w:lineRule="auto"/>
    </w:pPr>
    <w:rPr>
      <w:sz w:val="20"/>
      <w:szCs w:val="20"/>
    </w:rPr>
  </w:style>
  <w:style w:type="character" w:customStyle="1" w:styleId="CommentTextChar">
    <w:name w:val="Comment Text Char"/>
    <w:basedOn w:val="DefaultParagraphFont"/>
    <w:link w:val="CommentText"/>
    <w:uiPriority w:val="99"/>
    <w:semiHidden/>
    <w:rsid w:val="00203E66"/>
    <w:rPr>
      <w:sz w:val="20"/>
      <w:szCs w:val="20"/>
    </w:rPr>
  </w:style>
  <w:style w:type="paragraph" w:styleId="CommentSubject">
    <w:name w:val="annotation subject"/>
    <w:basedOn w:val="CommentText"/>
    <w:next w:val="CommentText"/>
    <w:link w:val="CommentSubjectChar"/>
    <w:uiPriority w:val="99"/>
    <w:semiHidden/>
    <w:unhideWhenUsed/>
    <w:rsid w:val="00203E66"/>
    <w:rPr>
      <w:b/>
      <w:bCs/>
    </w:rPr>
  </w:style>
  <w:style w:type="character" w:customStyle="1" w:styleId="CommentSubjectChar">
    <w:name w:val="Comment Subject Char"/>
    <w:basedOn w:val="CommentTextChar"/>
    <w:link w:val="CommentSubject"/>
    <w:uiPriority w:val="99"/>
    <w:semiHidden/>
    <w:rsid w:val="00203E66"/>
    <w:rPr>
      <w:b/>
      <w:bCs/>
      <w:sz w:val="20"/>
      <w:szCs w:val="20"/>
    </w:rPr>
  </w:style>
  <w:style w:type="paragraph" w:styleId="Revision">
    <w:name w:val="Revision"/>
    <w:hidden/>
    <w:uiPriority w:val="99"/>
    <w:semiHidden/>
    <w:rsid w:val="00203E66"/>
    <w:pPr>
      <w:spacing w:line="240" w:lineRule="auto"/>
    </w:pPr>
  </w:style>
  <w:style w:type="character" w:styleId="Hyperlink">
    <w:name w:val="Hyperlink"/>
    <w:basedOn w:val="DefaultParagraphFont"/>
    <w:uiPriority w:val="99"/>
    <w:unhideWhenUsed/>
    <w:rsid w:val="00AD5613"/>
    <w:rPr>
      <w:color w:val="0000FF" w:themeColor="hyperlink"/>
      <w:u w:val="single"/>
    </w:rPr>
  </w:style>
  <w:style w:type="character" w:styleId="UnresolvedMention">
    <w:name w:val="Unresolved Mention"/>
    <w:basedOn w:val="DefaultParagraphFont"/>
    <w:uiPriority w:val="99"/>
    <w:semiHidden/>
    <w:unhideWhenUsed/>
    <w:rsid w:val="00AD5613"/>
    <w:rPr>
      <w:color w:val="605E5C"/>
      <w:shd w:val="clear" w:color="auto" w:fill="E1DFDD"/>
    </w:rPr>
  </w:style>
  <w:style w:type="character" w:styleId="FollowedHyperlink">
    <w:name w:val="FollowedHyperlink"/>
    <w:basedOn w:val="DefaultParagraphFont"/>
    <w:uiPriority w:val="99"/>
    <w:semiHidden/>
    <w:unhideWhenUsed/>
    <w:rsid w:val="00CE589A"/>
    <w:rPr>
      <w:color w:val="800080" w:themeColor="followedHyperlink"/>
      <w:u w:val="single"/>
    </w:rPr>
  </w:style>
  <w:style w:type="paragraph" w:styleId="ListParagraph">
    <w:name w:val="List Paragraph"/>
    <w:basedOn w:val="Normal"/>
    <w:uiPriority w:val="34"/>
    <w:qFormat/>
    <w:rsid w:val="00655612"/>
    <w:pPr>
      <w:ind w:left="720"/>
      <w:contextualSpacing/>
    </w:pPr>
  </w:style>
  <w:style w:type="paragraph" w:styleId="Header">
    <w:name w:val="header"/>
    <w:basedOn w:val="Normal"/>
    <w:link w:val="HeaderChar"/>
    <w:uiPriority w:val="99"/>
    <w:unhideWhenUsed/>
    <w:rsid w:val="002E3BEB"/>
    <w:pPr>
      <w:tabs>
        <w:tab w:val="center" w:pos="4680"/>
        <w:tab w:val="right" w:pos="9360"/>
      </w:tabs>
      <w:spacing w:line="240" w:lineRule="auto"/>
    </w:pPr>
  </w:style>
  <w:style w:type="character" w:customStyle="1" w:styleId="HeaderChar">
    <w:name w:val="Header Char"/>
    <w:basedOn w:val="DefaultParagraphFont"/>
    <w:link w:val="Header"/>
    <w:uiPriority w:val="99"/>
    <w:rsid w:val="002E3BEB"/>
  </w:style>
  <w:style w:type="paragraph" w:styleId="Footer">
    <w:name w:val="footer"/>
    <w:basedOn w:val="Normal"/>
    <w:link w:val="FooterChar"/>
    <w:uiPriority w:val="99"/>
    <w:unhideWhenUsed/>
    <w:rsid w:val="002E3BEB"/>
    <w:pPr>
      <w:tabs>
        <w:tab w:val="center" w:pos="4680"/>
        <w:tab w:val="right" w:pos="9360"/>
      </w:tabs>
      <w:spacing w:line="240" w:lineRule="auto"/>
    </w:pPr>
  </w:style>
  <w:style w:type="character" w:customStyle="1" w:styleId="FooterChar">
    <w:name w:val="Footer Char"/>
    <w:basedOn w:val="DefaultParagraphFont"/>
    <w:link w:val="Footer"/>
    <w:uiPriority w:val="99"/>
    <w:rsid w:val="002E3BEB"/>
  </w:style>
  <w:style w:type="paragraph" w:styleId="BalloonText">
    <w:name w:val="Balloon Text"/>
    <w:basedOn w:val="Normal"/>
    <w:link w:val="BalloonTextChar"/>
    <w:uiPriority w:val="99"/>
    <w:semiHidden/>
    <w:unhideWhenUsed/>
    <w:rsid w:val="00046F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h@mattio.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wholding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vestors.awholdings.com/news-releases/news-release-details/medmen-announces-73-million-investment-awh-medmens-new-yor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nvestors.awholdings.com/news-releases/news-release-details/ascend-wellness-holdings-inc-announces-filing-lawsuit-and-motio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enewswire.com/Tracker?data=VUHTvD1p4L9ae4MlkUjjmvqEEwPzCRrksoQjqUZX1ekLVlfazPNkFFXkfKIeLp2LTD7dOOz2qmZOLouAr5oAD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6D1960146A8D44B8E3DF7EEC180126" ma:contentTypeVersion="13" ma:contentTypeDescription="Create a new document." ma:contentTypeScope="" ma:versionID="2b6e70f2c7e30455af58ead25c1da35f">
  <xsd:schema xmlns:xsd="http://www.w3.org/2001/XMLSchema" xmlns:xs="http://www.w3.org/2001/XMLSchema" xmlns:p="http://schemas.microsoft.com/office/2006/metadata/properties" xmlns:ns2="f38da7ce-f6fd-40f4-9978-d2b0dd665447" xmlns:ns3="f51ad710-171d-4a01-95d8-150e09d6e53d" targetNamespace="http://schemas.microsoft.com/office/2006/metadata/properties" ma:root="true" ma:fieldsID="25796249364bc63f89462d4bec0028ad" ns2:_="" ns3:_="">
    <xsd:import namespace="f38da7ce-f6fd-40f4-9978-d2b0dd665447"/>
    <xsd:import namespace="f51ad710-171d-4a01-95d8-150e09d6e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da7ce-f6fd-40f4-9978-d2b0dd665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ad710-171d-4a01-95d8-150e09d6e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AC7A9-8F31-4C97-8011-8A7792C22D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EE818-A648-42DD-AB67-3E9514AC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da7ce-f6fd-40f4-9978-d2b0dd665447"/>
    <ds:schemaRef ds:uri="f51ad710-171d-4a01-95d8-150e09d6e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5BB15-1C5F-4FC4-A85A-89671F9F4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0</DocSecurity>
  <Lines>48</Lines>
  <Paragraphs>13</Paragraphs>
  <ScaleCrop>false</ScaleCrop>
  <Company>Gibson Dunn</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Conti Koar</cp:lastModifiedBy>
  <cp:revision>3</cp:revision>
  <dcterms:created xsi:type="dcterms:W3CDTF">2022-05-11T00:12:00Z</dcterms:created>
  <dcterms:modified xsi:type="dcterms:W3CDTF">2022-05-11T12:01:00Z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0x0101000A6D1960146A8D44B8E3DF7EEC180126</vt:lpwstr>
  </property>
</Properties>
</file>