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9BC8" w14:textId="1967B632" w:rsidR="00E43F0E" w:rsidRPr="00951DD6" w:rsidRDefault="00182297" w:rsidP="00DB417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51DD6">
        <w:rPr>
          <w:rFonts w:ascii="Times New Roman" w:hAnsi="Times New Roman" w:cs="Times New Roman"/>
          <w:b/>
          <w:sz w:val="28"/>
          <w:szCs w:val="32"/>
        </w:rPr>
        <w:t>R</w:t>
      </w:r>
      <w:r w:rsidR="007B42C6" w:rsidRPr="00951DD6">
        <w:rPr>
          <w:rFonts w:ascii="Times New Roman" w:hAnsi="Times New Roman" w:cs="Times New Roman"/>
          <w:b/>
          <w:sz w:val="28"/>
          <w:szCs w:val="32"/>
        </w:rPr>
        <w:t>ESSOURCES</w:t>
      </w:r>
      <w:r w:rsidRPr="00951DD6">
        <w:rPr>
          <w:rFonts w:ascii="Times New Roman" w:hAnsi="Times New Roman" w:cs="Times New Roman"/>
          <w:b/>
          <w:sz w:val="28"/>
          <w:szCs w:val="32"/>
        </w:rPr>
        <w:t xml:space="preserve"> A</w:t>
      </w:r>
      <w:r w:rsidR="007B42C6" w:rsidRPr="00951DD6">
        <w:rPr>
          <w:rFonts w:ascii="Times New Roman" w:hAnsi="Times New Roman" w:cs="Times New Roman"/>
          <w:b/>
          <w:sz w:val="28"/>
          <w:szCs w:val="32"/>
        </w:rPr>
        <w:t>UXICO</w:t>
      </w:r>
      <w:r w:rsidRPr="00951DD6">
        <w:rPr>
          <w:rFonts w:ascii="Times New Roman" w:hAnsi="Times New Roman" w:cs="Times New Roman"/>
          <w:b/>
          <w:sz w:val="28"/>
          <w:szCs w:val="32"/>
        </w:rPr>
        <w:t xml:space="preserve"> C</w:t>
      </w:r>
      <w:r w:rsidR="007B42C6" w:rsidRPr="00951DD6">
        <w:rPr>
          <w:rFonts w:ascii="Times New Roman" w:hAnsi="Times New Roman" w:cs="Times New Roman"/>
          <w:b/>
          <w:sz w:val="28"/>
          <w:szCs w:val="32"/>
        </w:rPr>
        <w:t>ANADA</w:t>
      </w:r>
      <w:r w:rsidRPr="00951DD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B42C6" w:rsidRPr="00951DD6">
        <w:rPr>
          <w:rFonts w:ascii="Times New Roman" w:hAnsi="Times New Roman" w:cs="Times New Roman"/>
          <w:b/>
          <w:sz w:val="28"/>
          <w:szCs w:val="32"/>
        </w:rPr>
        <w:t>INC</w:t>
      </w:r>
      <w:r w:rsidRPr="00951DD6">
        <w:rPr>
          <w:rFonts w:ascii="Times New Roman" w:hAnsi="Times New Roman" w:cs="Times New Roman"/>
          <w:b/>
          <w:sz w:val="28"/>
          <w:szCs w:val="32"/>
        </w:rPr>
        <w:t>.</w:t>
      </w:r>
    </w:p>
    <w:p w14:paraId="102855AD" w14:textId="15657EE8" w:rsidR="00C83EEC" w:rsidRPr="00951DD6" w:rsidRDefault="00182297" w:rsidP="00DB41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D6">
        <w:rPr>
          <w:rFonts w:ascii="Times New Roman" w:hAnsi="Times New Roman" w:cs="Times New Roman"/>
          <w:b/>
          <w:sz w:val="24"/>
          <w:szCs w:val="24"/>
        </w:rPr>
        <w:t>COMMUNIQUÉ</w:t>
      </w:r>
    </w:p>
    <w:p w14:paraId="76DFA91C" w14:textId="0329DF57" w:rsidR="00F529FE" w:rsidRPr="000C0C4D" w:rsidRDefault="00182297" w:rsidP="00F529F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4D">
        <w:rPr>
          <w:rFonts w:ascii="Times New Roman" w:hAnsi="Times New Roman" w:cs="Times New Roman"/>
          <w:b/>
          <w:sz w:val="24"/>
          <w:szCs w:val="24"/>
        </w:rPr>
        <w:t xml:space="preserve">AUXICO </w:t>
      </w:r>
      <w:r w:rsidR="000C0C4D" w:rsidRPr="00951DD6">
        <w:rPr>
          <w:rFonts w:ascii="Times New Roman" w:hAnsi="Times New Roman" w:cs="Times New Roman"/>
          <w:b/>
          <w:sz w:val="24"/>
          <w:szCs w:val="24"/>
        </w:rPr>
        <w:t>EFFECTUE UN PLACEMENT PRIVÉ</w:t>
      </w:r>
      <w:r w:rsidR="000C0C4D" w:rsidRPr="000C0C4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33E8D">
        <w:rPr>
          <w:rFonts w:ascii="Times New Roman" w:hAnsi="Times New Roman" w:cs="Times New Roman"/>
          <w:b/>
          <w:sz w:val="24"/>
          <w:szCs w:val="24"/>
        </w:rPr>
        <w:t>2 788 000 $</w:t>
      </w:r>
    </w:p>
    <w:p w14:paraId="14C93AA3" w14:textId="43F57E32" w:rsidR="00DB4171" w:rsidRPr="000C0C4D" w:rsidRDefault="00182297" w:rsidP="00DB4171">
      <w:p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 w:rsidRPr="00951DD6">
        <w:rPr>
          <w:rFonts w:ascii="Times New Roman" w:hAnsi="Times New Roman" w:cs="Times New Roman"/>
          <w:b/>
          <w:sz w:val="21"/>
          <w:szCs w:val="21"/>
        </w:rPr>
        <w:t xml:space="preserve">Montréal 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>(</w:t>
      </w:r>
      <w:r w:rsidRPr="00951DD6">
        <w:rPr>
          <w:rFonts w:ascii="Times New Roman" w:hAnsi="Times New Roman" w:cs="Times New Roman"/>
          <w:b/>
          <w:sz w:val="21"/>
          <w:szCs w:val="21"/>
        </w:rPr>
        <w:t>Qu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>é</w:t>
      </w:r>
      <w:r w:rsidRPr="00951DD6">
        <w:rPr>
          <w:rFonts w:ascii="Times New Roman" w:hAnsi="Times New Roman" w:cs="Times New Roman"/>
          <w:b/>
          <w:sz w:val="21"/>
          <w:szCs w:val="21"/>
        </w:rPr>
        <w:t>bec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 xml:space="preserve">), le </w:t>
      </w:r>
      <w:r w:rsidR="0070404F">
        <w:rPr>
          <w:rFonts w:ascii="Times New Roman" w:hAnsi="Times New Roman" w:cs="Times New Roman"/>
          <w:b/>
          <w:sz w:val="21"/>
          <w:szCs w:val="21"/>
        </w:rPr>
        <w:t>26 octobre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> </w:t>
      </w:r>
      <w:r w:rsidRPr="00951DD6">
        <w:rPr>
          <w:rFonts w:ascii="Times New Roman" w:hAnsi="Times New Roman" w:cs="Times New Roman"/>
          <w:b/>
          <w:sz w:val="21"/>
          <w:szCs w:val="21"/>
        </w:rPr>
        <w:t>2020</w:t>
      </w:r>
      <w:r w:rsidR="00D335BC" w:rsidRPr="00951DD6">
        <w:rPr>
          <w:rFonts w:ascii="Times New Roman" w:hAnsi="Times New Roman" w:cs="Times New Roman"/>
          <w:b/>
          <w:sz w:val="21"/>
          <w:szCs w:val="21"/>
        </w:rPr>
        <w:t>.</w:t>
      </w:r>
      <w:r w:rsidRPr="00951D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90B31" w:rsidRPr="00951DD6">
        <w:rPr>
          <w:rFonts w:ascii="Times New Roman" w:hAnsi="Times New Roman" w:cs="Times New Roman"/>
          <w:b/>
          <w:sz w:val="21"/>
          <w:szCs w:val="21"/>
        </w:rPr>
        <w:t>–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933D0" w:rsidRPr="00951DD6">
        <w:rPr>
          <w:rFonts w:ascii="Times New Roman" w:hAnsi="Times New Roman" w:cs="Times New Roman"/>
          <w:b/>
          <w:sz w:val="21"/>
          <w:szCs w:val="21"/>
        </w:rPr>
        <w:t>Re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>s</w:t>
      </w:r>
      <w:r w:rsidR="00A933D0" w:rsidRPr="00951DD6">
        <w:rPr>
          <w:rFonts w:ascii="Times New Roman" w:hAnsi="Times New Roman" w:cs="Times New Roman"/>
          <w:b/>
          <w:sz w:val="21"/>
          <w:szCs w:val="21"/>
        </w:rPr>
        <w:t xml:space="preserve">sources </w:t>
      </w:r>
      <w:r w:rsidR="000C0C4D" w:rsidRPr="00951DD6">
        <w:rPr>
          <w:rFonts w:ascii="Times New Roman" w:hAnsi="Times New Roman" w:cs="Times New Roman"/>
          <w:b/>
          <w:sz w:val="21"/>
          <w:szCs w:val="21"/>
        </w:rPr>
        <w:t xml:space="preserve">Auxico </w:t>
      </w:r>
      <w:r w:rsidR="00A933D0" w:rsidRPr="00951DD6">
        <w:rPr>
          <w:rFonts w:ascii="Times New Roman" w:hAnsi="Times New Roman" w:cs="Times New Roman"/>
          <w:b/>
          <w:sz w:val="21"/>
          <w:szCs w:val="21"/>
        </w:rPr>
        <w:t xml:space="preserve">Canada </w:t>
      </w:r>
      <w:proofErr w:type="spellStart"/>
      <w:r w:rsidR="001B7BE4" w:rsidRPr="00951DD6">
        <w:rPr>
          <w:rFonts w:ascii="Times New Roman" w:hAnsi="Times New Roman" w:cs="Times New Roman"/>
          <w:b/>
          <w:sz w:val="21"/>
          <w:szCs w:val="21"/>
        </w:rPr>
        <w:t>i</w:t>
      </w:r>
      <w:r w:rsidR="00A933D0" w:rsidRPr="00951DD6">
        <w:rPr>
          <w:rFonts w:ascii="Times New Roman" w:hAnsi="Times New Roman" w:cs="Times New Roman"/>
          <w:b/>
          <w:sz w:val="21"/>
          <w:szCs w:val="21"/>
        </w:rPr>
        <w:t>nc.</w:t>
      </w:r>
      <w:proofErr w:type="spellEnd"/>
      <w:r w:rsidR="00A933D0" w:rsidRPr="000C0C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933D0" w:rsidRPr="00951DD6">
        <w:rPr>
          <w:rFonts w:ascii="Times New Roman" w:hAnsi="Times New Roman" w:cs="Times New Roman"/>
          <w:b/>
          <w:sz w:val="21"/>
          <w:szCs w:val="21"/>
        </w:rPr>
        <w:t>(</w:t>
      </w:r>
      <w:proofErr w:type="gramStart"/>
      <w:r w:rsidR="00A933D0" w:rsidRPr="00951DD6">
        <w:rPr>
          <w:rFonts w:ascii="Times New Roman" w:hAnsi="Times New Roman" w:cs="Times New Roman"/>
          <w:b/>
          <w:sz w:val="21"/>
          <w:szCs w:val="21"/>
        </w:rPr>
        <w:t>CSE:AUAG</w:t>
      </w:r>
      <w:proofErr w:type="gramEnd"/>
      <w:r w:rsidR="00A933D0" w:rsidRPr="00951DD6">
        <w:rPr>
          <w:rFonts w:ascii="Times New Roman" w:hAnsi="Times New Roman" w:cs="Times New Roman"/>
          <w:b/>
          <w:sz w:val="21"/>
          <w:szCs w:val="21"/>
        </w:rPr>
        <w:t>) (« Auxico » ou « la Société »)</w:t>
      </w:r>
      <w:r w:rsidR="00FA215B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BF6093" w:rsidRPr="00951DD6">
        <w:rPr>
          <w:rFonts w:ascii="Times New Roman" w:hAnsi="Times New Roman" w:cs="Times New Roman"/>
          <w:sz w:val="21"/>
          <w:szCs w:val="21"/>
        </w:rPr>
        <w:t xml:space="preserve">est heureuse d’annoncer qu’elle a conclu un placement privé </w:t>
      </w:r>
      <w:r w:rsidR="00D335BC" w:rsidRPr="00951DD6">
        <w:rPr>
          <w:rFonts w:ascii="Times New Roman" w:hAnsi="Times New Roman" w:cs="Times New Roman"/>
          <w:sz w:val="21"/>
          <w:szCs w:val="21"/>
        </w:rPr>
        <w:t>s</w:t>
      </w:r>
      <w:r w:rsidR="00BF6093" w:rsidRPr="00951DD6">
        <w:rPr>
          <w:rFonts w:ascii="Times New Roman" w:hAnsi="Times New Roman" w:cs="Times New Roman"/>
          <w:sz w:val="21"/>
          <w:szCs w:val="21"/>
        </w:rPr>
        <w:t>ans courtier</w:t>
      </w:r>
      <w:r w:rsidR="0008582A" w:rsidRPr="000C0C4D">
        <w:rPr>
          <w:rFonts w:ascii="Times New Roman" w:hAnsi="Times New Roman" w:cs="Times New Roman"/>
          <w:sz w:val="21"/>
          <w:szCs w:val="21"/>
        </w:rPr>
        <w:t>,</w:t>
      </w:r>
      <w:r w:rsidR="00E76228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BF6093">
        <w:rPr>
          <w:rFonts w:ascii="Times New Roman" w:hAnsi="Times New Roman" w:cs="Times New Roman"/>
          <w:sz w:val="21"/>
          <w:szCs w:val="21"/>
        </w:rPr>
        <w:t xml:space="preserve">mobilisant </w:t>
      </w:r>
      <w:r w:rsidR="0070404F">
        <w:rPr>
          <w:rFonts w:ascii="Times New Roman" w:hAnsi="Times New Roman" w:cs="Times New Roman"/>
          <w:sz w:val="21"/>
          <w:szCs w:val="21"/>
        </w:rPr>
        <w:t>2 788 000</w:t>
      </w:r>
      <w:r w:rsidR="00BF6093">
        <w:rPr>
          <w:rFonts w:ascii="Times New Roman" w:hAnsi="Times New Roman" w:cs="Times New Roman"/>
          <w:sz w:val="21"/>
          <w:szCs w:val="21"/>
        </w:rPr>
        <w:t> $</w:t>
      </w:r>
      <w:r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BF6093">
        <w:rPr>
          <w:rFonts w:ascii="Times New Roman" w:hAnsi="Times New Roman" w:cs="Times New Roman"/>
          <w:sz w:val="21"/>
          <w:szCs w:val="21"/>
        </w:rPr>
        <w:t>(produit brut</w:t>
      </w:r>
      <w:r w:rsidR="00522049">
        <w:rPr>
          <w:rFonts w:ascii="Times New Roman" w:hAnsi="Times New Roman" w:cs="Times New Roman"/>
          <w:sz w:val="21"/>
          <w:szCs w:val="21"/>
        </w:rPr>
        <w:t xml:space="preserve"> total</w:t>
      </w:r>
      <w:r w:rsidR="00BF6093">
        <w:rPr>
          <w:rFonts w:ascii="Times New Roman" w:hAnsi="Times New Roman" w:cs="Times New Roman"/>
          <w:sz w:val="21"/>
          <w:szCs w:val="21"/>
        </w:rPr>
        <w:t xml:space="preserve">) au moyen de </w:t>
      </w:r>
      <w:r w:rsidR="00BF6093" w:rsidRPr="00951DD6">
        <w:rPr>
          <w:rFonts w:ascii="Times New Roman" w:hAnsi="Times New Roman" w:cs="Times New Roman"/>
          <w:sz w:val="21"/>
          <w:szCs w:val="21"/>
        </w:rPr>
        <w:t>débentures convertibles</w:t>
      </w:r>
      <w:r w:rsidR="00BF6093">
        <w:rPr>
          <w:rFonts w:ascii="Times New Roman" w:hAnsi="Times New Roman" w:cs="Times New Roman"/>
          <w:sz w:val="21"/>
          <w:szCs w:val="21"/>
        </w:rPr>
        <w:t xml:space="preserve"> </w:t>
      </w:r>
      <w:r w:rsidR="00BF6093" w:rsidRPr="00951DD6">
        <w:rPr>
          <w:rFonts w:ascii="Times New Roman" w:hAnsi="Times New Roman" w:cs="Times New Roman"/>
          <w:sz w:val="21"/>
          <w:szCs w:val="21"/>
        </w:rPr>
        <w:t>participatives</w:t>
      </w:r>
      <w:r w:rsidRPr="000C0C4D">
        <w:rPr>
          <w:rFonts w:ascii="Times New Roman" w:hAnsi="Times New Roman" w:cs="Times New Roman"/>
          <w:sz w:val="21"/>
          <w:szCs w:val="21"/>
        </w:rPr>
        <w:t xml:space="preserve"> (</w:t>
      </w:r>
      <w:r w:rsidR="00BF6093">
        <w:rPr>
          <w:rFonts w:ascii="Times New Roman" w:hAnsi="Times New Roman" w:cs="Times New Roman"/>
          <w:sz w:val="21"/>
          <w:szCs w:val="21"/>
        </w:rPr>
        <w:t xml:space="preserve">les </w:t>
      </w:r>
      <w:r w:rsidR="00BF6093" w:rsidRPr="00BF6093">
        <w:rPr>
          <w:rFonts w:ascii="Times New Roman" w:hAnsi="Times New Roman" w:cs="Times New Roman"/>
          <w:b/>
          <w:bCs/>
          <w:sz w:val="21"/>
          <w:szCs w:val="21"/>
        </w:rPr>
        <w:t>« </w:t>
      </w:r>
      <w:r w:rsidRPr="00BF6093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="00BF6093" w:rsidRPr="00BF6093">
        <w:rPr>
          <w:rFonts w:ascii="Times New Roman" w:hAnsi="Times New Roman" w:cs="Times New Roman"/>
          <w:b/>
          <w:bCs/>
          <w:sz w:val="21"/>
          <w:szCs w:val="21"/>
        </w:rPr>
        <w:t>é</w:t>
      </w:r>
      <w:r w:rsidRPr="00BF6093">
        <w:rPr>
          <w:rFonts w:ascii="Times New Roman" w:hAnsi="Times New Roman" w:cs="Times New Roman"/>
          <w:b/>
          <w:bCs/>
          <w:sz w:val="21"/>
          <w:szCs w:val="21"/>
        </w:rPr>
        <w:t>bentures</w:t>
      </w:r>
      <w:r w:rsidR="00BF6093" w:rsidRPr="00BF6093">
        <w:rPr>
          <w:rFonts w:ascii="Times New Roman" w:hAnsi="Times New Roman" w:cs="Times New Roman"/>
          <w:b/>
          <w:bCs/>
          <w:sz w:val="21"/>
          <w:szCs w:val="21"/>
        </w:rPr>
        <w:t> »</w:t>
      </w:r>
      <w:r w:rsidRPr="000C0C4D">
        <w:rPr>
          <w:rFonts w:ascii="Times New Roman" w:hAnsi="Times New Roman" w:cs="Times New Roman"/>
          <w:sz w:val="21"/>
          <w:szCs w:val="21"/>
        </w:rPr>
        <w:t>).</w:t>
      </w:r>
    </w:p>
    <w:p w14:paraId="5465B860" w14:textId="2A7EF121" w:rsidR="00DB4C34" w:rsidRPr="000C0C4D" w:rsidRDefault="006F6D33" w:rsidP="00DB4171">
      <w:p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Chaque </w:t>
      </w:r>
      <w:r w:rsidR="00182297" w:rsidRPr="000C0C4D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é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benture </w:t>
      </w:r>
      <w:r>
        <w:rPr>
          <w:rFonts w:ascii="Times New Roman" w:hAnsi="Times New Roman" w:cs="Times New Roman"/>
          <w:sz w:val="21"/>
          <w:szCs w:val="21"/>
        </w:rPr>
        <w:t xml:space="preserve">est une débenture convertible </w:t>
      </w:r>
      <w:r w:rsidRPr="00951DD6">
        <w:rPr>
          <w:rFonts w:ascii="Times New Roman" w:hAnsi="Times New Roman" w:cs="Times New Roman"/>
          <w:sz w:val="21"/>
          <w:szCs w:val="21"/>
        </w:rPr>
        <w:t>non rachetable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51DD6">
        <w:rPr>
          <w:rFonts w:ascii="Times New Roman" w:hAnsi="Times New Roman" w:cs="Times New Roman"/>
          <w:sz w:val="21"/>
          <w:szCs w:val="21"/>
        </w:rPr>
        <w:t>garantie</w:t>
      </w:r>
      <w:r w:rsidR="00A8593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participative</w:t>
      </w:r>
      <w:r w:rsidR="00A85939">
        <w:rPr>
          <w:rFonts w:ascii="Times New Roman" w:hAnsi="Times New Roman" w:cs="Times New Roman"/>
          <w:sz w:val="21"/>
          <w:szCs w:val="21"/>
        </w:rPr>
        <w:t xml:space="preserve"> d’un </w:t>
      </w:r>
      <w:r w:rsidR="00A85939" w:rsidRPr="00951DD6">
        <w:rPr>
          <w:rFonts w:ascii="Times New Roman" w:hAnsi="Times New Roman" w:cs="Times New Roman"/>
          <w:sz w:val="21"/>
          <w:szCs w:val="21"/>
        </w:rPr>
        <w:t>capital</w:t>
      </w:r>
      <w:r w:rsidR="00A85939">
        <w:rPr>
          <w:rFonts w:ascii="Times New Roman" w:hAnsi="Times New Roman" w:cs="Times New Roman"/>
          <w:sz w:val="21"/>
          <w:szCs w:val="21"/>
        </w:rPr>
        <w:t xml:space="preserve"> de </w:t>
      </w:r>
      <w:r w:rsidR="00182297" w:rsidRPr="000C0C4D">
        <w:rPr>
          <w:rFonts w:ascii="Times New Roman" w:hAnsi="Times New Roman" w:cs="Times New Roman"/>
          <w:sz w:val="21"/>
          <w:szCs w:val="21"/>
        </w:rPr>
        <w:t>1</w:t>
      </w:r>
      <w:r w:rsidR="00A85939">
        <w:rPr>
          <w:rFonts w:ascii="Times New Roman" w:hAnsi="Times New Roman" w:cs="Times New Roman"/>
          <w:sz w:val="21"/>
          <w:szCs w:val="21"/>
        </w:rPr>
        <w:t> $</w:t>
      </w:r>
      <w:r w:rsidR="000977E8">
        <w:rPr>
          <w:rFonts w:ascii="Times New Roman" w:hAnsi="Times New Roman" w:cs="Times New Roman"/>
          <w:sz w:val="21"/>
          <w:szCs w:val="21"/>
        </w:rPr>
        <w:t xml:space="preserve">; elle </w:t>
      </w:r>
      <w:r w:rsidR="00A85939">
        <w:rPr>
          <w:rFonts w:ascii="Times New Roman" w:hAnsi="Times New Roman" w:cs="Times New Roman"/>
          <w:sz w:val="21"/>
          <w:szCs w:val="21"/>
        </w:rPr>
        <w:t>arriv</w:t>
      </w:r>
      <w:r w:rsidR="000977E8">
        <w:rPr>
          <w:rFonts w:ascii="Times New Roman" w:hAnsi="Times New Roman" w:cs="Times New Roman"/>
          <w:sz w:val="21"/>
          <w:szCs w:val="21"/>
        </w:rPr>
        <w:t>e</w:t>
      </w:r>
      <w:r w:rsidR="00A85939">
        <w:rPr>
          <w:rFonts w:ascii="Times New Roman" w:hAnsi="Times New Roman" w:cs="Times New Roman"/>
          <w:sz w:val="21"/>
          <w:szCs w:val="21"/>
        </w:rPr>
        <w:t xml:space="preserve"> à échéance le </w:t>
      </w:r>
      <w:r w:rsidR="0070404F">
        <w:rPr>
          <w:rFonts w:ascii="Times New Roman" w:hAnsi="Times New Roman" w:cs="Times New Roman"/>
          <w:sz w:val="21"/>
          <w:szCs w:val="21"/>
        </w:rPr>
        <w:t>23 octobre</w:t>
      </w:r>
      <w:r w:rsidR="00A85939">
        <w:rPr>
          <w:rFonts w:ascii="Times New Roman" w:hAnsi="Times New Roman" w:cs="Times New Roman"/>
          <w:sz w:val="21"/>
          <w:szCs w:val="21"/>
        </w:rPr>
        <w:t> </w:t>
      </w:r>
      <w:r w:rsidR="00182297" w:rsidRPr="000C0C4D">
        <w:rPr>
          <w:rFonts w:ascii="Times New Roman" w:hAnsi="Times New Roman" w:cs="Times New Roman"/>
          <w:sz w:val="21"/>
          <w:szCs w:val="21"/>
        </w:rPr>
        <w:t>2023 (</w:t>
      </w:r>
      <w:r w:rsidR="00A85939">
        <w:rPr>
          <w:rFonts w:ascii="Times New Roman" w:hAnsi="Times New Roman" w:cs="Times New Roman"/>
          <w:sz w:val="21"/>
          <w:szCs w:val="21"/>
        </w:rPr>
        <w:t xml:space="preserve">la </w:t>
      </w:r>
      <w:r w:rsidR="00A85939">
        <w:rPr>
          <w:rFonts w:ascii="Times New Roman" w:hAnsi="Times New Roman" w:cs="Times New Roman"/>
          <w:b/>
          <w:bCs/>
          <w:sz w:val="21"/>
          <w:szCs w:val="21"/>
        </w:rPr>
        <w:t>« Date d’échéance »</w:t>
      </w:r>
      <w:r w:rsidR="00182297" w:rsidRPr="000C0C4D">
        <w:rPr>
          <w:rFonts w:ascii="Times New Roman" w:hAnsi="Times New Roman" w:cs="Times New Roman"/>
          <w:sz w:val="21"/>
          <w:szCs w:val="21"/>
        </w:rPr>
        <w:t>)</w:t>
      </w:r>
      <w:r w:rsidR="00A85939">
        <w:rPr>
          <w:rFonts w:ascii="Times New Roman" w:hAnsi="Times New Roman" w:cs="Times New Roman"/>
          <w:sz w:val="21"/>
          <w:szCs w:val="21"/>
        </w:rPr>
        <w:t>.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2C2B54">
        <w:rPr>
          <w:rFonts w:ascii="Times New Roman" w:hAnsi="Times New Roman" w:cs="Times New Roman"/>
          <w:sz w:val="21"/>
          <w:szCs w:val="21"/>
        </w:rPr>
        <w:t>Les t</w:t>
      </w:r>
      <w:r w:rsidR="00A85939">
        <w:rPr>
          <w:rFonts w:ascii="Times New Roman" w:hAnsi="Times New Roman" w:cs="Times New Roman"/>
          <w:sz w:val="21"/>
          <w:szCs w:val="21"/>
        </w:rPr>
        <w:t xml:space="preserve">rois options de conversion </w:t>
      </w:r>
      <w:r w:rsidR="002C2B54">
        <w:rPr>
          <w:rFonts w:ascii="Times New Roman" w:hAnsi="Times New Roman" w:cs="Times New Roman"/>
          <w:sz w:val="21"/>
          <w:szCs w:val="21"/>
        </w:rPr>
        <w:t xml:space="preserve">suivantes </w:t>
      </w:r>
      <w:r w:rsidR="00A85939">
        <w:rPr>
          <w:rFonts w:ascii="Times New Roman" w:hAnsi="Times New Roman" w:cs="Times New Roman"/>
          <w:sz w:val="21"/>
          <w:szCs w:val="21"/>
        </w:rPr>
        <w:t xml:space="preserve">sont offertes aux </w:t>
      </w:r>
      <w:r w:rsidR="00A85939" w:rsidRPr="00951DD6">
        <w:rPr>
          <w:rFonts w:ascii="Times New Roman" w:hAnsi="Times New Roman" w:cs="Times New Roman"/>
          <w:sz w:val="21"/>
          <w:szCs w:val="21"/>
        </w:rPr>
        <w:t>porteurs</w:t>
      </w:r>
      <w:r w:rsidR="00A85939">
        <w:rPr>
          <w:rFonts w:ascii="Times New Roman" w:hAnsi="Times New Roman" w:cs="Times New Roman"/>
          <w:sz w:val="21"/>
          <w:szCs w:val="21"/>
        </w:rPr>
        <w:t> </w:t>
      </w:r>
      <w:r w:rsidR="00182297" w:rsidRPr="000C0C4D">
        <w:rPr>
          <w:rFonts w:ascii="Times New Roman" w:hAnsi="Times New Roman" w:cs="Times New Roman"/>
          <w:sz w:val="21"/>
          <w:szCs w:val="21"/>
        </w:rPr>
        <w:t>:</w:t>
      </w:r>
    </w:p>
    <w:p w14:paraId="467D9887" w14:textId="6093451F" w:rsidR="00DB4C34" w:rsidRPr="000C0C4D" w:rsidRDefault="002C2B54" w:rsidP="00DB4C34">
      <w:pPr>
        <w:pStyle w:val="ListParagraph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 w:rsidRPr="00951DD6">
        <w:rPr>
          <w:rFonts w:ascii="Times New Roman" w:hAnsi="Times New Roman" w:cs="Times New Roman"/>
          <w:sz w:val="21"/>
          <w:szCs w:val="21"/>
        </w:rPr>
        <w:t>Unités</w:t>
      </w:r>
      <w:r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182297" w:rsidRPr="002C2B54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Pr="002C2B54">
        <w:rPr>
          <w:rFonts w:ascii="Times New Roman" w:hAnsi="Times New Roman" w:cs="Times New Roman"/>
          <w:b/>
          <w:bCs/>
          <w:sz w:val="21"/>
          <w:szCs w:val="21"/>
        </w:rPr>
        <w:t>« </w:t>
      </w:r>
      <w:r w:rsidR="00182297" w:rsidRPr="002C2B54">
        <w:rPr>
          <w:rFonts w:ascii="Times New Roman" w:hAnsi="Times New Roman" w:cs="Times New Roman"/>
          <w:b/>
          <w:bCs/>
          <w:sz w:val="21"/>
          <w:szCs w:val="21"/>
        </w:rPr>
        <w:t>Unit</w:t>
      </w:r>
      <w:r w:rsidRPr="002C2B54">
        <w:rPr>
          <w:rFonts w:ascii="Times New Roman" w:hAnsi="Times New Roman" w:cs="Times New Roman"/>
          <w:b/>
          <w:bCs/>
          <w:sz w:val="21"/>
          <w:szCs w:val="21"/>
        </w:rPr>
        <w:t>é</w:t>
      </w:r>
      <w:r w:rsidR="00182297" w:rsidRPr="002C2B54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2C2B54">
        <w:rPr>
          <w:rFonts w:ascii="Times New Roman" w:hAnsi="Times New Roman" w:cs="Times New Roman"/>
          <w:b/>
          <w:bCs/>
          <w:sz w:val="21"/>
          <w:szCs w:val="21"/>
        </w:rPr>
        <w:t> »</w:t>
      </w:r>
      <w:r w:rsidR="00182297" w:rsidRPr="002C2B54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 la Société </w:t>
      </w:r>
      <w:r w:rsidR="005B3F34">
        <w:rPr>
          <w:rFonts w:ascii="Times New Roman" w:hAnsi="Times New Roman" w:cs="Times New Roman"/>
          <w:sz w:val="21"/>
          <w:szCs w:val="21"/>
        </w:rPr>
        <w:t xml:space="preserve">à hauteur du capital de chaque Débenture </w:t>
      </w:r>
      <w:r w:rsidR="003470DE">
        <w:rPr>
          <w:rFonts w:ascii="Times New Roman" w:hAnsi="Times New Roman" w:cs="Times New Roman"/>
          <w:sz w:val="21"/>
          <w:szCs w:val="21"/>
        </w:rPr>
        <w:t>convertie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3470DE">
        <w:rPr>
          <w:rFonts w:ascii="Times New Roman" w:hAnsi="Times New Roman" w:cs="Times New Roman"/>
          <w:sz w:val="21"/>
          <w:szCs w:val="21"/>
        </w:rPr>
        <w:t xml:space="preserve">au prix réputé de </w:t>
      </w:r>
      <w:r w:rsidR="00182297" w:rsidRPr="000C0C4D">
        <w:rPr>
          <w:rFonts w:ascii="Times New Roman" w:hAnsi="Times New Roman" w:cs="Times New Roman"/>
          <w:sz w:val="21"/>
          <w:szCs w:val="21"/>
        </w:rPr>
        <w:t>0</w:t>
      </w:r>
      <w:r w:rsidR="003470DE">
        <w:rPr>
          <w:rFonts w:ascii="Times New Roman" w:hAnsi="Times New Roman" w:cs="Times New Roman"/>
          <w:sz w:val="21"/>
          <w:szCs w:val="21"/>
        </w:rPr>
        <w:t>,</w:t>
      </w:r>
      <w:r w:rsidR="0070404F">
        <w:rPr>
          <w:rFonts w:ascii="Times New Roman" w:hAnsi="Times New Roman" w:cs="Times New Roman"/>
          <w:sz w:val="21"/>
          <w:szCs w:val="21"/>
        </w:rPr>
        <w:t>2</w:t>
      </w:r>
      <w:r w:rsidR="00182297" w:rsidRPr="000C0C4D">
        <w:rPr>
          <w:rFonts w:ascii="Times New Roman" w:hAnsi="Times New Roman" w:cs="Times New Roman"/>
          <w:sz w:val="21"/>
          <w:szCs w:val="21"/>
        </w:rPr>
        <w:t>0</w:t>
      </w:r>
      <w:r w:rsidR="003470DE">
        <w:rPr>
          <w:rFonts w:ascii="Times New Roman" w:hAnsi="Times New Roman" w:cs="Times New Roman"/>
          <w:sz w:val="21"/>
          <w:szCs w:val="21"/>
        </w:rPr>
        <w:t xml:space="preserve"> $ par Unité. </w:t>
      </w:r>
      <w:r w:rsidR="005B3F34">
        <w:rPr>
          <w:rFonts w:ascii="Times New Roman" w:hAnsi="Times New Roman" w:cs="Times New Roman"/>
          <w:sz w:val="21"/>
          <w:szCs w:val="21"/>
        </w:rPr>
        <w:t xml:space="preserve">Chaque Unité </w:t>
      </w:r>
      <w:r w:rsidR="005B3F34" w:rsidRPr="00951DD6">
        <w:rPr>
          <w:rFonts w:ascii="Times New Roman" w:hAnsi="Times New Roman" w:cs="Times New Roman"/>
          <w:sz w:val="21"/>
          <w:szCs w:val="21"/>
        </w:rPr>
        <w:t>est composée d’une action ordinaire</w:t>
      </w:r>
      <w:r w:rsidR="005B3F34">
        <w:rPr>
          <w:rFonts w:ascii="Times New Roman" w:hAnsi="Times New Roman" w:cs="Times New Roman"/>
          <w:sz w:val="21"/>
          <w:szCs w:val="21"/>
        </w:rPr>
        <w:t xml:space="preserve"> </w:t>
      </w:r>
      <w:r w:rsidR="00182297" w:rsidRPr="005B3F34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5B3F34">
        <w:rPr>
          <w:rFonts w:ascii="Times New Roman" w:hAnsi="Times New Roman" w:cs="Times New Roman"/>
          <w:b/>
          <w:bCs/>
          <w:sz w:val="21"/>
          <w:szCs w:val="21"/>
        </w:rPr>
        <w:t>« Action »</w:t>
      </w:r>
      <w:r w:rsidR="00182297" w:rsidRPr="005B3F34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5B3F34">
        <w:rPr>
          <w:rFonts w:ascii="Times New Roman" w:hAnsi="Times New Roman" w:cs="Times New Roman"/>
          <w:sz w:val="21"/>
          <w:szCs w:val="21"/>
        </w:rPr>
        <w:t xml:space="preserve">de la Société </w:t>
      </w:r>
      <w:r w:rsidR="005B3F34" w:rsidRPr="00951DD6">
        <w:rPr>
          <w:rFonts w:ascii="Times New Roman" w:hAnsi="Times New Roman" w:cs="Times New Roman"/>
          <w:sz w:val="21"/>
          <w:szCs w:val="21"/>
        </w:rPr>
        <w:t>et d’un bon de souscription</w:t>
      </w:r>
      <w:r w:rsidR="005B3F34">
        <w:rPr>
          <w:rFonts w:ascii="Times New Roman" w:hAnsi="Times New Roman" w:cs="Times New Roman"/>
          <w:sz w:val="21"/>
          <w:szCs w:val="21"/>
        </w:rPr>
        <w:t xml:space="preserve"> </w:t>
      </w:r>
      <w:r w:rsidR="00182297" w:rsidRPr="005B3F34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5B3F34">
        <w:rPr>
          <w:rFonts w:ascii="Times New Roman" w:hAnsi="Times New Roman" w:cs="Times New Roman"/>
          <w:b/>
          <w:bCs/>
          <w:sz w:val="21"/>
          <w:szCs w:val="21"/>
        </w:rPr>
        <w:t>« Bon de souscription »</w:t>
      </w:r>
      <w:r w:rsidR="00182297" w:rsidRPr="005B3F34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. </w:t>
      </w:r>
      <w:r w:rsidR="00954694">
        <w:rPr>
          <w:rFonts w:ascii="Times New Roman" w:hAnsi="Times New Roman" w:cs="Times New Roman"/>
          <w:sz w:val="21"/>
          <w:szCs w:val="21"/>
        </w:rPr>
        <w:t xml:space="preserve">Un Bon de souscription </w:t>
      </w:r>
      <w:r w:rsidR="003470DE" w:rsidRPr="00951DD6">
        <w:rPr>
          <w:rFonts w:ascii="Times New Roman" w:hAnsi="Times New Roman" w:cs="Times New Roman"/>
          <w:sz w:val="21"/>
          <w:szCs w:val="21"/>
        </w:rPr>
        <w:t xml:space="preserve">peut être exercé pour une </w:t>
      </w:r>
      <w:r w:rsidR="00954694" w:rsidRPr="00951DD6">
        <w:rPr>
          <w:rFonts w:ascii="Times New Roman" w:hAnsi="Times New Roman" w:cs="Times New Roman"/>
          <w:sz w:val="21"/>
          <w:szCs w:val="21"/>
        </w:rPr>
        <w:t>Action au prix de</w:t>
      </w:r>
      <w:r w:rsidR="00954694">
        <w:rPr>
          <w:rFonts w:ascii="Times New Roman" w:hAnsi="Times New Roman" w:cs="Times New Roman"/>
          <w:sz w:val="21"/>
          <w:szCs w:val="21"/>
        </w:rPr>
        <w:t xml:space="preserve"> </w:t>
      </w:r>
      <w:r w:rsidR="00182297" w:rsidRPr="000C0C4D">
        <w:rPr>
          <w:rFonts w:ascii="Times New Roman" w:hAnsi="Times New Roman" w:cs="Times New Roman"/>
          <w:sz w:val="21"/>
          <w:szCs w:val="21"/>
        </w:rPr>
        <w:t>0</w:t>
      </w:r>
      <w:r w:rsidR="00954694">
        <w:rPr>
          <w:rFonts w:ascii="Times New Roman" w:hAnsi="Times New Roman" w:cs="Times New Roman"/>
          <w:sz w:val="21"/>
          <w:szCs w:val="21"/>
        </w:rPr>
        <w:t>,</w:t>
      </w:r>
      <w:r w:rsidR="0070404F">
        <w:rPr>
          <w:rFonts w:ascii="Times New Roman" w:hAnsi="Times New Roman" w:cs="Times New Roman"/>
          <w:sz w:val="21"/>
          <w:szCs w:val="21"/>
        </w:rPr>
        <w:t>2</w:t>
      </w:r>
      <w:r w:rsidR="00182297" w:rsidRPr="000C0C4D">
        <w:rPr>
          <w:rFonts w:ascii="Times New Roman" w:hAnsi="Times New Roman" w:cs="Times New Roman"/>
          <w:sz w:val="21"/>
          <w:szCs w:val="21"/>
        </w:rPr>
        <w:t>5</w:t>
      </w:r>
      <w:r w:rsidR="00954694">
        <w:rPr>
          <w:rFonts w:ascii="Times New Roman" w:hAnsi="Times New Roman" w:cs="Times New Roman"/>
          <w:sz w:val="21"/>
          <w:szCs w:val="21"/>
        </w:rPr>
        <w:t xml:space="preserve"> $, </w:t>
      </w:r>
      <w:r w:rsidR="00954694" w:rsidRPr="00951DD6">
        <w:rPr>
          <w:rFonts w:ascii="Times New Roman" w:hAnsi="Times New Roman" w:cs="Times New Roman"/>
          <w:sz w:val="21"/>
          <w:szCs w:val="21"/>
        </w:rPr>
        <w:t xml:space="preserve">pendant les trois ans </w:t>
      </w:r>
      <w:r w:rsidR="00EC0822" w:rsidRPr="00951DD6">
        <w:rPr>
          <w:rFonts w:ascii="Times New Roman" w:hAnsi="Times New Roman" w:cs="Times New Roman"/>
          <w:sz w:val="21"/>
          <w:szCs w:val="21"/>
        </w:rPr>
        <w:t xml:space="preserve">qui suivent </w:t>
      </w:r>
      <w:r w:rsidR="00954694" w:rsidRPr="00951DD6">
        <w:rPr>
          <w:rFonts w:ascii="Times New Roman" w:hAnsi="Times New Roman" w:cs="Times New Roman"/>
          <w:sz w:val="21"/>
          <w:szCs w:val="21"/>
        </w:rPr>
        <w:t>l’émission</w:t>
      </w:r>
      <w:r w:rsidR="00954694">
        <w:rPr>
          <w:rFonts w:ascii="Times New Roman" w:hAnsi="Times New Roman" w:cs="Times New Roman"/>
          <w:sz w:val="21"/>
          <w:szCs w:val="21"/>
        </w:rPr>
        <w:t>.</w:t>
      </w:r>
    </w:p>
    <w:p w14:paraId="599E278B" w14:textId="5120E0A6" w:rsidR="00DB4C34" w:rsidRPr="000C0C4D" w:rsidRDefault="00D41256" w:rsidP="00DB4C34">
      <w:pPr>
        <w:pStyle w:val="ListParagraph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Nombre correspondant d’actions ordinaires de 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Central America Nickel Inc. </w:t>
      </w:r>
      <w:r w:rsidR="00182297" w:rsidRPr="00D41256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Pr="00D41256">
        <w:rPr>
          <w:rFonts w:ascii="Times New Roman" w:hAnsi="Times New Roman" w:cs="Times New Roman"/>
          <w:b/>
          <w:bCs/>
          <w:sz w:val="21"/>
          <w:szCs w:val="21"/>
        </w:rPr>
        <w:t>« </w:t>
      </w:r>
      <w:r w:rsidR="00182297" w:rsidRPr="00D41256">
        <w:rPr>
          <w:rFonts w:ascii="Times New Roman" w:hAnsi="Times New Roman" w:cs="Times New Roman"/>
          <w:b/>
          <w:bCs/>
          <w:sz w:val="21"/>
          <w:szCs w:val="21"/>
        </w:rPr>
        <w:t>CAN</w:t>
      </w:r>
      <w:r w:rsidRPr="00D41256">
        <w:rPr>
          <w:rFonts w:ascii="Times New Roman" w:hAnsi="Times New Roman" w:cs="Times New Roman"/>
          <w:b/>
          <w:bCs/>
          <w:sz w:val="21"/>
          <w:szCs w:val="21"/>
        </w:rPr>
        <w:t> »</w:t>
      </w:r>
      <w:r w:rsidR="00182297" w:rsidRPr="00D41256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 (</w:t>
      </w:r>
      <w:r w:rsidRPr="00951DD6">
        <w:rPr>
          <w:rFonts w:ascii="Times New Roman" w:hAnsi="Times New Roman" w:cs="Times New Roman"/>
          <w:sz w:val="21"/>
          <w:szCs w:val="21"/>
        </w:rPr>
        <w:t>société fermée</w:t>
      </w:r>
      <w:r>
        <w:rPr>
          <w:rFonts w:ascii="Times New Roman" w:hAnsi="Times New Roman" w:cs="Times New Roman"/>
          <w:sz w:val="21"/>
          <w:szCs w:val="21"/>
        </w:rPr>
        <w:t xml:space="preserve"> établie à </w:t>
      </w:r>
      <w:r w:rsidR="00182297" w:rsidRPr="00951DD6">
        <w:rPr>
          <w:rFonts w:ascii="Times New Roman" w:hAnsi="Times New Roman" w:cs="Times New Roman"/>
          <w:sz w:val="21"/>
          <w:szCs w:val="21"/>
        </w:rPr>
        <w:t>Montréal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au 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Canada) </w:t>
      </w:r>
      <w:r>
        <w:rPr>
          <w:rFonts w:ascii="Times New Roman" w:hAnsi="Times New Roman" w:cs="Times New Roman"/>
          <w:sz w:val="21"/>
          <w:szCs w:val="21"/>
        </w:rPr>
        <w:t xml:space="preserve">à un prix de conversion de </w:t>
      </w:r>
      <w:r w:rsidR="00182297" w:rsidRPr="000C0C4D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,</w:t>
      </w:r>
      <w:r w:rsidR="00182297" w:rsidRPr="000C0C4D">
        <w:rPr>
          <w:rFonts w:ascii="Times New Roman" w:hAnsi="Times New Roman" w:cs="Times New Roman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> $ par action.</w:t>
      </w:r>
    </w:p>
    <w:p w14:paraId="4788EC21" w14:textId="3269389F" w:rsidR="00E76228" w:rsidRPr="000C0C4D" w:rsidRDefault="00D41256" w:rsidP="00DB4C34">
      <w:pPr>
        <w:pStyle w:val="ListParagraph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Paiement en argent pour une </w:t>
      </w:r>
      <w:r w:rsidR="00986775">
        <w:rPr>
          <w:rFonts w:ascii="Times New Roman" w:hAnsi="Times New Roman" w:cs="Times New Roman"/>
          <w:sz w:val="21"/>
          <w:szCs w:val="21"/>
        </w:rPr>
        <w:t xml:space="preserve">somme </w:t>
      </w:r>
      <w:r>
        <w:rPr>
          <w:rFonts w:ascii="Times New Roman" w:hAnsi="Times New Roman" w:cs="Times New Roman"/>
          <w:sz w:val="21"/>
          <w:szCs w:val="21"/>
        </w:rPr>
        <w:t>correspondant au capital pour un porteur qui aurait détenu la Débenture de la date de conversion à la Date d’échéance</w:t>
      </w:r>
      <w:r w:rsidR="00182297" w:rsidRPr="000C0C4D">
        <w:rPr>
          <w:rFonts w:ascii="Times New Roman" w:hAnsi="Times New Roman" w:cs="Times New Roman"/>
          <w:sz w:val="21"/>
          <w:szCs w:val="21"/>
        </w:rPr>
        <w:t>.</w:t>
      </w:r>
    </w:p>
    <w:p w14:paraId="314E9ADE" w14:textId="7FA50D3D" w:rsidR="00D11CB4" w:rsidRPr="000C0C4D" w:rsidRDefault="00E01E07" w:rsidP="00DB4171">
      <w:p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 plus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les porteurs de </w:t>
      </w:r>
      <w:r w:rsidR="00182297" w:rsidRPr="000C0C4D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>é</w:t>
      </w:r>
      <w:r w:rsidR="00182297" w:rsidRPr="000C0C4D">
        <w:rPr>
          <w:rFonts w:ascii="Times New Roman" w:hAnsi="Times New Roman" w:cs="Times New Roman"/>
          <w:sz w:val="21"/>
          <w:szCs w:val="21"/>
        </w:rPr>
        <w:t>benture</w:t>
      </w:r>
      <w:r>
        <w:rPr>
          <w:rFonts w:ascii="Times New Roman" w:hAnsi="Times New Roman" w:cs="Times New Roman"/>
          <w:sz w:val="21"/>
          <w:szCs w:val="21"/>
        </w:rPr>
        <w:t xml:space="preserve">s </w:t>
      </w:r>
      <w:r w:rsidR="00B07468">
        <w:rPr>
          <w:rFonts w:ascii="Times New Roman" w:hAnsi="Times New Roman" w:cs="Times New Roman"/>
          <w:sz w:val="21"/>
          <w:szCs w:val="21"/>
        </w:rPr>
        <w:t xml:space="preserve">recevront au total </w:t>
      </w:r>
      <w:r w:rsidR="0070404F">
        <w:rPr>
          <w:rFonts w:ascii="Times New Roman" w:hAnsi="Times New Roman" w:cs="Times New Roman"/>
          <w:sz w:val="21"/>
          <w:szCs w:val="21"/>
        </w:rPr>
        <w:t>13,94</w:t>
      </w:r>
      <w:r w:rsidR="00B07468">
        <w:rPr>
          <w:rFonts w:ascii="Times New Roman" w:hAnsi="Times New Roman" w:cs="Times New Roman"/>
          <w:sz w:val="21"/>
          <w:szCs w:val="21"/>
        </w:rPr>
        <w:t> 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% </w:t>
      </w:r>
      <w:r w:rsidR="00B07468">
        <w:rPr>
          <w:rFonts w:ascii="Times New Roman" w:hAnsi="Times New Roman" w:cs="Times New Roman"/>
          <w:sz w:val="21"/>
          <w:szCs w:val="21"/>
        </w:rPr>
        <w:t>des profits nets</w:t>
      </w:r>
      <w:r w:rsidR="0070404F">
        <w:rPr>
          <w:rFonts w:ascii="Times New Roman" w:hAnsi="Times New Roman" w:cs="Times New Roman"/>
          <w:sz w:val="21"/>
          <w:szCs w:val="21"/>
        </w:rPr>
        <w:t xml:space="preserve"> générés par Auxico</w:t>
      </w:r>
      <w:r w:rsidR="00B07468">
        <w:rPr>
          <w:rFonts w:ascii="Times New Roman" w:hAnsi="Times New Roman" w:cs="Times New Roman"/>
          <w:sz w:val="21"/>
          <w:szCs w:val="21"/>
        </w:rPr>
        <w:t xml:space="preserve">, payés trimestriellement à terme échu, ce qui correspond à </w:t>
      </w:r>
      <w:r w:rsidR="00182297" w:rsidRPr="000C0C4D">
        <w:rPr>
          <w:rFonts w:ascii="Times New Roman" w:hAnsi="Times New Roman" w:cs="Times New Roman"/>
          <w:sz w:val="21"/>
          <w:szCs w:val="21"/>
        </w:rPr>
        <w:t>1</w:t>
      </w:r>
      <w:r w:rsidR="00B07468">
        <w:rPr>
          <w:rFonts w:ascii="Times New Roman" w:hAnsi="Times New Roman" w:cs="Times New Roman"/>
          <w:sz w:val="21"/>
          <w:szCs w:val="21"/>
        </w:rPr>
        <w:t> 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% </w:t>
      </w:r>
      <w:r w:rsidR="00B07468">
        <w:rPr>
          <w:rFonts w:ascii="Times New Roman" w:hAnsi="Times New Roman" w:cs="Times New Roman"/>
          <w:sz w:val="21"/>
          <w:szCs w:val="21"/>
        </w:rPr>
        <w:t xml:space="preserve">des 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profits </w:t>
      </w:r>
      <w:r w:rsidR="00B07468">
        <w:rPr>
          <w:rFonts w:ascii="Times New Roman" w:hAnsi="Times New Roman" w:cs="Times New Roman"/>
          <w:sz w:val="21"/>
          <w:szCs w:val="21"/>
        </w:rPr>
        <w:t xml:space="preserve">par tranche de </w:t>
      </w:r>
      <w:r w:rsidR="0070404F">
        <w:rPr>
          <w:rFonts w:ascii="Times New Roman" w:hAnsi="Times New Roman" w:cs="Times New Roman"/>
          <w:sz w:val="21"/>
          <w:szCs w:val="21"/>
        </w:rPr>
        <w:t>2</w:t>
      </w:r>
      <w:r w:rsidR="00182297" w:rsidRPr="000C0C4D">
        <w:rPr>
          <w:rFonts w:ascii="Times New Roman" w:hAnsi="Times New Roman" w:cs="Times New Roman"/>
          <w:sz w:val="21"/>
          <w:szCs w:val="21"/>
        </w:rPr>
        <w:t>00</w:t>
      </w:r>
      <w:r w:rsidR="00B07468">
        <w:rPr>
          <w:rFonts w:ascii="Times New Roman" w:hAnsi="Times New Roman" w:cs="Times New Roman"/>
          <w:sz w:val="21"/>
          <w:szCs w:val="21"/>
        </w:rPr>
        <w:t> </w:t>
      </w:r>
      <w:r w:rsidR="00182297" w:rsidRPr="000C0C4D">
        <w:rPr>
          <w:rFonts w:ascii="Times New Roman" w:hAnsi="Times New Roman" w:cs="Times New Roman"/>
          <w:sz w:val="21"/>
          <w:szCs w:val="21"/>
        </w:rPr>
        <w:t>000</w:t>
      </w:r>
      <w:r w:rsidR="00B07468">
        <w:rPr>
          <w:rFonts w:ascii="Times New Roman" w:hAnsi="Times New Roman" w:cs="Times New Roman"/>
          <w:sz w:val="21"/>
          <w:szCs w:val="21"/>
        </w:rPr>
        <w:t xml:space="preserve"> $ en capital des </w:t>
      </w:r>
      <w:r w:rsidR="00182297" w:rsidRPr="000C0C4D">
        <w:rPr>
          <w:rFonts w:ascii="Times New Roman" w:hAnsi="Times New Roman" w:cs="Times New Roman"/>
          <w:sz w:val="21"/>
          <w:szCs w:val="21"/>
        </w:rPr>
        <w:t>D</w:t>
      </w:r>
      <w:r w:rsidR="00B07468">
        <w:rPr>
          <w:rFonts w:ascii="Times New Roman" w:hAnsi="Times New Roman" w:cs="Times New Roman"/>
          <w:sz w:val="21"/>
          <w:szCs w:val="21"/>
        </w:rPr>
        <w:t>é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bentures </w:t>
      </w:r>
      <w:r w:rsidR="00182297" w:rsidRPr="00B07468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="00B07468">
        <w:rPr>
          <w:rFonts w:ascii="Times New Roman" w:hAnsi="Times New Roman" w:cs="Times New Roman"/>
          <w:b/>
          <w:bCs/>
          <w:sz w:val="21"/>
          <w:szCs w:val="21"/>
        </w:rPr>
        <w:t>« Volet participatif »</w:t>
      </w:r>
      <w:r w:rsidR="00182297" w:rsidRPr="00B07468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182297" w:rsidRPr="000C0C4D">
        <w:rPr>
          <w:rFonts w:ascii="Times New Roman" w:hAnsi="Times New Roman" w:cs="Times New Roman"/>
          <w:sz w:val="21"/>
          <w:szCs w:val="21"/>
        </w:rPr>
        <w:t xml:space="preserve">. </w:t>
      </w:r>
      <w:r w:rsidR="007C1B5A">
        <w:rPr>
          <w:rFonts w:ascii="Times New Roman" w:hAnsi="Times New Roman" w:cs="Times New Roman"/>
          <w:sz w:val="21"/>
          <w:szCs w:val="21"/>
        </w:rPr>
        <w:t xml:space="preserve">Le Volet participatif s’applique </w:t>
      </w:r>
      <w:r w:rsidR="007A4515">
        <w:rPr>
          <w:rFonts w:ascii="Times New Roman" w:hAnsi="Times New Roman" w:cs="Times New Roman"/>
          <w:sz w:val="21"/>
          <w:szCs w:val="21"/>
        </w:rPr>
        <w:t xml:space="preserve">aux profits tirés </w:t>
      </w:r>
      <w:r w:rsidR="0070404F">
        <w:rPr>
          <w:rFonts w:ascii="Times New Roman" w:hAnsi="Times New Roman" w:cs="Times New Roman"/>
          <w:sz w:val="21"/>
          <w:szCs w:val="21"/>
        </w:rPr>
        <w:t xml:space="preserve">pour Auxico de la vente de tantale, de niobium et d’autres minerais du Brésil, de la Colombie, de la République démocratique du Congo, et d’autres </w:t>
      </w:r>
      <w:proofErr w:type="gramStart"/>
      <w:r w:rsidR="0070404F">
        <w:rPr>
          <w:rFonts w:ascii="Times New Roman" w:hAnsi="Times New Roman" w:cs="Times New Roman"/>
          <w:sz w:val="21"/>
          <w:szCs w:val="21"/>
        </w:rPr>
        <w:t>juridictions.</w:t>
      </w:r>
      <w:r w:rsidR="00182297" w:rsidRPr="000C0C4D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182297" w:rsidRPr="000C0C4D">
        <w:rPr>
          <w:rFonts w:ascii="Times New Roman" w:hAnsi="Times New Roman" w:cs="Times New Roman"/>
          <w:sz w:val="21"/>
          <w:szCs w:val="21"/>
        </w:rPr>
        <w:t xml:space="preserve"> </w:t>
      </w:r>
      <w:r w:rsidR="007A4515">
        <w:rPr>
          <w:rFonts w:ascii="Times New Roman" w:hAnsi="Times New Roman" w:cs="Times New Roman"/>
          <w:sz w:val="21"/>
          <w:szCs w:val="21"/>
        </w:rPr>
        <w:t xml:space="preserve">Le Volet participatif s’éteint à la première des </w:t>
      </w:r>
      <w:r w:rsidR="00526658">
        <w:rPr>
          <w:rFonts w:ascii="Times New Roman" w:hAnsi="Times New Roman" w:cs="Times New Roman"/>
          <w:sz w:val="21"/>
          <w:szCs w:val="21"/>
        </w:rPr>
        <w:t xml:space="preserve">occurrences </w:t>
      </w:r>
      <w:r w:rsidR="007A4515">
        <w:rPr>
          <w:rFonts w:ascii="Times New Roman" w:hAnsi="Times New Roman" w:cs="Times New Roman"/>
          <w:sz w:val="21"/>
          <w:szCs w:val="21"/>
        </w:rPr>
        <w:t xml:space="preserve">suivantes : conversion des Débentures en actions ou </w:t>
      </w:r>
      <w:r w:rsidR="00182297" w:rsidRPr="000C0C4D">
        <w:rPr>
          <w:rFonts w:ascii="Times New Roman" w:hAnsi="Times New Roman" w:cs="Times New Roman"/>
          <w:sz w:val="21"/>
          <w:szCs w:val="21"/>
        </w:rPr>
        <w:t>Date</w:t>
      </w:r>
      <w:r w:rsidR="007A4515">
        <w:rPr>
          <w:rFonts w:ascii="Times New Roman" w:hAnsi="Times New Roman" w:cs="Times New Roman"/>
          <w:sz w:val="21"/>
          <w:szCs w:val="21"/>
        </w:rPr>
        <w:t xml:space="preserve"> d’échéance</w:t>
      </w:r>
      <w:r w:rsidR="00182297" w:rsidRPr="000C0C4D">
        <w:rPr>
          <w:rFonts w:ascii="Times New Roman" w:hAnsi="Times New Roman" w:cs="Times New Roman"/>
          <w:sz w:val="21"/>
          <w:szCs w:val="21"/>
        </w:rPr>
        <w:t>.</w:t>
      </w:r>
    </w:p>
    <w:p w14:paraId="4BC67BDB" w14:textId="6BCFBC6F" w:rsidR="0070404F" w:rsidRPr="000C0C4D" w:rsidRDefault="0070404F" w:rsidP="0070404F">
      <w:pPr>
        <w:spacing w:before="240"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51DD6">
        <w:rPr>
          <w:rFonts w:ascii="Times New Roman" w:hAnsi="Times New Roman" w:cs="Times New Roman"/>
          <w:bCs/>
          <w:sz w:val="21"/>
          <w:szCs w:val="21"/>
        </w:rPr>
        <w:t xml:space="preserve">La Société a payé une commission d’intermédiaire de </w:t>
      </w:r>
      <w:r>
        <w:rPr>
          <w:rFonts w:ascii="Times New Roman" w:hAnsi="Times New Roman" w:cs="Times New Roman"/>
          <w:bCs/>
          <w:sz w:val="21"/>
          <w:szCs w:val="21"/>
        </w:rPr>
        <w:t>266 8</w:t>
      </w:r>
      <w:r w:rsidRPr="00951DD6">
        <w:rPr>
          <w:rFonts w:ascii="Times New Roman" w:hAnsi="Times New Roman" w:cs="Times New Roman"/>
          <w:bCs/>
          <w:sz w:val="21"/>
          <w:szCs w:val="21"/>
        </w:rPr>
        <w:t>00 $</w:t>
      </w:r>
      <w:r>
        <w:rPr>
          <w:rFonts w:ascii="Times New Roman" w:hAnsi="Times New Roman" w:cs="Times New Roman"/>
          <w:bCs/>
          <w:sz w:val="21"/>
          <w:szCs w:val="21"/>
        </w:rPr>
        <w:t xml:space="preserve"> en espèces</w:t>
      </w:r>
      <w:r w:rsidRPr="00951DD6">
        <w:rPr>
          <w:rFonts w:ascii="Times New Roman" w:hAnsi="Times New Roman" w:cs="Times New Roman"/>
          <w:bCs/>
          <w:sz w:val="21"/>
          <w:szCs w:val="21"/>
        </w:rPr>
        <w:t xml:space="preserve"> pour ce placement privé</w:t>
      </w:r>
      <w:r>
        <w:rPr>
          <w:rFonts w:ascii="Times New Roman" w:hAnsi="Times New Roman" w:cs="Times New Roman"/>
          <w:bCs/>
          <w:sz w:val="21"/>
          <w:szCs w:val="21"/>
        </w:rPr>
        <w:t xml:space="preserve"> et a émis un total de 500 000 bons d’intermédiaire (</w:t>
      </w:r>
      <w:r w:rsidRPr="0070404F">
        <w:rPr>
          <w:rFonts w:ascii="Times New Roman" w:hAnsi="Times New Roman" w:cs="Times New Roman"/>
          <w:b/>
          <w:sz w:val="21"/>
          <w:szCs w:val="21"/>
        </w:rPr>
        <w:t>«</w:t>
      </w:r>
      <w:r>
        <w:rPr>
          <w:rFonts w:ascii="Times New Roman" w:hAnsi="Times New Roman" w:cs="Times New Roman"/>
          <w:bCs/>
          <w:sz w:val="21"/>
          <w:szCs w:val="21"/>
        </w:rPr>
        <w:t> </w:t>
      </w:r>
      <w:r w:rsidRPr="0070404F">
        <w:rPr>
          <w:rFonts w:ascii="Times New Roman" w:hAnsi="Times New Roman" w:cs="Times New Roman"/>
          <w:b/>
          <w:sz w:val="21"/>
          <w:szCs w:val="21"/>
        </w:rPr>
        <w:t>Bons d</w:t>
      </w:r>
      <w:r>
        <w:rPr>
          <w:rFonts w:ascii="Times New Roman" w:hAnsi="Times New Roman" w:cs="Times New Roman"/>
          <w:b/>
          <w:sz w:val="21"/>
          <w:szCs w:val="21"/>
        </w:rPr>
        <w:t>’intermédiaire</w:t>
      </w:r>
      <w:r>
        <w:rPr>
          <w:rFonts w:ascii="Times New Roman" w:hAnsi="Times New Roman" w:cs="Times New Roman"/>
          <w:bCs/>
          <w:sz w:val="21"/>
          <w:szCs w:val="21"/>
        </w:rPr>
        <w:t> </w:t>
      </w:r>
      <w:r w:rsidRPr="0070404F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bCs/>
          <w:sz w:val="21"/>
          <w:szCs w:val="21"/>
        </w:rPr>
        <w:t>)</w:t>
      </w:r>
      <w:r w:rsidRPr="00951DD6">
        <w:rPr>
          <w:rFonts w:ascii="Times New Roman" w:hAnsi="Times New Roman" w:cs="Times New Roman"/>
          <w:bCs/>
          <w:sz w:val="21"/>
          <w:szCs w:val="21"/>
        </w:rPr>
        <w:t>.</w:t>
      </w:r>
      <w:r w:rsidRPr="000C0C4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E18CA">
        <w:rPr>
          <w:rFonts w:ascii="Times New Roman" w:hAnsi="Times New Roman" w:cs="Times New Roman"/>
          <w:bCs/>
          <w:sz w:val="21"/>
          <w:szCs w:val="21"/>
        </w:rPr>
        <w:t>Chaque bon d’intermédiaire peut être exercé pour une Action au prix de 0,20 $, pendant les trois ans qui suivent l’émission. A</w:t>
      </w:r>
      <w:r>
        <w:rPr>
          <w:rFonts w:ascii="Times New Roman" w:hAnsi="Times New Roman" w:cs="Times New Roman"/>
          <w:bCs/>
          <w:sz w:val="21"/>
          <w:szCs w:val="21"/>
        </w:rPr>
        <w:t xml:space="preserve">u </w:t>
      </w:r>
      <w:r w:rsidRPr="000C0C4D">
        <w:rPr>
          <w:rFonts w:ascii="Times New Roman" w:hAnsi="Times New Roman" w:cs="Times New Roman"/>
          <w:bCs/>
          <w:sz w:val="21"/>
          <w:szCs w:val="21"/>
        </w:rPr>
        <w:t>Canada</w:t>
      </w:r>
      <w:r>
        <w:rPr>
          <w:rFonts w:ascii="Times New Roman" w:hAnsi="Times New Roman" w:cs="Times New Roman"/>
          <w:bCs/>
          <w:sz w:val="21"/>
          <w:szCs w:val="21"/>
        </w:rPr>
        <w:t xml:space="preserve">, les </w:t>
      </w:r>
      <w:r w:rsidRPr="000C0C4D">
        <w:rPr>
          <w:rFonts w:ascii="Times New Roman" w:hAnsi="Times New Roman" w:cs="Times New Roman"/>
          <w:bCs/>
          <w:sz w:val="21"/>
          <w:szCs w:val="21"/>
        </w:rPr>
        <w:t>D</w:t>
      </w:r>
      <w:r>
        <w:rPr>
          <w:rFonts w:ascii="Times New Roman" w:hAnsi="Times New Roman" w:cs="Times New Roman"/>
          <w:bCs/>
          <w:sz w:val="21"/>
          <w:szCs w:val="21"/>
        </w:rPr>
        <w:t>é</w:t>
      </w:r>
      <w:r w:rsidRPr="000C0C4D">
        <w:rPr>
          <w:rFonts w:ascii="Times New Roman" w:hAnsi="Times New Roman" w:cs="Times New Roman"/>
          <w:bCs/>
          <w:sz w:val="21"/>
          <w:szCs w:val="21"/>
        </w:rPr>
        <w:t xml:space="preserve">bentures </w:t>
      </w:r>
      <w:r>
        <w:rPr>
          <w:rFonts w:ascii="Times New Roman" w:hAnsi="Times New Roman" w:cs="Times New Roman"/>
          <w:bCs/>
          <w:sz w:val="21"/>
          <w:szCs w:val="21"/>
        </w:rPr>
        <w:t>émises dans le cadre d’un placement privé sont assujetties à une période de détention de quatre mois</w:t>
      </w:r>
      <w:r w:rsidRPr="000C0C4D">
        <w:rPr>
          <w:rFonts w:ascii="Times New Roman" w:hAnsi="Times New Roman" w:cs="Times New Roman"/>
          <w:bCs/>
          <w:sz w:val="21"/>
          <w:szCs w:val="21"/>
        </w:rPr>
        <w:t>.</w:t>
      </w:r>
    </w:p>
    <w:p w14:paraId="6C809E7F" w14:textId="5C9A6655" w:rsidR="00DB4171" w:rsidRPr="000C0C4D" w:rsidRDefault="00BF6976" w:rsidP="00DB4171">
      <w:pPr>
        <w:spacing w:before="240"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51DD6">
        <w:rPr>
          <w:rFonts w:ascii="Times New Roman" w:hAnsi="Times New Roman" w:cs="Times New Roman"/>
          <w:bCs/>
          <w:sz w:val="21"/>
          <w:szCs w:val="21"/>
        </w:rPr>
        <w:t>Le produit net du placement permettra à</w:t>
      </w:r>
      <w:r>
        <w:rPr>
          <w:rFonts w:ascii="Times New Roman" w:hAnsi="Times New Roman" w:cs="Times New Roman"/>
          <w:bCs/>
          <w:sz w:val="21"/>
          <w:szCs w:val="21"/>
        </w:rPr>
        <w:t xml:space="preserve"> la Société de négocier le minerai de tantale et de niobium extrait en </w:t>
      </w:r>
      <w:r w:rsidR="00182297" w:rsidRPr="00951DD6">
        <w:rPr>
          <w:rFonts w:ascii="Times New Roman" w:hAnsi="Times New Roman" w:cs="Times New Roman"/>
          <w:bCs/>
          <w:sz w:val="21"/>
          <w:szCs w:val="21"/>
        </w:rPr>
        <w:t>République démocratique du Congo</w:t>
      </w:r>
      <w:r w:rsidR="008E18CA">
        <w:rPr>
          <w:rFonts w:ascii="Times New Roman" w:hAnsi="Times New Roman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cs="Times New Roman"/>
          <w:bCs/>
          <w:sz w:val="21"/>
          <w:szCs w:val="21"/>
        </w:rPr>
        <w:t xml:space="preserve">au </w:t>
      </w:r>
      <w:r w:rsidR="00D11CB4" w:rsidRPr="00951DD6">
        <w:rPr>
          <w:rFonts w:ascii="Times New Roman" w:hAnsi="Times New Roman" w:cs="Times New Roman"/>
          <w:bCs/>
          <w:sz w:val="21"/>
          <w:szCs w:val="21"/>
        </w:rPr>
        <w:t>Brésil</w:t>
      </w:r>
      <w:r w:rsidR="008E18CA">
        <w:rPr>
          <w:rFonts w:ascii="Times New Roman" w:hAnsi="Times New Roman" w:cs="Times New Roman"/>
          <w:bCs/>
          <w:sz w:val="21"/>
          <w:szCs w:val="21"/>
        </w:rPr>
        <w:t xml:space="preserve"> et à la Colombie</w:t>
      </w:r>
      <w:r w:rsidR="00182297" w:rsidRPr="000C0C4D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951DD6">
        <w:rPr>
          <w:rFonts w:ascii="Times New Roman" w:hAnsi="Times New Roman" w:cs="Times New Roman"/>
          <w:bCs/>
          <w:sz w:val="21"/>
          <w:szCs w:val="21"/>
        </w:rPr>
        <w:t>et de répondre à ses besoins généraux en fonds de roulement.</w:t>
      </w:r>
    </w:p>
    <w:p w14:paraId="5545F847" w14:textId="3F9DDEFC" w:rsidR="00596DBF" w:rsidRPr="00951DD6" w:rsidRDefault="00182297" w:rsidP="00596DBF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CA"/>
        </w:rPr>
      </w:pPr>
      <w:r w:rsidRPr="00951DD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CA"/>
        </w:rPr>
        <w:t>À propos de Ressources Auxico Canada </w:t>
      </w:r>
      <w:proofErr w:type="spellStart"/>
      <w:r w:rsidRPr="00951DD6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en-CA"/>
        </w:rPr>
        <w:t>inc.</w:t>
      </w:r>
      <w:proofErr w:type="spellEnd"/>
    </w:p>
    <w:p w14:paraId="2143726D" w14:textId="02597D2D" w:rsidR="00596DBF" w:rsidRPr="000C0C4D" w:rsidRDefault="00153D09" w:rsidP="00596DBF">
      <w:pPr>
        <w:spacing w:before="240"/>
        <w:jc w:val="both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Fondée en 2014, 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Ressources Auxico Canada </w:t>
      </w:r>
      <w:proofErr w:type="spellStart"/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inc.</w:t>
      </w:r>
      <w:proofErr w:type="spellEnd"/>
      <w:r w:rsidR="00182297" w:rsidRPr="000C0C4D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(</w:t>
      </w:r>
      <w:r w:rsidRPr="008E18CA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«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 </w:t>
      </w:r>
      <w:r w:rsidR="00182297" w:rsidRPr="008E18CA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Auxico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 </w:t>
      </w:r>
      <w:r w:rsidRPr="008E18CA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»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)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est une société canadienne établie à 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Montréal</w:t>
      </w:r>
      <w:r w:rsidR="00182297" w:rsidRPr="000C0C4D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qui se concentre dans l’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acquisition,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l’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exploration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et le 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d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é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velop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pe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ment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de propriétés minières en 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Colombie</w:t>
      </w:r>
      <w:r w:rsidR="00D11CB4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,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au </w:t>
      </w:r>
      <w:r w:rsidR="00D11CB4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Brésil, </w:t>
      </w:r>
      <w:r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au Mexique et en </w:t>
      </w:r>
      <w:r w:rsidR="00D11CB4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République démocratique du Congo</w:t>
      </w:r>
      <w:r w:rsidR="00182297" w:rsidRPr="00951DD6">
        <w:rPr>
          <w:rFonts w:ascii="Times New Roman" w:eastAsia="Times New Roman" w:hAnsi="Times New Roman" w:cs="Times New Roman"/>
          <w:sz w:val="21"/>
          <w:szCs w:val="21"/>
          <w:lang w:eastAsia="en-CA"/>
        </w:rPr>
        <w:t>.</w:t>
      </w:r>
    </w:p>
    <w:p w14:paraId="1F0FEF86" w14:textId="073F8AFC" w:rsidR="00D11CB4" w:rsidRPr="000C0C4D" w:rsidRDefault="00182297" w:rsidP="00D11CB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51DD6">
        <w:rPr>
          <w:rFonts w:ascii="Times New Roman" w:eastAsia="Times New Roman" w:hAnsi="Times New Roman" w:cs="Times New Roman"/>
        </w:rPr>
        <w:t>Pour en savoir plus sur Auxico, visitez le site Web de la Société (</w:t>
      </w:r>
      <w:hyperlink r:id="rId8" w:history="1">
        <w:r w:rsidRPr="000C0C4D">
          <w:rPr>
            <w:rFonts w:ascii="Times New Roman" w:eastAsia="Times New Roman" w:hAnsi="Times New Roman" w:cs="Times New Roman"/>
            <w:color w:val="0000FF"/>
            <w:u w:val="single"/>
          </w:rPr>
          <w:t>www.auxicoresources.com</w:t>
        </w:r>
      </w:hyperlink>
      <w:r w:rsidRPr="00951DD6">
        <w:rPr>
          <w:rFonts w:ascii="Times New Roman" w:eastAsia="Times New Roman" w:hAnsi="Times New Roman" w:cs="Times New Roman"/>
        </w:rPr>
        <w:t xml:space="preserve">) ou cherchez « Ressources Auxico Canada </w:t>
      </w:r>
      <w:proofErr w:type="spellStart"/>
      <w:r w:rsidRPr="00951DD6">
        <w:rPr>
          <w:rFonts w:ascii="Times New Roman" w:eastAsia="Times New Roman" w:hAnsi="Times New Roman" w:cs="Times New Roman"/>
        </w:rPr>
        <w:t>inc.</w:t>
      </w:r>
      <w:proofErr w:type="spellEnd"/>
      <w:r w:rsidRPr="00951DD6">
        <w:rPr>
          <w:rFonts w:ascii="Times New Roman" w:eastAsia="Times New Roman" w:hAnsi="Times New Roman" w:cs="Times New Roman"/>
        </w:rPr>
        <w:t> » sur le site de SEDAR (</w:t>
      </w:r>
      <w:hyperlink r:id="rId9" w:history="1">
        <w:r w:rsidRPr="000C0C4D">
          <w:rPr>
            <w:rFonts w:ascii="Times New Roman" w:eastAsia="Times New Roman" w:hAnsi="Times New Roman" w:cs="Times New Roman"/>
            <w:color w:val="0000FF"/>
            <w:u w:val="single"/>
          </w:rPr>
          <w:t>www.sedar.com</w:t>
        </w:r>
      </w:hyperlink>
      <w:r w:rsidRPr="00951DD6">
        <w:rPr>
          <w:rFonts w:ascii="Times New Roman" w:eastAsia="Times New Roman" w:hAnsi="Times New Roman" w:cs="Times New Roman"/>
        </w:rPr>
        <w:t>).</w:t>
      </w:r>
    </w:p>
    <w:p w14:paraId="09BFD4EF" w14:textId="628D51DD" w:rsidR="0023757D" w:rsidRPr="00951DD6" w:rsidRDefault="00182297" w:rsidP="00DB4171">
      <w:pPr>
        <w:spacing w:before="240"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51DD6">
        <w:rPr>
          <w:rFonts w:ascii="Times New Roman" w:hAnsi="Times New Roman" w:cs="Times New Roman"/>
          <w:b/>
          <w:sz w:val="21"/>
          <w:szCs w:val="21"/>
        </w:rPr>
        <w:t>POUR LE CONSEIL D’ADMINISTRATION</w:t>
      </w:r>
    </w:p>
    <w:p w14:paraId="25AD9E67" w14:textId="32EA56EF" w:rsidR="0023757D" w:rsidRPr="000C0C4D" w:rsidRDefault="00182297" w:rsidP="00DB4171">
      <w:pPr>
        <w:spacing w:before="240" w:after="0"/>
        <w:jc w:val="both"/>
        <w:rPr>
          <w:rFonts w:ascii="Times New Roman" w:hAnsi="Times New Roman" w:cs="Times New Roman"/>
          <w:sz w:val="21"/>
          <w:szCs w:val="21"/>
        </w:rPr>
      </w:pPr>
      <w:r w:rsidRPr="000C0C4D">
        <w:rPr>
          <w:rFonts w:ascii="Times New Roman" w:hAnsi="Times New Roman" w:cs="Times New Roman"/>
          <w:sz w:val="21"/>
          <w:szCs w:val="21"/>
        </w:rPr>
        <w:t>« sign</w:t>
      </w:r>
      <w:r w:rsidR="00A84C8C">
        <w:rPr>
          <w:rFonts w:ascii="Times New Roman" w:hAnsi="Times New Roman" w:cs="Times New Roman"/>
          <w:sz w:val="21"/>
          <w:szCs w:val="21"/>
        </w:rPr>
        <w:t>é</w:t>
      </w:r>
      <w:r w:rsidRPr="000C0C4D">
        <w:rPr>
          <w:rFonts w:ascii="Times New Roman" w:hAnsi="Times New Roman" w:cs="Times New Roman"/>
          <w:sz w:val="21"/>
          <w:szCs w:val="21"/>
        </w:rPr>
        <w:t> »</w:t>
      </w:r>
      <w:r w:rsidR="004023A9" w:rsidRPr="000C0C4D">
        <w:rPr>
          <w:rFonts w:ascii="Times New Roman" w:hAnsi="Times New Roman" w:cs="Times New Roman"/>
          <w:sz w:val="21"/>
          <w:szCs w:val="21"/>
        </w:rPr>
        <w:tab/>
      </w:r>
      <w:r w:rsidR="000C0C4D" w:rsidRPr="000C0C4D">
        <w:rPr>
          <w:rFonts w:ascii="Times New Roman" w:hAnsi="Times New Roman" w:cs="Times New Roman"/>
          <w:sz w:val="21"/>
          <w:szCs w:val="21"/>
        </w:rPr>
        <w:tab/>
      </w:r>
      <w:r w:rsidR="004023A9" w:rsidRPr="000C0C4D">
        <w:rPr>
          <w:rFonts w:ascii="Times New Roman" w:hAnsi="Times New Roman" w:cs="Times New Roman"/>
          <w:sz w:val="21"/>
          <w:szCs w:val="21"/>
        </w:rPr>
        <w:tab/>
      </w:r>
      <w:r w:rsidR="004023A9" w:rsidRPr="000C0C4D">
        <w:rPr>
          <w:rFonts w:ascii="Times New Roman" w:hAnsi="Times New Roman" w:cs="Times New Roman"/>
          <w:sz w:val="21"/>
          <w:szCs w:val="21"/>
        </w:rPr>
        <w:tab/>
      </w:r>
      <w:r w:rsidR="004023A9" w:rsidRPr="000C0C4D">
        <w:rPr>
          <w:rFonts w:ascii="Times New Roman" w:hAnsi="Times New Roman" w:cs="Times New Roman"/>
          <w:sz w:val="21"/>
          <w:szCs w:val="21"/>
        </w:rPr>
        <w:tab/>
      </w:r>
      <w:r w:rsidR="004023A9" w:rsidRPr="000C0C4D">
        <w:rPr>
          <w:rFonts w:ascii="Times New Roman" w:hAnsi="Times New Roman" w:cs="Times New Roman"/>
          <w:sz w:val="21"/>
          <w:szCs w:val="21"/>
        </w:rPr>
        <w:tab/>
        <w:t>« sign</w:t>
      </w:r>
      <w:r w:rsidR="00153D09">
        <w:rPr>
          <w:rFonts w:ascii="Times New Roman" w:hAnsi="Times New Roman" w:cs="Times New Roman"/>
          <w:sz w:val="21"/>
          <w:szCs w:val="21"/>
        </w:rPr>
        <w:t>é</w:t>
      </w:r>
      <w:r w:rsidR="004023A9" w:rsidRPr="000C0C4D">
        <w:rPr>
          <w:rFonts w:ascii="Times New Roman" w:hAnsi="Times New Roman" w:cs="Times New Roman"/>
          <w:sz w:val="21"/>
          <w:szCs w:val="21"/>
        </w:rPr>
        <w:t> »</w:t>
      </w:r>
    </w:p>
    <w:p w14:paraId="2B65A894" w14:textId="3F279815" w:rsidR="00C83EEC" w:rsidRPr="000C0C4D" w:rsidRDefault="00182297" w:rsidP="00DB4171">
      <w:pPr>
        <w:spacing w:before="240" w:after="0"/>
        <w:rPr>
          <w:rFonts w:ascii="Times New Roman" w:hAnsi="Times New Roman" w:cs="Times New Roman"/>
          <w:sz w:val="21"/>
          <w:szCs w:val="21"/>
        </w:rPr>
      </w:pPr>
      <w:r w:rsidRPr="00951DD6">
        <w:rPr>
          <w:rFonts w:ascii="Times New Roman" w:hAnsi="Times New Roman" w:cs="Times New Roman"/>
          <w:sz w:val="21"/>
          <w:szCs w:val="21"/>
        </w:rPr>
        <w:lastRenderedPageBreak/>
        <w:t xml:space="preserve">Pierre Gauthier </w:t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Pr="00951DD6">
        <w:rPr>
          <w:rFonts w:ascii="Times New Roman" w:hAnsi="Times New Roman" w:cs="Times New Roman"/>
          <w:sz w:val="21"/>
          <w:szCs w:val="21"/>
        </w:rPr>
        <w:t>Mark Billings</w:t>
      </w:r>
      <w:r w:rsidRPr="000C0C4D">
        <w:rPr>
          <w:rFonts w:ascii="Times New Roman" w:hAnsi="Times New Roman" w:cs="Times New Roman"/>
          <w:sz w:val="21"/>
          <w:szCs w:val="21"/>
        </w:rPr>
        <w:br/>
      </w:r>
      <w:r w:rsidRPr="00951DD6">
        <w:rPr>
          <w:rFonts w:ascii="Times New Roman" w:hAnsi="Times New Roman" w:cs="Times New Roman"/>
          <w:sz w:val="21"/>
          <w:szCs w:val="21"/>
        </w:rPr>
        <w:t xml:space="preserve">Chef de la direction, Ressources Auxico Canada </w:t>
      </w:r>
      <w:proofErr w:type="spellStart"/>
      <w:r w:rsidRPr="00951DD6">
        <w:rPr>
          <w:rFonts w:ascii="Times New Roman" w:hAnsi="Times New Roman" w:cs="Times New Roman"/>
          <w:sz w:val="21"/>
          <w:szCs w:val="21"/>
        </w:rPr>
        <w:t>inc.</w:t>
      </w:r>
      <w:proofErr w:type="spellEnd"/>
      <w:r w:rsidRPr="00951DD6">
        <w:rPr>
          <w:rFonts w:ascii="Times New Roman" w:hAnsi="Times New Roman" w:cs="Times New Roman"/>
          <w:sz w:val="21"/>
          <w:szCs w:val="21"/>
        </w:rPr>
        <w:t xml:space="preserve"> </w:t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Pr="00951DD6">
        <w:rPr>
          <w:rFonts w:ascii="Times New Roman" w:hAnsi="Times New Roman" w:cs="Times New Roman"/>
          <w:sz w:val="21"/>
          <w:szCs w:val="21"/>
        </w:rPr>
        <w:t xml:space="preserve">Président, Ressources Auxico Canada </w:t>
      </w:r>
      <w:proofErr w:type="spellStart"/>
      <w:r w:rsidRPr="00951DD6">
        <w:rPr>
          <w:rFonts w:ascii="Times New Roman" w:hAnsi="Times New Roman" w:cs="Times New Roman"/>
          <w:sz w:val="21"/>
          <w:szCs w:val="21"/>
        </w:rPr>
        <w:t>inc.</w:t>
      </w:r>
      <w:proofErr w:type="spellEnd"/>
      <w:r w:rsidRPr="000C0C4D">
        <w:rPr>
          <w:rFonts w:ascii="Times New Roman" w:hAnsi="Times New Roman" w:cs="Times New Roman"/>
          <w:sz w:val="21"/>
          <w:szCs w:val="21"/>
        </w:rPr>
        <w:tab/>
      </w:r>
      <w:r w:rsidR="00DB4171" w:rsidRPr="000C0C4D">
        <w:rPr>
          <w:rFonts w:ascii="Times New Roman" w:hAnsi="Times New Roman" w:cs="Times New Roman"/>
          <w:sz w:val="21"/>
          <w:szCs w:val="21"/>
        </w:rPr>
        <w:br/>
      </w:r>
      <w:hyperlink r:id="rId10" w:history="1">
        <w:r w:rsidR="00DB4171" w:rsidRPr="000C0C4D">
          <w:rPr>
            <w:rStyle w:val="Hyperlink"/>
            <w:rFonts w:ascii="Times New Roman" w:hAnsi="Times New Roman" w:cs="Times New Roman"/>
            <w:sz w:val="21"/>
            <w:szCs w:val="21"/>
          </w:rPr>
          <w:t>pg@auxicoresources.com</w:t>
        </w:r>
      </w:hyperlink>
      <w:r w:rsidRPr="000C0C4D">
        <w:rPr>
          <w:rFonts w:ascii="Times New Roman" w:hAnsi="Times New Roman" w:cs="Times New Roman"/>
          <w:sz w:val="21"/>
          <w:szCs w:val="21"/>
        </w:rPr>
        <w:tab/>
      </w:r>
      <w:r w:rsidRPr="000C0C4D">
        <w:rPr>
          <w:rFonts w:ascii="Times New Roman" w:hAnsi="Times New Roman" w:cs="Times New Roman"/>
          <w:sz w:val="21"/>
          <w:szCs w:val="21"/>
        </w:rPr>
        <w:tab/>
      </w:r>
      <w:r w:rsidRPr="000C0C4D">
        <w:rPr>
          <w:rFonts w:ascii="Times New Roman" w:hAnsi="Times New Roman" w:cs="Times New Roman"/>
          <w:sz w:val="21"/>
          <w:szCs w:val="21"/>
        </w:rPr>
        <w:tab/>
      </w:r>
      <w:r w:rsidR="000C0C4D" w:rsidRPr="000C0C4D">
        <w:rPr>
          <w:rFonts w:ascii="Times New Roman" w:hAnsi="Times New Roman" w:cs="Times New Roman"/>
          <w:sz w:val="21"/>
          <w:szCs w:val="21"/>
        </w:rPr>
        <w:tab/>
      </w:r>
      <w:hyperlink r:id="rId11" w:history="1">
        <w:r w:rsidR="000C0C4D" w:rsidRPr="000C0C4D">
          <w:rPr>
            <w:rStyle w:val="Hyperlink"/>
            <w:rFonts w:ascii="Times New Roman" w:hAnsi="Times New Roman" w:cs="Times New Roman"/>
            <w:sz w:val="21"/>
            <w:szCs w:val="21"/>
          </w:rPr>
          <w:t>mb@auxicoresources.com</w:t>
        </w:r>
      </w:hyperlink>
      <w:r w:rsidR="00DB4171" w:rsidRPr="000C0C4D">
        <w:rPr>
          <w:rFonts w:ascii="Times New Roman" w:hAnsi="Times New Roman" w:cs="Times New Roman"/>
          <w:sz w:val="21"/>
          <w:szCs w:val="21"/>
        </w:rPr>
        <w:br/>
      </w:r>
      <w:r w:rsidRPr="00951DD6">
        <w:rPr>
          <w:rFonts w:ascii="Times New Roman" w:hAnsi="Times New Roman" w:cs="Times New Roman"/>
          <w:sz w:val="21"/>
          <w:szCs w:val="21"/>
        </w:rPr>
        <w:t xml:space="preserve">Tél. : 1 514 299-0881 </w:t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="000C0C4D" w:rsidRPr="00951DD6">
        <w:rPr>
          <w:rFonts w:ascii="Times New Roman" w:hAnsi="Times New Roman" w:cs="Times New Roman"/>
          <w:sz w:val="21"/>
          <w:szCs w:val="21"/>
        </w:rPr>
        <w:tab/>
      </w:r>
      <w:r w:rsidRPr="00951DD6">
        <w:rPr>
          <w:rFonts w:ascii="Times New Roman" w:hAnsi="Times New Roman" w:cs="Times New Roman"/>
          <w:sz w:val="21"/>
          <w:szCs w:val="21"/>
        </w:rPr>
        <w:t>Tél. : 1 514 296-1641</w:t>
      </w:r>
    </w:p>
    <w:p w14:paraId="48528875" w14:textId="61FE1E07" w:rsidR="000F29DC" w:rsidRPr="00951DD6" w:rsidRDefault="00182297" w:rsidP="00DB4171">
      <w:pPr>
        <w:spacing w:before="240"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51DD6">
        <w:rPr>
          <w:rFonts w:ascii="Times New Roman" w:hAnsi="Times New Roman" w:cs="Times New Roman"/>
          <w:i/>
          <w:sz w:val="21"/>
          <w:szCs w:val="21"/>
        </w:rPr>
        <w:t>La Bourse des valeurs canadiennes (CSE) n’a pas révisé le présent document et n’assume aucune responsabilité quant à la pertinence ou à l’exactitude de son contenu.</w:t>
      </w:r>
    </w:p>
    <w:sectPr w:rsidR="000F29DC" w:rsidRPr="00951DD6" w:rsidSect="00596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2191" w14:textId="77777777" w:rsidR="00212609" w:rsidRDefault="00212609" w:rsidP="0032096A">
      <w:pPr>
        <w:spacing w:after="0" w:line="240" w:lineRule="auto"/>
      </w:pPr>
      <w:r>
        <w:separator/>
      </w:r>
    </w:p>
  </w:endnote>
  <w:endnote w:type="continuationSeparator" w:id="0">
    <w:p w14:paraId="7AD4A219" w14:textId="77777777" w:rsidR="00212609" w:rsidRDefault="00212609" w:rsidP="0032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3655" w14:textId="77777777" w:rsidR="00951DD6" w:rsidRDefault="00951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454C" w14:textId="77777777" w:rsidR="00951DD6" w:rsidRDefault="00951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09C1" w14:textId="77777777" w:rsidR="00951DD6" w:rsidRDefault="0095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3E08" w14:textId="77777777" w:rsidR="00212609" w:rsidRDefault="00212609" w:rsidP="0032096A">
      <w:pPr>
        <w:spacing w:after="0" w:line="240" w:lineRule="auto"/>
      </w:pPr>
      <w:r>
        <w:separator/>
      </w:r>
    </w:p>
  </w:footnote>
  <w:footnote w:type="continuationSeparator" w:id="0">
    <w:p w14:paraId="1EFA8680" w14:textId="77777777" w:rsidR="00212609" w:rsidRDefault="00212609" w:rsidP="0032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2465" w14:textId="77777777" w:rsidR="00951DD6" w:rsidRDefault="00951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E3D1" w14:textId="77777777" w:rsidR="00951DD6" w:rsidRDefault="00951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DAE5" w14:textId="77777777" w:rsidR="00951DD6" w:rsidRDefault="0095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365D"/>
    <w:multiLevelType w:val="hybridMultilevel"/>
    <w:tmpl w:val="3E28D4FE"/>
    <w:lvl w:ilvl="0" w:tplc="365A8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0A88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87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8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3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A8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1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67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152"/>
    <w:multiLevelType w:val="hybridMultilevel"/>
    <w:tmpl w:val="41A4C5DC"/>
    <w:lvl w:ilvl="0" w:tplc="32A661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1068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E1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4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7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48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5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8D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E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230"/>
    <w:multiLevelType w:val="hybridMultilevel"/>
    <w:tmpl w:val="728A814E"/>
    <w:lvl w:ilvl="0" w:tplc="A522AC1C">
      <w:start w:val="1"/>
      <w:numFmt w:val="lowerRoman"/>
      <w:lvlText w:val="%1)"/>
      <w:lvlJc w:val="right"/>
      <w:pPr>
        <w:ind w:left="1440" w:hanging="720"/>
      </w:pPr>
      <w:rPr>
        <w:rFonts w:hint="default"/>
      </w:rPr>
    </w:lvl>
    <w:lvl w:ilvl="1" w:tplc="89C2757E" w:tentative="1">
      <w:start w:val="1"/>
      <w:numFmt w:val="lowerLetter"/>
      <w:lvlText w:val="%2."/>
      <w:lvlJc w:val="left"/>
      <w:pPr>
        <w:ind w:left="1800" w:hanging="360"/>
      </w:pPr>
    </w:lvl>
    <w:lvl w:ilvl="2" w:tplc="F7984992" w:tentative="1">
      <w:start w:val="1"/>
      <w:numFmt w:val="lowerRoman"/>
      <w:lvlText w:val="%3."/>
      <w:lvlJc w:val="right"/>
      <w:pPr>
        <w:ind w:left="2520" w:hanging="180"/>
      </w:pPr>
    </w:lvl>
    <w:lvl w:ilvl="3" w:tplc="B926607C" w:tentative="1">
      <w:start w:val="1"/>
      <w:numFmt w:val="decimal"/>
      <w:lvlText w:val="%4."/>
      <w:lvlJc w:val="left"/>
      <w:pPr>
        <w:ind w:left="3240" w:hanging="360"/>
      </w:pPr>
    </w:lvl>
    <w:lvl w:ilvl="4" w:tplc="F5B6D95A" w:tentative="1">
      <w:start w:val="1"/>
      <w:numFmt w:val="lowerLetter"/>
      <w:lvlText w:val="%5."/>
      <w:lvlJc w:val="left"/>
      <w:pPr>
        <w:ind w:left="3960" w:hanging="360"/>
      </w:pPr>
    </w:lvl>
    <w:lvl w:ilvl="5" w:tplc="CC2419F6" w:tentative="1">
      <w:start w:val="1"/>
      <w:numFmt w:val="lowerRoman"/>
      <w:lvlText w:val="%6."/>
      <w:lvlJc w:val="right"/>
      <w:pPr>
        <w:ind w:left="4680" w:hanging="180"/>
      </w:pPr>
    </w:lvl>
    <w:lvl w:ilvl="6" w:tplc="45ECEEE6" w:tentative="1">
      <w:start w:val="1"/>
      <w:numFmt w:val="decimal"/>
      <w:lvlText w:val="%7."/>
      <w:lvlJc w:val="left"/>
      <w:pPr>
        <w:ind w:left="5400" w:hanging="360"/>
      </w:pPr>
    </w:lvl>
    <w:lvl w:ilvl="7" w:tplc="75B29064" w:tentative="1">
      <w:start w:val="1"/>
      <w:numFmt w:val="lowerLetter"/>
      <w:lvlText w:val="%8."/>
      <w:lvlJc w:val="left"/>
      <w:pPr>
        <w:ind w:left="6120" w:hanging="360"/>
      </w:pPr>
    </w:lvl>
    <w:lvl w:ilvl="8" w:tplc="C0588C7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F"/>
    <w:rsid w:val="00001596"/>
    <w:rsid w:val="00024092"/>
    <w:rsid w:val="00024530"/>
    <w:rsid w:val="0004192E"/>
    <w:rsid w:val="00070DA7"/>
    <w:rsid w:val="000715F7"/>
    <w:rsid w:val="0007188D"/>
    <w:rsid w:val="000825BA"/>
    <w:rsid w:val="0008582A"/>
    <w:rsid w:val="00096A0D"/>
    <w:rsid w:val="000977E8"/>
    <w:rsid w:val="000A0CC1"/>
    <w:rsid w:val="000A6CA1"/>
    <w:rsid w:val="000B65A2"/>
    <w:rsid w:val="000C0A8A"/>
    <w:rsid w:val="000C0C4D"/>
    <w:rsid w:val="000E637F"/>
    <w:rsid w:val="000F29DC"/>
    <w:rsid w:val="00105592"/>
    <w:rsid w:val="00111B45"/>
    <w:rsid w:val="0013173D"/>
    <w:rsid w:val="00141074"/>
    <w:rsid w:val="00152E37"/>
    <w:rsid w:val="00153D09"/>
    <w:rsid w:val="001652F1"/>
    <w:rsid w:val="00174C4E"/>
    <w:rsid w:val="00182297"/>
    <w:rsid w:val="001A4B88"/>
    <w:rsid w:val="001B7BE4"/>
    <w:rsid w:val="001E14D3"/>
    <w:rsid w:val="001E3CDC"/>
    <w:rsid w:val="00212609"/>
    <w:rsid w:val="0021723B"/>
    <w:rsid w:val="00223A27"/>
    <w:rsid w:val="0023274D"/>
    <w:rsid w:val="0023757D"/>
    <w:rsid w:val="00237E74"/>
    <w:rsid w:val="00257E15"/>
    <w:rsid w:val="002636DB"/>
    <w:rsid w:val="00276783"/>
    <w:rsid w:val="002770AE"/>
    <w:rsid w:val="002A1F46"/>
    <w:rsid w:val="002A2142"/>
    <w:rsid w:val="002C2B54"/>
    <w:rsid w:val="002C44E4"/>
    <w:rsid w:val="002D4CFE"/>
    <w:rsid w:val="002E77AE"/>
    <w:rsid w:val="002F0855"/>
    <w:rsid w:val="002F33B0"/>
    <w:rsid w:val="002F5976"/>
    <w:rsid w:val="003073CF"/>
    <w:rsid w:val="0032096A"/>
    <w:rsid w:val="0033483F"/>
    <w:rsid w:val="003470DE"/>
    <w:rsid w:val="00347F99"/>
    <w:rsid w:val="003507E5"/>
    <w:rsid w:val="00356A36"/>
    <w:rsid w:val="00364063"/>
    <w:rsid w:val="003662C6"/>
    <w:rsid w:val="00372A35"/>
    <w:rsid w:val="00375003"/>
    <w:rsid w:val="0038043E"/>
    <w:rsid w:val="0038310B"/>
    <w:rsid w:val="003876FD"/>
    <w:rsid w:val="003929E7"/>
    <w:rsid w:val="003E2A40"/>
    <w:rsid w:val="003F0406"/>
    <w:rsid w:val="003F5667"/>
    <w:rsid w:val="004023A9"/>
    <w:rsid w:val="00412B9E"/>
    <w:rsid w:val="00427E5E"/>
    <w:rsid w:val="0043753C"/>
    <w:rsid w:val="00441F0E"/>
    <w:rsid w:val="004465C7"/>
    <w:rsid w:val="00454B03"/>
    <w:rsid w:val="00477208"/>
    <w:rsid w:val="004A1A0B"/>
    <w:rsid w:val="004A2A4A"/>
    <w:rsid w:val="004E5677"/>
    <w:rsid w:val="004E6DC2"/>
    <w:rsid w:val="004F055D"/>
    <w:rsid w:val="004F26E6"/>
    <w:rsid w:val="00500076"/>
    <w:rsid w:val="00504B8A"/>
    <w:rsid w:val="00510CE8"/>
    <w:rsid w:val="00522049"/>
    <w:rsid w:val="00526658"/>
    <w:rsid w:val="00534B74"/>
    <w:rsid w:val="00546D3E"/>
    <w:rsid w:val="00560A29"/>
    <w:rsid w:val="0057490C"/>
    <w:rsid w:val="00584447"/>
    <w:rsid w:val="005877B1"/>
    <w:rsid w:val="00594B39"/>
    <w:rsid w:val="00594EE3"/>
    <w:rsid w:val="00595687"/>
    <w:rsid w:val="00596DBF"/>
    <w:rsid w:val="005A6587"/>
    <w:rsid w:val="005A7B79"/>
    <w:rsid w:val="005B03C1"/>
    <w:rsid w:val="005B3F34"/>
    <w:rsid w:val="005E12B1"/>
    <w:rsid w:val="005F68B7"/>
    <w:rsid w:val="006036ED"/>
    <w:rsid w:val="0062239B"/>
    <w:rsid w:val="00661E5F"/>
    <w:rsid w:val="006A0A39"/>
    <w:rsid w:val="006A7A67"/>
    <w:rsid w:val="006D506F"/>
    <w:rsid w:val="006E5636"/>
    <w:rsid w:val="006F6D33"/>
    <w:rsid w:val="007016ED"/>
    <w:rsid w:val="0070404F"/>
    <w:rsid w:val="00733486"/>
    <w:rsid w:val="007357E0"/>
    <w:rsid w:val="00743D86"/>
    <w:rsid w:val="00746747"/>
    <w:rsid w:val="0075456A"/>
    <w:rsid w:val="0075653C"/>
    <w:rsid w:val="00776428"/>
    <w:rsid w:val="007A0B29"/>
    <w:rsid w:val="007A4515"/>
    <w:rsid w:val="007B42C6"/>
    <w:rsid w:val="007C1B5A"/>
    <w:rsid w:val="007C3955"/>
    <w:rsid w:val="007C4158"/>
    <w:rsid w:val="007D1E8C"/>
    <w:rsid w:val="007E0D6F"/>
    <w:rsid w:val="007E36D0"/>
    <w:rsid w:val="007E6A26"/>
    <w:rsid w:val="008078BC"/>
    <w:rsid w:val="008111D0"/>
    <w:rsid w:val="00856712"/>
    <w:rsid w:val="00877D78"/>
    <w:rsid w:val="008A6CD1"/>
    <w:rsid w:val="008B03F1"/>
    <w:rsid w:val="008B4225"/>
    <w:rsid w:val="008C26D8"/>
    <w:rsid w:val="008D5D5A"/>
    <w:rsid w:val="008D771A"/>
    <w:rsid w:val="008E18CA"/>
    <w:rsid w:val="008E2D42"/>
    <w:rsid w:val="008E4474"/>
    <w:rsid w:val="008E5C36"/>
    <w:rsid w:val="008F224E"/>
    <w:rsid w:val="008F2C3B"/>
    <w:rsid w:val="00900184"/>
    <w:rsid w:val="009023A2"/>
    <w:rsid w:val="00905BF5"/>
    <w:rsid w:val="0092004E"/>
    <w:rsid w:val="009256AE"/>
    <w:rsid w:val="0093488D"/>
    <w:rsid w:val="00936CFF"/>
    <w:rsid w:val="00937597"/>
    <w:rsid w:val="00937B9B"/>
    <w:rsid w:val="009412C2"/>
    <w:rsid w:val="00951DD6"/>
    <w:rsid w:val="00953C40"/>
    <w:rsid w:val="00953F88"/>
    <w:rsid w:val="00954694"/>
    <w:rsid w:val="00955FE8"/>
    <w:rsid w:val="00956669"/>
    <w:rsid w:val="0096050B"/>
    <w:rsid w:val="00981359"/>
    <w:rsid w:val="00982CD7"/>
    <w:rsid w:val="00986775"/>
    <w:rsid w:val="00997D1E"/>
    <w:rsid w:val="009A01E7"/>
    <w:rsid w:val="009C41FA"/>
    <w:rsid w:val="009E704B"/>
    <w:rsid w:val="009F0D7F"/>
    <w:rsid w:val="009F20F9"/>
    <w:rsid w:val="009F23F3"/>
    <w:rsid w:val="00A04E2E"/>
    <w:rsid w:val="00A04FD9"/>
    <w:rsid w:val="00A10364"/>
    <w:rsid w:val="00A23D88"/>
    <w:rsid w:val="00A33E8D"/>
    <w:rsid w:val="00A45733"/>
    <w:rsid w:val="00A4614B"/>
    <w:rsid w:val="00A51219"/>
    <w:rsid w:val="00A51949"/>
    <w:rsid w:val="00A53D97"/>
    <w:rsid w:val="00A57A8B"/>
    <w:rsid w:val="00A73D54"/>
    <w:rsid w:val="00A83FC9"/>
    <w:rsid w:val="00A84C8C"/>
    <w:rsid w:val="00A85939"/>
    <w:rsid w:val="00A933D0"/>
    <w:rsid w:val="00AA0229"/>
    <w:rsid w:val="00AA4190"/>
    <w:rsid w:val="00AC5986"/>
    <w:rsid w:val="00AD1B22"/>
    <w:rsid w:val="00AE15EA"/>
    <w:rsid w:val="00AE1758"/>
    <w:rsid w:val="00B0158B"/>
    <w:rsid w:val="00B04079"/>
    <w:rsid w:val="00B07468"/>
    <w:rsid w:val="00B07B1C"/>
    <w:rsid w:val="00B10FEE"/>
    <w:rsid w:val="00B15127"/>
    <w:rsid w:val="00B27208"/>
    <w:rsid w:val="00B54988"/>
    <w:rsid w:val="00B57A94"/>
    <w:rsid w:val="00B61277"/>
    <w:rsid w:val="00B771A6"/>
    <w:rsid w:val="00B82C1E"/>
    <w:rsid w:val="00BB3CD0"/>
    <w:rsid w:val="00BD31BE"/>
    <w:rsid w:val="00BD5EFF"/>
    <w:rsid w:val="00BE1D6B"/>
    <w:rsid w:val="00BF5683"/>
    <w:rsid w:val="00BF6093"/>
    <w:rsid w:val="00BF6976"/>
    <w:rsid w:val="00C26D91"/>
    <w:rsid w:val="00C47F8C"/>
    <w:rsid w:val="00C5790D"/>
    <w:rsid w:val="00C60078"/>
    <w:rsid w:val="00C619DC"/>
    <w:rsid w:val="00C73140"/>
    <w:rsid w:val="00C83EEC"/>
    <w:rsid w:val="00C92FC6"/>
    <w:rsid w:val="00CA320A"/>
    <w:rsid w:val="00CA43E0"/>
    <w:rsid w:val="00CA726B"/>
    <w:rsid w:val="00CB664A"/>
    <w:rsid w:val="00CD6083"/>
    <w:rsid w:val="00CD79C6"/>
    <w:rsid w:val="00CD7BA6"/>
    <w:rsid w:val="00CE4734"/>
    <w:rsid w:val="00CF65E6"/>
    <w:rsid w:val="00CF669C"/>
    <w:rsid w:val="00D0195A"/>
    <w:rsid w:val="00D11CB4"/>
    <w:rsid w:val="00D335BC"/>
    <w:rsid w:val="00D36C95"/>
    <w:rsid w:val="00D41256"/>
    <w:rsid w:val="00D47CD5"/>
    <w:rsid w:val="00D53521"/>
    <w:rsid w:val="00D66682"/>
    <w:rsid w:val="00D75F04"/>
    <w:rsid w:val="00D770F4"/>
    <w:rsid w:val="00DA56AA"/>
    <w:rsid w:val="00DB068A"/>
    <w:rsid w:val="00DB12AE"/>
    <w:rsid w:val="00DB4171"/>
    <w:rsid w:val="00DB4C34"/>
    <w:rsid w:val="00DE4048"/>
    <w:rsid w:val="00DE4F21"/>
    <w:rsid w:val="00DE5655"/>
    <w:rsid w:val="00DF0E13"/>
    <w:rsid w:val="00DF42BE"/>
    <w:rsid w:val="00E01E07"/>
    <w:rsid w:val="00E04AAC"/>
    <w:rsid w:val="00E15169"/>
    <w:rsid w:val="00E202A4"/>
    <w:rsid w:val="00E223A1"/>
    <w:rsid w:val="00E43F0E"/>
    <w:rsid w:val="00E6155A"/>
    <w:rsid w:val="00E76228"/>
    <w:rsid w:val="00E8310B"/>
    <w:rsid w:val="00E93EC4"/>
    <w:rsid w:val="00EC046A"/>
    <w:rsid w:val="00EC0822"/>
    <w:rsid w:val="00EE1139"/>
    <w:rsid w:val="00F048FB"/>
    <w:rsid w:val="00F10E35"/>
    <w:rsid w:val="00F11FEB"/>
    <w:rsid w:val="00F12B6A"/>
    <w:rsid w:val="00F30E5A"/>
    <w:rsid w:val="00F31688"/>
    <w:rsid w:val="00F3586D"/>
    <w:rsid w:val="00F35B39"/>
    <w:rsid w:val="00F529FE"/>
    <w:rsid w:val="00F55AE1"/>
    <w:rsid w:val="00F7213B"/>
    <w:rsid w:val="00F76FE8"/>
    <w:rsid w:val="00F90B31"/>
    <w:rsid w:val="00F914BC"/>
    <w:rsid w:val="00F94A04"/>
    <w:rsid w:val="00FA215B"/>
    <w:rsid w:val="00FA6E96"/>
    <w:rsid w:val="00FD7C58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C205D"/>
  <w15:docId w15:val="{4963E355-48F4-4B45-9BD3-9E412535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C8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customStyle="1" w:styleId="GridTable3-Accent61">
    <w:name w:val="Grid Table 3 - Accent 61"/>
    <w:basedOn w:val="TableNormal"/>
    <w:uiPriority w:val="48"/>
    <w:rsid w:val="00C83EEC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37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AE"/>
  </w:style>
  <w:style w:type="paragraph" w:styleId="Footer">
    <w:name w:val="footer"/>
    <w:basedOn w:val="Normal"/>
    <w:link w:val="FooterChar"/>
    <w:uiPriority w:val="99"/>
    <w:unhideWhenUsed/>
    <w:rsid w:val="0092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AE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B417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rsid w:val="000C0C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D33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33"/>
    <w:rPr>
      <w:b/>
      <w:bCs/>
      <w:sz w:val="20"/>
      <w:szCs w:val="20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953C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A01E7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xicoresource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@auxicoresourc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g@auxicoresource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da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E8F0-5AF1-4186-9AC1-F7A8C4D7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Mark Billings</cp:lastModifiedBy>
  <cp:revision>4</cp:revision>
  <cp:lastPrinted>2018-07-06T16:25:00Z</cp:lastPrinted>
  <dcterms:created xsi:type="dcterms:W3CDTF">2020-10-25T21:19:00Z</dcterms:created>
  <dcterms:modified xsi:type="dcterms:W3CDTF">2020-10-25T21:32:00Z</dcterms:modified>
</cp:coreProperties>
</file>