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2FFF1" w14:textId="77E170BB" w:rsidR="00B0294D" w:rsidRPr="00356EC6" w:rsidRDefault="00665600" w:rsidP="00356EC6">
      <w:pPr>
        <w:pStyle w:val="Heading1"/>
        <w:ind w:left="2" w:right="2"/>
        <w:jc w:val="center"/>
      </w:pPr>
      <w:r w:rsidRPr="00356EC6">
        <w:rPr>
          <w:u w:val="single"/>
        </w:rPr>
        <w:t>FOR</w:t>
      </w:r>
      <w:r w:rsidRPr="00356EC6">
        <w:rPr>
          <w:spacing w:val="-1"/>
          <w:u w:val="single"/>
        </w:rPr>
        <w:t xml:space="preserve"> </w:t>
      </w:r>
      <w:r w:rsidRPr="00356EC6">
        <w:rPr>
          <w:u w:val="single"/>
        </w:rPr>
        <w:t>IMMEDIATE</w:t>
      </w:r>
      <w:r w:rsidRPr="00356EC6">
        <w:rPr>
          <w:spacing w:val="-3"/>
          <w:u w:val="single"/>
        </w:rPr>
        <w:t xml:space="preserve"> </w:t>
      </w:r>
      <w:r w:rsidRPr="00356EC6">
        <w:rPr>
          <w:spacing w:val="-2"/>
          <w:u w:val="single"/>
        </w:rPr>
        <w:t>RELEASE</w:t>
      </w:r>
    </w:p>
    <w:p w14:paraId="16D2FFF2" w14:textId="77777777" w:rsidR="00B0294D" w:rsidRPr="00356EC6" w:rsidRDefault="00B0294D" w:rsidP="00356EC6">
      <w:pPr>
        <w:pStyle w:val="BodyText"/>
        <w:spacing w:before="148" w:line="360" w:lineRule="auto"/>
        <w:rPr>
          <w:b/>
        </w:rPr>
      </w:pPr>
    </w:p>
    <w:p w14:paraId="0A31D93E" w14:textId="522575FD" w:rsidR="00356EC6" w:rsidRPr="00356EC6" w:rsidRDefault="00665600" w:rsidP="00356EC6">
      <w:pPr>
        <w:pStyle w:val="Title"/>
        <w:spacing w:line="360" w:lineRule="auto"/>
        <w:rPr>
          <w:sz w:val="32"/>
          <w:szCs w:val="32"/>
        </w:rPr>
      </w:pPr>
      <w:r w:rsidRPr="00356EC6">
        <w:rPr>
          <w:sz w:val="32"/>
          <w:szCs w:val="32"/>
        </w:rPr>
        <w:t>Asep</w:t>
      </w:r>
      <w:r w:rsidRPr="00356EC6">
        <w:rPr>
          <w:spacing w:val="-5"/>
          <w:sz w:val="32"/>
          <w:szCs w:val="32"/>
        </w:rPr>
        <w:t xml:space="preserve"> </w:t>
      </w:r>
      <w:r w:rsidRPr="00356EC6">
        <w:rPr>
          <w:sz w:val="32"/>
          <w:szCs w:val="32"/>
        </w:rPr>
        <w:t>Medical</w:t>
      </w:r>
      <w:r w:rsidRPr="00356EC6">
        <w:rPr>
          <w:spacing w:val="-2"/>
          <w:sz w:val="32"/>
          <w:szCs w:val="32"/>
        </w:rPr>
        <w:t xml:space="preserve"> </w:t>
      </w:r>
      <w:r w:rsidR="00D756E5" w:rsidRPr="00356EC6">
        <w:rPr>
          <w:sz w:val="32"/>
          <w:szCs w:val="32"/>
        </w:rPr>
        <w:t>Announces Offering of</w:t>
      </w:r>
    </w:p>
    <w:p w14:paraId="4633AD1E" w14:textId="0E72424B" w:rsidR="00356EC6" w:rsidRPr="00356EC6" w:rsidRDefault="00D756E5" w:rsidP="00356EC6">
      <w:pPr>
        <w:pStyle w:val="Title"/>
        <w:spacing w:line="360" w:lineRule="auto"/>
        <w:rPr>
          <w:sz w:val="20"/>
          <w:szCs w:val="20"/>
        </w:rPr>
      </w:pPr>
      <w:r w:rsidRPr="00356EC6">
        <w:rPr>
          <w:sz w:val="32"/>
          <w:szCs w:val="32"/>
        </w:rPr>
        <w:t>Convertible Debentures</w:t>
      </w:r>
      <w:r w:rsidR="00356EC6" w:rsidRPr="00356EC6">
        <w:rPr>
          <w:sz w:val="32"/>
          <w:szCs w:val="32"/>
        </w:rPr>
        <w:t xml:space="preserve"> </w:t>
      </w:r>
      <w:r w:rsidR="004F2503" w:rsidRPr="00356EC6">
        <w:rPr>
          <w:sz w:val="32"/>
          <w:szCs w:val="32"/>
        </w:rPr>
        <w:t>a</w:t>
      </w:r>
      <w:r w:rsidRPr="00356EC6">
        <w:rPr>
          <w:sz w:val="32"/>
          <w:szCs w:val="32"/>
        </w:rPr>
        <w:t xml:space="preserve">nd </w:t>
      </w:r>
      <w:r w:rsidR="00A33EA5" w:rsidRPr="00356EC6">
        <w:rPr>
          <w:sz w:val="32"/>
          <w:szCs w:val="32"/>
        </w:rPr>
        <w:t xml:space="preserve">Closing of </w:t>
      </w:r>
      <w:r w:rsidRPr="00356EC6">
        <w:rPr>
          <w:sz w:val="32"/>
          <w:szCs w:val="32"/>
        </w:rPr>
        <w:t>Debt Settlement</w:t>
      </w:r>
      <w:r w:rsidR="00356EC6" w:rsidRPr="00356EC6">
        <w:rPr>
          <w:sz w:val="20"/>
          <w:szCs w:val="20"/>
        </w:rPr>
        <w:br/>
      </w:r>
    </w:p>
    <w:p w14:paraId="16D2FFF5" w14:textId="4F364B7F" w:rsidR="00B0294D" w:rsidRPr="00356EC6" w:rsidRDefault="00665600" w:rsidP="00356EC6">
      <w:pPr>
        <w:rPr>
          <w:b/>
          <w:sz w:val="20"/>
          <w:szCs w:val="20"/>
        </w:rPr>
      </w:pPr>
      <w:r w:rsidRPr="00356EC6">
        <w:rPr>
          <w:sz w:val="20"/>
          <w:szCs w:val="20"/>
        </w:rPr>
        <w:t>VANCOUVER,</w:t>
      </w:r>
      <w:r w:rsidRPr="00356EC6">
        <w:rPr>
          <w:spacing w:val="-3"/>
          <w:sz w:val="20"/>
          <w:szCs w:val="20"/>
        </w:rPr>
        <w:t xml:space="preserve"> </w:t>
      </w:r>
      <w:r w:rsidRPr="00356EC6">
        <w:rPr>
          <w:sz w:val="20"/>
          <w:szCs w:val="20"/>
        </w:rPr>
        <w:t>BC,</w:t>
      </w:r>
      <w:r w:rsidRPr="00356EC6">
        <w:rPr>
          <w:spacing w:val="-1"/>
          <w:sz w:val="20"/>
          <w:szCs w:val="20"/>
        </w:rPr>
        <w:t xml:space="preserve"> </w:t>
      </w:r>
      <w:r w:rsidR="00AA78FC" w:rsidRPr="00356EC6">
        <w:rPr>
          <w:sz w:val="20"/>
          <w:szCs w:val="20"/>
        </w:rPr>
        <w:t xml:space="preserve">April </w:t>
      </w:r>
      <w:r w:rsidR="00491C80" w:rsidRPr="00356EC6">
        <w:rPr>
          <w:sz w:val="20"/>
          <w:szCs w:val="20"/>
        </w:rPr>
        <w:t>29</w:t>
      </w:r>
      <w:r w:rsidR="00AA78FC" w:rsidRPr="00356EC6">
        <w:rPr>
          <w:sz w:val="20"/>
          <w:szCs w:val="20"/>
        </w:rPr>
        <w:t>,</w:t>
      </w:r>
      <w:r w:rsidRPr="00356EC6">
        <w:rPr>
          <w:spacing w:val="-2"/>
          <w:sz w:val="20"/>
          <w:szCs w:val="20"/>
        </w:rPr>
        <w:t xml:space="preserve"> </w:t>
      </w:r>
      <w:r w:rsidRPr="00356EC6">
        <w:rPr>
          <w:sz w:val="20"/>
          <w:szCs w:val="20"/>
        </w:rPr>
        <w:t>2026</w:t>
      </w:r>
      <w:r w:rsidRPr="00356EC6">
        <w:rPr>
          <w:spacing w:val="-5"/>
          <w:sz w:val="20"/>
          <w:szCs w:val="20"/>
        </w:rPr>
        <w:t xml:space="preserve"> </w:t>
      </w:r>
      <w:r w:rsidRPr="00356EC6">
        <w:rPr>
          <w:sz w:val="20"/>
          <w:szCs w:val="20"/>
        </w:rPr>
        <w:t>—</w:t>
      </w:r>
      <w:r w:rsidRPr="00356EC6">
        <w:rPr>
          <w:spacing w:val="1"/>
          <w:sz w:val="20"/>
          <w:szCs w:val="20"/>
        </w:rPr>
        <w:t xml:space="preserve"> </w:t>
      </w:r>
      <w:r w:rsidRPr="00356EC6">
        <w:rPr>
          <w:b/>
          <w:sz w:val="20"/>
          <w:szCs w:val="20"/>
        </w:rPr>
        <w:t>Asep</w:t>
      </w:r>
      <w:r w:rsidRPr="00356EC6">
        <w:rPr>
          <w:b/>
          <w:spacing w:val="-1"/>
          <w:sz w:val="20"/>
          <w:szCs w:val="20"/>
        </w:rPr>
        <w:t xml:space="preserve"> </w:t>
      </w:r>
      <w:r w:rsidRPr="00356EC6">
        <w:rPr>
          <w:b/>
          <w:sz w:val="20"/>
          <w:szCs w:val="20"/>
        </w:rPr>
        <w:t>Medical</w:t>
      </w:r>
      <w:r w:rsidRPr="00356EC6">
        <w:rPr>
          <w:b/>
          <w:spacing w:val="-2"/>
          <w:sz w:val="20"/>
          <w:szCs w:val="20"/>
        </w:rPr>
        <w:t xml:space="preserve"> </w:t>
      </w:r>
      <w:r w:rsidRPr="00356EC6">
        <w:rPr>
          <w:b/>
          <w:sz w:val="20"/>
          <w:szCs w:val="20"/>
        </w:rPr>
        <w:t>Holdings</w:t>
      </w:r>
      <w:r w:rsidRPr="00356EC6">
        <w:rPr>
          <w:b/>
          <w:spacing w:val="-3"/>
          <w:sz w:val="20"/>
          <w:szCs w:val="20"/>
        </w:rPr>
        <w:t xml:space="preserve"> </w:t>
      </w:r>
      <w:r w:rsidRPr="00356EC6">
        <w:rPr>
          <w:b/>
          <w:sz w:val="20"/>
          <w:szCs w:val="20"/>
        </w:rPr>
        <w:t>Inc.</w:t>
      </w:r>
      <w:r w:rsidRPr="00356EC6">
        <w:rPr>
          <w:b/>
          <w:spacing w:val="-1"/>
          <w:sz w:val="20"/>
          <w:szCs w:val="20"/>
        </w:rPr>
        <w:t xml:space="preserve"> </w:t>
      </w:r>
      <w:r w:rsidRPr="00356EC6">
        <w:rPr>
          <w:b/>
          <w:sz w:val="20"/>
          <w:szCs w:val="20"/>
        </w:rPr>
        <w:t>(“Asep”</w:t>
      </w:r>
      <w:r w:rsidRPr="00356EC6">
        <w:rPr>
          <w:b/>
          <w:spacing w:val="-2"/>
          <w:sz w:val="20"/>
          <w:szCs w:val="20"/>
        </w:rPr>
        <w:t xml:space="preserve"> </w:t>
      </w:r>
      <w:r w:rsidRPr="00356EC6">
        <w:rPr>
          <w:sz w:val="20"/>
          <w:szCs w:val="20"/>
        </w:rPr>
        <w:t>or</w:t>
      </w:r>
      <w:r w:rsidRPr="00356EC6">
        <w:rPr>
          <w:spacing w:val="-3"/>
          <w:sz w:val="20"/>
          <w:szCs w:val="20"/>
        </w:rPr>
        <w:t xml:space="preserve"> </w:t>
      </w:r>
      <w:r w:rsidRPr="00356EC6">
        <w:rPr>
          <w:sz w:val="20"/>
          <w:szCs w:val="20"/>
        </w:rPr>
        <w:t>the</w:t>
      </w:r>
      <w:r w:rsidRPr="00356EC6">
        <w:rPr>
          <w:spacing w:val="-2"/>
          <w:sz w:val="20"/>
          <w:szCs w:val="20"/>
        </w:rPr>
        <w:t xml:space="preserve"> </w:t>
      </w:r>
      <w:r w:rsidRPr="00356EC6">
        <w:rPr>
          <w:b/>
          <w:sz w:val="20"/>
          <w:szCs w:val="20"/>
        </w:rPr>
        <w:t>“Company”)</w:t>
      </w:r>
      <w:r w:rsidRPr="00356EC6">
        <w:rPr>
          <w:b/>
          <w:spacing w:val="-1"/>
          <w:sz w:val="20"/>
          <w:szCs w:val="20"/>
        </w:rPr>
        <w:t xml:space="preserve"> </w:t>
      </w:r>
      <w:r w:rsidRPr="00356EC6">
        <w:rPr>
          <w:b/>
          <w:sz w:val="20"/>
          <w:szCs w:val="20"/>
        </w:rPr>
        <w:t>(CSE:</w:t>
      </w:r>
      <w:r w:rsidRPr="00356EC6">
        <w:rPr>
          <w:b/>
          <w:spacing w:val="-2"/>
          <w:sz w:val="20"/>
          <w:szCs w:val="20"/>
        </w:rPr>
        <w:t xml:space="preserve"> </w:t>
      </w:r>
      <w:r w:rsidRPr="00356EC6">
        <w:rPr>
          <w:b/>
          <w:sz w:val="20"/>
          <w:szCs w:val="20"/>
        </w:rPr>
        <w:t>ASEP)</w:t>
      </w:r>
      <w:r w:rsidRPr="00356EC6">
        <w:rPr>
          <w:b/>
          <w:spacing w:val="-5"/>
          <w:sz w:val="20"/>
          <w:szCs w:val="20"/>
        </w:rPr>
        <w:t xml:space="preserve"> </w:t>
      </w:r>
      <w:r w:rsidRPr="00356EC6">
        <w:rPr>
          <w:b/>
          <w:spacing w:val="-2"/>
          <w:sz w:val="20"/>
          <w:szCs w:val="20"/>
        </w:rPr>
        <w:t>(OTCQB:</w:t>
      </w:r>
    </w:p>
    <w:p w14:paraId="4EB92526" w14:textId="77777777" w:rsidR="007564C8" w:rsidRPr="00356EC6" w:rsidRDefault="00665600" w:rsidP="00356EC6">
      <w:pPr>
        <w:spacing w:before="121" w:line="360" w:lineRule="auto"/>
        <w:rPr>
          <w:sz w:val="20"/>
          <w:szCs w:val="20"/>
        </w:rPr>
      </w:pPr>
      <w:r w:rsidRPr="00356EC6">
        <w:rPr>
          <w:b/>
          <w:sz w:val="20"/>
          <w:szCs w:val="20"/>
        </w:rPr>
        <w:t>SEPSF)</w:t>
      </w:r>
      <w:r w:rsidRPr="00356EC6">
        <w:rPr>
          <w:b/>
          <w:spacing w:val="-2"/>
          <w:sz w:val="20"/>
          <w:szCs w:val="20"/>
        </w:rPr>
        <w:t xml:space="preserve"> </w:t>
      </w:r>
      <w:r w:rsidRPr="00356EC6">
        <w:rPr>
          <w:b/>
          <w:sz w:val="20"/>
          <w:szCs w:val="20"/>
        </w:rPr>
        <w:t>(FSE:</w:t>
      </w:r>
      <w:r w:rsidRPr="00356EC6">
        <w:rPr>
          <w:b/>
          <w:spacing w:val="-2"/>
          <w:sz w:val="20"/>
          <w:szCs w:val="20"/>
        </w:rPr>
        <w:t xml:space="preserve"> </w:t>
      </w:r>
      <w:r w:rsidRPr="00356EC6">
        <w:rPr>
          <w:b/>
          <w:sz w:val="20"/>
          <w:szCs w:val="20"/>
        </w:rPr>
        <w:t xml:space="preserve">JJ8) </w:t>
      </w:r>
      <w:r w:rsidR="00AB1A65" w:rsidRPr="00356EC6">
        <w:rPr>
          <w:sz w:val="20"/>
          <w:szCs w:val="20"/>
        </w:rPr>
        <w:t xml:space="preserve">announces that it intends to undertake a </w:t>
      </w:r>
      <w:r w:rsidR="004F2503" w:rsidRPr="00356EC6">
        <w:rPr>
          <w:sz w:val="20"/>
          <w:szCs w:val="20"/>
        </w:rPr>
        <w:t>non-</w:t>
      </w:r>
      <w:r w:rsidR="00AB1A65" w:rsidRPr="00356EC6">
        <w:rPr>
          <w:sz w:val="20"/>
          <w:szCs w:val="20"/>
        </w:rPr>
        <w:t xml:space="preserve">brokered private placement offering of </w:t>
      </w:r>
      <w:r w:rsidR="00A52D45" w:rsidRPr="00356EC6">
        <w:rPr>
          <w:sz w:val="20"/>
          <w:szCs w:val="20"/>
        </w:rPr>
        <w:t xml:space="preserve">unsecured </w:t>
      </w:r>
      <w:r w:rsidR="00AB1A65" w:rsidRPr="00356EC6">
        <w:rPr>
          <w:sz w:val="20"/>
          <w:szCs w:val="20"/>
        </w:rPr>
        <w:t>convertible debentures (the "</w:t>
      </w:r>
      <w:r w:rsidR="00AB1A65" w:rsidRPr="00356EC6">
        <w:rPr>
          <w:b/>
          <w:bCs/>
          <w:sz w:val="20"/>
          <w:szCs w:val="20"/>
        </w:rPr>
        <w:t>Debentures</w:t>
      </w:r>
      <w:r w:rsidR="00AB1A65" w:rsidRPr="00356EC6">
        <w:rPr>
          <w:sz w:val="20"/>
          <w:szCs w:val="20"/>
        </w:rPr>
        <w:t>") to raise gross proceeds of CAD$</w:t>
      </w:r>
      <w:r w:rsidR="00A52D45" w:rsidRPr="00356EC6">
        <w:rPr>
          <w:sz w:val="20"/>
          <w:szCs w:val="20"/>
        </w:rPr>
        <w:t>20</w:t>
      </w:r>
      <w:r w:rsidR="00AB1A65" w:rsidRPr="00356EC6">
        <w:rPr>
          <w:sz w:val="20"/>
          <w:szCs w:val="20"/>
        </w:rPr>
        <w:t>0,000 (the "</w:t>
      </w:r>
      <w:r w:rsidR="00AB1A65" w:rsidRPr="00356EC6">
        <w:rPr>
          <w:b/>
          <w:bCs/>
          <w:sz w:val="20"/>
          <w:szCs w:val="20"/>
        </w:rPr>
        <w:t>Offering</w:t>
      </w:r>
      <w:r w:rsidR="00AB1A65" w:rsidRPr="00356EC6">
        <w:rPr>
          <w:sz w:val="20"/>
          <w:szCs w:val="20"/>
        </w:rPr>
        <w:t xml:space="preserve">"). </w:t>
      </w:r>
    </w:p>
    <w:p w14:paraId="58507AA5" w14:textId="1DCB9C9F" w:rsidR="00AB1A65" w:rsidRPr="00356EC6" w:rsidRDefault="00AB1A65" w:rsidP="00356EC6">
      <w:pPr>
        <w:spacing w:before="121" w:line="360" w:lineRule="auto"/>
        <w:rPr>
          <w:sz w:val="20"/>
          <w:szCs w:val="20"/>
        </w:rPr>
      </w:pPr>
      <w:r w:rsidRPr="00356EC6">
        <w:rPr>
          <w:sz w:val="20"/>
          <w:szCs w:val="20"/>
        </w:rPr>
        <w:t xml:space="preserve">The principal sum of the Debentures will bear interest at the rate of 12% per annum and will mature on the date that is </w:t>
      </w:r>
      <w:r w:rsidR="008A1CAB" w:rsidRPr="00356EC6">
        <w:rPr>
          <w:sz w:val="20"/>
          <w:szCs w:val="20"/>
        </w:rPr>
        <w:t>twelve</w:t>
      </w:r>
      <w:r w:rsidRPr="00356EC6">
        <w:rPr>
          <w:sz w:val="20"/>
          <w:szCs w:val="20"/>
        </w:rPr>
        <w:t xml:space="preserve"> (</w:t>
      </w:r>
      <w:r w:rsidR="008A1CAB" w:rsidRPr="00356EC6">
        <w:rPr>
          <w:sz w:val="20"/>
          <w:szCs w:val="20"/>
        </w:rPr>
        <w:t>12</w:t>
      </w:r>
      <w:r w:rsidRPr="00356EC6">
        <w:rPr>
          <w:sz w:val="20"/>
          <w:szCs w:val="20"/>
        </w:rPr>
        <w:t>) months from the date of issuance.</w:t>
      </w:r>
      <w:r w:rsidR="007564C8" w:rsidRPr="00356EC6">
        <w:rPr>
          <w:sz w:val="20"/>
          <w:szCs w:val="20"/>
        </w:rPr>
        <w:t xml:space="preserve"> The Company anticipates using the proceeds from the Offering for general working capital purposes.</w:t>
      </w:r>
    </w:p>
    <w:p w14:paraId="5246E271" w14:textId="53A5C3F5" w:rsidR="00AB1A65" w:rsidRPr="00356EC6" w:rsidRDefault="001C2611" w:rsidP="00356EC6">
      <w:pPr>
        <w:spacing w:before="121" w:line="360" w:lineRule="auto"/>
        <w:rPr>
          <w:sz w:val="20"/>
          <w:szCs w:val="20"/>
        </w:rPr>
      </w:pPr>
      <w:r w:rsidRPr="00356EC6">
        <w:rPr>
          <w:sz w:val="20"/>
          <w:szCs w:val="20"/>
        </w:rPr>
        <w:t xml:space="preserve">Prior to maturity, the principal amount of the Debentures may be converted, at the option of the holder, into common shares of the Company </w:t>
      </w:r>
      <w:r w:rsidR="00AB1A65" w:rsidRPr="00356EC6">
        <w:rPr>
          <w:sz w:val="20"/>
          <w:szCs w:val="20"/>
        </w:rPr>
        <w:t>(the "</w:t>
      </w:r>
      <w:r w:rsidR="00AB1A65" w:rsidRPr="00356EC6">
        <w:rPr>
          <w:b/>
          <w:bCs/>
          <w:sz w:val="20"/>
          <w:szCs w:val="20"/>
        </w:rPr>
        <w:t>Conversion Shares</w:t>
      </w:r>
      <w:r w:rsidR="00AB1A65" w:rsidRPr="00356EC6">
        <w:rPr>
          <w:sz w:val="20"/>
          <w:szCs w:val="20"/>
        </w:rPr>
        <w:t xml:space="preserve">") at a conversion price </w:t>
      </w:r>
      <w:r w:rsidR="00133C5E" w:rsidRPr="00356EC6">
        <w:rPr>
          <w:sz w:val="20"/>
          <w:szCs w:val="20"/>
        </w:rPr>
        <w:t>equal to the market price of the common shares on the closing date</w:t>
      </w:r>
      <w:r w:rsidR="00AB1A65" w:rsidRPr="00356EC6">
        <w:rPr>
          <w:sz w:val="20"/>
          <w:szCs w:val="20"/>
        </w:rPr>
        <w:t>. The Debentures and Conversion Shares are collectively referred to herein as the "</w:t>
      </w:r>
      <w:r w:rsidR="00AB1A65" w:rsidRPr="00356EC6">
        <w:rPr>
          <w:b/>
          <w:bCs/>
          <w:sz w:val="20"/>
          <w:szCs w:val="20"/>
        </w:rPr>
        <w:t>Securities</w:t>
      </w:r>
      <w:r w:rsidR="00AB1A65" w:rsidRPr="00356EC6">
        <w:rPr>
          <w:sz w:val="20"/>
          <w:szCs w:val="20"/>
        </w:rPr>
        <w:t>".</w:t>
      </w:r>
    </w:p>
    <w:p w14:paraId="36345D8D" w14:textId="41E5E4FB" w:rsidR="008E7BB6" w:rsidRPr="00356EC6" w:rsidRDefault="00170ADB" w:rsidP="00356EC6">
      <w:pPr>
        <w:spacing w:before="121" w:line="360" w:lineRule="auto"/>
        <w:rPr>
          <w:sz w:val="20"/>
          <w:szCs w:val="20"/>
        </w:rPr>
      </w:pPr>
      <w:r w:rsidRPr="00356EC6">
        <w:rPr>
          <w:sz w:val="20"/>
          <w:szCs w:val="20"/>
        </w:rPr>
        <w:t xml:space="preserve">Completion of the Offering will be subject to customary conditions, including receipt of all required regulatory approvals, including approval of </w:t>
      </w:r>
      <w:r w:rsidR="00D70226" w:rsidRPr="00356EC6">
        <w:rPr>
          <w:sz w:val="20"/>
          <w:szCs w:val="20"/>
        </w:rPr>
        <w:t>The Canadian Securities Exchange</w:t>
      </w:r>
      <w:r w:rsidR="00893209" w:rsidRPr="00356EC6">
        <w:rPr>
          <w:sz w:val="20"/>
          <w:szCs w:val="20"/>
        </w:rPr>
        <w:t xml:space="preserve"> (the "</w:t>
      </w:r>
      <w:r w:rsidR="00893209" w:rsidRPr="00356EC6">
        <w:rPr>
          <w:b/>
          <w:bCs/>
          <w:sz w:val="20"/>
          <w:szCs w:val="20"/>
        </w:rPr>
        <w:t>CSE</w:t>
      </w:r>
      <w:r w:rsidR="00893209" w:rsidRPr="00356EC6">
        <w:rPr>
          <w:sz w:val="20"/>
          <w:szCs w:val="20"/>
        </w:rPr>
        <w:t>")</w:t>
      </w:r>
      <w:r w:rsidR="00AB1A65" w:rsidRPr="00356EC6">
        <w:rPr>
          <w:sz w:val="20"/>
          <w:szCs w:val="20"/>
        </w:rPr>
        <w:t xml:space="preserve">. </w:t>
      </w:r>
      <w:r w:rsidR="008E7BB6" w:rsidRPr="00356EC6">
        <w:rPr>
          <w:sz w:val="20"/>
          <w:szCs w:val="20"/>
        </w:rPr>
        <w:t xml:space="preserve">The Securities will be subject to a statutory hold period of four months and one day from the date of issuance in accordance with applicable securities laws. The Company currently expects to complete the Offering on or before </w:t>
      </w:r>
      <w:r w:rsidR="00B92541" w:rsidRPr="00356EC6">
        <w:rPr>
          <w:sz w:val="20"/>
          <w:szCs w:val="20"/>
        </w:rPr>
        <w:t>April</w:t>
      </w:r>
      <w:r w:rsidR="006105C2" w:rsidRPr="00356EC6">
        <w:rPr>
          <w:sz w:val="20"/>
          <w:szCs w:val="20"/>
        </w:rPr>
        <w:t xml:space="preserve"> 30</w:t>
      </w:r>
      <w:r w:rsidR="006105C2" w:rsidRPr="00356EC6">
        <w:rPr>
          <w:sz w:val="20"/>
          <w:szCs w:val="20"/>
          <w:vertAlign w:val="superscript"/>
        </w:rPr>
        <w:t>th</w:t>
      </w:r>
      <w:r w:rsidR="006105C2" w:rsidRPr="00356EC6">
        <w:rPr>
          <w:sz w:val="20"/>
          <w:szCs w:val="20"/>
        </w:rPr>
        <w:t>, 2026</w:t>
      </w:r>
      <w:r w:rsidR="008E7BB6" w:rsidRPr="00356EC6">
        <w:rPr>
          <w:sz w:val="20"/>
          <w:szCs w:val="20"/>
        </w:rPr>
        <w:t>.</w:t>
      </w:r>
    </w:p>
    <w:p w14:paraId="28A02F4F" w14:textId="0FEDF09C" w:rsidR="00AB1A65" w:rsidRPr="00356EC6" w:rsidRDefault="00AB1A65" w:rsidP="00356EC6">
      <w:pPr>
        <w:spacing w:before="121" w:line="360" w:lineRule="auto"/>
        <w:rPr>
          <w:sz w:val="20"/>
          <w:szCs w:val="20"/>
        </w:rPr>
      </w:pPr>
      <w:r w:rsidRPr="00356EC6">
        <w:rPr>
          <w:sz w:val="20"/>
          <w:szCs w:val="20"/>
        </w:rPr>
        <w:t xml:space="preserve">The Debentures will be offered pursuant to one or more prospectus exemptions set out under applicable securities laws and instruments, including National Instrument 45-106 – Prospectus Exemptions. </w:t>
      </w:r>
    </w:p>
    <w:p w14:paraId="53CE980A" w14:textId="02337683" w:rsidR="00AB1A65" w:rsidRPr="00356EC6" w:rsidRDefault="00AB1A65" w:rsidP="00356EC6">
      <w:pPr>
        <w:spacing w:before="121" w:line="360" w:lineRule="auto"/>
        <w:rPr>
          <w:sz w:val="20"/>
          <w:szCs w:val="20"/>
        </w:rPr>
      </w:pPr>
      <w:r w:rsidRPr="00356EC6">
        <w:rPr>
          <w:sz w:val="20"/>
          <w:szCs w:val="20"/>
        </w:rPr>
        <w:t>The Company is also pleased to announce that</w:t>
      </w:r>
      <w:r w:rsidR="00A33EA5" w:rsidRPr="00356EC6">
        <w:rPr>
          <w:sz w:val="20"/>
          <w:szCs w:val="20"/>
        </w:rPr>
        <w:t>, further to its News Releases March 20,</w:t>
      </w:r>
      <w:r w:rsidR="00491C80" w:rsidRPr="00356EC6">
        <w:rPr>
          <w:sz w:val="20"/>
          <w:szCs w:val="20"/>
        </w:rPr>
        <w:t xml:space="preserve"> </w:t>
      </w:r>
      <w:r w:rsidR="00A33EA5" w:rsidRPr="00356EC6">
        <w:rPr>
          <w:sz w:val="20"/>
          <w:szCs w:val="20"/>
        </w:rPr>
        <w:t>2026</w:t>
      </w:r>
      <w:r w:rsidR="00356EC6">
        <w:rPr>
          <w:sz w:val="20"/>
          <w:szCs w:val="20"/>
        </w:rPr>
        <w:t>,</w:t>
      </w:r>
      <w:r w:rsidR="00A33EA5" w:rsidRPr="00356EC6">
        <w:rPr>
          <w:sz w:val="20"/>
          <w:szCs w:val="20"/>
        </w:rPr>
        <w:t xml:space="preserve"> it has closed </w:t>
      </w:r>
      <w:r w:rsidR="00665600" w:rsidRPr="00356EC6">
        <w:rPr>
          <w:sz w:val="20"/>
          <w:szCs w:val="20"/>
        </w:rPr>
        <w:t xml:space="preserve">an agreement </w:t>
      </w:r>
      <w:r w:rsidRPr="00356EC6">
        <w:rPr>
          <w:sz w:val="20"/>
          <w:szCs w:val="20"/>
        </w:rPr>
        <w:t>to settle CAD$</w:t>
      </w:r>
      <w:r w:rsidR="00B069F6" w:rsidRPr="00356EC6">
        <w:rPr>
          <w:sz w:val="20"/>
          <w:szCs w:val="20"/>
        </w:rPr>
        <w:t xml:space="preserve">1,129,149.84 </w:t>
      </w:r>
      <w:r w:rsidRPr="00356EC6">
        <w:rPr>
          <w:sz w:val="20"/>
          <w:szCs w:val="20"/>
        </w:rPr>
        <w:t>of outstanding debt (the "</w:t>
      </w:r>
      <w:r w:rsidRPr="00356EC6">
        <w:rPr>
          <w:b/>
          <w:bCs/>
          <w:sz w:val="20"/>
          <w:szCs w:val="20"/>
        </w:rPr>
        <w:t>Debt</w:t>
      </w:r>
      <w:r w:rsidRPr="00356EC6">
        <w:rPr>
          <w:sz w:val="20"/>
          <w:szCs w:val="20"/>
        </w:rPr>
        <w:t>")</w:t>
      </w:r>
      <w:r w:rsidR="004F2503" w:rsidRPr="00356EC6">
        <w:rPr>
          <w:sz w:val="20"/>
          <w:szCs w:val="20"/>
        </w:rPr>
        <w:t>, effective April 24, 2026,</w:t>
      </w:r>
      <w:r w:rsidRPr="00356EC6">
        <w:rPr>
          <w:sz w:val="20"/>
          <w:szCs w:val="20"/>
        </w:rPr>
        <w:t xml:space="preserve"> </w:t>
      </w:r>
      <w:r w:rsidR="007552FC" w:rsidRPr="00356EC6">
        <w:rPr>
          <w:sz w:val="20"/>
          <w:szCs w:val="20"/>
        </w:rPr>
        <w:t>relating to fees payable to</w:t>
      </w:r>
      <w:r w:rsidRPr="00356EC6">
        <w:rPr>
          <w:sz w:val="20"/>
          <w:szCs w:val="20"/>
        </w:rPr>
        <w:t xml:space="preserve"> certain</w:t>
      </w:r>
      <w:r w:rsidR="001D6CA6" w:rsidRPr="00356EC6">
        <w:rPr>
          <w:sz w:val="20"/>
          <w:szCs w:val="20"/>
        </w:rPr>
        <w:t xml:space="preserve"> creditors, directors, officers and advisors </w:t>
      </w:r>
      <w:r w:rsidRPr="00356EC6">
        <w:rPr>
          <w:sz w:val="20"/>
          <w:szCs w:val="20"/>
        </w:rPr>
        <w:t>(</w:t>
      </w:r>
      <w:r w:rsidR="004F2503" w:rsidRPr="00356EC6">
        <w:rPr>
          <w:sz w:val="20"/>
          <w:szCs w:val="20"/>
        </w:rPr>
        <w:t xml:space="preserve">the </w:t>
      </w:r>
      <w:r w:rsidRPr="00356EC6">
        <w:rPr>
          <w:sz w:val="20"/>
          <w:szCs w:val="20"/>
        </w:rPr>
        <w:t>"</w:t>
      </w:r>
      <w:r w:rsidRPr="00356EC6">
        <w:rPr>
          <w:b/>
          <w:bCs/>
          <w:sz w:val="20"/>
          <w:szCs w:val="20"/>
        </w:rPr>
        <w:t>Debtor</w:t>
      </w:r>
      <w:r w:rsidR="004F2503" w:rsidRPr="00356EC6">
        <w:rPr>
          <w:b/>
          <w:bCs/>
          <w:sz w:val="20"/>
          <w:szCs w:val="20"/>
        </w:rPr>
        <w:t>s</w:t>
      </w:r>
      <w:r w:rsidRPr="00356EC6">
        <w:rPr>
          <w:sz w:val="20"/>
          <w:szCs w:val="20"/>
        </w:rPr>
        <w:t>") of the Company. The Company issue</w:t>
      </w:r>
      <w:r w:rsidR="004F2503" w:rsidRPr="00356EC6">
        <w:rPr>
          <w:sz w:val="20"/>
          <w:szCs w:val="20"/>
        </w:rPr>
        <w:t>d</w:t>
      </w:r>
      <w:r w:rsidRPr="00356EC6">
        <w:rPr>
          <w:sz w:val="20"/>
          <w:szCs w:val="20"/>
        </w:rPr>
        <w:t xml:space="preserve"> </w:t>
      </w:r>
      <w:r w:rsidR="00012DF1" w:rsidRPr="00356EC6">
        <w:rPr>
          <w:sz w:val="20"/>
          <w:szCs w:val="20"/>
        </w:rPr>
        <w:t>4,</w:t>
      </w:r>
      <w:r w:rsidR="004F2503" w:rsidRPr="00356EC6">
        <w:rPr>
          <w:sz w:val="20"/>
          <w:szCs w:val="20"/>
        </w:rPr>
        <w:t>704</w:t>
      </w:r>
      <w:r w:rsidR="00012DF1" w:rsidRPr="00356EC6">
        <w:rPr>
          <w:sz w:val="20"/>
          <w:szCs w:val="20"/>
        </w:rPr>
        <w:t>,</w:t>
      </w:r>
      <w:r w:rsidR="004F2503" w:rsidRPr="00356EC6">
        <w:rPr>
          <w:sz w:val="20"/>
          <w:szCs w:val="20"/>
        </w:rPr>
        <w:t xml:space="preserve">791 </w:t>
      </w:r>
      <w:r w:rsidRPr="00356EC6">
        <w:rPr>
          <w:sz w:val="20"/>
          <w:szCs w:val="20"/>
        </w:rPr>
        <w:t>common shares (the "</w:t>
      </w:r>
      <w:r w:rsidRPr="00356EC6">
        <w:rPr>
          <w:b/>
          <w:bCs/>
          <w:sz w:val="20"/>
          <w:szCs w:val="20"/>
        </w:rPr>
        <w:t>Settlement Shares</w:t>
      </w:r>
      <w:r w:rsidRPr="00356EC6">
        <w:rPr>
          <w:sz w:val="20"/>
          <w:szCs w:val="20"/>
        </w:rPr>
        <w:t>") to the Debtor</w:t>
      </w:r>
      <w:r w:rsidR="004F2503" w:rsidRPr="00356EC6">
        <w:rPr>
          <w:sz w:val="20"/>
          <w:szCs w:val="20"/>
        </w:rPr>
        <w:t>s</w:t>
      </w:r>
      <w:r w:rsidRPr="00356EC6">
        <w:rPr>
          <w:sz w:val="20"/>
          <w:szCs w:val="20"/>
        </w:rPr>
        <w:t xml:space="preserve"> at a deemed price per share of CAD$0</w:t>
      </w:r>
      <w:r w:rsidR="00EE7A20" w:rsidRPr="00356EC6">
        <w:rPr>
          <w:sz w:val="20"/>
          <w:szCs w:val="20"/>
        </w:rPr>
        <w:t>.24</w:t>
      </w:r>
      <w:r w:rsidRPr="00356EC6">
        <w:rPr>
          <w:sz w:val="20"/>
          <w:szCs w:val="20"/>
        </w:rPr>
        <w:t xml:space="preserve"> to settle the Debt.</w:t>
      </w:r>
    </w:p>
    <w:p w14:paraId="76D428CE" w14:textId="0F30E79B" w:rsidR="00AB1A65" w:rsidRPr="00356EC6" w:rsidRDefault="00AB1A65" w:rsidP="00356EC6">
      <w:pPr>
        <w:spacing w:before="121" w:line="360" w:lineRule="auto"/>
        <w:rPr>
          <w:sz w:val="20"/>
          <w:szCs w:val="20"/>
        </w:rPr>
      </w:pPr>
      <w:r w:rsidRPr="00356EC6">
        <w:rPr>
          <w:sz w:val="20"/>
          <w:szCs w:val="20"/>
        </w:rPr>
        <w:t xml:space="preserve">The issuance of the Settlement Shares are subject to the approval of </w:t>
      </w:r>
      <w:r w:rsidR="00893209" w:rsidRPr="00356EC6">
        <w:rPr>
          <w:sz w:val="20"/>
          <w:szCs w:val="20"/>
        </w:rPr>
        <w:t>the CSE</w:t>
      </w:r>
      <w:r w:rsidRPr="00356EC6">
        <w:rPr>
          <w:sz w:val="20"/>
          <w:szCs w:val="20"/>
        </w:rPr>
        <w:t xml:space="preserve">. The Settlement Shares will be subject to a statutory hold period of four months and one day from the date of issuance, in accordance with applicable securities laws and the policies of the </w:t>
      </w:r>
      <w:r w:rsidR="00F845F7" w:rsidRPr="00356EC6">
        <w:rPr>
          <w:sz w:val="20"/>
          <w:szCs w:val="20"/>
        </w:rPr>
        <w:t>CSE</w:t>
      </w:r>
      <w:r w:rsidRPr="00356EC6">
        <w:rPr>
          <w:sz w:val="20"/>
          <w:szCs w:val="20"/>
        </w:rPr>
        <w:t>.</w:t>
      </w:r>
    </w:p>
    <w:p w14:paraId="29F6ED3A" w14:textId="75019438" w:rsidR="00AB1A65" w:rsidRPr="00356EC6" w:rsidRDefault="00AB1A65" w:rsidP="00356EC6">
      <w:pPr>
        <w:spacing w:before="121" w:line="360" w:lineRule="auto"/>
        <w:rPr>
          <w:sz w:val="20"/>
          <w:szCs w:val="20"/>
          <w:lang w:val="en-CA"/>
        </w:rPr>
      </w:pPr>
      <w:r w:rsidRPr="00356EC6">
        <w:rPr>
          <w:sz w:val="20"/>
          <w:szCs w:val="20"/>
        </w:rPr>
        <w:lastRenderedPageBreak/>
        <w:t>The issuance of the Settlement Shares to the Debtor</w:t>
      </w:r>
      <w:r w:rsidR="004F2503" w:rsidRPr="00356EC6">
        <w:rPr>
          <w:sz w:val="20"/>
          <w:szCs w:val="20"/>
        </w:rPr>
        <w:t>s</w:t>
      </w:r>
      <w:r w:rsidRPr="00356EC6">
        <w:rPr>
          <w:sz w:val="20"/>
          <w:szCs w:val="20"/>
        </w:rPr>
        <w:t xml:space="preserve"> constitutes a "related party transaction" under Multilateral Instrument 61-101 Protection of Minority Security Holders in Special Transactions</w:t>
      </w:r>
      <w:r w:rsidR="004F2503" w:rsidRPr="00356EC6">
        <w:rPr>
          <w:sz w:val="20"/>
          <w:szCs w:val="20"/>
        </w:rPr>
        <w:t xml:space="preserve"> ("MI 61-101"), as some debtors are insiders of the Company</w:t>
      </w:r>
      <w:r w:rsidR="004F2503" w:rsidRPr="00356EC6">
        <w:rPr>
          <w:sz w:val="20"/>
          <w:szCs w:val="20"/>
          <w:lang w:val="en-CA"/>
        </w:rPr>
        <w:t>. The Company is exempt from the formal valuation requirement in Section 5.4 of MI 61-101 in reliance on Section 5.5(a) of MI 61-101 as the fair market value of the Offering, insofar as it involves the insiders, is not more than 25% of the Company's market capitalization. Additionally, the Company is exempt from the minority shareholder approval requirement in Section 5.6 of MI 61-101 in reliance on Section 5.7(a) as the fair market value of the Offering, insofar as it involves the insiders, is not more than 25% of the Company's market capitalization. The Company did not file a material change report more than 21 days before the closing of the Offering because the details of the insider participation were not finalized until closer to closing of the Offering and the Company wished to close the Offering as soon as practicable for sound business reasons.</w:t>
      </w:r>
    </w:p>
    <w:p w14:paraId="18640400" w14:textId="77777777" w:rsidR="006F17C8" w:rsidRPr="00356EC6" w:rsidRDefault="006F17C8" w:rsidP="00356EC6">
      <w:pPr>
        <w:spacing w:before="121" w:line="360" w:lineRule="auto"/>
        <w:rPr>
          <w:sz w:val="20"/>
          <w:szCs w:val="20"/>
          <w:highlight w:val="yellow"/>
        </w:rPr>
      </w:pPr>
    </w:p>
    <w:p w14:paraId="16D2FFFB" w14:textId="77777777" w:rsidR="00B0294D" w:rsidRPr="00356EC6" w:rsidRDefault="00665600" w:rsidP="00356EC6">
      <w:pPr>
        <w:pStyle w:val="Heading1"/>
      </w:pPr>
      <w:r w:rsidRPr="00356EC6">
        <w:t>ABOUT</w:t>
      </w:r>
      <w:r w:rsidRPr="00356EC6">
        <w:rPr>
          <w:spacing w:val="-3"/>
        </w:rPr>
        <w:t xml:space="preserve"> </w:t>
      </w:r>
      <w:r w:rsidRPr="00356EC6">
        <w:t>ASEP</w:t>
      </w:r>
      <w:r w:rsidRPr="00356EC6">
        <w:rPr>
          <w:spacing w:val="-5"/>
        </w:rPr>
        <w:t xml:space="preserve"> </w:t>
      </w:r>
      <w:r w:rsidRPr="00356EC6">
        <w:t>MEDICAL</w:t>
      </w:r>
      <w:r w:rsidRPr="00356EC6">
        <w:rPr>
          <w:spacing w:val="-3"/>
        </w:rPr>
        <w:t xml:space="preserve"> </w:t>
      </w:r>
      <w:r w:rsidRPr="00356EC6">
        <w:t>HOLDINGS</w:t>
      </w:r>
      <w:r w:rsidRPr="00356EC6">
        <w:rPr>
          <w:spacing w:val="-2"/>
        </w:rPr>
        <w:t xml:space="preserve"> </w:t>
      </w:r>
      <w:r w:rsidRPr="00356EC6">
        <w:rPr>
          <w:spacing w:val="-4"/>
        </w:rPr>
        <w:t>INC.</w:t>
      </w:r>
    </w:p>
    <w:p w14:paraId="16D2FFFC" w14:textId="77777777" w:rsidR="00B0294D" w:rsidRPr="00356EC6" w:rsidRDefault="00665600" w:rsidP="00356EC6">
      <w:pPr>
        <w:pStyle w:val="BodyText"/>
        <w:spacing w:before="121" w:line="360" w:lineRule="auto"/>
      </w:pPr>
      <w:r w:rsidRPr="00356EC6">
        <w:t>Asep Medical is a standout biotechnology research and development company based in Victoria, BC, Canada. The Company possesses a valuable portfolio of global patents for innovative diagnostic and therapeutic medical technologies.</w:t>
      </w:r>
      <w:r w:rsidRPr="00356EC6">
        <w:rPr>
          <w:spacing w:val="-4"/>
        </w:rPr>
        <w:t xml:space="preserve"> </w:t>
      </w:r>
      <w:r w:rsidRPr="00356EC6">
        <w:t>These</w:t>
      </w:r>
      <w:r w:rsidRPr="00356EC6">
        <w:rPr>
          <w:spacing w:val="-3"/>
        </w:rPr>
        <w:t xml:space="preserve"> </w:t>
      </w:r>
      <w:r w:rsidRPr="00356EC6">
        <w:t>technologies</w:t>
      </w:r>
      <w:r w:rsidRPr="00356EC6">
        <w:rPr>
          <w:spacing w:val="-2"/>
        </w:rPr>
        <w:t xml:space="preserve"> </w:t>
      </w:r>
      <w:r w:rsidRPr="00356EC6">
        <w:t>were</w:t>
      </w:r>
      <w:r w:rsidRPr="00356EC6">
        <w:rPr>
          <w:spacing w:val="-3"/>
        </w:rPr>
        <w:t xml:space="preserve"> </w:t>
      </w:r>
      <w:r w:rsidRPr="00356EC6">
        <w:t>developed</w:t>
      </w:r>
      <w:r w:rsidRPr="00356EC6">
        <w:rPr>
          <w:spacing w:val="-4"/>
        </w:rPr>
        <w:t xml:space="preserve"> </w:t>
      </w:r>
      <w:r w:rsidRPr="00356EC6">
        <w:t>over</w:t>
      </w:r>
      <w:r w:rsidRPr="00356EC6">
        <w:rPr>
          <w:spacing w:val="-3"/>
        </w:rPr>
        <w:t xml:space="preserve"> </w:t>
      </w:r>
      <w:r w:rsidRPr="00356EC6">
        <w:t>the</w:t>
      </w:r>
      <w:r w:rsidRPr="00356EC6">
        <w:rPr>
          <w:spacing w:val="-3"/>
        </w:rPr>
        <w:t xml:space="preserve"> </w:t>
      </w:r>
      <w:r w:rsidRPr="00356EC6">
        <w:t>past</w:t>
      </w:r>
      <w:r w:rsidRPr="00356EC6">
        <w:rPr>
          <w:spacing w:val="-5"/>
        </w:rPr>
        <w:t xml:space="preserve"> </w:t>
      </w:r>
      <w:r w:rsidRPr="00356EC6">
        <w:t>decade</w:t>
      </w:r>
      <w:r w:rsidRPr="00356EC6">
        <w:rPr>
          <w:spacing w:val="-3"/>
        </w:rPr>
        <w:t xml:space="preserve"> </w:t>
      </w:r>
      <w:r w:rsidRPr="00356EC6">
        <w:t>at</w:t>
      </w:r>
      <w:r w:rsidRPr="00356EC6">
        <w:rPr>
          <w:spacing w:val="-6"/>
        </w:rPr>
        <w:t xml:space="preserve"> </w:t>
      </w:r>
      <w:r w:rsidRPr="00356EC6">
        <w:t>the</w:t>
      </w:r>
      <w:r w:rsidRPr="00356EC6">
        <w:rPr>
          <w:spacing w:val="-3"/>
        </w:rPr>
        <w:t xml:space="preserve"> </w:t>
      </w:r>
      <w:r w:rsidRPr="00356EC6">
        <w:t>University of</w:t>
      </w:r>
      <w:r w:rsidRPr="00356EC6">
        <w:rPr>
          <w:spacing w:val="-5"/>
        </w:rPr>
        <w:t xml:space="preserve"> </w:t>
      </w:r>
      <w:r w:rsidRPr="00356EC6">
        <w:t>British</w:t>
      </w:r>
      <w:r w:rsidRPr="00356EC6">
        <w:rPr>
          <w:spacing w:val="-4"/>
        </w:rPr>
        <w:t xml:space="preserve"> </w:t>
      </w:r>
      <w:r w:rsidRPr="00356EC6">
        <w:t>Columbia</w:t>
      </w:r>
      <w:r w:rsidRPr="00356EC6">
        <w:rPr>
          <w:spacing w:val="-4"/>
        </w:rPr>
        <w:t xml:space="preserve"> </w:t>
      </w:r>
      <w:r w:rsidRPr="00356EC6">
        <w:t xml:space="preserve">under the guidance of Dr. Robert E. W. Hancock, one of the world’s foremost microbiologists. Asep holds a controlling interest in two private subsidiary companies — Sepset Biosciences (Asep’s leading product, a sepsis diagnostic technology) and ABT Innovations (specializing in anti-biofilm technology). As the Company’s patented innovations address unmet medical needs, it presents a unique investment opportunity for both retail and institutional </w:t>
      </w:r>
      <w:r w:rsidRPr="00356EC6">
        <w:rPr>
          <w:spacing w:val="-2"/>
        </w:rPr>
        <w:t>investors.</w:t>
      </w:r>
    </w:p>
    <w:p w14:paraId="16D2FFFD" w14:textId="77777777" w:rsidR="00B0294D" w:rsidRPr="00356EC6" w:rsidRDefault="00B0294D" w:rsidP="00356EC6">
      <w:pPr>
        <w:pStyle w:val="BodyText"/>
        <w:spacing w:before="122"/>
      </w:pPr>
    </w:p>
    <w:p w14:paraId="16D2FFFE" w14:textId="77777777" w:rsidR="00B0294D" w:rsidRPr="00356EC6" w:rsidRDefault="00665600" w:rsidP="00356EC6">
      <w:pPr>
        <w:rPr>
          <w:i/>
          <w:sz w:val="20"/>
          <w:szCs w:val="20"/>
        </w:rPr>
      </w:pPr>
      <w:r w:rsidRPr="00356EC6">
        <w:rPr>
          <w:i/>
          <w:sz w:val="20"/>
          <w:szCs w:val="20"/>
        </w:rPr>
        <w:t>The</w:t>
      </w:r>
      <w:r w:rsidRPr="00356EC6">
        <w:rPr>
          <w:i/>
          <w:spacing w:val="-3"/>
          <w:sz w:val="20"/>
          <w:szCs w:val="20"/>
        </w:rPr>
        <w:t xml:space="preserve"> </w:t>
      </w:r>
      <w:r w:rsidRPr="00356EC6">
        <w:rPr>
          <w:i/>
          <w:sz w:val="20"/>
          <w:szCs w:val="20"/>
        </w:rPr>
        <w:t>CSE</w:t>
      </w:r>
      <w:r w:rsidRPr="00356EC6">
        <w:rPr>
          <w:i/>
          <w:spacing w:val="-5"/>
          <w:sz w:val="20"/>
          <w:szCs w:val="20"/>
        </w:rPr>
        <w:t xml:space="preserve"> </w:t>
      </w:r>
      <w:r w:rsidRPr="00356EC6">
        <w:rPr>
          <w:i/>
          <w:sz w:val="20"/>
          <w:szCs w:val="20"/>
        </w:rPr>
        <w:t>has</w:t>
      </w:r>
      <w:r w:rsidRPr="00356EC6">
        <w:rPr>
          <w:i/>
          <w:spacing w:val="-1"/>
          <w:sz w:val="20"/>
          <w:szCs w:val="20"/>
        </w:rPr>
        <w:t xml:space="preserve"> </w:t>
      </w:r>
      <w:r w:rsidRPr="00356EC6">
        <w:rPr>
          <w:i/>
          <w:sz w:val="20"/>
          <w:szCs w:val="20"/>
        </w:rPr>
        <w:t>not</w:t>
      </w:r>
      <w:r w:rsidRPr="00356EC6">
        <w:rPr>
          <w:i/>
          <w:spacing w:val="-4"/>
          <w:sz w:val="20"/>
          <w:szCs w:val="20"/>
        </w:rPr>
        <w:t xml:space="preserve"> </w:t>
      </w:r>
      <w:r w:rsidRPr="00356EC6">
        <w:rPr>
          <w:i/>
          <w:sz w:val="20"/>
          <w:szCs w:val="20"/>
        </w:rPr>
        <w:t>reviewed</w:t>
      </w:r>
      <w:r w:rsidRPr="00356EC6">
        <w:rPr>
          <w:i/>
          <w:spacing w:val="-1"/>
          <w:sz w:val="20"/>
          <w:szCs w:val="20"/>
        </w:rPr>
        <w:t xml:space="preserve"> </w:t>
      </w:r>
      <w:r w:rsidRPr="00356EC6">
        <w:rPr>
          <w:i/>
          <w:sz w:val="20"/>
          <w:szCs w:val="20"/>
        </w:rPr>
        <w:t>and</w:t>
      </w:r>
      <w:r w:rsidRPr="00356EC6">
        <w:rPr>
          <w:i/>
          <w:spacing w:val="-1"/>
          <w:sz w:val="20"/>
          <w:szCs w:val="20"/>
        </w:rPr>
        <w:t xml:space="preserve"> </w:t>
      </w:r>
      <w:r w:rsidRPr="00356EC6">
        <w:rPr>
          <w:i/>
          <w:sz w:val="20"/>
          <w:szCs w:val="20"/>
        </w:rPr>
        <w:t>does</w:t>
      </w:r>
      <w:r w:rsidRPr="00356EC6">
        <w:rPr>
          <w:i/>
          <w:spacing w:val="-6"/>
          <w:sz w:val="20"/>
          <w:szCs w:val="20"/>
        </w:rPr>
        <w:t xml:space="preserve"> </w:t>
      </w:r>
      <w:r w:rsidRPr="00356EC6">
        <w:rPr>
          <w:i/>
          <w:sz w:val="20"/>
          <w:szCs w:val="20"/>
        </w:rPr>
        <w:t>not</w:t>
      </w:r>
      <w:r w:rsidRPr="00356EC6">
        <w:rPr>
          <w:i/>
          <w:spacing w:val="-4"/>
          <w:sz w:val="20"/>
          <w:szCs w:val="20"/>
        </w:rPr>
        <w:t xml:space="preserve"> </w:t>
      </w:r>
      <w:r w:rsidRPr="00356EC6">
        <w:rPr>
          <w:i/>
          <w:sz w:val="20"/>
          <w:szCs w:val="20"/>
        </w:rPr>
        <w:t>accept</w:t>
      </w:r>
      <w:r w:rsidRPr="00356EC6">
        <w:rPr>
          <w:i/>
          <w:spacing w:val="-4"/>
          <w:sz w:val="20"/>
          <w:szCs w:val="20"/>
        </w:rPr>
        <w:t xml:space="preserve"> </w:t>
      </w:r>
      <w:r w:rsidRPr="00356EC6">
        <w:rPr>
          <w:i/>
          <w:sz w:val="20"/>
          <w:szCs w:val="20"/>
        </w:rPr>
        <w:t>responsibility</w:t>
      </w:r>
      <w:r w:rsidRPr="00356EC6">
        <w:rPr>
          <w:i/>
          <w:spacing w:val="-3"/>
          <w:sz w:val="20"/>
          <w:szCs w:val="20"/>
        </w:rPr>
        <w:t xml:space="preserve"> </w:t>
      </w:r>
      <w:r w:rsidRPr="00356EC6">
        <w:rPr>
          <w:i/>
          <w:sz w:val="20"/>
          <w:szCs w:val="20"/>
        </w:rPr>
        <w:t>for</w:t>
      </w:r>
      <w:r w:rsidRPr="00356EC6">
        <w:rPr>
          <w:i/>
          <w:spacing w:val="-1"/>
          <w:sz w:val="20"/>
          <w:szCs w:val="20"/>
        </w:rPr>
        <w:t xml:space="preserve"> </w:t>
      </w:r>
      <w:r w:rsidRPr="00356EC6">
        <w:rPr>
          <w:i/>
          <w:sz w:val="20"/>
          <w:szCs w:val="20"/>
        </w:rPr>
        <w:t>the</w:t>
      </w:r>
      <w:r w:rsidRPr="00356EC6">
        <w:rPr>
          <w:i/>
          <w:spacing w:val="-3"/>
          <w:sz w:val="20"/>
          <w:szCs w:val="20"/>
        </w:rPr>
        <w:t xml:space="preserve"> </w:t>
      </w:r>
      <w:r w:rsidRPr="00356EC6">
        <w:rPr>
          <w:i/>
          <w:sz w:val="20"/>
          <w:szCs w:val="20"/>
        </w:rPr>
        <w:t>accuracy</w:t>
      </w:r>
      <w:r w:rsidRPr="00356EC6">
        <w:rPr>
          <w:i/>
          <w:spacing w:val="-3"/>
          <w:sz w:val="20"/>
          <w:szCs w:val="20"/>
        </w:rPr>
        <w:t xml:space="preserve"> </w:t>
      </w:r>
      <w:r w:rsidRPr="00356EC6">
        <w:rPr>
          <w:i/>
          <w:sz w:val="20"/>
          <w:szCs w:val="20"/>
        </w:rPr>
        <w:t>or</w:t>
      </w:r>
      <w:r w:rsidRPr="00356EC6">
        <w:rPr>
          <w:i/>
          <w:spacing w:val="-1"/>
          <w:sz w:val="20"/>
          <w:szCs w:val="20"/>
        </w:rPr>
        <w:t xml:space="preserve"> </w:t>
      </w:r>
      <w:r w:rsidRPr="00356EC6">
        <w:rPr>
          <w:i/>
          <w:sz w:val="20"/>
          <w:szCs w:val="20"/>
        </w:rPr>
        <w:t>adequacy</w:t>
      </w:r>
      <w:r w:rsidRPr="00356EC6">
        <w:rPr>
          <w:i/>
          <w:spacing w:val="-7"/>
          <w:sz w:val="20"/>
          <w:szCs w:val="20"/>
        </w:rPr>
        <w:t xml:space="preserve"> </w:t>
      </w:r>
      <w:r w:rsidRPr="00356EC6">
        <w:rPr>
          <w:i/>
          <w:sz w:val="20"/>
          <w:szCs w:val="20"/>
        </w:rPr>
        <w:t>of</w:t>
      </w:r>
      <w:r w:rsidRPr="00356EC6">
        <w:rPr>
          <w:i/>
          <w:spacing w:val="-3"/>
          <w:sz w:val="20"/>
          <w:szCs w:val="20"/>
        </w:rPr>
        <w:t xml:space="preserve"> </w:t>
      </w:r>
      <w:r w:rsidRPr="00356EC6">
        <w:rPr>
          <w:i/>
          <w:sz w:val="20"/>
          <w:szCs w:val="20"/>
        </w:rPr>
        <w:t>this</w:t>
      </w:r>
      <w:r w:rsidRPr="00356EC6">
        <w:rPr>
          <w:i/>
          <w:spacing w:val="-1"/>
          <w:sz w:val="20"/>
          <w:szCs w:val="20"/>
        </w:rPr>
        <w:t xml:space="preserve"> </w:t>
      </w:r>
      <w:r w:rsidRPr="00356EC6">
        <w:rPr>
          <w:i/>
          <w:spacing w:val="-2"/>
          <w:sz w:val="20"/>
          <w:szCs w:val="20"/>
        </w:rPr>
        <w:t>release.</w:t>
      </w:r>
    </w:p>
    <w:p w14:paraId="16D30000" w14:textId="77777777" w:rsidR="00B0294D" w:rsidRPr="00356EC6" w:rsidRDefault="00B0294D" w:rsidP="00356EC6">
      <w:pPr>
        <w:pStyle w:val="BodyText"/>
        <w:rPr>
          <w:i/>
        </w:rPr>
      </w:pPr>
    </w:p>
    <w:p w14:paraId="41572B21" w14:textId="77777777" w:rsidR="00356EC6" w:rsidRDefault="00356EC6" w:rsidP="00356EC6">
      <w:pPr>
        <w:pStyle w:val="Heading1"/>
      </w:pPr>
    </w:p>
    <w:p w14:paraId="16D30002" w14:textId="447B1811" w:rsidR="00B0294D" w:rsidRPr="00356EC6" w:rsidRDefault="00665600" w:rsidP="00356EC6">
      <w:pPr>
        <w:pStyle w:val="Heading1"/>
      </w:pPr>
      <w:r w:rsidRPr="00356EC6">
        <w:t>FOR</w:t>
      </w:r>
      <w:r w:rsidRPr="00356EC6">
        <w:rPr>
          <w:spacing w:val="-2"/>
        </w:rPr>
        <w:t xml:space="preserve"> </w:t>
      </w:r>
      <w:r w:rsidRPr="00356EC6">
        <w:t>MORE INFORMATION,</w:t>
      </w:r>
      <w:r w:rsidRPr="00356EC6">
        <w:rPr>
          <w:spacing w:val="-5"/>
        </w:rPr>
        <w:t xml:space="preserve"> </w:t>
      </w:r>
      <w:r w:rsidRPr="00356EC6">
        <w:t>PLEASE CONTACT</w:t>
      </w:r>
      <w:r w:rsidRPr="00356EC6">
        <w:rPr>
          <w:spacing w:val="1"/>
        </w:rPr>
        <w:t xml:space="preserve"> </w:t>
      </w:r>
    </w:p>
    <w:p w14:paraId="16D30003" w14:textId="77777777" w:rsidR="00B0294D" w:rsidRPr="00356EC6" w:rsidRDefault="00665600" w:rsidP="00356EC6">
      <w:pPr>
        <w:pStyle w:val="BodyText"/>
        <w:spacing w:before="121" w:line="364" w:lineRule="auto"/>
        <w:ind w:right="6448"/>
      </w:pPr>
      <w:r w:rsidRPr="00356EC6">
        <w:t>Chris</w:t>
      </w:r>
      <w:r w:rsidRPr="00356EC6">
        <w:rPr>
          <w:spacing w:val="-12"/>
        </w:rPr>
        <w:t xml:space="preserve"> </w:t>
      </w:r>
      <w:r w:rsidRPr="00356EC6">
        <w:t>Dallin,</w:t>
      </w:r>
      <w:r w:rsidRPr="00356EC6">
        <w:rPr>
          <w:spacing w:val="-11"/>
        </w:rPr>
        <w:t xml:space="preserve"> </w:t>
      </w:r>
      <w:r w:rsidRPr="00356EC6">
        <w:t>Marketing</w:t>
      </w:r>
      <w:r w:rsidRPr="00356EC6">
        <w:rPr>
          <w:spacing w:val="-11"/>
        </w:rPr>
        <w:t xml:space="preserve"> </w:t>
      </w:r>
      <w:r w:rsidRPr="00356EC6">
        <w:t>Director ASEP Medical Holdings Inc.</w:t>
      </w:r>
    </w:p>
    <w:p w14:paraId="16D30004" w14:textId="77777777" w:rsidR="00B0294D" w:rsidRPr="00356EC6" w:rsidRDefault="00665600" w:rsidP="00356EC6">
      <w:pPr>
        <w:pStyle w:val="BodyText"/>
        <w:spacing w:line="238" w:lineRule="exact"/>
      </w:pPr>
      <w:r w:rsidRPr="00356EC6">
        <w:t>E.</w:t>
      </w:r>
      <w:r w:rsidRPr="00356EC6">
        <w:rPr>
          <w:spacing w:val="1"/>
        </w:rPr>
        <w:t xml:space="preserve"> </w:t>
      </w:r>
      <w:hyperlink r:id="rId7">
        <w:r w:rsidR="00B0294D" w:rsidRPr="00356EC6">
          <w:rPr>
            <w:color w:val="0462C1"/>
            <w:spacing w:val="-2"/>
            <w:u w:val="single" w:color="0462C1"/>
          </w:rPr>
          <w:t>chris@asepmedical.com</w:t>
        </w:r>
      </w:hyperlink>
    </w:p>
    <w:p w14:paraId="16D30005" w14:textId="77777777" w:rsidR="00B0294D" w:rsidRPr="00356EC6" w:rsidRDefault="00665600" w:rsidP="00356EC6">
      <w:pPr>
        <w:pStyle w:val="BodyText"/>
        <w:spacing w:before="120"/>
      </w:pPr>
      <w:r w:rsidRPr="00356EC6">
        <w:t>T.</w:t>
      </w:r>
      <w:r w:rsidRPr="00356EC6">
        <w:rPr>
          <w:spacing w:val="-6"/>
        </w:rPr>
        <w:t xml:space="preserve"> </w:t>
      </w:r>
      <w:r w:rsidRPr="00356EC6">
        <w:t>+1</w:t>
      </w:r>
      <w:r w:rsidRPr="00356EC6">
        <w:rPr>
          <w:spacing w:val="-4"/>
        </w:rPr>
        <w:t xml:space="preserve"> </w:t>
      </w:r>
      <w:r w:rsidRPr="00356EC6">
        <w:t>(604)</w:t>
      </w:r>
      <w:r w:rsidRPr="00356EC6">
        <w:rPr>
          <w:spacing w:val="-3"/>
        </w:rPr>
        <w:t xml:space="preserve"> </w:t>
      </w:r>
      <w:r w:rsidRPr="00356EC6">
        <w:t>362-</w:t>
      </w:r>
      <w:r w:rsidRPr="00356EC6">
        <w:rPr>
          <w:spacing w:val="-4"/>
        </w:rPr>
        <w:t>3654</w:t>
      </w:r>
    </w:p>
    <w:p w14:paraId="16D30006" w14:textId="77777777" w:rsidR="00B0294D" w:rsidRPr="00356EC6" w:rsidRDefault="00B0294D" w:rsidP="00356EC6">
      <w:pPr>
        <w:pStyle w:val="BodyText"/>
      </w:pPr>
    </w:p>
    <w:p w14:paraId="16D30007" w14:textId="77777777" w:rsidR="00B0294D" w:rsidRPr="00356EC6" w:rsidRDefault="00B0294D" w:rsidP="00356EC6">
      <w:pPr>
        <w:pStyle w:val="BodyText"/>
        <w:spacing w:before="73"/>
      </w:pPr>
    </w:p>
    <w:p w14:paraId="16D30008" w14:textId="77777777" w:rsidR="00B0294D" w:rsidRPr="00356EC6" w:rsidRDefault="00665600" w:rsidP="00356EC6">
      <w:pPr>
        <w:pStyle w:val="Heading1"/>
      </w:pPr>
      <w:r w:rsidRPr="00356EC6">
        <w:t>FORWARD-LOOKING</w:t>
      </w:r>
      <w:r w:rsidRPr="00356EC6">
        <w:rPr>
          <w:spacing w:val="-4"/>
        </w:rPr>
        <w:t xml:space="preserve"> </w:t>
      </w:r>
      <w:r w:rsidRPr="00356EC6">
        <w:rPr>
          <w:spacing w:val="-2"/>
        </w:rPr>
        <w:t>STATEMENTS</w:t>
      </w:r>
    </w:p>
    <w:p w14:paraId="16D3000A" w14:textId="5DA4CF19" w:rsidR="00B0294D" w:rsidRPr="00356EC6" w:rsidRDefault="00665600" w:rsidP="00356EC6">
      <w:pPr>
        <w:pStyle w:val="BodyText"/>
        <w:spacing w:before="121" w:line="360" w:lineRule="auto"/>
      </w:pPr>
      <w:r w:rsidRPr="00356EC6">
        <w:t>This news release contains certain “forward-looking statements” within the meaning of such statements under applicable</w:t>
      </w:r>
      <w:r w:rsidRPr="00356EC6">
        <w:rPr>
          <w:spacing w:val="-4"/>
        </w:rPr>
        <w:t xml:space="preserve"> </w:t>
      </w:r>
      <w:r w:rsidRPr="00356EC6">
        <w:t>securities</w:t>
      </w:r>
      <w:r w:rsidRPr="00356EC6">
        <w:rPr>
          <w:spacing w:val="-3"/>
        </w:rPr>
        <w:t xml:space="preserve"> </w:t>
      </w:r>
      <w:r w:rsidRPr="00356EC6">
        <w:t>law.</w:t>
      </w:r>
      <w:r w:rsidRPr="00356EC6">
        <w:rPr>
          <w:spacing w:val="-5"/>
        </w:rPr>
        <w:t xml:space="preserve"> </w:t>
      </w:r>
      <w:r w:rsidRPr="00356EC6">
        <w:t>Forward-looking</w:t>
      </w:r>
      <w:r w:rsidRPr="00356EC6">
        <w:rPr>
          <w:spacing w:val="-4"/>
        </w:rPr>
        <w:t xml:space="preserve"> </w:t>
      </w:r>
      <w:r w:rsidRPr="00356EC6">
        <w:t>statements</w:t>
      </w:r>
      <w:r w:rsidRPr="00356EC6">
        <w:rPr>
          <w:spacing w:val="-3"/>
        </w:rPr>
        <w:t xml:space="preserve"> </w:t>
      </w:r>
      <w:r w:rsidRPr="00356EC6">
        <w:t>are</w:t>
      </w:r>
      <w:r w:rsidRPr="00356EC6">
        <w:rPr>
          <w:spacing w:val="-4"/>
        </w:rPr>
        <w:t xml:space="preserve"> </w:t>
      </w:r>
      <w:r w:rsidRPr="00356EC6">
        <w:t>frequently</w:t>
      </w:r>
      <w:r w:rsidRPr="00356EC6">
        <w:rPr>
          <w:spacing w:val="-5"/>
        </w:rPr>
        <w:t xml:space="preserve"> </w:t>
      </w:r>
      <w:r w:rsidRPr="00356EC6">
        <w:t>characterized</w:t>
      </w:r>
      <w:r w:rsidRPr="00356EC6">
        <w:rPr>
          <w:spacing w:val="-5"/>
        </w:rPr>
        <w:t xml:space="preserve"> </w:t>
      </w:r>
      <w:r w:rsidRPr="00356EC6">
        <w:t>by</w:t>
      </w:r>
      <w:r w:rsidRPr="00356EC6">
        <w:rPr>
          <w:spacing w:val="-5"/>
        </w:rPr>
        <w:t xml:space="preserve"> </w:t>
      </w:r>
      <w:r w:rsidRPr="00356EC6">
        <w:t>words</w:t>
      </w:r>
      <w:r w:rsidRPr="00356EC6">
        <w:rPr>
          <w:spacing w:val="-3"/>
        </w:rPr>
        <w:t xml:space="preserve"> </w:t>
      </w:r>
      <w:r w:rsidRPr="00356EC6">
        <w:t>such</w:t>
      </w:r>
      <w:r w:rsidRPr="00356EC6">
        <w:rPr>
          <w:spacing w:val="-5"/>
        </w:rPr>
        <w:t xml:space="preserve"> </w:t>
      </w:r>
      <w:r w:rsidRPr="00356EC6">
        <w:t>as</w:t>
      </w:r>
      <w:r w:rsidRPr="00356EC6">
        <w:rPr>
          <w:spacing w:val="-3"/>
        </w:rPr>
        <w:t xml:space="preserve"> </w:t>
      </w:r>
      <w:r w:rsidRPr="00356EC6">
        <w:t xml:space="preserve">“anticipates,” </w:t>
      </w:r>
      <w:r w:rsidRPr="00356EC6">
        <w:lastRenderedPageBreak/>
        <w:t>“plans,” “continues,” “expects,” “projects,” “intends,” “believes,” “estimates,” “may,” “will,” “potential,” “proposed,” “positioned” and</w:t>
      </w:r>
      <w:r w:rsidRPr="00356EC6">
        <w:rPr>
          <w:spacing w:val="-1"/>
        </w:rPr>
        <w:t xml:space="preserve"> </w:t>
      </w:r>
      <w:r w:rsidRPr="00356EC6">
        <w:t>other similar words, or statements that</w:t>
      </w:r>
      <w:r w:rsidRPr="00356EC6">
        <w:rPr>
          <w:spacing w:val="-2"/>
        </w:rPr>
        <w:t xml:space="preserve"> </w:t>
      </w:r>
      <w:r w:rsidRPr="00356EC6">
        <w:t>certain</w:t>
      </w:r>
      <w:r w:rsidRPr="00356EC6">
        <w:rPr>
          <w:spacing w:val="-1"/>
        </w:rPr>
        <w:t xml:space="preserve"> </w:t>
      </w:r>
      <w:r w:rsidRPr="00356EC6">
        <w:t xml:space="preserve">events or conditions “may” or “will” occur. These statements include, but are not limited to, </w:t>
      </w:r>
      <w:r w:rsidR="009221D7" w:rsidRPr="00356EC6">
        <w:t>statements with respect to the details of the Offering, including the proposed size, timing and the expected use of proceeds and the receipt of regulatory approval for the Offering</w:t>
      </w:r>
      <w:r w:rsidRPr="00356EC6">
        <w:t xml:space="preserve">. Various assumptions were used in drawing conclusions or making the predictions contained in the forward-looking statements throughout this news release. Forward-looking statements are based on the opinions and estimates of management </w:t>
      </w:r>
      <w:r w:rsidR="00DD06A9" w:rsidRPr="00356EC6">
        <w:t>on</w:t>
      </w:r>
      <w:r w:rsidRPr="00356EC6">
        <w:t xml:space="preserve"> the date the statements are made and are subject to a variety of risks, including </w:t>
      </w:r>
      <w:r w:rsidR="002A1BA5" w:rsidRPr="00356EC6">
        <w:t xml:space="preserve">the Company may not complete the Offering, the Offering may not be approved by the CSE, risks associated with the business of the Company, </w:t>
      </w:r>
      <w:r w:rsidRPr="00356EC6">
        <w:t>the risk that the Company’s products may not perform as expected,</w:t>
      </w:r>
      <w:r w:rsidRPr="00356EC6">
        <w:rPr>
          <w:spacing w:val="-3"/>
        </w:rPr>
        <w:t xml:space="preserve"> </w:t>
      </w:r>
      <w:r w:rsidRPr="00356EC6">
        <w:t>may</w:t>
      </w:r>
      <w:r w:rsidRPr="00356EC6">
        <w:rPr>
          <w:spacing w:val="-4"/>
        </w:rPr>
        <w:t xml:space="preserve"> </w:t>
      </w:r>
      <w:r w:rsidRPr="00356EC6">
        <w:t>not</w:t>
      </w:r>
      <w:r w:rsidRPr="00356EC6">
        <w:rPr>
          <w:spacing w:val="-5"/>
        </w:rPr>
        <w:t xml:space="preserve"> </w:t>
      </w:r>
      <w:r w:rsidRPr="00356EC6">
        <w:t>receive</w:t>
      </w:r>
      <w:r w:rsidRPr="00356EC6">
        <w:rPr>
          <w:spacing w:val="-3"/>
        </w:rPr>
        <w:t xml:space="preserve"> </w:t>
      </w:r>
      <w:r w:rsidRPr="00356EC6">
        <w:t>regulatory</w:t>
      </w:r>
      <w:r w:rsidRPr="00356EC6">
        <w:rPr>
          <w:spacing w:val="-4"/>
        </w:rPr>
        <w:t xml:space="preserve"> </w:t>
      </w:r>
      <w:r w:rsidRPr="00356EC6">
        <w:t>approvals,</w:t>
      </w:r>
      <w:r w:rsidRPr="00356EC6">
        <w:rPr>
          <w:spacing w:val="-3"/>
        </w:rPr>
        <w:t xml:space="preserve"> </w:t>
      </w:r>
      <w:r w:rsidRPr="00356EC6">
        <w:t>or</w:t>
      </w:r>
      <w:r w:rsidRPr="00356EC6">
        <w:rPr>
          <w:spacing w:val="-3"/>
        </w:rPr>
        <w:t xml:space="preserve"> </w:t>
      </w:r>
      <w:r w:rsidRPr="00356EC6">
        <w:t>may</w:t>
      </w:r>
      <w:r w:rsidRPr="00356EC6">
        <w:rPr>
          <w:spacing w:val="-4"/>
        </w:rPr>
        <w:t xml:space="preserve"> </w:t>
      </w:r>
      <w:r w:rsidRPr="00356EC6">
        <w:t>not</w:t>
      </w:r>
      <w:r w:rsidRPr="00356EC6">
        <w:rPr>
          <w:spacing w:val="-5"/>
        </w:rPr>
        <w:t xml:space="preserve"> </w:t>
      </w:r>
      <w:r w:rsidRPr="00356EC6">
        <w:t>generate</w:t>
      </w:r>
      <w:r w:rsidRPr="00356EC6">
        <w:rPr>
          <w:spacing w:val="-3"/>
        </w:rPr>
        <w:t xml:space="preserve"> </w:t>
      </w:r>
      <w:r w:rsidRPr="00356EC6">
        <w:t>revenue</w:t>
      </w:r>
      <w:r w:rsidRPr="00356EC6">
        <w:rPr>
          <w:spacing w:val="-3"/>
        </w:rPr>
        <w:t xml:space="preserve"> </w:t>
      </w:r>
      <w:r w:rsidRPr="00356EC6">
        <w:t>as</w:t>
      </w:r>
      <w:r w:rsidRPr="00356EC6">
        <w:rPr>
          <w:spacing w:val="-2"/>
        </w:rPr>
        <w:t xml:space="preserve"> </w:t>
      </w:r>
      <w:r w:rsidRPr="00356EC6">
        <w:t>anticipated. Additional</w:t>
      </w:r>
      <w:r w:rsidRPr="00356EC6">
        <w:rPr>
          <w:spacing w:val="-4"/>
        </w:rPr>
        <w:t xml:space="preserve"> </w:t>
      </w:r>
      <w:r w:rsidRPr="00356EC6">
        <w:t>risk</w:t>
      </w:r>
      <w:r w:rsidRPr="00356EC6">
        <w:rPr>
          <w:spacing w:val="-4"/>
        </w:rPr>
        <w:t xml:space="preserve"> </w:t>
      </w:r>
      <w:r w:rsidRPr="00356EC6">
        <w:t>actors are identified in the Asep Medical Holdings Inc. prospectus dated November 9, 2021, and in the Company’s management</w:t>
      </w:r>
      <w:r w:rsidRPr="00356EC6">
        <w:rPr>
          <w:spacing w:val="-2"/>
        </w:rPr>
        <w:t xml:space="preserve"> </w:t>
      </w:r>
      <w:r w:rsidRPr="00356EC6">
        <w:t>discussion</w:t>
      </w:r>
      <w:r w:rsidRPr="00356EC6">
        <w:rPr>
          <w:spacing w:val="-1"/>
        </w:rPr>
        <w:t xml:space="preserve"> </w:t>
      </w:r>
      <w:r w:rsidRPr="00356EC6">
        <w:t>and</w:t>
      </w:r>
      <w:r w:rsidRPr="00356EC6">
        <w:rPr>
          <w:spacing w:val="-1"/>
        </w:rPr>
        <w:t xml:space="preserve"> </w:t>
      </w:r>
      <w:r w:rsidRPr="00356EC6">
        <w:t>analysis, available for review under the Company’s profile at</w:t>
      </w:r>
      <w:r w:rsidRPr="00356EC6">
        <w:rPr>
          <w:spacing w:val="-2"/>
        </w:rPr>
        <w:t xml:space="preserve"> </w:t>
      </w:r>
      <w:hyperlink r:id="rId8">
        <w:r w:rsidR="00B0294D" w:rsidRPr="00356EC6">
          <w:t>www.sedarplus.ca.</w:t>
        </w:r>
      </w:hyperlink>
      <w:r w:rsidRPr="00356EC6">
        <w:rPr>
          <w:spacing w:val="-1"/>
        </w:rPr>
        <w:t xml:space="preserve"> </w:t>
      </w:r>
      <w:r w:rsidRPr="00356EC6">
        <w:t>Asep Medical Holdings Inc. undertakes no obligation to update or revise any forward-looking statements, except as required by applicable law.</w:t>
      </w:r>
    </w:p>
    <w:p w14:paraId="20D50269" w14:textId="7FDBBACF" w:rsidR="00D14E7B" w:rsidRPr="00356EC6" w:rsidRDefault="00D14E7B" w:rsidP="00356EC6">
      <w:pPr>
        <w:pStyle w:val="BodyText"/>
        <w:spacing w:before="121" w:line="360" w:lineRule="auto"/>
      </w:pPr>
      <w:r w:rsidRPr="00356EC6">
        <w:t>NOT FOR DISSEMINATION IN THE UNITED STATES OR FOR DISTRIBUTION TO U.S. WIRE SERVICES</w:t>
      </w:r>
    </w:p>
    <w:sectPr w:rsidR="00D14E7B" w:rsidRPr="00356EC6" w:rsidSect="00356EC6">
      <w:headerReference w:type="default" r:id="rId9"/>
      <w:footerReference w:type="default" r:id="rId10"/>
      <w:pgSz w:w="12240" w:h="15840"/>
      <w:pgMar w:top="2812" w:right="1440" w:bottom="1160" w:left="1440" w:header="1036" w:footer="9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B91D0" w14:textId="77777777" w:rsidR="000F1A0C" w:rsidRDefault="000F1A0C">
      <w:r>
        <w:separator/>
      </w:r>
    </w:p>
  </w:endnote>
  <w:endnote w:type="continuationSeparator" w:id="0">
    <w:p w14:paraId="46F7DCCB" w14:textId="77777777" w:rsidR="000F1A0C" w:rsidRDefault="000F1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3000C" w14:textId="77777777" w:rsidR="00B0294D" w:rsidRDefault="00665600">
    <w:pPr>
      <w:pStyle w:val="BodyText"/>
      <w:spacing w:line="14" w:lineRule="auto"/>
    </w:pPr>
    <w:r>
      <w:rPr>
        <w:noProof/>
      </w:rPr>
      <mc:AlternateContent>
        <mc:Choice Requires="wps">
          <w:drawing>
            <wp:anchor distT="0" distB="0" distL="0" distR="0" simplePos="0" relativeHeight="487552000" behindDoc="1" locked="0" layoutInCell="1" allowOverlap="1" wp14:anchorId="16D30011" wp14:editId="16D30012">
              <wp:simplePos x="0" y="0"/>
              <wp:positionH relativeFrom="page">
                <wp:posOffset>6771893</wp:posOffset>
              </wp:positionH>
              <wp:positionV relativeFrom="page">
                <wp:posOffset>9308782</wp:posOffset>
              </wp:positionV>
              <wp:extent cx="140970" cy="1270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127000"/>
                      </a:xfrm>
                      <a:prstGeom prst="rect">
                        <a:avLst/>
                      </a:prstGeom>
                    </wps:spPr>
                    <wps:txbx>
                      <w:txbxContent>
                        <w:p w14:paraId="16D30014" w14:textId="77777777" w:rsidR="00B0294D" w:rsidRDefault="00665600">
                          <w:pPr>
                            <w:spacing w:line="183"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16D30011" id="_x0000_t202" coordsize="21600,21600" o:spt="202" path="m,l,21600r21600,l21600,xe">
              <v:stroke joinstyle="miter"/>
              <v:path gradientshapeok="t" o:connecttype="rect"/>
            </v:shapetype>
            <v:shape id="Textbox 3" o:spid="_x0000_s1027" type="#_x0000_t202" style="position:absolute;margin-left:533.2pt;margin-top:732.95pt;width:11.1pt;height:10pt;z-index:-1576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" filled="f" stroked="f">
              <v:textbox inset="0,0,0,0">
                <w:txbxContent>
                  <w:p w14:paraId="16D30014" w14:textId="77777777" w:rsidR="00B0294D" w:rsidRDefault="00665600">
                    <w:pPr>
                      <w:spacing w:line="183"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723D4" w14:textId="77777777" w:rsidR="000F1A0C" w:rsidRDefault="000F1A0C">
      <w:r>
        <w:separator/>
      </w:r>
    </w:p>
  </w:footnote>
  <w:footnote w:type="continuationSeparator" w:id="0">
    <w:p w14:paraId="68AA8C73" w14:textId="77777777" w:rsidR="000F1A0C" w:rsidRDefault="000F1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3000B" w14:textId="77777777" w:rsidR="00B0294D" w:rsidRDefault="00665600">
    <w:pPr>
      <w:pStyle w:val="BodyText"/>
      <w:spacing w:line="14" w:lineRule="auto"/>
    </w:pPr>
    <w:r>
      <w:rPr>
        <w:noProof/>
      </w:rPr>
      <w:drawing>
        <wp:anchor distT="0" distB="0" distL="0" distR="0" simplePos="0" relativeHeight="487550976" behindDoc="1" locked="0" layoutInCell="1" allowOverlap="1" wp14:anchorId="16D3000D" wp14:editId="16D3000E">
          <wp:simplePos x="0" y="0"/>
          <wp:positionH relativeFrom="page">
            <wp:posOffset>3166885</wp:posOffset>
          </wp:positionH>
          <wp:positionV relativeFrom="page">
            <wp:posOffset>657630</wp:posOffset>
          </wp:positionV>
          <wp:extent cx="1213332" cy="66468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13332" cy="664683"/>
                  </a:xfrm>
                  <a:prstGeom prst="rect">
                    <a:avLst/>
                  </a:prstGeom>
                </pic:spPr>
              </pic:pic>
            </a:graphicData>
          </a:graphic>
        </wp:anchor>
      </w:drawing>
    </w:r>
    <w:r>
      <w:rPr>
        <w:noProof/>
      </w:rPr>
      <mc:AlternateContent>
        <mc:Choice Requires="wps">
          <w:drawing>
            <wp:anchor distT="0" distB="0" distL="0" distR="0" simplePos="0" relativeHeight="487551488" behindDoc="1" locked="0" layoutInCell="1" allowOverlap="1" wp14:anchorId="16D3000F" wp14:editId="16D30010">
              <wp:simplePos x="0" y="0"/>
              <wp:positionH relativeFrom="page">
                <wp:posOffset>3141345</wp:posOffset>
              </wp:positionH>
              <wp:positionV relativeFrom="page">
                <wp:posOffset>1397635</wp:posOffset>
              </wp:positionV>
              <wp:extent cx="1490345" cy="1568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0345" cy="156845"/>
                      </a:xfrm>
                      <a:prstGeom prst="rect">
                        <a:avLst/>
                      </a:prstGeom>
                    </wps:spPr>
                    <wps:txbx>
                      <w:txbxContent>
                        <w:p w14:paraId="16D30013" w14:textId="77777777" w:rsidR="00B0294D" w:rsidRDefault="00665600">
                          <w:pPr>
                            <w:pStyle w:val="BodyText"/>
                            <w:spacing w:line="232" w:lineRule="exact"/>
                            <w:ind w:left="20"/>
                          </w:pPr>
                          <w:r>
                            <w:rPr>
                              <w:rFonts w:ascii="Sylfaen"/>
                              <w:color w:val="585858"/>
                            </w:rPr>
                            <w:t>Asep</w:t>
                          </w:r>
                          <w:r>
                            <w:rPr>
                              <w:rFonts w:ascii="Sylfaen"/>
                              <w:color w:val="585858"/>
                              <w:spacing w:val="-3"/>
                            </w:rPr>
                            <w:t xml:space="preserve"> </w:t>
                          </w:r>
                          <w:r>
                            <w:rPr>
                              <w:rFonts w:ascii="Sylfaen"/>
                              <w:color w:val="585858"/>
                            </w:rPr>
                            <w:t>Medical</w:t>
                          </w:r>
                          <w:r>
                            <w:rPr>
                              <w:rFonts w:ascii="Sylfaen"/>
                              <w:color w:val="585858"/>
                              <w:spacing w:val="-5"/>
                            </w:rPr>
                            <w:t xml:space="preserve"> </w:t>
                          </w:r>
                          <w:r>
                            <w:rPr>
                              <w:rFonts w:ascii="Sylfaen"/>
                              <w:color w:val="585858"/>
                            </w:rPr>
                            <w:t>Holdings</w:t>
                          </w:r>
                          <w:r>
                            <w:rPr>
                              <w:rFonts w:ascii="Sylfaen"/>
                              <w:color w:val="585858"/>
                              <w:spacing w:val="-4"/>
                            </w:rPr>
                            <w:t xml:space="preserve"> Inc</w:t>
                          </w:r>
                          <w:r>
                            <w:rPr>
                              <w:color w:val="585858"/>
                              <w:spacing w:val="-4"/>
                            </w:rPr>
                            <w:t>.</w:t>
                          </w:r>
                        </w:p>
                      </w:txbxContent>
                    </wps:txbx>
                    <wps:bodyPr wrap="square" lIns="0" tIns="0" rIns="0" bIns="0" rtlCol="0">
                      <a:noAutofit/>
                    </wps:bodyPr>
                  </wps:wsp>
                </a:graphicData>
              </a:graphic>
            </wp:anchor>
          </w:drawing>
        </mc:Choice>
        <mc:Fallback>
          <w:pict>
            <v:shapetype w14:anchorId="16D3000F" id="_x0000_t202" coordsize="21600,21600" o:spt="202" path="m,l,21600r21600,l21600,xe">
              <v:stroke joinstyle="miter"/>
              <v:path gradientshapeok="t" o:connecttype="rect"/>
            </v:shapetype>
            <v:shape id="Textbox 2" o:spid="_x0000_s1026" type="#_x0000_t202" style="position:absolute;margin-left:247.35pt;margin-top:110.05pt;width:117.35pt;height:12.35pt;z-index:-1576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" filled="f" stroked="f">
              <v:textbox inset="0,0,0,0">
                <w:txbxContent>
                  <w:p w14:paraId="16D30013" w14:textId="77777777" w:rsidR="00B0294D" w:rsidRDefault="00665600">
                    <w:pPr>
                      <w:pStyle w:val="BodyText"/>
                      <w:spacing w:line="232" w:lineRule="exact"/>
                      <w:ind w:left="20"/>
                    </w:pPr>
                    <w:r>
                      <w:rPr>
                        <w:rFonts w:ascii="Sylfaen"/>
                        <w:color w:val="585858"/>
                      </w:rPr>
                      <w:t>Asep</w:t>
                    </w:r>
                    <w:r>
                      <w:rPr>
                        <w:rFonts w:ascii="Sylfaen"/>
                        <w:color w:val="585858"/>
                        <w:spacing w:val="-3"/>
                      </w:rPr>
                      <w:t xml:space="preserve"> </w:t>
                    </w:r>
                    <w:r>
                      <w:rPr>
                        <w:rFonts w:ascii="Sylfaen"/>
                        <w:color w:val="585858"/>
                      </w:rPr>
                      <w:t>Medical</w:t>
                    </w:r>
                    <w:r>
                      <w:rPr>
                        <w:rFonts w:ascii="Sylfaen"/>
                        <w:color w:val="585858"/>
                        <w:spacing w:val="-5"/>
                      </w:rPr>
                      <w:t xml:space="preserve"> </w:t>
                    </w:r>
                    <w:r>
                      <w:rPr>
                        <w:rFonts w:ascii="Sylfaen"/>
                        <w:color w:val="585858"/>
                      </w:rPr>
                      <w:t>Holdings</w:t>
                    </w:r>
                    <w:r>
                      <w:rPr>
                        <w:rFonts w:ascii="Sylfaen"/>
                        <w:color w:val="585858"/>
                        <w:spacing w:val="-4"/>
                      </w:rPr>
                      <w:t xml:space="preserve"> Inc</w:t>
                    </w:r>
                    <w:r>
                      <w:rPr>
                        <w:color w:val="585858"/>
                        <w:spacing w:val="-4"/>
                      </w:rPr>
                      <w: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8"/>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94D"/>
    <w:rsid w:val="00001199"/>
    <w:rsid w:val="00012DF1"/>
    <w:rsid w:val="0005296C"/>
    <w:rsid w:val="0008582B"/>
    <w:rsid w:val="000A1B04"/>
    <w:rsid w:val="000C5B69"/>
    <w:rsid w:val="000F1A0C"/>
    <w:rsid w:val="00133C5E"/>
    <w:rsid w:val="00170ADB"/>
    <w:rsid w:val="001C2611"/>
    <w:rsid w:val="001D6CA6"/>
    <w:rsid w:val="00237438"/>
    <w:rsid w:val="00271B74"/>
    <w:rsid w:val="002A1BA5"/>
    <w:rsid w:val="002B69C1"/>
    <w:rsid w:val="002F4CD3"/>
    <w:rsid w:val="00313776"/>
    <w:rsid w:val="00337AED"/>
    <w:rsid w:val="00356EC6"/>
    <w:rsid w:val="00393F72"/>
    <w:rsid w:val="00491C80"/>
    <w:rsid w:val="004F2503"/>
    <w:rsid w:val="00550C04"/>
    <w:rsid w:val="005D6407"/>
    <w:rsid w:val="006105C2"/>
    <w:rsid w:val="00665600"/>
    <w:rsid w:val="006E2CF7"/>
    <w:rsid w:val="006E2F0F"/>
    <w:rsid w:val="006F17C8"/>
    <w:rsid w:val="00716B9A"/>
    <w:rsid w:val="00730830"/>
    <w:rsid w:val="007552FC"/>
    <w:rsid w:val="007564C8"/>
    <w:rsid w:val="00774F14"/>
    <w:rsid w:val="00812BDF"/>
    <w:rsid w:val="00893209"/>
    <w:rsid w:val="008A1CAB"/>
    <w:rsid w:val="008E7BB6"/>
    <w:rsid w:val="009221D7"/>
    <w:rsid w:val="0093639E"/>
    <w:rsid w:val="00A33EA5"/>
    <w:rsid w:val="00A52D45"/>
    <w:rsid w:val="00AA78FC"/>
    <w:rsid w:val="00AB1A65"/>
    <w:rsid w:val="00B0294D"/>
    <w:rsid w:val="00B069F6"/>
    <w:rsid w:val="00B513F6"/>
    <w:rsid w:val="00B92541"/>
    <w:rsid w:val="00C2791C"/>
    <w:rsid w:val="00CD7553"/>
    <w:rsid w:val="00D14E7B"/>
    <w:rsid w:val="00D70226"/>
    <w:rsid w:val="00D756E5"/>
    <w:rsid w:val="00DB75CD"/>
    <w:rsid w:val="00DC7B4F"/>
    <w:rsid w:val="00DD06A9"/>
    <w:rsid w:val="00E35821"/>
    <w:rsid w:val="00EE7A20"/>
    <w:rsid w:val="00F845F7"/>
    <w:rsid w:val="00F87DD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2FFF0"/>
  <w15:docId w15:val="{129424D9-2365-4826-8431-AF45F22DB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Title">
    <w:name w:val="Title"/>
    <w:basedOn w:val="Normal"/>
    <w:uiPriority w:val="10"/>
    <w:qFormat/>
    <w:pPr>
      <w:ind w:right="2"/>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4F2503"/>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darplus.ca/" TargetMode="External"/><Relationship Id="rId3" Type="http://schemas.openxmlformats.org/officeDocument/2006/relationships/settings" Target="settings.xml"/><Relationship Id="rId7" Type="http://schemas.openxmlformats.org/officeDocument/2006/relationships/hyperlink" Target="mailto:chris@asepmedica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IMANAGE!32703924.1</documentid>
  <senderid>JODY.BELLY@GROUPETCJ.CA</senderid>
  <senderemail>JODY.BELLY@GROUPETCJ.CA</senderemail>
  <lastmodified>2026-04-29T20:49:00.0000000-04:00</lastmodified>
  <database>IMANAGE</database>
</properties>
</file>

<file path=customXml/itemProps1.xml><?xml version="1.0" encoding="utf-8"?>
<ds:datastoreItem xmlns:ds="http://schemas.openxmlformats.org/officeDocument/2006/customXml" ds:itemID="{C8591073-F399-43BE-BB6D-E981AB466362}">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977</Words>
  <Characters>5494</Characters>
  <Application>Microsoft Office Word</Application>
  <DocSecurity>0</DocSecurity>
  <Lines>79</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Lauralia Jinerenco</dc:creator>
  <cp:lastModifiedBy>Chris Dallin</cp:lastModifiedBy>
  <cp:revision>8</cp:revision>
  <dcterms:created xsi:type="dcterms:W3CDTF">2026-04-29T22:23:00Z</dcterms:created>
  <dcterms:modified xsi:type="dcterms:W3CDTF">2026-04-30T02:52:00Z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2026-04-29T00:00:00Z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2026-04-29T00:00:00Z</vt:filetime>
  </property>
  <property fmtid="{D5CDD505-2E9C-101B-9397-08002B2CF9AE}" pid="6" name="JEWJCDocID">
    <vt:lpwstr>c668debd-475e-4058-b07f-41c463cafe94</vt:lpwstr>
  </property>
</Properties>
</file>