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2FFF0" w14:textId="77777777" w:rsidR="00B0294D" w:rsidRDefault="00B0294D">
      <w:pPr>
        <w:pStyle w:val="BodyText"/>
        <w:spacing w:before="38"/>
        <w:rPr>
          <w:rFonts w:ascii="Times New Roman"/>
        </w:rPr>
      </w:pPr>
    </w:p>
    <w:p w14:paraId="16D2FFF1" w14:textId="77777777" w:rsidR="00B0294D" w:rsidRDefault="00665600" w:rsidP="00AC24B7">
      <w:pPr>
        <w:pStyle w:val="Heading1"/>
        <w:ind w:right="2"/>
        <w:jc w:val="center"/>
      </w:pPr>
      <w:r>
        <w:rPr>
          <w:u w:val="single"/>
        </w:rPr>
        <w:t>FOR</w:t>
      </w:r>
      <w:r>
        <w:rPr>
          <w:spacing w:val="-1"/>
          <w:u w:val="single"/>
        </w:rPr>
        <w:t xml:space="preserve"> </w:t>
      </w:r>
      <w:r>
        <w:rPr>
          <w:u w:val="single"/>
        </w:rPr>
        <w:t>IMMEDIATE</w:t>
      </w:r>
      <w:r>
        <w:rPr>
          <w:spacing w:val="-3"/>
          <w:u w:val="single"/>
        </w:rPr>
        <w:t xml:space="preserve"> </w:t>
      </w:r>
      <w:r>
        <w:rPr>
          <w:spacing w:val="-2"/>
          <w:u w:val="single"/>
        </w:rPr>
        <w:t>RELEASE</w:t>
      </w:r>
    </w:p>
    <w:p w14:paraId="16D2FFF2" w14:textId="77777777" w:rsidR="00B0294D" w:rsidRDefault="00B0294D">
      <w:pPr>
        <w:pStyle w:val="BodyText"/>
        <w:spacing w:before="148"/>
        <w:rPr>
          <w:b/>
          <w:sz w:val="28"/>
        </w:rPr>
      </w:pPr>
    </w:p>
    <w:p w14:paraId="16D2FFF3" w14:textId="5308BCB2" w:rsidR="00B0294D" w:rsidRDefault="00665600">
      <w:pPr>
        <w:pStyle w:val="Title"/>
      </w:pPr>
      <w:r>
        <w:t>Asep</w:t>
      </w:r>
      <w:r>
        <w:rPr>
          <w:spacing w:val="-5"/>
        </w:rPr>
        <w:t xml:space="preserve"> </w:t>
      </w:r>
      <w:r>
        <w:t>Medical</w:t>
      </w:r>
      <w:r>
        <w:rPr>
          <w:spacing w:val="-2"/>
        </w:rPr>
        <w:t xml:space="preserve"> </w:t>
      </w:r>
      <w:r w:rsidR="00D756E5" w:rsidRPr="00D756E5">
        <w:t xml:space="preserve">Announces </w:t>
      </w:r>
      <w:r w:rsidR="00A33EA5">
        <w:t xml:space="preserve">Closing of </w:t>
      </w:r>
      <w:r w:rsidR="00C45678">
        <w:t>Private Placement of Convertible Debentures and Corporate Update</w:t>
      </w:r>
    </w:p>
    <w:p w14:paraId="16D2FFF4" w14:textId="77777777" w:rsidR="00B0294D" w:rsidRDefault="00B0294D">
      <w:pPr>
        <w:pStyle w:val="BodyText"/>
        <w:spacing w:before="193"/>
        <w:rPr>
          <w:b/>
          <w:sz w:val="28"/>
        </w:rPr>
      </w:pPr>
    </w:p>
    <w:p w14:paraId="16D2FFF5" w14:textId="42CCD8D5" w:rsidR="00B0294D" w:rsidRDefault="00665600">
      <w:pPr>
        <w:rPr>
          <w:b/>
          <w:sz w:val="20"/>
        </w:rPr>
      </w:pPr>
      <w:r>
        <w:rPr>
          <w:sz w:val="20"/>
        </w:rPr>
        <w:t>VANCOUVER,</w:t>
      </w:r>
      <w:r>
        <w:rPr>
          <w:spacing w:val="-3"/>
          <w:sz w:val="20"/>
        </w:rPr>
        <w:t xml:space="preserve"> </w:t>
      </w:r>
      <w:r>
        <w:rPr>
          <w:sz w:val="20"/>
        </w:rPr>
        <w:t>BC,</w:t>
      </w:r>
      <w:r>
        <w:rPr>
          <w:spacing w:val="-1"/>
          <w:sz w:val="20"/>
        </w:rPr>
        <w:t xml:space="preserve"> </w:t>
      </w:r>
      <w:r w:rsidR="00C45678">
        <w:rPr>
          <w:sz w:val="20"/>
        </w:rPr>
        <w:t>May 1</w:t>
      </w:r>
      <w:r w:rsidR="00AA78FC">
        <w:rPr>
          <w:sz w:val="20"/>
        </w:rPr>
        <w:t>,</w:t>
      </w:r>
      <w:r>
        <w:rPr>
          <w:spacing w:val="-2"/>
          <w:sz w:val="20"/>
        </w:rPr>
        <w:t xml:space="preserve"> </w:t>
      </w:r>
      <w:r>
        <w:rPr>
          <w:sz w:val="20"/>
        </w:rPr>
        <w:t>2026</w:t>
      </w:r>
      <w:r>
        <w:rPr>
          <w:spacing w:val="-5"/>
          <w:sz w:val="20"/>
        </w:rPr>
        <w:t xml:space="preserve"> </w:t>
      </w:r>
      <w:r>
        <w:rPr>
          <w:sz w:val="20"/>
        </w:rPr>
        <w:t>—</w:t>
      </w:r>
      <w:r>
        <w:rPr>
          <w:spacing w:val="1"/>
          <w:sz w:val="20"/>
        </w:rPr>
        <w:t xml:space="preserve"> </w:t>
      </w:r>
      <w:r>
        <w:rPr>
          <w:b/>
          <w:sz w:val="20"/>
        </w:rPr>
        <w:t>Asep</w:t>
      </w:r>
      <w:r>
        <w:rPr>
          <w:b/>
          <w:spacing w:val="-1"/>
          <w:sz w:val="20"/>
        </w:rPr>
        <w:t xml:space="preserve"> </w:t>
      </w:r>
      <w:r>
        <w:rPr>
          <w:b/>
          <w:sz w:val="20"/>
        </w:rPr>
        <w:t>Medical</w:t>
      </w:r>
      <w:r>
        <w:rPr>
          <w:b/>
          <w:spacing w:val="-2"/>
          <w:sz w:val="20"/>
        </w:rPr>
        <w:t xml:space="preserve"> </w:t>
      </w:r>
      <w:r>
        <w:rPr>
          <w:b/>
          <w:sz w:val="20"/>
        </w:rPr>
        <w:t>Holdings</w:t>
      </w:r>
      <w:r>
        <w:rPr>
          <w:b/>
          <w:spacing w:val="-3"/>
          <w:sz w:val="20"/>
        </w:rPr>
        <w:t xml:space="preserve"> </w:t>
      </w:r>
      <w:r>
        <w:rPr>
          <w:b/>
          <w:sz w:val="20"/>
        </w:rPr>
        <w:t>Inc.</w:t>
      </w:r>
      <w:r>
        <w:rPr>
          <w:b/>
          <w:spacing w:val="-1"/>
          <w:sz w:val="20"/>
        </w:rPr>
        <w:t xml:space="preserve"> </w:t>
      </w:r>
      <w:r>
        <w:rPr>
          <w:b/>
          <w:sz w:val="20"/>
        </w:rPr>
        <w:t>(“Asep”</w:t>
      </w:r>
      <w:r>
        <w:rPr>
          <w:b/>
          <w:spacing w:val="-2"/>
          <w:sz w:val="20"/>
        </w:rPr>
        <w:t xml:space="preserve"> </w:t>
      </w:r>
      <w:r>
        <w:rPr>
          <w:sz w:val="20"/>
        </w:rPr>
        <w:t>or</w:t>
      </w:r>
      <w:r>
        <w:rPr>
          <w:spacing w:val="-3"/>
          <w:sz w:val="20"/>
        </w:rPr>
        <w:t xml:space="preserve"> </w:t>
      </w:r>
      <w:r>
        <w:rPr>
          <w:sz w:val="20"/>
        </w:rPr>
        <w:t>the</w:t>
      </w:r>
      <w:r>
        <w:rPr>
          <w:spacing w:val="-2"/>
          <w:sz w:val="20"/>
        </w:rPr>
        <w:t xml:space="preserve"> </w:t>
      </w:r>
      <w:r>
        <w:rPr>
          <w:b/>
          <w:sz w:val="20"/>
        </w:rPr>
        <w:t>“Company”)</w:t>
      </w:r>
      <w:r>
        <w:rPr>
          <w:b/>
          <w:spacing w:val="-1"/>
          <w:sz w:val="20"/>
        </w:rPr>
        <w:t xml:space="preserve"> </w:t>
      </w:r>
      <w:r>
        <w:rPr>
          <w:b/>
          <w:sz w:val="20"/>
        </w:rPr>
        <w:t>(CSE:</w:t>
      </w:r>
      <w:r>
        <w:rPr>
          <w:b/>
          <w:spacing w:val="-2"/>
          <w:sz w:val="20"/>
        </w:rPr>
        <w:t xml:space="preserve"> </w:t>
      </w:r>
      <w:r>
        <w:rPr>
          <w:b/>
          <w:sz w:val="20"/>
        </w:rPr>
        <w:t>ASEP)</w:t>
      </w:r>
      <w:r>
        <w:rPr>
          <w:b/>
          <w:spacing w:val="-5"/>
          <w:sz w:val="20"/>
        </w:rPr>
        <w:t xml:space="preserve"> </w:t>
      </w:r>
      <w:r>
        <w:rPr>
          <w:b/>
          <w:spacing w:val="-2"/>
          <w:sz w:val="20"/>
        </w:rPr>
        <w:t>(OTCQB:</w:t>
      </w:r>
    </w:p>
    <w:p w14:paraId="4EB92526" w14:textId="3E3942DC" w:rsidR="007564C8" w:rsidRDefault="00665600" w:rsidP="00AB1A65">
      <w:pPr>
        <w:spacing w:before="121" w:line="360" w:lineRule="auto"/>
        <w:jc w:val="both"/>
        <w:rPr>
          <w:sz w:val="20"/>
        </w:rPr>
      </w:pPr>
      <w:r>
        <w:rPr>
          <w:b/>
          <w:sz w:val="20"/>
        </w:rPr>
        <w:t>SEPSF)</w:t>
      </w:r>
      <w:r>
        <w:rPr>
          <w:b/>
          <w:spacing w:val="-2"/>
          <w:sz w:val="20"/>
        </w:rPr>
        <w:t xml:space="preserve"> </w:t>
      </w:r>
      <w:r>
        <w:rPr>
          <w:b/>
          <w:sz w:val="20"/>
        </w:rPr>
        <w:t>(FSE:</w:t>
      </w:r>
      <w:r>
        <w:rPr>
          <w:b/>
          <w:spacing w:val="-2"/>
          <w:sz w:val="20"/>
        </w:rPr>
        <w:t xml:space="preserve"> </w:t>
      </w:r>
      <w:r>
        <w:rPr>
          <w:b/>
          <w:sz w:val="20"/>
        </w:rPr>
        <w:t xml:space="preserve">JJ8) </w:t>
      </w:r>
      <w:r w:rsidR="00C45678">
        <w:rPr>
          <w:sz w:val="20"/>
        </w:rPr>
        <w:t xml:space="preserve">is pleased to announce, that further to its news release of April 29, 2026, </w:t>
      </w:r>
      <w:r w:rsidR="00AB1A65" w:rsidRPr="00AB1A65">
        <w:rPr>
          <w:sz w:val="20"/>
        </w:rPr>
        <w:t>that it</w:t>
      </w:r>
      <w:r w:rsidR="00C45678">
        <w:rPr>
          <w:sz w:val="20"/>
        </w:rPr>
        <w:t xml:space="preserve"> </w:t>
      </w:r>
      <w:r w:rsidR="00C45678" w:rsidRPr="00C45678">
        <w:rPr>
          <w:sz w:val="20"/>
        </w:rPr>
        <w:t xml:space="preserve">has closed its private placement </w:t>
      </w:r>
      <w:r w:rsidR="00C45678">
        <w:rPr>
          <w:sz w:val="20"/>
        </w:rPr>
        <w:t xml:space="preserve">on April 30, 2026, </w:t>
      </w:r>
      <w:r w:rsidR="00C45678" w:rsidRPr="00C45678">
        <w:rPr>
          <w:sz w:val="20"/>
        </w:rPr>
        <w:t xml:space="preserve">and has issued 200 </w:t>
      </w:r>
      <w:r w:rsidR="00C45678">
        <w:rPr>
          <w:sz w:val="20"/>
        </w:rPr>
        <w:t>d</w:t>
      </w:r>
      <w:r w:rsidR="00C45678" w:rsidRPr="00C45678">
        <w:rPr>
          <w:sz w:val="20"/>
        </w:rPr>
        <w:t xml:space="preserve">ebentures </w:t>
      </w:r>
      <w:r w:rsidR="00C45678">
        <w:rPr>
          <w:sz w:val="20"/>
        </w:rPr>
        <w:t>(the “</w:t>
      </w:r>
      <w:r w:rsidR="00C45678" w:rsidRPr="00C45678">
        <w:rPr>
          <w:b/>
          <w:bCs/>
          <w:sz w:val="20"/>
        </w:rPr>
        <w:t>Debentures</w:t>
      </w:r>
      <w:r w:rsidR="00C45678">
        <w:rPr>
          <w:sz w:val="20"/>
        </w:rPr>
        <w:t xml:space="preserve">”) </w:t>
      </w:r>
      <w:r w:rsidR="00C45678" w:rsidRPr="00C45678">
        <w:rPr>
          <w:sz w:val="20"/>
        </w:rPr>
        <w:t>for gross proceeds of $200,000</w:t>
      </w:r>
      <w:r w:rsidR="00C45678">
        <w:rPr>
          <w:sz w:val="20"/>
        </w:rPr>
        <w:t xml:space="preserve"> (the “</w:t>
      </w:r>
      <w:r w:rsidR="00C45678" w:rsidRPr="00843A7E">
        <w:rPr>
          <w:b/>
          <w:bCs/>
          <w:sz w:val="20"/>
        </w:rPr>
        <w:t>Offering</w:t>
      </w:r>
      <w:r w:rsidR="00C45678">
        <w:rPr>
          <w:sz w:val="20"/>
        </w:rPr>
        <w:t>”).</w:t>
      </w:r>
    </w:p>
    <w:p w14:paraId="5246E271" w14:textId="69D6C07C" w:rsidR="00AB1A65" w:rsidRDefault="00C45678" w:rsidP="00AB1A65">
      <w:pPr>
        <w:spacing w:before="121" w:line="360" w:lineRule="auto"/>
        <w:jc w:val="both"/>
        <w:rPr>
          <w:sz w:val="20"/>
        </w:rPr>
      </w:pPr>
      <w:r>
        <w:rPr>
          <w:sz w:val="20"/>
        </w:rPr>
        <w:t xml:space="preserve">The </w:t>
      </w:r>
      <w:r w:rsidR="00AB1A65" w:rsidRPr="00AB1A65">
        <w:rPr>
          <w:sz w:val="20"/>
        </w:rPr>
        <w:t xml:space="preserve">Debentures will bear interest at the rate of 12% per annum and will mature on the date that is </w:t>
      </w:r>
      <w:r w:rsidR="008A1CAB">
        <w:rPr>
          <w:sz w:val="20"/>
        </w:rPr>
        <w:t>twelve</w:t>
      </w:r>
      <w:r w:rsidR="00AB1A65" w:rsidRPr="00AB1A65">
        <w:rPr>
          <w:sz w:val="20"/>
        </w:rPr>
        <w:t xml:space="preserve"> (</w:t>
      </w:r>
      <w:r w:rsidR="008A1CAB">
        <w:rPr>
          <w:sz w:val="20"/>
        </w:rPr>
        <w:t>12</w:t>
      </w:r>
      <w:r w:rsidR="00AB1A65" w:rsidRPr="00AB1A65">
        <w:rPr>
          <w:sz w:val="20"/>
        </w:rPr>
        <w:t>) months from the date of issuance</w:t>
      </w:r>
      <w:r>
        <w:rPr>
          <w:sz w:val="20"/>
        </w:rPr>
        <w:t xml:space="preserve"> (the “</w:t>
      </w:r>
      <w:r w:rsidRPr="00C45678">
        <w:rPr>
          <w:b/>
          <w:bCs/>
          <w:sz w:val="20"/>
        </w:rPr>
        <w:t>Maturity Date</w:t>
      </w:r>
      <w:r>
        <w:rPr>
          <w:sz w:val="20"/>
        </w:rPr>
        <w:t>”)</w:t>
      </w:r>
      <w:r w:rsidR="00AB1A65" w:rsidRPr="00AB1A65">
        <w:rPr>
          <w:sz w:val="20"/>
        </w:rPr>
        <w:t>.</w:t>
      </w:r>
      <w:r w:rsidR="007564C8">
        <w:rPr>
          <w:sz w:val="20"/>
        </w:rPr>
        <w:t xml:space="preserve"> </w:t>
      </w:r>
      <w:r w:rsidR="007564C8" w:rsidRPr="007564C8">
        <w:rPr>
          <w:sz w:val="20"/>
        </w:rPr>
        <w:t>The Company anticipates using the proceeds from the Offering for general working capital purposes.</w:t>
      </w:r>
      <w:r>
        <w:rPr>
          <w:sz w:val="20"/>
        </w:rPr>
        <w:t xml:space="preserve"> </w:t>
      </w:r>
      <w:r w:rsidR="001C2611" w:rsidRPr="001C2611">
        <w:rPr>
          <w:sz w:val="20"/>
        </w:rPr>
        <w:t xml:space="preserve">Prior to </w:t>
      </w:r>
      <w:r>
        <w:rPr>
          <w:sz w:val="20"/>
        </w:rPr>
        <w:t>the Maturity Date</w:t>
      </w:r>
      <w:r w:rsidR="001C2611" w:rsidRPr="001C2611">
        <w:rPr>
          <w:sz w:val="20"/>
        </w:rPr>
        <w:t xml:space="preserve">, the principal amount of the Debentures may be converted, at the option of the holder, into common shares of the Company </w:t>
      </w:r>
      <w:r w:rsidR="00AB1A65" w:rsidRPr="00AB1A65">
        <w:rPr>
          <w:sz w:val="20"/>
        </w:rPr>
        <w:t>(the "</w:t>
      </w:r>
      <w:r w:rsidR="00AB1A65" w:rsidRPr="0005296C">
        <w:rPr>
          <w:b/>
          <w:bCs/>
          <w:sz w:val="20"/>
        </w:rPr>
        <w:t>Conversion Shares</w:t>
      </w:r>
      <w:r w:rsidR="00AB1A65" w:rsidRPr="00AB1A65">
        <w:rPr>
          <w:sz w:val="20"/>
        </w:rPr>
        <w:t xml:space="preserve">") at a conversion price </w:t>
      </w:r>
      <w:r w:rsidR="00133C5E" w:rsidRPr="00133C5E">
        <w:rPr>
          <w:sz w:val="20"/>
        </w:rPr>
        <w:t xml:space="preserve">equal to </w:t>
      </w:r>
      <w:r>
        <w:rPr>
          <w:sz w:val="20"/>
        </w:rPr>
        <w:t>$0.31 per Conversion Share</w:t>
      </w:r>
      <w:r w:rsidR="00AB1A65" w:rsidRPr="00AB1A65">
        <w:rPr>
          <w:sz w:val="20"/>
        </w:rPr>
        <w:t>. The Debentures and Conversion Shares are collectively referred to herein as the "</w:t>
      </w:r>
      <w:r w:rsidR="00AB1A65" w:rsidRPr="00CD7553">
        <w:rPr>
          <w:b/>
          <w:bCs/>
          <w:sz w:val="20"/>
        </w:rPr>
        <w:t>Securities</w:t>
      </w:r>
      <w:r w:rsidR="00AB1A65" w:rsidRPr="00AB1A65">
        <w:rPr>
          <w:sz w:val="20"/>
        </w:rPr>
        <w:t>".</w:t>
      </w:r>
    </w:p>
    <w:p w14:paraId="0775532E" w14:textId="0F4F604C" w:rsidR="00C45678" w:rsidRPr="00C45678" w:rsidRDefault="00C45678" w:rsidP="00AB1A65">
      <w:pPr>
        <w:spacing w:before="121" w:line="360" w:lineRule="auto"/>
        <w:jc w:val="both"/>
        <w:rPr>
          <w:sz w:val="20"/>
          <w:lang w:val="en-CA"/>
        </w:rPr>
      </w:pPr>
      <w:r w:rsidRPr="00C45678">
        <w:rPr>
          <w:sz w:val="20"/>
        </w:rPr>
        <w:t xml:space="preserve">All securities issued in connection with the </w:t>
      </w:r>
      <w:r>
        <w:rPr>
          <w:sz w:val="20"/>
        </w:rPr>
        <w:t>Offering</w:t>
      </w:r>
      <w:r w:rsidRPr="00C45678">
        <w:rPr>
          <w:sz w:val="20"/>
        </w:rPr>
        <w:t xml:space="preserve"> are subject to a statutory hold period expiring four months and one day after the date of issuance of the Debentures.</w:t>
      </w:r>
      <w:r>
        <w:rPr>
          <w:sz w:val="20"/>
        </w:rPr>
        <w:t xml:space="preserve"> </w:t>
      </w:r>
      <w:r w:rsidRPr="00C45678">
        <w:rPr>
          <w:sz w:val="20"/>
          <w:lang w:val="en-CA"/>
        </w:rPr>
        <w:t xml:space="preserve">The </w:t>
      </w:r>
      <w:r>
        <w:rPr>
          <w:sz w:val="20"/>
          <w:lang w:val="en-CA"/>
        </w:rPr>
        <w:t>Company</w:t>
      </w:r>
      <w:r w:rsidRPr="00C45678">
        <w:rPr>
          <w:sz w:val="20"/>
          <w:lang w:val="en-CA"/>
        </w:rPr>
        <w:t xml:space="preserve"> benefited from a waiver granted by the Canadian Securities Exchange (the “</w:t>
      </w:r>
      <w:r w:rsidRPr="00C45678">
        <w:rPr>
          <w:b/>
          <w:bCs/>
          <w:sz w:val="20"/>
          <w:lang w:val="en-CA"/>
        </w:rPr>
        <w:t>CSE</w:t>
      </w:r>
      <w:r w:rsidRPr="00C45678">
        <w:rPr>
          <w:sz w:val="20"/>
          <w:lang w:val="en-CA"/>
        </w:rPr>
        <w:t>”) of the five</w:t>
      </w:r>
      <w:r w:rsidRPr="00C45678">
        <w:rPr>
          <w:sz w:val="20"/>
          <w:lang w:val="en-CA"/>
        </w:rPr>
        <w:noBreakHyphen/>
        <w:t>day advance notice requirement prior to closing.</w:t>
      </w:r>
    </w:p>
    <w:p w14:paraId="18640400" w14:textId="51FD6F1C" w:rsidR="006F17C8" w:rsidRDefault="00C45678" w:rsidP="00C45678">
      <w:pPr>
        <w:spacing w:before="121" w:line="360" w:lineRule="auto"/>
        <w:jc w:val="both"/>
        <w:rPr>
          <w:sz w:val="20"/>
        </w:rPr>
      </w:pPr>
      <w:r w:rsidRPr="00C45678">
        <w:rPr>
          <w:sz w:val="20"/>
        </w:rPr>
        <w:t>The securities offered have not been registered under the U.S. Securities Act of 1933, as amended, and may not be offered or sold in the United States absent registration or an applicable exemption from the registration requirements. This news release shall not constitute an offer to sell or the solicitation of an offer to buy nor shall there be any sale of the securities in any State in which such offer, solicitation or sale would be unlawful.</w:t>
      </w:r>
    </w:p>
    <w:p w14:paraId="4723432A" w14:textId="19C97FD4" w:rsidR="00C45678" w:rsidRDefault="00C45678" w:rsidP="00C45678">
      <w:pPr>
        <w:spacing w:before="121" w:line="360" w:lineRule="auto"/>
        <w:jc w:val="both"/>
        <w:rPr>
          <w:sz w:val="20"/>
        </w:rPr>
      </w:pPr>
      <w:r>
        <w:rPr>
          <w:sz w:val="20"/>
        </w:rPr>
        <w:t xml:space="preserve">Further, the Company announces that Thomas O’Shaughnessy resigned as a director on April 30, 2026. </w:t>
      </w:r>
      <w:r w:rsidRPr="00C45678">
        <w:rPr>
          <w:sz w:val="20"/>
        </w:rPr>
        <w:t xml:space="preserve">The Company wishes to thank Mr. </w:t>
      </w:r>
      <w:r>
        <w:rPr>
          <w:sz w:val="20"/>
        </w:rPr>
        <w:t>O’Shaughnessy</w:t>
      </w:r>
      <w:r w:rsidRPr="00C45678">
        <w:rPr>
          <w:sz w:val="20"/>
        </w:rPr>
        <w:t xml:space="preserve"> for his contributions to the Company.</w:t>
      </w:r>
    </w:p>
    <w:p w14:paraId="5AFD152E" w14:textId="77777777" w:rsidR="00C45678" w:rsidRPr="00C45678" w:rsidRDefault="00C45678" w:rsidP="00C45678">
      <w:pPr>
        <w:spacing w:before="121" w:line="360" w:lineRule="auto"/>
        <w:jc w:val="both"/>
        <w:rPr>
          <w:sz w:val="20"/>
        </w:rPr>
      </w:pPr>
    </w:p>
    <w:p w14:paraId="16D2FFFB" w14:textId="77777777" w:rsidR="00B0294D" w:rsidRDefault="00665600">
      <w:pPr>
        <w:pStyle w:val="Heading1"/>
      </w:pPr>
      <w:r>
        <w:t>ABOUT</w:t>
      </w:r>
      <w:r>
        <w:rPr>
          <w:spacing w:val="-3"/>
        </w:rPr>
        <w:t xml:space="preserve"> </w:t>
      </w:r>
      <w:r>
        <w:t>ASEP</w:t>
      </w:r>
      <w:r>
        <w:rPr>
          <w:spacing w:val="-5"/>
        </w:rPr>
        <w:t xml:space="preserve"> </w:t>
      </w:r>
      <w:r>
        <w:t>MEDICAL</w:t>
      </w:r>
      <w:r>
        <w:rPr>
          <w:spacing w:val="-3"/>
        </w:rPr>
        <w:t xml:space="preserve"> </w:t>
      </w:r>
      <w:r>
        <w:t>HOLDINGS</w:t>
      </w:r>
      <w:r>
        <w:rPr>
          <w:spacing w:val="-2"/>
        </w:rPr>
        <w:t xml:space="preserve"> </w:t>
      </w:r>
      <w:r>
        <w:rPr>
          <w:spacing w:val="-4"/>
        </w:rPr>
        <w:t>INC.</w:t>
      </w:r>
    </w:p>
    <w:p w14:paraId="16D2FFFD" w14:textId="2ED46C4A" w:rsidR="00B0294D" w:rsidRDefault="00665600" w:rsidP="00C45678">
      <w:pPr>
        <w:pStyle w:val="BodyText"/>
        <w:spacing w:before="121" w:line="360" w:lineRule="auto"/>
      </w:pPr>
      <w:r>
        <w:t>Asep Medical is a standout biotechnology research and development company based in Victoria, BC, Canada. The Company possesses a valuable portfolio of global patents for innovative diagnostic and therapeutic medical technologies.</w:t>
      </w:r>
      <w:r>
        <w:rPr>
          <w:spacing w:val="-4"/>
        </w:rPr>
        <w:t xml:space="preserve"> </w:t>
      </w:r>
      <w:r>
        <w:t>These</w:t>
      </w:r>
      <w:r>
        <w:rPr>
          <w:spacing w:val="-3"/>
        </w:rPr>
        <w:t xml:space="preserve"> </w:t>
      </w:r>
      <w:r>
        <w:t>technologies</w:t>
      </w:r>
      <w:r>
        <w:rPr>
          <w:spacing w:val="-2"/>
        </w:rPr>
        <w:t xml:space="preserve"> </w:t>
      </w:r>
      <w:r>
        <w:t>were</w:t>
      </w:r>
      <w:r>
        <w:rPr>
          <w:spacing w:val="-3"/>
        </w:rPr>
        <w:t xml:space="preserve"> </w:t>
      </w:r>
      <w:r>
        <w:t>developed</w:t>
      </w:r>
      <w:r>
        <w:rPr>
          <w:spacing w:val="-4"/>
        </w:rPr>
        <w:t xml:space="preserve"> </w:t>
      </w:r>
      <w:r>
        <w:t>over</w:t>
      </w:r>
      <w:r>
        <w:rPr>
          <w:spacing w:val="-3"/>
        </w:rPr>
        <w:t xml:space="preserve"> </w:t>
      </w:r>
      <w:r>
        <w:t>the</w:t>
      </w:r>
      <w:r>
        <w:rPr>
          <w:spacing w:val="-3"/>
        </w:rPr>
        <w:t xml:space="preserve"> </w:t>
      </w:r>
      <w:r>
        <w:t>past</w:t>
      </w:r>
      <w:r>
        <w:rPr>
          <w:spacing w:val="-5"/>
        </w:rPr>
        <w:t xml:space="preserve"> </w:t>
      </w:r>
      <w:r>
        <w:t>decade</w:t>
      </w:r>
      <w:r>
        <w:rPr>
          <w:spacing w:val="-3"/>
        </w:rPr>
        <w:t xml:space="preserve"> </w:t>
      </w:r>
      <w:r>
        <w:t>at</w:t>
      </w:r>
      <w:r>
        <w:rPr>
          <w:spacing w:val="-6"/>
        </w:rPr>
        <w:t xml:space="preserve"> </w:t>
      </w:r>
      <w:r>
        <w:t>the</w:t>
      </w:r>
      <w:r>
        <w:rPr>
          <w:spacing w:val="-3"/>
        </w:rPr>
        <w:t xml:space="preserve"> </w:t>
      </w:r>
      <w:r>
        <w:t>University of</w:t>
      </w:r>
      <w:r>
        <w:rPr>
          <w:spacing w:val="-5"/>
        </w:rPr>
        <w:t xml:space="preserve"> </w:t>
      </w:r>
      <w:r>
        <w:t>British</w:t>
      </w:r>
      <w:r>
        <w:rPr>
          <w:spacing w:val="-4"/>
        </w:rPr>
        <w:t xml:space="preserve"> </w:t>
      </w:r>
      <w:r>
        <w:t>Columbia</w:t>
      </w:r>
      <w:r>
        <w:rPr>
          <w:spacing w:val="-4"/>
        </w:rPr>
        <w:t xml:space="preserve"> </w:t>
      </w:r>
      <w:r>
        <w:t xml:space="preserve">under </w:t>
      </w:r>
      <w:r>
        <w:lastRenderedPageBreak/>
        <w:t xml:space="preserve">the guidance of Dr. Robert E. W. Hancock, one of the world’s foremost microbiologists. Asep holds a controlling interest in two private subsidiary companies — Sepset Biosciences (Asep’s leading product, a sepsis diagnostic technology) and ABT Innovations (specializing in anti-biofilm technology). As the Company’s patented innovations address unmet medical needs, it presents a unique investment opportunity for both retail and institutional </w:t>
      </w:r>
      <w:r>
        <w:rPr>
          <w:spacing w:val="-2"/>
        </w:rPr>
        <w:t>investors.</w:t>
      </w:r>
    </w:p>
    <w:p w14:paraId="08C831C4" w14:textId="77777777" w:rsidR="00AC24B7" w:rsidRDefault="00AC24B7" w:rsidP="00C45678">
      <w:pPr>
        <w:rPr>
          <w:i/>
          <w:sz w:val="20"/>
        </w:rPr>
      </w:pPr>
    </w:p>
    <w:p w14:paraId="16D30001" w14:textId="096F2AC3" w:rsidR="00B0294D" w:rsidRDefault="00665600" w:rsidP="00C45678">
      <w:pPr>
        <w:rPr>
          <w:i/>
          <w:spacing w:val="-2"/>
          <w:sz w:val="20"/>
        </w:rPr>
      </w:pPr>
      <w:r>
        <w:rPr>
          <w:i/>
          <w:sz w:val="20"/>
        </w:rPr>
        <w:t>The</w:t>
      </w:r>
      <w:r>
        <w:rPr>
          <w:i/>
          <w:spacing w:val="-3"/>
          <w:sz w:val="20"/>
        </w:rPr>
        <w:t xml:space="preserve"> </w:t>
      </w:r>
      <w:r>
        <w:rPr>
          <w:i/>
          <w:sz w:val="20"/>
        </w:rPr>
        <w:t>CSE</w:t>
      </w:r>
      <w:r>
        <w:rPr>
          <w:i/>
          <w:spacing w:val="-5"/>
          <w:sz w:val="20"/>
        </w:rPr>
        <w:t xml:space="preserve"> </w:t>
      </w:r>
      <w:r>
        <w:rPr>
          <w:i/>
          <w:sz w:val="20"/>
        </w:rPr>
        <w:t>has</w:t>
      </w:r>
      <w:r>
        <w:rPr>
          <w:i/>
          <w:spacing w:val="-1"/>
          <w:sz w:val="20"/>
        </w:rPr>
        <w:t xml:space="preserve"> </w:t>
      </w:r>
      <w:r>
        <w:rPr>
          <w:i/>
          <w:sz w:val="20"/>
        </w:rPr>
        <w:t>not</w:t>
      </w:r>
      <w:r>
        <w:rPr>
          <w:i/>
          <w:spacing w:val="-4"/>
          <w:sz w:val="20"/>
        </w:rPr>
        <w:t xml:space="preserve"> </w:t>
      </w:r>
      <w:r>
        <w:rPr>
          <w:i/>
          <w:sz w:val="20"/>
        </w:rPr>
        <w:t>reviewed</w:t>
      </w:r>
      <w:r>
        <w:rPr>
          <w:i/>
          <w:spacing w:val="-1"/>
          <w:sz w:val="20"/>
        </w:rPr>
        <w:t xml:space="preserve"> </w:t>
      </w:r>
      <w:r>
        <w:rPr>
          <w:i/>
          <w:sz w:val="20"/>
        </w:rPr>
        <w:t>and</w:t>
      </w:r>
      <w:r>
        <w:rPr>
          <w:i/>
          <w:spacing w:val="-1"/>
          <w:sz w:val="20"/>
        </w:rPr>
        <w:t xml:space="preserve"> </w:t>
      </w:r>
      <w:r>
        <w:rPr>
          <w:i/>
          <w:sz w:val="20"/>
        </w:rPr>
        <w:t>does</w:t>
      </w:r>
      <w:r>
        <w:rPr>
          <w:i/>
          <w:spacing w:val="-6"/>
          <w:sz w:val="20"/>
        </w:rPr>
        <w:t xml:space="preserve"> </w:t>
      </w:r>
      <w:r>
        <w:rPr>
          <w:i/>
          <w:sz w:val="20"/>
        </w:rPr>
        <w:t>not</w:t>
      </w:r>
      <w:r>
        <w:rPr>
          <w:i/>
          <w:spacing w:val="-4"/>
          <w:sz w:val="20"/>
        </w:rPr>
        <w:t xml:space="preserve"> </w:t>
      </w:r>
      <w:r>
        <w:rPr>
          <w:i/>
          <w:sz w:val="20"/>
        </w:rPr>
        <w:t>accept</w:t>
      </w:r>
      <w:r>
        <w:rPr>
          <w:i/>
          <w:spacing w:val="-4"/>
          <w:sz w:val="20"/>
        </w:rPr>
        <w:t xml:space="preserve"> </w:t>
      </w:r>
      <w:r>
        <w:rPr>
          <w:i/>
          <w:sz w:val="20"/>
        </w:rPr>
        <w:t>responsibility</w:t>
      </w:r>
      <w:r>
        <w:rPr>
          <w:i/>
          <w:spacing w:val="-3"/>
          <w:sz w:val="20"/>
        </w:rPr>
        <w:t xml:space="preserve"> </w:t>
      </w:r>
      <w:r>
        <w:rPr>
          <w:i/>
          <w:sz w:val="20"/>
        </w:rPr>
        <w:t>for</w:t>
      </w:r>
      <w:r>
        <w:rPr>
          <w:i/>
          <w:spacing w:val="-1"/>
          <w:sz w:val="20"/>
        </w:rPr>
        <w:t xml:space="preserve"> </w:t>
      </w:r>
      <w:r>
        <w:rPr>
          <w:i/>
          <w:sz w:val="20"/>
        </w:rPr>
        <w:t>the</w:t>
      </w:r>
      <w:r>
        <w:rPr>
          <w:i/>
          <w:spacing w:val="-3"/>
          <w:sz w:val="20"/>
        </w:rPr>
        <w:t xml:space="preserve"> </w:t>
      </w:r>
      <w:r>
        <w:rPr>
          <w:i/>
          <w:sz w:val="20"/>
        </w:rPr>
        <w:t>accuracy</w:t>
      </w:r>
      <w:r>
        <w:rPr>
          <w:i/>
          <w:spacing w:val="-3"/>
          <w:sz w:val="20"/>
        </w:rPr>
        <w:t xml:space="preserve"> </w:t>
      </w:r>
      <w:r>
        <w:rPr>
          <w:i/>
          <w:sz w:val="20"/>
        </w:rPr>
        <w:t>or</w:t>
      </w:r>
      <w:r>
        <w:rPr>
          <w:i/>
          <w:spacing w:val="-1"/>
          <w:sz w:val="20"/>
        </w:rPr>
        <w:t xml:space="preserve"> </w:t>
      </w:r>
      <w:r>
        <w:rPr>
          <w:i/>
          <w:sz w:val="20"/>
        </w:rPr>
        <w:t>adequacy</w:t>
      </w:r>
      <w:r>
        <w:rPr>
          <w:i/>
          <w:spacing w:val="-7"/>
          <w:sz w:val="20"/>
        </w:rPr>
        <w:t xml:space="preserve"> </w:t>
      </w:r>
      <w:r>
        <w:rPr>
          <w:i/>
          <w:sz w:val="20"/>
        </w:rPr>
        <w:t>of</w:t>
      </w:r>
      <w:r>
        <w:rPr>
          <w:i/>
          <w:spacing w:val="-3"/>
          <w:sz w:val="20"/>
        </w:rPr>
        <w:t xml:space="preserve"> </w:t>
      </w:r>
      <w:r>
        <w:rPr>
          <w:i/>
          <w:sz w:val="20"/>
        </w:rPr>
        <w:t>this</w:t>
      </w:r>
      <w:r>
        <w:rPr>
          <w:i/>
          <w:spacing w:val="-1"/>
          <w:sz w:val="20"/>
        </w:rPr>
        <w:t xml:space="preserve"> </w:t>
      </w:r>
      <w:r>
        <w:rPr>
          <w:i/>
          <w:spacing w:val="-2"/>
          <w:sz w:val="20"/>
        </w:rPr>
        <w:t>release.</w:t>
      </w:r>
    </w:p>
    <w:p w14:paraId="3C6D11BD" w14:textId="77777777" w:rsidR="00C45678" w:rsidRPr="00C45678" w:rsidRDefault="00C45678" w:rsidP="00C45678">
      <w:pPr>
        <w:rPr>
          <w:i/>
          <w:sz w:val="20"/>
        </w:rPr>
      </w:pPr>
    </w:p>
    <w:p w14:paraId="7948BE70" w14:textId="77777777" w:rsidR="00AC24B7" w:rsidRDefault="00AC24B7">
      <w:pPr>
        <w:pStyle w:val="Heading1"/>
      </w:pPr>
    </w:p>
    <w:p w14:paraId="16D30002" w14:textId="0329E527" w:rsidR="00B0294D" w:rsidRDefault="00665600">
      <w:pPr>
        <w:pStyle w:val="Heading1"/>
      </w:pPr>
      <w:r>
        <w:t>FOR</w:t>
      </w:r>
      <w:r>
        <w:rPr>
          <w:spacing w:val="-2"/>
        </w:rPr>
        <w:t xml:space="preserve"> </w:t>
      </w:r>
      <w:r>
        <w:t>MORE INFORMATION,</w:t>
      </w:r>
      <w:r>
        <w:rPr>
          <w:spacing w:val="-5"/>
        </w:rPr>
        <w:t xml:space="preserve"> </w:t>
      </w:r>
      <w:r>
        <w:t>PLEASE CONTACT</w:t>
      </w:r>
      <w:r>
        <w:rPr>
          <w:spacing w:val="1"/>
        </w:rPr>
        <w:t xml:space="preserve"> </w:t>
      </w:r>
    </w:p>
    <w:p w14:paraId="16D30003" w14:textId="77777777" w:rsidR="00B0294D" w:rsidRDefault="00665600">
      <w:pPr>
        <w:pStyle w:val="BodyText"/>
        <w:spacing w:before="121" w:line="364" w:lineRule="auto"/>
        <w:ind w:right="6448"/>
      </w:pPr>
      <w:r>
        <w:t>Chris</w:t>
      </w:r>
      <w:r>
        <w:rPr>
          <w:spacing w:val="-12"/>
        </w:rPr>
        <w:t xml:space="preserve"> </w:t>
      </w:r>
      <w:r>
        <w:t>Dallin,</w:t>
      </w:r>
      <w:r>
        <w:rPr>
          <w:spacing w:val="-11"/>
        </w:rPr>
        <w:t xml:space="preserve"> </w:t>
      </w:r>
      <w:r>
        <w:t>Marketing</w:t>
      </w:r>
      <w:r>
        <w:rPr>
          <w:spacing w:val="-11"/>
        </w:rPr>
        <w:t xml:space="preserve"> </w:t>
      </w:r>
      <w:r>
        <w:t>Director ASEP Medical Holdings Inc.</w:t>
      </w:r>
    </w:p>
    <w:p w14:paraId="16D30004" w14:textId="77777777" w:rsidR="00B0294D" w:rsidRDefault="00665600">
      <w:pPr>
        <w:pStyle w:val="BodyText"/>
        <w:spacing w:line="238" w:lineRule="exact"/>
      </w:pPr>
      <w:r>
        <w:t>E.</w:t>
      </w:r>
      <w:r>
        <w:rPr>
          <w:spacing w:val="1"/>
        </w:rPr>
        <w:t xml:space="preserve"> </w:t>
      </w:r>
      <w:hyperlink r:id="rId7">
        <w:r w:rsidR="00B0294D">
          <w:rPr>
            <w:color w:val="0462C1"/>
            <w:spacing w:val="-2"/>
            <w:u w:val="single" w:color="0462C1"/>
          </w:rPr>
          <w:t>chris@asepmedical.com</w:t>
        </w:r>
      </w:hyperlink>
    </w:p>
    <w:p w14:paraId="16D30005" w14:textId="77777777" w:rsidR="00B0294D" w:rsidRDefault="00665600">
      <w:pPr>
        <w:pStyle w:val="BodyText"/>
        <w:spacing w:before="120"/>
      </w:pPr>
      <w:r>
        <w:t>T.</w:t>
      </w:r>
      <w:r>
        <w:rPr>
          <w:spacing w:val="-6"/>
        </w:rPr>
        <w:t xml:space="preserve"> </w:t>
      </w:r>
      <w:r>
        <w:t>+1</w:t>
      </w:r>
      <w:r>
        <w:rPr>
          <w:spacing w:val="-4"/>
        </w:rPr>
        <w:t xml:space="preserve"> </w:t>
      </w:r>
      <w:r>
        <w:t>(604)</w:t>
      </w:r>
      <w:r>
        <w:rPr>
          <w:spacing w:val="-3"/>
        </w:rPr>
        <w:t xml:space="preserve"> </w:t>
      </w:r>
      <w:r>
        <w:t>362-</w:t>
      </w:r>
      <w:r>
        <w:rPr>
          <w:spacing w:val="-4"/>
        </w:rPr>
        <w:t>3654</w:t>
      </w:r>
    </w:p>
    <w:p w14:paraId="16D30006" w14:textId="77777777" w:rsidR="00B0294D" w:rsidRDefault="00B0294D">
      <w:pPr>
        <w:pStyle w:val="BodyText"/>
      </w:pPr>
    </w:p>
    <w:p w14:paraId="16D30007" w14:textId="77777777" w:rsidR="00B0294D" w:rsidRDefault="00B0294D">
      <w:pPr>
        <w:pStyle w:val="BodyText"/>
        <w:spacing w:before="73"/>
      </w:pPr>
    </w:p>
    <w:p w14:paraId="16D30008" w14:textId="77777777" w:rsidR="00B0294D" w:rsidRDefault="00665600">
      <w:pPr>
        <w:pStyle w:val="Heading1"/>
      </w:pPr>
      <w:r>
        <w:t>FORWARD-LOOKING</w:t>
      </w:r>
      <w:r>
        <w:rPr>
          <w:spacing w:val="-4"/>
        </w:rPr>
        <w:t xml:space="preserve"> </w:t>
      </w:r>
      <w:r>
        <w:rPr>
          <w:spacing w:val="-2"/>
        </w:rPr>
        <w:t>STATEMENTS</w:t>
      </w:r>
    </w:p>
    <w:p w14:paraId="16D3000A" w14:textId="462C775F" w:rsidR="00B0294D" w:rsidRDefault="00665600" w:rsidP="00AC24B7">
      <w:pPr>
        <w:pStyle w:val="BodyText"/>
        <w:spacing w:before="121" w:line="360" w:lineRule="auto"/>
      </w:pPr>
      <w:r>
        <w:t>This news release contains certain “forward-looking statements” within the meaning of such statements under applicable</w:t>
      </w:r>
      <w:r>
        <w:rPr>
          <w:spacing w:val="-4"/>
        </w:rPr>
        <w:t xml:space="preserve"> </w:t>
      </w:r>
      <w:r>
        <w:t>securities</w:t>
      </w:r>
      <w:r>
        <w:rPr>
          <w:spacing w:val="-3"/>
        </w:rPr>
        <w:t xml:space="preserve"> </w:t>
      </w:r>
      <w:r>
        <w:t>law.</w:t>
      </w:r>
      <w:r>
        <w:rPr>
          <w:spacing w:val="-5"/>
        </w:rPr>
        <w:t xml:space="preserve"> </w:t>
      </w:r>
      <w:r>
        <w:t>Forward-looking</w:t>
      </w:r>
      <w:r>
        <w:rPr>
          <w:spacing w:val="-4"/>
        </w:rPr>
        <w:t xml:space="preserve"> </w:t>
      </w:r>
      <w:r>
        <w:t>statements</w:t>
      </w:r>
      <w:r>
        <w:rPr>
          <w:spacing w:val="-3"/>
        </w:rPr>
        <w:t xml:space="preserve"> </w:t>
      </w:r>
      <w:r>
        <w:t>are</w:t>
      </w:r>
      <w:r>
        <w:rPr>
          <w:spacing w:val="-4"/>
        </w:rPr>
        <w:t xml:space="preserve"> </w:t>
      </w:r>
      <w:r>
        <w:t>frequently</w:t>
      </w:r>
      <w:r>
        <w:rPr>
          <w:spacing w:val="-5"/>
        </w:rPr>
        <w:t xml:space="preserve"> </w:t>
      </w:r>
      <w:r>
        <w:t>characterized</w:t>
      </w:r>
      <w:r>
        <w:rPr>
          <w:spacing w:val="-5"/>
        </w:rPr>
        <w:t xml:space="preserve"> </w:t>
      </w:r>
      <w:r>
        <w:t>by</w:t>
      </w:r>
      <w:r>
        <w:rPr>
          <w:spacing w:val="-5"/>
        </w:rPr>
        <w:t xml:space="preserve"> </w:t>
      </w:r>
      <w:r>
        <w:t>words</w:t>
      </w:r>
      <w:r>
        <w:rPr>
          <w:spacing w:val="-3"/>
        </w:rPr>
        <w:t xml:space="preserve"> </w:t>
      </w:r>
      <w:r>
        <w:t>such</w:t>
      </w:r>
      <w:r>
        <w:rPr>
          <w:spacing w:val="-5"/>
        </w:rPr>
        <w:t xml:space="preserve"> </w:t>
      </w:r>
      <w:r>
        <w:t>as</w:t>
      </w:r>
      <w:r>
        <w:rPr>
          <w:spacing w:val="-3"/>
        </w:rPr>
        <w:t xml:space="preserve"> </w:t>
      </w:r>
      <w:r>
        <w:t>“anticipates,” “plans,” “continues,” “expects,” “projects,” “intends,” “believes,” “estimates,” “may,” “will,” “potential,” “proposed,” “positioned” and</w:t>
      </w:r>
      <w:r>
        <w:rPr>
          <w:spacing w:val="-1"/>
        </w:rPr>
        <w:t xml:space="preserve"> </w:t>
      </w:r>
      <w:r>
        <w:t>other similar words, or statements that</w:t>
      </w:r>
      <w:r>
        <w:rPr>
          <w:spacing w:val="-2"/>
        </w:rPr>
        <w:t xml:space="preserve"> </w:t>
      </w:r>
      <w:r>
        <w:t>certain</w:t>
      </w:r>
      <w:r>
        <w:rPr>
          <w:spacing w:val="-1"/>
        </w:rPr>
        <w:t xml:space="preserve"> </w:t>
      </w:r>
      <w:r>
        <w:t xml:space="preserve">events or conditions “may” or “will” occur. These statements include, but are not limited to, </w:t>
      </w:r>
      <w:r w:rsidR="009221D7" w:rsidRPr="009221D7">
        <w:t>statements with respect to the details of the Offering, including the proposed size, timing and the expected use of proceeds and the receipt of regulatory approval for the Offering</w:t>
      </w:r>
      <w:r>
        <w:t xml:space="preserve">. Various assumptions were used in drawing conclusions or making the predictions contained in the forward-looking statements throughout this news release. Forward-looking statements are based on the opinions and estimates of management </w:t>
      </w:r>
      <w:r w:rsidR="00DD06A9">
        <w:t>on</w:t>
      </w:r>
      <w:r>
        <w:t xml:space="preserve"> the date the statements are made and are subject to a variety of risks, including </w:t>
      </w:r>
      <w:r w:rsidR="00C45678" w:rsidRPr="00C45678">
        <w:t xml:space="preserve">the expectations of management regarding the use of proceeds of the </w:t>
      </w:r>
      <w:r w:rsidR="00C45678">
        <w:t>Offering</w:t>
      </w:r>
      <w:r w:rsidR="002A1BA5">
        <w:t>,</w:t>
      </w:r>
      <w:r w:rsidR="002A1BA5" w:rsidRPr="002A1BA5">
        <w:t xml:space="preserve"> risks associated with the business of the Company</w:t>
      </w:r>
      <w:r w:rsidR="002A1BA5">
        <w:t xml:space="preserve">, </w:t>
      </w:r>
      <w:r>
        <w:t>the risk that the Company’s products may not perform as expected,</w:t>
      </w:r>
      <w:r>
        <w:rPr>
          <w:spacing w:val="-3"/>
        </w:rPr>
        <w:t xml:space="preserve"> </w:t>
      </w:r>
      <w:r>
        <w:t>may</w:t>
      </w:r>
      <w:r>
        <w:rPr>
          <w:spacing w:val="-4"/>
        </w:rPr>
        <w:t xml:space="preserve"> </w:t>
      </w:r>
      <w:r>
        <w:t>not</w:t>
      </w:r>
      <w:r>
        <w:rPr>
          <w:spacing w:val="-5"/>
        </w:rPr>
        <w:t xml:space="preserve"> </w:t>
      </w:r>
      <w:r>
        <w:t>receive</w:t>
      </w:r>
      <w:r>
        <w:rPr>
          <w:spacing w:val="-3"/>
        </w:rPr>
        <w:t xml:space="preserve"> </w:t>
      </w:r>
      <w:r>
        <w:t>regulatory</w:t>
      </w:r>
      <w:r>
        <w:rPr>
          <w:spacing w:val="-4"/>
        </w:rPr>
        <w:t xml:space="preserve"> </w:t>
      </w:r>
      <w:r>
        <w:t>approvals,</w:t>
      </w:r>
      <w:r>
        <w:rPr>
          <w:spacing w:val="-3"/>
        </w:rPr>
        <w:t xml:space="preserve"> </w:t>
      </w:r>
      <w:r>
        <w:t>or</w:t>
      </w:r>
      <w:r>
        <w:rPr>
          <w:spacing w:val="-3"/>
        </w:rPr>
        <w:t xml:space="preserve"> </w:t>
      </w:r>
      <w:r>
        <w:t>may</w:t>
      </w:r>
      <w:r>
        <w:rPr>
          <w:spacing w:val="-4"/>
        </w:rPr>
        <w:t xml:space="preserve"> </w:t>
      </w:r>
      <w:r>
        <w:t>not</w:t>
      </w:r>
      <w:r>
        <w:rPr>
          <w:spacing w:val="-5"/>
        </w:rPr>
        <w:t xml:space="preserve"> </w:t>
      </w:r>
      <w:r>
        <w:t>generate</w:t>
      </w:r>
      <w:r>
        <w:rPr>
          <w:spacing w:val="-3"/>
        </w:rPr>
        <w:t xml:space="preserve"> </w:t>
      </w:r>
      <w:r>
        <w:t>revenue</w:t>
      </w:r>
      <w:r>
        <w:rPr>
          <w:spacing w:val="-3"/>
        </w:rPr>
        <w:t xml:space="preserve"> </w:t>
      </w:r>
      <w:r>
        <w:t>as</w:t>
      </w:r>
      <w:r>
        <w:rPr>
          <w:spacing w:val="-2"/>
        </w:rPr>
        <w:t xml:space="preserve"> </w:t>
      </w:r>
      <w:r>
        <w:t>anticipated. Additional</w:t>
      </w:r>
      <w:r>
        <w:rPr>
          <w:spacing w:val="-4"/>
        </w:rPr>
        <w:t xml:space="preserve"> </w:t>
      </w:r>
      <w:r>
        <w:t>risk</w:t>
      </w:r>
      <w:r>
        <w:rPr>
          <w:spacing w:val="-4"/>
        </w:rPr>
        <w:t xml:space="preserve"> </w:t>
      </w:r>
      <w:r>
        <w:t>actors are identified in the Asep Medical Holdings Inc. prospectus dated November 9, 2021, and in the Company’s management</w:t>
      </w:r>
      <w:r>
        <w:rPr>
          <w:spacing w:val="-2"/>
        </w:rPr>
        <w:t xml:space="preserve"> </w:t>
      </w:r>
      <w:r>
        <w:t>discussion</w:t>
      </w:r>
      <w:r>
        <w:rPr>
          <w:spacing w:val="-1"/>
        </w:rPr>
        <w:t xml:space="preserve"> </w:t>
      </w:r>
      <w:r>
        <w:t>and</w:t>
      </w:r>
      <w:r>
        <w:rPr>
          <w:spacing w:val="-1"/>
        </w:rPr>
        <w:t xml:space="preserve"> </w:t>
      </w:r>
      <w:r>
        <w:t>analysis, available for review under the Company’s profile at</w:t>
      </w:r>
      <w:r>
        <w:rPr>
          <w:spacing w:val="-2"/>
        </w:rPr>
        <w:t xml:space="preserve"> </w:t>
      </w:r>
      <w:hyperlink r:id="rId8">
        <w:r w:rsidR="00B0294D">
          <w:t>www.sedarplus.ca.</w:t>
        </w:r>
      </w:hyperlink>
      <w:r>
        <w:rPr>
          <w:spacing w:val="-1"/>
        </w:rPr>
        <w:t xml:space="preserve"> </w:t>
      </w:r>
      <w:r>
        <w:t>Asep Medical Holdings Inc. undertakes no obligation to update or revise any forward-looking statements, except as required by applicable law.</w:t>
      </w:r>
    </w:p>
    <w:p w14:paraId="20D50269" w14:textId="7FDBBACF" w:rsidR="00D14E7B" w:rsidRDefault="00D14E7B" w:rsidP="00D14E7B">
      <w:pPr>
        <w:pStyle w:val="BodyText"/>
        <w:spacing w:before="121" w:line="360" w:lineRule="auto"/>
        <w:jc w:val="center"/>
      </w:pPr>
      <w:r w:rsidRPr="00D14E7B">
        <w:t>NOT FOR DISSEMINATION IN THE UNITED STATES OR FOR DISTRIBUTION TO U.S. WIRE SERVICES</w:t>
      </w:r>
    </w:p>
    <w:sectPr w:rsidR="00D14E7B" w:rsidSect="00AC24B7">
      <w:headerReference w:type="default" r:id="rId9"/>
      <w:footerReference w:type="default" r:id="rId10"/>
      <w:pgSz w:w="12240" w:h="15840"/>
      <w:pgMar w:top="2952" w:right="1440" w:bottom="1160" w:left="1440" w:header="1036" w:footer="9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A7E87" w14:textId="77777777" w:rsidR="00000E2A" w:rsidRDefault="00000E2A">
      <w:r>
        <w:separator/>
      </w:r>
    </w:p>
  </w:endnote>
  <w:endnote w:type="continuationSeparator" w:id="0">
    <w:p w14:paraId="1D25A396" w14:textId="77777777" w:rsidR="00000E2A" w:rsidRDefault="0000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000C" w14:textId="77777777" w:rsidR="00B0294D" w:rsidRDefault="00665600">
    <w:pPr>
      <w:pStyle w:val="BodyText"/>
      <w:spacing w:line="14" w:lineRule="auto"/>
    </w:pPr>
    <w:r>
      <w:rPr>
        <w:noProof/>
      </w:rPr>
      <mc:AlternateContent>
        <mc:Choice Requires="wps">
          <w:drawing>
            <wp:anchor distT="0" distB="0" distL="0" distR="0" simplePos="0" relativeHeight="487552000" behindDoc="1" locked="0" layoutInCell="1" allowOverlap="1" wp14:anchorId="16D30011" wp14:editId="16D30012">
              <wp:simplePos x="0" y="0"/>
              <wp:positionH relativeFrom="page">
                <wp:posOffset>6771893</wp:posOffset>
              </wp:positionH>
              <wp:positionV relativeFrom="page">
                <wp:posOffset>9308782</wp:posOffset>
              </wp:positionV>
              <wp:extent cx="140970" cy="127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27000"/>
                      </a:xfrm>
                      <a:prstGeom prst="rect">
                        <a:avLst/>
                      </a:prstGeom>
                    </wps:spPr>
                    <wps:txbx>
                      <w:txbxContent>
                        <w:p w14:paraId="16D30014" w14:textId="77777777" w:rsidR="00B0294D" w:rsidRDefault="00665600">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16D30011" id="_x0000_t202" coordsize="21600,21600" o:spt="202" path="m,l,21600r21600,l21600,xe">
              <v:stroke joinstyle="miter"/>
              <v:path gradientshapeok="t" o:connecttype="rect"/>
            </v:shapetype>
            <v:shape id="Textbox 3" o:spid="_x0000_s1027" type="#_x0000_t202" style="position:absolute;margin-left:533.2pt;margin-top:732.95pt;width:11.1pt;height:10pt;z-index:-157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" filled="f" stroked="f">
              <v:textbox inset="0,0,0,0">
                <w:txbxContent>
                  <w:p w14:paraId="16D30014" w14:textId="77777777" w:rsidR="00B0294D" w:rsidRDefault="00665600">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3558A" w14:textId="77777777" w:rsidR="00000E2A" w:rsidRDefault="00000E2A">
      <w:r>
        <w:separator/>
      </w:r>
    </w:p>
  </w:footnote>
  <w:footnote w:type="continuationSeparator" w:id="0">
    <w:p w14:paraId="1F8C8898" w14:textId="77777777" w:rsidR="00000E2A" w:rsidRDefault="00000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000B" w14:textId="77777777" w:rsidR="00B0294D" w:rsidRDefault="00665600">
    <w:pPr>
      <w:pStyle w:val="BodyText"/>
      <w:spacing w:line="14" w:lineRule="auto"/>
    </w:pPr>
    <w:r>
      <w:rPr>
        <w:noProof/>
      </w:rPr>
      <w:drawing>
        <wp:anchor distT="0" distB="0" distL="0" distR="0" simplePos="0" relativeHeight="487550976" behindDoc="1" locked="0" layoutInCell="1" allowOverlap="1" wp14:anchorId="16D3000D" wp14:editId="16D3000E">
          <wp:simplePos x="0" y="0"/>
          <wp:positionH relativeFrom="page">
            <wp:posOffset>3166885</wp:posOffset>
          </wp:positionH>
          <wp:positionV relativeFrom="page">
            <wp:posOffset>657630</wp:posOffset>
          </wp:positionV>
          <wp:extent cx="1213332" cy="66468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13332" cy="664683"/>
                  </a:xfrm>
                  <a:prstGeom prst="rect">
                    <a:avLst/>
                  </a:prstGeom>
                </pic:spPr>
              </pic:pic>
            </a:graphicData>
          </a:graphic>
        </wp:anchor>
      </w:drawing>
    </w:r>
    <w:r>
      <w:rPr>
        <w:noProof/>
      </w:rPr>
      <mc:AlternateContent>
        <mc:Choice Requires="wps">
          <w:drawing>
            <wp:anchor distT="0" distB="0" distL="0" distR="0" simplePos="0" relativeHeight="487551488" behindDoc="1" locked="0" layoutInCell="1" allowOverlap="1" wp14:anchorId="16D3000F" wp14:editId="16D30010">
              <wp:simplePos x="0" y="0"/>
              <wp:positionH relativeFrom="page">
                <wp:posOffset>3141345</wp:posOffset>
              </wp:positionH>
              <wp:positionV relativeFrom="page">
                <wp:posOffset>1397635</wp:posOffset>
              </wp:positionV>
              <wp:extent cx="1490345" cy="1568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0345" cy="156845"/>
                      </a:xfrm>
                      <a:prstGeom prst="rect">
                        <a:avLst/>
                      </a:prstGeom>
                    </wps:spPr>
                    <wps:txbx>
                      <w:txbxContent>
                        <w:p w14:paraId="16D30013" w14:textId="77777777" w:rsidR="00B0294D" w:rsidRPr="00AC24B7" w:rsidRDefault="00665600">
                          <w:pPr>
                            <w:pStyle w:val="BodyText"/>
                            <w:spacing w:line="232" w:lineRule="exact"/>
                            <w:ind w:left="20"/>
                            <w:rPr>
                              <w:rFonts w:asciiTheme="minorHAnsi" w:hAnsiTheme="minorHAnsi" w:cstheme="minorHAnsi"/>
                            </w:rPr>
                          </w:pPr>
                          <w:r w:rsidRPr="00AC24B7">
                            <w:rPr>
                              <w:rFonts w:asciiTheme="minorHAnsi" w:hAnsiTheme="minorHAnsi" w:cstheme="minorHAnsi"/>
                              <w:color w:val="585858"/>
                            </w:rPr>
                            <w:t>Asep</w:t>
                          </w:r>
                          <w:r w:rsidRPr="00AC24B7">
                            <w:rPr>
                              <w:rFonts w:asciiTheme="minorHAnsi" w:hAnsiTheme="minorHAnsi" w:cstheme="minorHAnsi"/>
                              <w:color w:val="585858"/>
                              <w:spacing w:val="-3"/>
                            </w:rPr>
                            <w:t xml:space="preserve"> </w:t>
                          </w:r>
                          <w:r w:rsidRPr="00AC24B7">
                            <w:rPr>
                              <w:rFonts w:asciiTheme="minorHAnsi" w:hAnsiTheme="minorHAnsi" w:cstheme="minorHAnsi"/>
                              <w:color w:val="585858"/>
                            </w:rPr>
                            <w:t>Medical</w:t>
                          </w:r>
                          <w:r w:rsidRPr="00AC24B7">
                            <w:rPr>
                              <w:rFonts w:asciiTheme="minorHAnsi" w:hAnsiTheme="minorHAnsi" w:cstheme="minorHAnsi"/>
                              <w:color w:val="585858"/>
                              <w:spacing w:val="-5"/>
                            </w:rPr>
                            <w:t xml:space="preserve"> </w:t>
                          </w:r>
                          <w:r w:rsidRPr="00AC24B7">
                            <w:rPr>
                              <w:rFonts w:asciiTheme="minorHAnsi" w:hAnsiTheme="minorHAnsi" w:cstheme="minorHAnsi"/>
                              <w:color w:val="585858"/>
                            </w:rPr>
                            <w:t>Holdings</w:t>
                          </w:r>
                          <w:r w:rsidRPr="00AC24B7">
                            <w:rPr>
                              <w:rFonts w:asciiTheme="minorHAnsi" w:hAnsiTheme="minorHAnsi" w:cstheme="minorHAnsi"/>
                              <w:color w:val="585858"/>
                              <w:spacing w:val="-4"/>
                            </w:rPr>
                            <w:t xml:space="preserve"> Inc.</w:t>
                          </w:r>
                        </w:p>
                      </w:txbxContent>
                    </wps:txbx>
                    <wps:bodyPr wrap="square" lIns="0" tIns="0" rIns="0" bIns="0" rtlCol="0">
                      <a:noAutofit/>
                    </wps:bodyPr>
                  </wps:wsp>
                </a:graphicData>
              </a:graphic>
            </wp:anchor>
          </w:drawing>
        </mc:Choice>
        <mc:Fallback>
          <w:pict>
            <v:shapetype w14:anchorId="16D3000F" id="_x0000_t202" coordsize="21600,21600" o:spt="202" path="m,l,21600r21600,l21600,xe">
              <v:stroke joinstyle="miter"/>
              <v:path gradientshapeok="t" o:connecttype="rect"/>
            </v:shapetype>
            <v:shape id="Textbox 2" o:spid="_x0000_s1026" type="#_x0000_t202" style="position:absolute;margin-left:247.35pt;margin-top:110.05pt;width:117.35pt;height:12.35pt;z-index:-157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" filled="f" stroked="f">
              <v:textbox inset="0,0,0,0">
                <w:txbxContent>
                  <w:p w14:paraId="16D30013" w14:textId="77777777" w:rsidR="00B0294D" w:rsidRPr="00AC24B7" w:rsidRDefault="00665600">
                    <w:pPr>
                      <w:pStyle w:val="BodyText"/>
                      <w:spacing w:line="232" w:lineRule="exact"/>
                      <w:ind w:left="20"/>
                      <w:rPr>
                        <w:rFonts w:asciiTheme="minorHAnsi" w:hAnsiTheme="minorHAnsi" w:cstheme="minorHAnsi"/>
                      </w:rPr>
                    </w:pPr>
                    <w:r w:rsidRPr="00AC24B7">
                      <w:rPr>
                        <w:rFonts w:asciiTheme="minorHAnsi" w:hAnsiTheme="minorHAnsi" w:cstheme="minorHAnsi"/>
                        <w:color w:val="585858"/>
                      </w:rPr>
                      <w:t>Asep</w:t>
                    </w:r>
                    <w:r w:rsidRPr="00AC24B7">
                      <w:rPr>
                        <w:rFonts w:asciiTheme="minorHAnsi" w:hAnsiTheme="minorHAnsi" w:cstheme="minorHAnsi"/>
                        <w:color w:val="585858"/>
                        <w:spacing w:val="-3"/>
                      </w:rPr>
                      <w:t xml:space="preserve"> </w:t>
                    </w:r>
                    <w:r w:rsidRPr="00AC24B7">
                      <w:rPr>
                        <w:rFonts w:asciiTheme="minorHAnsi" w:hAnsiTheme="minorHAnsi" w:cstheme="minorHAnsi"/>
                        <w:color w:val="585858"/>
                      </w:rPr>
                      <w:t>Medical</w:t>
                    </w:r>
                    <w:r w:rsidRPr="00AC24B7">
                      <w:rPr>
                        <w:rFonts w:asciiTheme="minorHAnsi" w:hAnsiTheme="minorHAnsi" w:cstheme="minorHAnsi"/>
                        <w:color w:val="585858"/>
                        <w:spacing w:val="-5"/>
                      </w:rPr>
                      <w:t xml:space="preserve"> </w:t>
                    </w:r>
                    <w:r w:rsidRPr="00AC24B7">
                      <w:rPr>
                        <w:rFonts w:asciiTheme="minorHAnsi" w:hAnsiTheme="minorHAnsi" w:cstheme="minorHAnsi"/>
                        <w:color w:val="585858"/>
                      </w:rPr>
                      <w:t>Holdings</w:t>
                    </w:r>
                    <w:r w:rsidRPr="00AC24B7">
                      <w:rPr>
                        <w:rFonts w:asciiTheme="minorHAnsi" w:hAnsiTheme="minorHAnsi" w:cstheme="minorHAnsi"/>
                        <w:color w:val="585858"/>
                        <w:spacing w:val="-4"/>
                      </w:rPr>
                      <w:t xml:space="preserve"> Inc.</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94D"/>
    <w:rsid w:val="00000E2A"/>
    <w:rsid w:val="00001199"/>
    <w:rsid w:val="00012DF1"/>
    <w:rsid w:val="0005296C"/>
    <w:rsid w:val="0008582B"/>
    <w:rsid w:val="000A1B04"/>
    <w:rsid w:val="000C5B69"/>
    <w:rsid w:val="00133C5E"/>
    <w:rsid w:val="00170ADB"/>
    <w:rsid w:val="001C2611"/>
    <w:rsid w:val="001D6CA6"/>
    <w:rsid w:val="00237438"/>
    <w:rsid w:val="00271B74"/>
    <w:rsid w:val="002A1BA5"/>
    <w:rsid w:val="002B69C1"/>
    <w:rsid w:val="002F4CD3"/>
    <w:rsid w:val="00313776"/>
    <w:rsid w:val="00337AED"/>
    <w:rsid w:val="00393F72"/>
    <w:rsid w:val="003C2393"/>
    <w:rsid w:val="004F2503"/>
    <w:rsid w:val="00550C04"/>
    <w:rsid w:val="00567709"/>
    <w:rsid w:val="006105C2"/>
    <w:rsid w:val="00665600"/>
    <w:rsid w:val="006C4F7C"/>
    <w:rsid w:val="006E2CF7"/>
    <w:rsid w:val="006E2F0F"/>
    <w:rsid w:val="006F17C8"/>
    <w:rsid w:val="00716B9A"/>
    <w:rsid w:val="00730830"/>
    <w:rsid w:val="007552FC"/>
    <w:rsid w:val="007564C8"/>
    <w:rsid w:val="00812BDF"/>
    <w:rsid w:val="00843A7E"/>
    <w:rsid w:val="00893209"/>
    <w:rsid w:val="008A1CAB"/>
    <w:rsid w:val="008E7BB6"/>
    <w:rsid w:val="009221D7"/>
    <w:rsid w:val="0093639E"/>
    <w:rsid w:val="009E5D8C"/>
    <w:rsid w:val="00A33EA5"/>
    <w:rsid w:val="00A52D45"/>
    <w:rsid w:val="00AA78FC"/>
    <w:rsid w:val="00AB1A65"/>
    <w:rsid w:val="00AC24B7"/>
    <w:rsid w:val="00B0294D"/>
    <w:rsid w:val="00B069F6"/>
    <w:rsid w:val="00B513F6"/>
    <w:rsid w:val="00B92541"/>
    <w:rsid w:val="00C2791C"/>
    <w:rsid w:val="00C45678"/>
    <w:rsid w:val="00C50A08"/>
    <w:rsid w:val="00CD7553"/>
    <w:rsid w:val="00D14E7B"/>
    <w:rsid w:val="00D70226"/>
    <w:rsid w:val="00D756E5"/>
    <w:rsid w:val="00DB75CD"/>
    <w:rsid w:val="00DC7B4F"/>
    <w:rsid w:val="00DD06A9"/>
    <w:rsid w:val="00E35821"/>
    <w:rsid w:val="00EE7A20"/>
    <w:rsid w:val="00F845F7"/>
    <w:rsid w:val="00F87DD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2FFF0"/>
  <w15:docId w15:val="{129424D9-2365-4826-8431-AF45F22D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ind w:right="2"/>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4F2503"/>
    <w:pPr>
      <w:widowControl/>
      <w:autoSpaceDE/>
      <w:autoSpaceDN/>
    </w:pPr>
    <w:rPr>
      <w:rFonts w:ascii="Calibri" w:eastAsia="Calibri" w:hAnsi="Calibri" w:cs="Calibri"/>
    </w:rPr>
  </w:style>
  <w:style w:type="paragraph" w:styleId="NormalWeb">
    <w:name w:val="Normal (Web)"/>
    <w:basedOn w:val="Normal"/>
    <w:uiPriority w:val="99"/>
    <w:semiHidden/>
    <w:unhideWhenUsed/>
    <w:rsid w:val="00C45678"/>
    <w:rPr>
      <w:rFonts w:ascii="Times New Roman" w:hAnsi="Times New Roman" w:cs="Times New Roman"/>
      <w:sz w:val="24"/>
      <w:szCs w:val="24"/>
    </w:rPr>
  </w:style>
  <w:style w:type="paragraph" w:styleId="Header">
    <w:name w:val="header"/>
    <w:basedOn w:val="Normal"/>
    <w:link w:val="HeaderChar"/>
    <w:uiPriority w:val="99"/>
    <w:unhideWhenUsed/>
    <w:rsid w:val="00AC24B7"/>
    <w:pPr>
      <w:tabs>
        <w:tab w:val="center" w:pos="4680"/>
        <w:tab w:val="right" w:pos="9360"/>
      </w:tabs>
    </w:pPr>
  </w:style>
  <w:style w:type="character" w:customStyle="1" w:styleId="HeaderChar">
    <w:name w:val="Header Char"/>
    <w:basedOn w:val="DefaultParagraphFont"/>
    <w:link w:val="Header"/>
    <w:uiPriority w:val="99"/>
    <w:rsid w:val="00AC24B7"/>
    <w:rPr>
      <w:rFonts w:ascii="Calibri" w:eastAsia="Calibri" w:hAnsi="Calibri" w:cs="Calibri"/>
    </w:rPr>
  </w:style>
  <w:style w:type="paragraph" w:styleId="Footer">
    <w:name w:val="footer"/>
    <w:basedOn w:val="Normal"/>
    <w:link w:val="FooterChar"/>
    <w:uiPriority w:val="99"/>
    <w:unhideWhenUsed/>
    <w:rsid w:val="00AC24B7"/>
    <w:pPr>
      <w:tabs>
        <w:tab w:val="center" w:pos="4680"/>
        <w:tab w:val="right" w:pos="9360"/>
      </w:tabs>
    </w:pPr>
  </w:style>
  <w:style w:type="character" w:customStyle="1" w:styleId="FooterChar">
    <w:name w:val="Footer Char"/>
    <w:basedOn w:val="DefaultParagraphFont"/>
    <w:link w:val="Footer"/>
    <w:uiPriority w:val="99"/>
    <w:rsid w:val="00AC24B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darplus.ca/" TargetMode="External"/><Relationship Id="rId3" Type="http://schemas.openxmlformats.org/officeDocument/2006/relationships/settings" Target="settings.xml"/><Relationship Id="rId7" Type="http://schemas.openxmlformats.org/officeDocument/2006/relationships/hyperlink" Target="mailto:chris@asepmedic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IMANAGE!32720224.1</documentid>
  <senderid>JODY.BELLY@GROUPETCJ.CA</senderid>
  <senderemail>JODY.BELLY@GROUPETCJ.CA</senderemail>
  <lastmodified>2026-05-01T12:09:00.0000000-04:00</lastmodified>
  <database>IMANAGE</database>
</properties>
</file>

<file path=customXml/itemProps1.xml><?xml version="1.0" encoding="utf-8"?>
<ds:datastoreItem xmlns:ds="http://schemas.openxmlformats.org/officeDocument/2006/customXml" ds:itemID="{E1E5C0DB-1F00-4C61-B53E-9E5D032D7B3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742</Words>
  <Characters>4217</Characters>
  <Application>Microsoft Office Word</Application>
  <DocSecurity>0</DocSecurity>
  <Lines>62</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Lauralia Jinerenco</dc:creator>
  <cp:lastModifiedBy>Chris Dallin</cp:lastModifiedBy>
  <cp:revision>8</cp:revision>
  <dcterms:created xsi:type="dcterms:W3CDTF">2026-05-01T16:09:00Z</dcterms:created>
  <dcterms:modified xsi:type="dcterms:W3CDTF">2026-05-01T18:09:00Z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2026-04-29T00:00:00Z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2026-04-29T00:00:00Z</vt:filetime>
  </property>
  <property fmtid="{D5CDD505-2E9C-101B-9397-08002B2CF9AE}" pid="6" name="JEWJCDocID">
    <vt:lpwstr>022764e3-d0b0-4e75-ab2d-473efb7dd7af</vt:lpwstr>
  </property>
</Properties>
</file>