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Please complete the following:</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E52827">
        <w:rPr>
          <w:rFonts w:ascii="Arial" w:hAnsi="Arial"/>
          <w:u w:val="single"/>
          <w:lang w:val="en-CA"/>
        </w:rPr>
        <w:t xml:space="preserve">APPx Group Holdings Inc. </w:t>
      </w:r>
      <w:r>
        <w:rPr>
          <w:rFonts w:ascii="Arial" w:hAnsi="Arial"/>
          <w:u w:val="single"/>
          <w:lang w:val="en-CA"/>
        </w:rPr>
        <w:tab/>
      </w:r>
      <w:r>
        <w:rPr>
          <w:rFonts w:ascii="Arial" w:hAnsi="Arial"/>
          <w:lang w:val="en-CA"/>
        </w:rPr>
        <w:t xml:space="preserve">(the “Issuer”).  </w:t>
      </w:r>
    </w:p>
    <w:p w:rsidR="00EA4133" w:rsidRDefault="00EA4133">
      <w:pPr>
        <w:pStyle w:val="BodyText"/>
        <w:rPr>
          <w:rFonts w:ascii="Arial" w:hAnsi="Arial"/>
          <w:lang w:val="en-CA"/>
        </w:rPr>
      </w:pPr>
      <w:r>
        <w:rPr>
          <w:rFonts w:ascii="Arial" w:hAnsi="Arial"/>
          <w:lang w:val="en-CA"/>
        </w:rPr>
        <w:t xml:space="preserve">Trading Symbol:  </w:t>
      </w:r>
      <w:r>
        <w:rPr>
          <w:rFonts w:ascii="Arial" w:hAnsi="Arial"/>
          <w:u w:val="single"/>
          <w:lang w:val="en-CA"/>
        </w:rPr>
        <w:tab/>
      </w:r>
      <w:r w:rsidR="00E52827">
        <w:rPr>
          <w:rFonts w:ascii="Arial" w:hAnsi="Arial"/>
          <w:u w:val="single"/>
          <w:lang w:val="en-CA"/>
        </w:rPr>
        <w:t>APPX</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 .</w:t>
      </w:r>
    </w:p>
    <w:p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sidR="00E52827">
        <w:rPr>
          <w:rFonts w:ascii="Arial" w:hAnsi="Arial"/>
          <w:u w:val="single"/>
          <w:lang w:val="en-CA"/>
        </w:rPr>
        <w:t>November 5, 2019</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 .</w:t>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No</w:t>
      </w:r>
      <w:r>
        <w:rPr>
          <w:rFonts w:ascii="Arial" w:hAnsi="Arial"/>
          <w:sz w:val="32"/>
          <w:lang w:val="en-CA"/>
        </w:rPr>
        <w:tab/>
      </w:r>
    </w:p>
    <w:p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E52827" w:rsidRPr="00E52827">
        <w:rPr>
          <w:rFonts w:ascii="Arial" w:hAnsi="Arial"/>
          <w:u w:val="single"/>
          <w:lang w:val="en-CA"/>
        </w:rPr>
        <w:t>103,118,367</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Pr="00E52827">
        <w:rPr>
          <w:rFonts w:ascii="Arial" w:hAnsi="Arial"/>
          <w:u w:val="single"/>
          <w:lang w:val="en-CA"/>
        </w:rPr>
        <w:t xml:space="preserve"> </w:t>
      </w:r>
      <w:r w:rsidR="00E52827" w:rsidRPr="00E52827">
        <w:rPr>
          <w:rFonts w:ascii="Arial" w:hAnsi="Arial"/>
          <w:u w:val="single"/>
          <w:lang w:val="en-CA"/>
        </w:rPr>
        <w:t>November 5, 2018</w:t>
      </w:r>
      <w:r w:rsidRPr="00E52827">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sidRPr="00E52827">
        <w:rPr>
          <w:rFonts w:ascii="Arial" w:hAnsi="Arial"/>
          <w:u w:val="single"/>
          <w:lang w:val="en-CA"/>
        </w:rPr>
        <w:t>____</w:t>
      </w:r>
      <w:r w:rsidR="00E52827" w:rsidRPr="00E52827">
        <w:rPr>
          <w:rFonts w:ascii="Arial" w:hAnsi="Arial"/>
          <w:u w:val="single"/>
          <w:lang w:val="en-CA"/>
        </w:rPr>
        <w:t>n/a</w:t>
      </w:r>
      <w:r w:rsidR="00E52827">
        <w:rPr>
          <w:rFonts w:ascii="Arial" w:hAnsi="Arial"/>
          <w:u w:val="single"/>
          <w:lang w:val="en-CA"/>
        </w:rPr>
        <w:t>__</w:t>
      </w:r>
    </w:p>
    <w:p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rsidTr="009875E1">
        <w:trPr>
          <w:trHeight w:val="1965"/>
        </w:trPr>
        <w:tc>
          <w:tcPr>
            <w:tcW w:w="1394"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Full Name &amp; Residential Address of Placee</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rsidR="00EA4133" w:rsidRDefault="00EA4133">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10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rsidTr="009875E1">
        <w:trPr>
          <w:trHeight w:val="864"/>
        </w:trPr>
        <w:tc>
          <w:tcPr>
            <w:tcW w:w="1394" w:type="dxa"/>
          </w:tcPr>
          <w:p w:rsidR="00A90670" w:rsidRPr="00A90670" w:rsidRDefault="00A90670">
            <w:pPr>
              <w:pStyle w:val="BodyText"/>
              <w:spacing w:before="0" w:line="280" w:lineRule="exact"/>
              <w:jc w:val="center"/>
              <w:rPr>
                <w:rFonts w:ascii="Arial" w:hAnsi="Arial"/>
                <w:sz w:val="20"/>
                <w:lang w:val="en-CA"/>
              </w:rPr>
            </w:pPr>
          </w:p>
        </w:tc>
        <w:tc>
          <w:tcPr>
            <w:tcW w:w="1376" w:type="dxa"/>
          </w:tcPr>
          <w:p w:rsidR="00A90670" w:rsidRDefault="009875E1">
            <w:pPr>
              <w:pStyle w:val="BodyText"/>
              <w:spacing w:before="0" w:line="280" w:lineRule="exact"/>
              <w:jc w:val="center"/>
              <w:rPr>
                <w:rFonts w:ascii="Arial" w:hAnsi="Arial"/>
                <w:b/>
                <w:sz w:val="20"/>
                <w:lang w:val="en-CA"/>
              </w:rPr>
            </w:pPr>
            <w:r>
              <w:rPr>
                <w:rFonts w:ascii="Arial" w:hAnsi="Arial"/>
                <w:b/>
                <w:sz w:val="20"/>
                <w:lang w:val="en-CA"/>
              </w:rPr>
              <w:t>Up to 3,333,333</w:t>
            </w:r>
          </w:p>
          <w:p w:rsidR="009875E1" w:rsidRDefault="009875E1">
            <w:pPr>
              <w:pStyle w:val="BodyText"/>
              <w:spacing w:before="0" w:line="280" w:lineRule="exact"/>
              <w:jc w:val="center"/>
              <w:rPr>
                <w:rFonts w:ascii="Arial" w:hAnsi="Arial"/>
                <w:b/>
                <w:sz w:val="20"/>
                <w:lang w:val="en-CA"/>
              </w:rPr>
            </w:pPr>
            <w:r>
              <w:rPr>
                <w:rFonts w:ascii="Arial" w:hAnsi="Arial"/>
                <w:b/>
                <w:sz w:val="20"/>
                <w:lang w:val="en-CA"/>
              </w:rPr>
              <w:t>Units</w:t>
            </w:r>
          </w:p>
        </w:tc>
        <w:tc>
          <w:tcPr>
            <w:tcW w:w="1192" w:type="dxa"/>
          </w:tcPr>
          <w:p w:rsidR="00A90670" w:rsidRDefault="009875E1">
            <w:pPr>
              <w:pStyle w:val="BodyText"/>
              <w:spacing w:before="0" w:line="280" w:lineRule="exact"/>
              <w:jc w:val="center"/>
              <w:rPr>
                <w:rFonts w:ascii="Arial" w:hAnsi="Arial"/>
                <w:b/>
                <w:sz w:val="20"/>
                <w:lang w:val="en-CA"/>
              </w:rPr>
            </w:pPr>
            <w:r>
              <w:rPr>
                <w:rFonts w:ascii="Arial" w:hAnsi="Arial"/>
                <w:b/>
                <w:sz w:val="20"/>
                <w:lang w:val="en-CA"/>
              </w:rPr>
              <w:t>$0.30 per Unit</w:t>
            </w:r>
          </w:p>
        </w:tc>
        <w:tc>
          <w:tcPr>
            <w:tcW w:w="1376" w:type="dxa"/>
          </w:tcPr>
          <w:p w:rsidR="00A90670" w:rsidRDefault="009875E1">
            <w:pPr>
              <w:pStyle w:val="BodyText"/>
              <w:spacing w:before="0" w:line="280" w:lineRule="exact"/>
              <w:jc w:val="center"/>
              <w:rPr>
                <w:rFonts w:ascii="Arial" w:hAnsi="Arial"/>
                <w:b/>
                <w:sz w:val="20"/>
                <w:lang w:val="en-CA"/>
              </w:rPr>
            </w:pPr>
            <w:r>
              <w:rPr>
                <w:rFonts w:ascii="Arial" w:hAnsi="Arial"/>
                <w:b/>
                <w:sz w:val="20"/>
                <w:lang w:val="en-CA"/>
              </w:rPr>
              <w:t>$0.50 per Warrant</w:t>
            </w:r>
          </w:p>
        </w:tc>
        <w:tc>
          <w:tcPr>
            <w:tcW w:w="1376" w:type="dxa"/>
          </w:tcPr>
          <w:p w:rsidR="00A90670" w:rsidRDefault="00A90670">
            <w:pPr>
              <w:pStyle w:val="BodyText"/>
              <w:spacing w:before="0" w:line="280" w:lineRule="exact"/>
              <w:jc w:val="center"/>
              <w:rPr>
                <w:rFonts w:ascii="Arial" w:hAnsi="Arial"/>
                <w:b/>
                <w:sz w:val="20"/>
                <w:lang w:val="en-CA"/>
              </w:rPr>
            </w:pPr>
          </w:p>
        </w:tc>
        <w:tc>
          <w:tcPr>
            <w:tcW w:w="1742" w:type="dxa"/>
          </w:tcPr>
          <w:p w:rsidR="00A90670" w:rsidRDefault="00A90670">
            <w:pPr>
              <w:pStyle w:val="BodyText"/>
              <w:spacing w:before="0" w:line="280" w:lineRule="exact"/>
              <w:jc w:val="center"/>
              <w:rPr>
                <w:rFonts w:ascii="Arial" w:hAnsi="Arial"/>
                <w:b/>
                <w:sz w:val="20"/>
              </w:rPr>
            </w:pPr>
          </w:p>
        </w:tc>
        <w:tc>
          <w:tcPr>
            <w:tcW w:w="1100" w:type="dxa"/>
          </w:tcPr>
          <w:p w:rsidR="00A90670" w:rsidRDefault="009875E1">
            <w:pPr>
              <w:pStyle w:val="BodyText"/>
              <w:spacing w:before="0" w:line="280" w:lineRule="exact"/>
              <w:jc w:val="center"/>
              <w:rPr>
                <w:rFonts w:ascii="Arial" w:hAnsi="Arial"/>
                <w:b/>
                <w:sz w:val="20"/>
                <w:lang w:val="en-CA"/>
              </w:rPr>
            </w:pPr>
            <w:r>
              <w:rPr>
                <w:rFonts w:ascii="Arial" w:hAnsi="Arial"/>
                <w:b/>
                <w:sz w:val="20"/>
                <w:lang w:val="en-CA"/>
              </w:rPr>
              <w:t>See Item 2 below</w:t>
            </w:r>
          </w:p>
        </w:tc>
        <w:tc>
          <w:tcPr>
            <w:tcW w:w="1100" w:type="dxa"/>
          </w:tcPr>
          <w:p w:rsidR="00A90670" w:rsidRDefault="00A90670">
            <w:pPr>
              <w:pStyle w:val="BodyText"/>
              <w:spacing w:before="0" w:line="280" w:lineRule="exact"/>
              <w:jc w:val="center"/>
              <w:rPr>
                <w:rFonts w:ascii="Arial" w:hAnsi="Arial"/>
                <w:b/>
                <w:color w:val="000000"/>
                <w:sz w:val="20"/>
                <w:lang w:val="en-CA"/>
              </w:rPr>
            </w:pP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t>Indicate date each placee advanced or is expected to advance payment for securities.  Provide details of expected payment date, conditions to release of funds etc.  Indicate if the placement funds been placed in trust pending receipt of all necessary approvals.</w:t>
      </w:r>
    </w:p>
    <w:p w:rsidR="00EA4133" w:rsidRPr="008003B9" w:rsidRDefault="00EA4133">
      <w:pPr>
        <w:pStyle w:val="BodyText"/>
        <w:numPr>
          <w:ilvl w:val="0"/>
          <w:numId w:val="8"/>
        </w:numPr>
        <w:rPr>
          <w:rFonts w:ascii="Arial" w:hAnsi="Arial" w:cs="Arial"/>
          <w:sz w:val="20"/>
        </w:rPr>
      </w:pPr>
      <w:r w:rsidRPr="008003B9">
        <w:rPr>
          <w:rFonts w:ascii="Arial" w:hAnsi="Arial" w:cs="Arial"/>
          <w:sz w:val="20"/>
        </w:rPr>
        <w:t>Indicate if Related Person.</w:t>
      </w:r>
    </w:p>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lastRenderedPageBreak/>
        <w:t>1.</w:t>
      </w:r>
      <w:r>
        <w:rPr>
          <w:rFonts w:ascii="Arial" w:hAnsi="Arial"/>
        </w:rPr>
        <w:tab/>
        <w:t xml:space="preserve">Total amount of funds to be raised: </w:t>
      </w:r>
      <w:r w:rsidR="00E52827" w:rsidRPr="00E52827">
        <w:rPr>
          <w:rFonts w:ascii="Arial" w:hAnsi="Arial"/>
          <w:u w:val="single"/>
        </w:rPr>
        <w:t>Up to $1,000,000</w:t>
      </w:r>
      <w:r>
        <w:rPr>
          <w:rFonts w:ascii="Arial" w:hAnsi="Arial"/>
          <w:u w:val="single"/>
        </w:rPr>
        <w:tab/>
      </w:r>
      <w:r>
        <w:rPr>
          <w:rFonts w:ascii="Arial" w:hAnsi="Arial"/>
        </w:rPr>
        <w:t xml:space="preserve"> .</w:t>
      </w:r>
    </w:p>
    <w:p w:rsidR="009875E1"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p>
    <w:p w:rsidR="009875E1" w:rsidRDefault="009875E1">
      <w:pPr>
        <w:pStyle w:val="BodyText"/>
        <w:tabs>
          <w:tab w:val="left" w:pos="1080"/>
          <w:tab w:val="left" w:pos="9180"/>
        </w:tabs>
        <w:ind w:left="1080" w:hanging="1080"/>
        <w:rPr>
          <w:rFonts w:ascii="Arial" w:hAnsi="Arial"/>
        </w:rPr>
      </w:pPr>
    </w:p>
    <w:p w:rsidR="009875E1" w:rsidRPr="009875E1" w:rsidRDefault="009875E1" w:rsidP="009875E1">
      <w:pPr>
        <w:pStyle w:val="BodyText"/>
        <w:tabs>
          <w:tab w:val="left" w:pos="1080"/>
          <w:tab w:val="left" w:pos="9180"/>
        </w:tabs>
        <w:spacing w:before="0"/>
        <w:ind w:left="1080" w:hanging="1080"/>
        <w:rPr>
          <w:rFonts w:ascii="Arial" w:hAnsi="Arial"/>
        </w:rPr>
      </w:pPr>
      <w:r>
        <w:rPr>
          <w:rFonts w:ascii="Arial" w:hAnsi="Arial"/>
        </w:rPr>
        <w:tab/>
      </w:r>
      <w:r w:rsidRPr="009875E1">
        <w:rPr>
          <w:rFonts w:ascii="Arial" w:hAnsi="Arial"/>
        </w:rPr>
        <w:t>Private placement offering of units ("Units") at a price of CDN$0.30 per Unit</w:t>
      </w:r>
    </w:p>
    <w:p w:rsidR="009875E1" w:rsidRPr="009875E1" w:rsidRDefault="009875E1" w:rsidP="009875E1">
      <w:pPr>
        <w:pStyle w:val="BodyText"/>
        <w:tabs>
          <w:tab w:val="left" w:pos="1080"/>
          <w:tab w:val="left" w:pos="9180"/>
        </w:tabs>
        <w:spacing w:before="0"/>
        <w:ind w:left="1080" w:hanging="1080"/>
        <w:rPr>
          <w:rFonts w:ascii="Arial" w:hAnsi="Arial"/>
        </w:rPr>
      </w:pPr>
      <w:r>
        <w:rPr>
          <w:rFonts w:ascii="Arial" w:hAnsi="Arial"/>
        </w:rPr>
        <w:tab/>
      </w:r>
      <w:r w:rsidRPr="009875E1">
        <w:rPr>
          <w:rFonts w:ascii="Arial" w:hAnsi="Arial"/>
        </w:rPr>
        <w:t>(the "Offering Price") for aggregate gross proceeds of up to CDN$</w:t>
      </w:r>
      <w:r>
        <w:rPr>
          <w:rFonts w:ascii="Arial" w:hAnsi="Arial"/>
        </w:rPr>
        <w:t>1</w:t>
      </w:r>
      <w:r w:rsidRPr="009875E1">
        <w:rPr>
          <w:rFonts w:ascii="Arial" w:hAnsi="Arial"/>
        </w:rPr>
        <w:t>,000,000</w:t>
      </w:r>
    </w:p>
    <w:p w:rsidR="009875E1" w:rsidRDefault="009875E1" w:rsidP="009875E1">
      <w:pPr>
        <w:pStyle w:val="BodyText"/>
        <w:tabs>
          <w:tab w:val="left" w:pos="1080"/>
          <w:tab w:val="left" w:pos="9180"/>
        </w:tabs>
        <w:spacing w:before="0"/>
        <w:ind w:left="1080" w:hanging="1080"/>
        <w:rPr>
          <w:rFonts w:ascii="Arial" w:hAnsi="Arial"/>
        </w:rPr>
      </w:pPr>
      <w:r>
        <w:rPr>
          <w:rFonts w:ascii="Arial" w:hAnsi="Arial"/>
        </w:rPr>
        <w:tab/>
        <w:t xml:space="preserve">(the "Offering") </w:t>
      </w:r>
      <w:r w:rsidRPr="009875E1">
        <w:rPr>
          <w:rFonts w:ascii="Arial" w:hAnsi="Arial"/>
        </w:rPr>
        <w:t xml:space="preserve">The Offering will be </w:t>
      </w:r>
      <w:r>
        <w:rPr>
          <w:rFonts w:ascii="Arial" w:hAnsi="Arial"/>
        </w:rPr>
        <w:t xml:space="preserve">on a </w:t>
      </w:r>
      <w:r w:rsidRPr="009875E1">
        <w:rPr>
          <w:rFonts w:ascii="Arial" w:hAnsi="Arial"/>
        </w:rPr>
        <w:t xml:space="preserve">non-brokered </w:t>
      </w:r>
      <w:r>
        <w:rPr>
          <w:rFonts w:ascii="Arial" w:hAnsi="Arial"/>
        </w:rPr>
        <w:t xml:space="preserve">basis. </w:t>
      </w:r>
    </w:p>
    <w:p w:rsidR="009875E1" w:rsidRDefault="009875E1" w:rsidP="009875E1">
      <w:pPr>
        <w:pStyle w:val="BodyText"/>
        <w:tabs>
          <w:tab w:val="left" w:pos="1080"/>
          <w:tab w:val="left" w:pos="9180"/>
        </w:tabs>
        <w:spacing w:before="0"/>
        <w:ind w:left="1080" w:hanging="1080"/>
        <w:rPr>
          <w:rFonts w:ascii="Arial" w:hAnsi="Arial"/>
        </w:rPr>
      </w:pPr>
    </w:p>
    <w:p w:rsidR="009875E1" w:rsidRPr="009875E1" w:rsidRDefault="009875E1" w:rsidP="009875E1">
      <w:pPr>
        <w:pStyle w:val="BodyText"/>
        <w:tabs>
          <w:tab w:val="left" w:pos="1080"/>
          <w:tab w:val="left" w:pos="9180"/>
        </w:tabs>
        <w:spacing w:before="0"/>
        <w:ind w:left="1080" w:hanging="1080"/>
        <w:rPr>
          <w:rFonts w:ascii="Arial" w:hAnsi="Arial"/>
        </w:rPr>
      </w:pPr>
      <w:r>
        <w:rPr>
          <w:rFonts w:ascii="Arial" w:hAnsi="Arial"/>
        </w:rPr>
        <w:tab/>
        <w:t>E</w:t>
      </w:r>
      <w:r w:rsidRPr="009875E1">
        <w:rPr>
          <w:rFonts w:ascii="Arial" w:hAnsi="Arial"/>
        </w:rPr>
        <w:t>ach Unit will consist of one common share of the Issuer (a "Common</w:t>
      </w:r>
    </w:p>
    <w:p w:rsidR="009875E1" w:rsidRPr="009875E1" w:rsidRDefault="009875E1" w:rsidP="009875E1">
      <w:pPr>
        <w:pStyle w:val="BodyText"/>
        <w:tabs>
          <w:tab w:val="left" w:pos="1080"/>
          <w:tab w:val="left" w:pos="9180"/>
        </w:tabs>
        <w:spacing w:before="0"/>
        <w:ind w:left="1080" w:hanging="1080"/>
        <w:rPr>
          <w:rFonts w:ascii="Arial" w:hAnsi="Arial"/>
        </w:rPr>
      </w:pPr>
      <w:r>
        <w:rPr>
          <w:rFonts w:ascii="Arial" w:hAnsi="Arial"/>
        </w:rPr>
        <w:tab/>
      </w:r>
      <w:r w:rsidRPr="009875E1">
        <w:rPr>
          <w:rFonts w:ascii="Arial" w:hAnsi="Arial"/>
        </w:rPr>
        <w:t xml:space="preserve">Share") and one </w:t>
      </w:r>
      <w:r w:rsidR="00412923">
        <w:rPr>
          <w:rFonts w:ascii="Arial" w:hAnsi="Arial"/>
        </w:rPr>
        <w:t>Common Share</w:t>
      </w:r>
      <w:r w:rsidRPr="009875E1">
        <w:rPr>
          <w:rFonts w:ascii="Arial" w:hAnsi="Arial"/>
        </w:rPr>
        <w:t xml:space="preserve"> purchase warrant (a " Warrant"), exercisable</w:t>
      </w:r>
    </w:p>
    <w:p w:rsidR="009875E1" w:rsidRPr="009875E1" w:rsidRDefault="009875E1" w:rsidP="009875E1">
      <w:pPr>
        <w:pStyle w:val="BodyText"/>
        <w:tabs>
          <w:tab w:val="left" w:pos="1080"/>
          <w:tab w:val="left" w:pos="9180"/>
        </w:tabs>
        <w:spacing w:before="0"/>
        <w:ind w:left="1080" w:hanging="1080"/>
        <w:rPr>
          <w:rFonts w:ascii="Arial" w:hAnsi="Arial"/>
        </w:rPr>
      </w:pPr>
      <w:r>
        <w:rPr>
          <w:rFonts w:ascii="Arial" w:hAnsi="Arial"/>
        </w:rPr>
        <w:tab/>
      </w:r>
      <w:r w:rsidRPr="009875E1">
        <w:rPr>
          <w:rFonts w:ascii="Arial" w:hAnsi="Arial"/>
        </w:rPr>
        <w:t>into one additional Common Share at a price of $0.</w:t>
      </w:r>
      <w:r>
        <w:rPr>
          <w:rFonts w:ascii="Arial" w:hAnsi="Arial"/>
        </w:rPr>
        <w:t>50</w:t>
      </w:r>
      <w:r w:rsidRPr="009875E1">
        <w:rPr>
          <w:rFonts w:ascii="Arial" w:hAnsi="Arial"/>
        </w:rPr>
        <w:t xml:space="preserve"> for a period of 24</w:t>
      </w:r>
    </w:p>
    <w:p w:rsidR="009875E1" w:rsidRPr="009875E1" w:rsidRDefault="009875E1" w:rsidP="009875E1">
      <w:pPr>
        <w:pStyle w:val="BodyText"/>
        <w:tabs>
          <w:tab w:val="left" w:pos="1080"/>
          <w:tab w:val="left" w:pos="9180"/>
        </w:tabs>
        <w:spacing w:before="0"/>
        <w:ind w:left="1080" w:hanging="1080"/>
        <w:rPr>
          <w:rFonts w:ascii="Arial" w:hAnsi="Arial"/>
        </w:rPr>
      </w:pPr>
      <w:r>
        <w:rPr>
          <w:rFonts w:ascii="Arial" w:hAnsi="Arial"/>
        </w:rPr>
        <w:tab/>
      </w:r>
      <w:r w:rsidRPr="009875E1">
        <w:rPr>
          <w:rFonts w:ascii="Arial" w:hAnsi="Arial"/>
        </w:rPr>
        <w:t>months from closing of the Offering ("Closing"). Closing is subject to</w:t>
      </w:r>
    </w:p>
    <w:p w:rsidR="009875E1" w:rsidRPr="009875E1" w:rsidRDefault="009875E1" w:rsidP="009875E1">
      <w:pPr>
        <w:pStyle w:val="BodyText"/>
        <w:tabs>
          <w:tab w:val="left" w:pos="1080"/>
          <w:tab w:val="left" w:pos="9180"/>
        </w:tabs>
        <w:spacing w:before="0"/>
        <w:ind w:left="1080" w:hanging="1080"/>
        <w:rPr>
          <w:rFonts w:ascii="Arial" w:hAnsi="Arial"/>
        </w:rPr>
      </w:pPr>
      <w:r>
        <w:rPr>
          <w:rFonts w:ascii="Arial" w:hAnsi="Arial"/>
        </w:rPr>
        <w:tab/>
      </w:r>
      <w:r w:rsidRPr="009875E1">
        <w:rPr>
          <w:rFonts w:ascii="Arial" w:hAnsi="Arial"/>
        </w:rPr>
        <w:t>completion of the Transaction.</w:t>
      </w:r>
    </w:p>
    <w:p w:rsidR="00412923" w:rsidRDefault="009875E1" w:rsidP="009875E1">
      <w:pPr>
        <w:pStyle w:val="BodyText"/>
        <w:tabs>
          <w:tab w:val="left" w:pos="1080"/>
          <w:tab w:val="left" w:pos="9180"/>
        </w:tabs>
        <w:spacing w:before="0"/>
        <w:ind w:left="1080" w:hanging="1080"/>
        <w:rPr>
          <w:rFonts w:ascii="Arial" w:hAnsi="Arial"/>
        </w:rPr>
      </w:pPr>
      <w:r>
        <w:rPr>
          <w:rFonts w:ascii="Arial" w:hAnsi="Arial"/>
        </w:rPr>
        <w:tab/>
      </w:r>
    </w:p>
    <w:p w:rsidR="009875E1" w:rsidRDefault="00412923" w:rsidP="00412923">
      <w:pPr>
        <w:pStyle w:val="BodyText"/>
        <w:tabs>
          <w:tab w:val="left" w:pos="1080"/>
          <w:tab w:val="left" w:pos="9180"/>
        </w:tabs>
        <w:spacing w:before="0"/>
        <w:ind w:left="1080" w:hanging="1080"/>
        <w:rPr>
          <w:rFonts w:ascii="Arial" w:hAnsi="Arial"/>
        </w:rPr>
      </w:pPr>
      <w:r>
        <w:rPr>
          <w:rFonts w:ascii="Arial" w:hAnsi="Arial"/>
        </w:rPr>
        <w:tab/>
      </w:r>
      <w:r w:rsidR="009875E1" w:rsidRPr="009875E1">
        <w:rPr>
          <w:rFonts w:ascii="Arial" w:hAnsi="Arial"/>
        </w:rPr>
        <w:t>The proceeds will be used by the Issuer to fund general working capital.</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412923" w:rsidRPr="00412923">
        <w:rPr>
          <w:rFonts w:ascii="Arial" w:hAnsi="Arial"/>
          <w:u w:val="single"/>
        </w:rPr>
        <w:t>N/A</w:t>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r w:rsidR="00412923">
        <w:rPr>
          <w:rFonts w:ascii="Arial" w:hAnsi="Arial"/>
        </w:rPr>
        <w:t xml:space="preserve"> </w:t>
      </w:r>
    </w:p>
    <w:p w:rsidR="00412923" w:rsidRDefault="00412923" w:rsidP="00412923">
      <w:pPr>
        <w:pStyle w:val="BodyText"/>
        <w:tabs>
          <w:tab w:val="left" w:pos="9180"/>
        </w:tabs>
        <w:ind w:left="1080"/>
        <w:rPr>
          <w:rFonts w:ascii="Arial" w:hAnsi="Arial"/>
        </w:rPr>
      </w:pPr>
      <w:r w:rsidRPr="00412923">
        <w:rPr>
          <w:rFonts w:ascii="Arial" w:hAnsi="Arial"/>
          <w:u w:val="single"/>
        </w:rPr>
        <w:t>N/A</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E52827" w:rsidRPr="00E52827">
        <w:rPr>
          <w:rFonts w:ascii="Arial" w:hAnsi="Arial"/>
          <w:u w:val="single"/>
        </w:rPr>
        <w:t>Common</w:t>
      </w:r>
      <w:r w:rsidR="00412923">
        <w:rPr>
          <w:rFonts w:ascii="Arial" w:hAnsi="Arial"/>
          <w:u w:val="single"/>
        </w:rPr>
        <w:t xml:space="preserve"> Shares</w:t>
      </w:r>
      <w:r>
        <w:rPr>
          <w:rFonts w:ascii="Arial" w:hAnsi="Arial"/>
          <w:u w:val="single"/>
        </w:rPr>
        <w:tab/>
      </w:r>
      <w:r>
        <w:rPr>
          <w:rFonts w:ascii="Arial" w:hAnsi="Arial"/>
        </w:rPr>
        <w:t xml:space="preserve"> .</w:t>
      </w:r>
    </w:p>
    <w:p w:rsidR="00EA4133" w:rsidRDefault="00EA4133" w:rsidP="00412923">
      <w:pPr>
        <w:pStyle w:val="BodyText"/>
        <w:tabs>
          <w:tab w:val="left" w:pos="1080"/>
          <w:tab w:val="left" w:pos="1440"/>
          <w:tab w:val="left" w:pos="2160"/>
          <w:tab w:val="left" w:pos="9180"/>
        </w:tabs>
        <w:ind w:left="2160" w:hanging="2160"/>
        <w:rPr>
          <w:rFonts w:ascii="Arial" w:hAnsi="Arial"/>
        </w:rPr>
      </w:pPr>
      <w:r>
        <w:rPr>
          <w:rFonts w:ascii="Arial" w:hAnsi="Arial"/>
        </w:rPr>
        <w:tab/>
        <w:t>(b)</w:t>
      </w:r>
      <w:r>
        <w:rPr>
          <w:rFonts w:ascii="Arial" w:hAnsi="Arial"/>
        </w:rPr>
        <w:tab/>
      </w:r>
      <w:r>
        <w:rPr>
          <w:rFonts w:ascii="Arial" w:hAnsi="Arial"/>
        </w:rPr>
        <w:tab/>
        <w:t>Number</w:t>
      </w:r>
      <w:r w:rsidR="00412923">
        <w:rPr>
          <w:rFonts w:ascii="Arial" w:hAnsi="Arial"/>
        </w:rPr>
        <w:t xml:space="preserve"> </w:t>
      </w:r>
      <w:r w:rsidR="00412923" w:rsidRPr="00412923">
        <w:rPr>
          <w:rFonts w:ascii="Arial" w:hAnsi="Arial"/>
          <w:u w:val="single"/>
        </w:rPr>
        <w:t>Up to</w:t>
      </w:r>
      <w:r w:rsidRPr="00412923">
        <w:rPr>
          <w:rFonts w:ascii="Arial" w:hAnsi="Arial"/>
          <w:u w:val="single"/>
        </w:rPr>
        <w:t xml:space="preserve"> </w:t>
      </w:r>
      <w:r w:rsidR="00E52827" w:rsidRPr="00412923">
        <w:rPr>
          <w:rFonts w:ascii="Arial" w:hAnsi="Arial"/>
          <w:u w:val="single"/>
        </w:rPr>
        <w:t>3</w:t>
      </w:r>
      <w:r w:rsidR="00E52827" w:rsidRPr="00E52827">
        <w:rPr>
          <w:rFonts w:ascii="Arial" w:hAnsi="Arial"/>
          <w:u w:val="single"/>
        </w:rPr>
        <w:t>,333,333</w:t>
      </w:r>
      <w:r w:rsidR="00412923">
        <w:rPr>
          <w:rFonts w:ascii="Arial" w:hAnsi="Arial"/>
          <w:u w:val="single"/>
        </w:rPr>
        <w:t xml:space="preserve"> Units (each unit consisting of 1 Common Share and 1 Warrant to purchase an additional Common Share at $0.50 per share exercisable for 12 months).</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E52827" w:rsidRPr="00E52827">
        <w:rPr>
          <w:rFonts w:ascii="Arial" w:hAnsi="Arial"/>
          <w:u w:val="single"/>
        </w:rPr>
        <w:t>0.30</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Voting rights</w:t>
      </w:r>
      <w:r w:rsidR="00412923">
        <w:rPr>
          <w:rFonts w:ascii="Arial" w:hAnsi="Arial"/>
        </w:rPr>
        <w:t xml:space="preserve"> </w:t>
      </w:r>
      <w:r>
        <w:rPr>
          <w:rFonts w:ascii="Arial" w:hAnsi="Arial"/>
        </w:rPr>
        <w:t xml:space="preserve"> </w:t>
      </w:r>
      <w:r w:rsidR="00412923" w:rsidRPr="00412923">
        <w:rPr>
          <w:rFonts w:ascii="Arial" w:hAnsi="Arial"/>
          <w:u w:val="single"/>
        </w:rPr>
        <w:t xml:space="preserve">one vote per </w:t>
      </w:r>
      <w:r w:rsidR="00412923">
        <w:rPr>
          <w:rFonts w:ascii="Arial" w:hAnsi="Arial"/>
          <w:u w:val="single"/>
        </w:rPr>
        <w:t>Common Share</w:t>
      </w:r>
      <w:r>
        <w:rPr>
          <w:rFonts w:ascii="Arial" w:hAnsi="Arial"/>
          <w:u w:val="single"/>
        </w:rPr>
        <w:tab/>
      </w:r>
      <w:r>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412923" w:rsidRPr="00412923">
        <w:rPr>
          <w:rFonts w:ascii="Arial" w:hAnsi="Arial"/>
          <w:u w:val="single"/>
        </w:rPr>
        <w:t>Up to 3,333</w:t>
      </w:r>
      <w:r w:rsidR="00412923">
        <w:rPr>
          <w:rFonts w:ascii="Arial" w:hAnsi="Arial"/>
          <w:u w:val="single"/>
        </w:rPr>
        <w:t>,333 Warrants</w:t>
      </w:r>
      <w:r>
        <w:rPr>
          <w:rFonts w:ascii="Arial" w:hAnsi="Arial"/>
        </w:rPr>
        <w:t>.</w:t>
      </w:r>
    </w:p>
    <w:p w:rsidR="00EA4133" w:rsidRPr="00412923" w:rsidRDefault="00EA4133" w:rsidP="00412923">
      <w:pPr>
        <w:pStyle w:val="List"/>
        <w:numPr>
          <w:ilvl w:val="0"/>
          <w:numId w:val="11"/>
        </w:numPr>
        <w:tabs>
          <w:tab w:val="left" w:pos="1080"/>
          <w:tab w:val="left" w:pos="1440"/>
          <w:tab w:val="left" w:pos="9180"/>
        </w:tabs>
        <w:rPr>
          <w:rFonts w:ascii="Arial" w:hAnsi="Arial"/>
          <w:u w:val="single"/>
        </w:rPr>
      </w:pPr>
      <w:r>
        <w:rPr>
          <w:rFonts w:ascii="Arial" w:hAnsi="Arial"/>
        </w:rPr>
        <w:lastRenderedPageBreak/>
        <w:tab/>
        <w:t xml:space="preserve">Number of securities eligible to be purchased on exercise of Warrants (or options)  </w:t>
      </w:r>
      <w:r w:rsidR="00412923" w:rsidRPr="00412923">
        <w:rPr>
          <w:rFonts w:ascii="Arial" w:hAnsi="Arial"/>
          <w:u w:val="single"/>
        </w:rPr>
        <w:t>3,333,333 common</w:t>
      </w:r>
      <w:r w:rsidR="00412923">
        <w:rPr>
          <w:rFonts w:ascii="Arial" w:hAnsi="Arial"/>
        </w:rPr>
        <w:t xml:space="preserve"> </w:t>
      </w:r>
      <w:r w:rsidR="00412923">
        <w:rPr>
          <w:rFonts w:ascii="Arial" w:hAnsi="Arial"/>
          <w:u w:val="single"/>
        </w:rPr>
        <w:t>(assuming the placement of all 3,333,333 proposed Units)</w:t>
      </w:r>
      <w:r>
        <w:rPr>
          <w:rFonts w:ascii="Arial" w:hAnsi="Arial"/>
          <w:u w:val="single"/>
        </w:rPr>
        <w:tab/>
      </w:r>
      <w:r w:rsidR="00412923">
        <w:rPr>
          <w:rFonts w:ascii="Arial" w:hAnsi="Arial"/>
          <w:u w:val="single"/>
        </w:rPr>
        <w:t>.</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412923">
        <w:rPr>
          <w:rFonts w:ascii="Arial" w:hAnsi="Arial"/>
        </w:rPr>
        <w:t xml:space="preserve"> </w:t>
      </w:r>
      <w:r w:rsidR="00412923" w:rsidRPr="00412923">
        <w:rPr>
          <w:rFonts w:ascii="Arial" w:hAnsi="Arial"/>
          <w:u w:val="single"/>
        </w:rPr>
        <w:t xml:space="preserve">$0.50 per </w:t>
      </w:r>
      <w:r w:rsidR="00412923">
        <w:rPr>
          <w:rFonts w:ascii="Arial" w:hAnsi="Arial"/>
          <w:u w:val="single"/>
        </w:rPr>
        <w:t>Warrant/Common Share</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412923">
        <w:rPr>
          <w:rFonts w:ascii="Arial" w:hAnsi="Arial"/>
          <w:u w:val="single"/>
        </w:rPr>
        <w:t xml:space="preserve">12 months following the date of issuance.  </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412923" w:rsidRPr="00412923">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412923" w:rsidRPr="00412923">
        <w:rPr>
          <w:rFonts w:ascii="Arial" w:hAnsi="Arial"/>
          <w:u w:val="single"/>
        </w:rPr>
        <w:t>N/A</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412923" w:rsidRPr="00412923">
        <w:rPr>
          <w:rFonts w:ascii="Arial" w:hAnsi="Arial"/>
          <w:u w:val="single"/>
        </w:rPr>
        <w:t>N/A</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412923" w:rsidRPr="00412923">
        <w:rPr>
          <w:rFonts w:ascii="Arial" w:hAnsi="Arial"/>
          <w:u w:val="single"/>
        </w:rPr>
        <w:t>N/A</w:t>
      </w:r>
      <w:r>
        <w:rPr>
          <w:rFonts w:ascii="Arial" w:hAnsi="Arial"/>
          <w:u w:val="single"/>
        </w:rPr>
        <w:tab/>
      </w:r>
      <w:r>
        <w:rPr>
          <w:rFonts w:ascii="Arial" w:hAnsi="Arial"/>
        </w:rPr>
        <w:t xml:space="preserve"> .</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412923" w:rsidRPr="00412923">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rsidP="00412923">
      <w:pPr>
        <w:pStyle w:val="List"/>
        <w:numPr>
          <w:ilvl w:val="0"/>
          <w:numId w:val="18"/>
        </w:numPr>
        <w:tabs>
          <w:tab w:val="left" w:pos="2160"/>
          <w:tab w:val="left" w:pos="9180"/>
        </w:tabs>
        <w:jc w:val="both"/>
        <w:rPr>
          <w:rFonts w:ascii="Arial" w:hAnsi="Arial"/>
        </w:rPr>
      </w:pPr>
      <w:r>
        <w:rPr>
          <w:rFonts w:ascii="Arial" w:hAnsi="Arial"/>
        </w:rPr>
        <w:t xml:space="preserve">Details of any dealer, agent, broker or other person receiving compensation in connection with the placement (name, address. If a corporation, identify persons owning or exercising voting control over 20% or more of the voting shares if known to the Issuer): </w:t>
      </w:r>
      <w:r w:rsidR="00412923">
        <w:rPr>
          <w:rFonts w:ascii="Arial" w:hAnsi="Arial"/>
          <w:u w:val="single"/>
        </w:rPr>
        <w:t>n/a</w:t>
      </w:r>
      <w:r>
        <w:rPr>
          <w:rFonts w:ascii="Arial" w:hAnsi="Arial"/>
        </w:rPr>
        <w:t xml:space="preserve"> .</w:t>
      </w:r>
    </w:p>
    <w:p w:rsidR="00412923" w:rsidRDefault="00412923" w:rsidP="00412923">
      <w:pPr>
        <w:pStyle w:val="List"/>
        <w:tabs>
          <w:tab w:val="left" w:pos="2160"/>
          <w:tab w:val="left" w:pos="9180"/>
        </w:tabs>
        <w:ind w:left="2160" w:firstLine="0"/>
        <w:jc w:val="both"/>
        <w:rPr>
          <w:rFonts w:ascii="Arial" w:hAnsi="Arial"/>
          <w:u w:val="single"/>
        </w:rPr>
      </w:pPr>
    </w:p>
    <w:p w:rsidR="00412923" w:rsidRPr="00412923" w:rsidRDefault="00EA4133" w:rsidP="00412923">
      <w:pPr>
        <w:pStyle w:val="List"/>
        <w:tabs>
          <w:tab w:val="left" w:pos="2160"/>
          <w:tab w:val="left" w:pos="9180"/>
        </w:tabs>
        <w:spacing w:before="0"/>
        <w:ind w:left="2160"/>
        <w:jc w:val="both"/>
        <w:rPr>
          <w:rFonts w:ascii="Arial" w:hAnsi="Arial"/>
        </w:rPr>
      </w:pPr>
      <w:r>
        <w:rPr>
          <w:rFonts w:ascii="Arial" w:hAnsi="Arial"/>
        </w:rPr>
        <w:t>(b)</w:t>
      </w:r>
      <w:r>
        <w:rPr>
          <w:rFonts w:ascii="Arial" w:hAnsi="Arial"/>
        </w:rPr>
        <w:tab/>
        <w:t xml:space="preserve">Cash </w:t>
      </w:r>
      <w:r w:rsidR="00412923" w:rsidRPr="00412923">
        <w:rPr>
          <w:rFonts w:ascii="Arial" w:hAnsi="Arial"/>
          <w:u w:val="single"/>
        </w:rPr>
        <w:t xml:space="preserve">a cash commission </w:t>
      </w:r>
      <w:r w:rsidR="00412923">
        <w:rPr>
          <w:rFonts w:ascii="Arial" w:hAnsi="Arial"/>
          <w:u w:val="single"/>
        </w:rPr>
        <w:t xml:space="preserve">may be payable </w:t>
      </w:r>
      <w:r w:rsidR="00412923" w:rsidRPr="00412923">
        <w:rPr>
          <w:rFonts w:ascii="Arial" w:hAnsi="Arial"/>
          <w:u w:val="single"/>
        </w:rPr>
        <w:t xml:space="preserve">to </w:t>
      </w:r>
      <w:r w:rsidR="00412923">
        <w:rPr>
          <w:rFonts w:ascii="Arial" w:hAnsi="Arial"/>
          <w:u w:val="single"/>
        </w:rPr>
        <w:t>any arm’s length</w:t>
      </w:r>
      <w:r w:rsidR="00412923" w:rsidRPr="00412923">
        <w:rPr>
          <w:rFonts w:ascii="Arial" w:hAnsi="Arial"/>
          <w:u w:val="single"/>
        </w:rPr>
        <w:t xml:space="preserve"> </w:t>
      </w:r>
      <w:r w:rsidR="00412923">
        <w:rPr>
          <w:rFonts w:ascii="Arial" w:hAnsi="Arial"/>
          <w:u w:val="single"/>
        </w:rPr>
        <w:t>finder</w:t>
      </w:r>
      <w:r w:rsidR="00412923" w:rsidRPr="00412923">
        <w:rPr>
          <w:rFonts w:ascii="Arial" w:hAnsi="Arial"/>
          <w:u w:val="single"/>
        </w:rPr>
        <w:t xml:space="preserve"> </w:t>
      </w:r>
      <w:r w:rsidR="00412923">
        <w:rPr>
          <w:rFonts w:ascii="Arial" w:hAnsi="Arial"/>
          <w:u w:val="single"/>
        </w:rPr>
        <w:t>of up</w:t>
      </w:r>
      <w:r w:rsidR="00412923" w:rsidRPr="00412923">
        <w:rPr>
          <w:rFonts w:ascii="Arial" w:hAnsi="Arial"/>
          <w:u w:val="single"/>
        </w:rPr>
        <w:t xml:space="preserve"> to 7% of the gross</w:t>
      </w:r>
      <w:r w:rsidR="00412923">
        <w:rPr>
          <w:rFonts w:ascii="Arial" w:hAnsi="Arial"/>
        </w:rPr>
        <w:t xml:space="preserve"> </w:t>
      </w:r>
      <w:r w:rsidR="00412923" w:rsidRPr="00412923">
        <w:rPr>
          <w:rFonts w:ascii="Arial" w:hAnsi="Arial"/>
          <w:u w:val="single"/>
        </w:rPr>
        <w:t xml:space="preserve">proceeds </w:t>
      </w:r>
      <w:r w:rsidR="00412923">
        <w:rPr>
          <w:rFonts w:ascii="Arial" w:hAnsi="Arial"/>
          <w:u w:val="single"/>
        </w:rPr>
        <w:t>secured by the finder</w:t>
      </w:r>
      <w:r w:rsidR="00412923" w:rsidRPr="00412923">
        <w:rPr>
          <w:rFonts w:ascii="Arial" w:hAnsi="Arial"/>
          <w:u w:val="single"/>
        </w:rPr>
        <w:t xml:space="preserve"> (the “Finder’s</w:t>
      </w:r>
    </w:p>
    <w:p w:rsidR="00EA4133" w:rsidRDefault="00412923" w:rsidP="00412923">
      <w:pPr>
        <w:pStyle w:val="List"/>
        <w:tabs>
          <w:tab w:val="left" w:pos="2160"/>
          <w:tab w:val="left" w:pos="9180"/>
        </w:tabs>
        <w:spacing w:before="0"/>
        <w:ind w:left="2160" w:firstLine="0"/>
        <w:jc w:val="both"/>
        <w:rPr>
          <w:rFonts w:ascii="Arial" w:hAnsi="Arial"/>
        </w:rPr>
      </w:pPr>
      <w:r w:rsidRPr="00412923">
        <w:rPr>
          <w:rFonts w:ascii="Arial" w:hAnsi="Arial"/>
          <w:u w:val="single"/>
        </w:rPr>
        <w:t>Commission”).</w:t>
      </w:r>
      <w:r>
        <w:rPr>
          <w:rFonts w:ascii="Arial" w:hAnsi="Arial"/>
        </w:rPr>
        <w:t xml:space="preserve"> </w:t>
      </w:r>
    </w:p>
    <w:p w:rsidR="00412923" w:rsidRDefault="00412923" w:rsidP="00412923">
      <w:pPr>
        <w:pStyle w:val="List"/>
        <w:tabs>
          <w:tab w:val="left" w:pos="2160"/>
          <w:tab w:val="left" w:pos="9180"/>
        </w:tabs>
        <w:spacing w:before="0"/>
        <w:ind w:left="2160" w:firstLine="0"/>
        <w:rPr>
          <w:rFonts w:ascii="Arial" w:hAnsi="Arial"/>
        </w:rPr>
      </w:pPr>
    </w:p>
    <w:p w:rsidR="00EA4133" w:rsidRPr="00412923" w:rsidRDefault="00EA4133" w:rsidP="00412923">
      <w:pPr>
        <w:pStyle w:val="List"/>
        <w:tabs>
          <w:tab w:val="left" w:pos="2160"/>
          <w:tab w:val="left" w:pos="4605"/>
          <w:tab w:val="left" w:pos="9180"/>
        </w:tabs>
        <w:spacing w:before="0"/>
        <w:ind w:left="2160"/>
        <w:rPr>
          <w:rFonts w:ascii="Arial" w:hAnsi="Arial"/>
          <w:u w:val="single"/>
        </w:rPr>
      </w:pPr>
      <w:r>
        <w:rPr>
          <w:rFonts w:ascii="Arial" w:hAnsi="Arial"/>
        </w:rPr>
        <w:t>(c)</w:t>
      </w:r>
      <w:r>
        <w:rPr>
          <w:rFonts w:ascii="Arial" w:hAnsi="Arial"/>
        </w:rPr>
        <w:tab/>
        <w:t>Securities</w:t>
      </w:r>
      <w:r w:rsidR="00412923" w:rsidRPr="00412923">
        <w:rPr>
          <w:rFonts w:ascii="Arial" w:hAnsi="Arial"/>
        </w:rPr>
        <w:t xml:space="preserve">  </w:t>
      </w:r>
      <w:r w:rsidR="00412923">
        <w:rPr>
          <w:rFonts w:ascii="Arial" w:hAnsi="Arial"/>
          <w:u w:val="single"/>
        </w:rPr>
        <w:t>a number of Common Share</w:t>
      </w:r>
      <w:r w:rsidR="00412923" w:rsidRPr="00412923">
        <w:rPr>
          <w:rFonts w:ascii="Arial" w:hAnsi="Arial"/>
          <w:u w:val="single"/>
        </w:rPr>
        <w:t xml:space="preserve"> purchase </w:t>
      </w:r>
      <w:r w:rsidR="00412923">
        <w:rPr>
          <w:rFonts w:ascii="Arial" w:hAnsi="Arial"/>
          <w:u w:val="single"/>
        </w:rPr>
        <w:t>warrant</w:t>
      </w:r>
      <w:r w:rsidR="00412923" w:rsidRPr="00412923">
        <w:rPr>
          <w:rFonts w:ascii="Arial" w:hAnsi="Arial"/>
          <w:u w:val="single"/>
        </w:rPr>
        <w:t xml:space="preserve">s </w:t>
      </w:r>
      <w:r w:rsidR="00412923">
        <w:rPr>
          <w:rFonts w:ascii="Arial" w:hAnsi="Arial"/>
          <w:u w:val="single"/>
        </w:rPr>
        <w:t xml:space="preserve">may be </w:t>
      </w:r>
      <w:r w:rsidR="00412923" w:rsidRPr="00412923">
        <w:rPr>
          <w:rFonts w:ascii="Arial" w:hAnsi="Arial"/>
          <w:u w:val="single"/>
        </w:rPr>
        <w:t xml:space="preserve">issued to </w:t>
      </w:r>
      <w:r w:rsidR="00412923">
        <w:rPr>
          <w:rFonts w:ascii="Arial" w:hAnsi="Arial"/>
          <w:u w:val="single"/>
        </w:rPr>
        <w:t xml:space="preserve">any finder equal to up </w:t>
      </w:r>
      <w:r w:rsidR="00412923" w:rsidRPr="00412923">
        <w:rPr>
          <w:rFonts w:ascii="Arial" w:hAnsi="Arial"/>
          <w:u w:val="single"/>
        </w:rPr>
        <w:t>to 7% of the number o</w:t>
      </w:r>
      <w:r w:rsidR="00412923">
        <w:rPr>
          <w:rFonts w:ascii="Arial" w:hAnsi="Arial"/>
          <w:u w:val="single"/>
        </w:rPr>
        <w:t xml:space="preserve">f Units sold by the finder (the “Finder’s </w:t>
      </w:r>
      <w:r w:rsidR="00412923" w:rsidRPr="00412923">
        <w:rPr>
          <w:rFonts w:ascii="Arial" w:hAnsi="Arial"/>
          <w:u w:val="single"/>
        </w:rPr>
        <w:t>Warrants”).</w:t>
      </w:r>
      <w:r w:rsidR="00412923">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412923" w:rsidRPr="00412923">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412923">
        <w:rPr>
          <w:rFonts w:ascii="Arial" w:hAnsi="Arial"/>
          <w:u w:val="single"/>
        </w:rPr>
        <w:t>12 months after date of issuance</w:t>
      </w:r>
      <w:r>
        <w:rPr>
          <w:rFonts w:ascii="Arial" w:hAnsi="Arial"/>
        </w:rPr>
        <w:t>.</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412923" w:rsidRPr="00412923">
        <w:rPr>
          <w:rFonts w:ascii="Arial" w:hAnsi="Arial"/>
          <w:u w:val="single"/>
        </w:rPr>
        <w:t>$0.50</w:t>
      </w:r>
      <w:r>
        <w:rPr>
          <w:rFonts w:ascii="Arial" w:hAnsi="Arial"/>
          <w:u w:val="single"/>
        </w:rPr>
        <w:tab/>
      </w:r>
      <w:r>
        <w:rPr>
          <w:rFonts w:ascii="Arial" w:hAnsi="Arial"/>
        </w:rPr>
        <w:t xml:space="preserve"> .</w:t>
      </w:r>
    </w:p>
    <w:p w:rsidR="00EA4133" w:rsidRDefault="00EA4133" w:rsidP="00412923">
      <w:pPr>
        <w:pStyle w:val="List"/>
        <w:numPr>
          <w:ilvl w:val="0"/>
          <w:numId w:val="10"/>
        </w:numPr>
        <w:tabs>
          <w:tab w:val="left" w:pos="9180"/>
        </w:tabs>
        <w:jc w:val="both"/>
        <w:rPr>
          <w:rFonts w:ascii="Arial" w:hAnsi="Arial"/>
        </w:rPr>
      </w:pPr>
      <w:r>
        <w:rPr>
          <w:rFonts w:ascii="Arial" w:hAnsi="Arial"/>
        </w:rPr>
        <w:lastRenderedPageBreak/>
        <w:t xml:space="preserve">State whether the sales agent, broker, dealer or other person receiving compensation in connection with the placement is Related Person or has any other relationship with the Issuer and provide details of the relationship </w:t>
      </w:r>
      <w:r w:rsidR="00412923">
        <w:rPr>
          <w:rFonts w:ascii="Arial" w:hAnsi="Arial"/>
          <w:u w:val="single"/>
        </w:rPr>
        <w:t>N/A</w:t>
      </w:r>
      <w:r>
        <w:rPr>
          <w:rFonts w:ascii="Arial" w:hAnsi="Arial"/>
        </w:rPr>
        <w:t>.</w:t>
      </w: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412923" w:rsidP="00412923">
      <w:pPr>
        <w:pStyle w:val="List"/>
        <w:tabs>
          <w:tab w:val="left" w:pos="1080"/>
          <w:tab w:val="left" w:pos="9180"/>
        </w:tabs>
        <w:ind w:firstLine="0"/>
        <w:jc w:val="both"/>
        <w:rPr>
          <w:rFonts w:ascii="Arial" w:hAnsi="Arial"/>
        </w:rPr>
      </w:pPr>
      <w:r w:rsidRPr="00412923">
        <w:rPr>
          <w:rFonts w:ascii="Arial" w:hAnsi="Arial"/>
          <w:u w:val="single"/>
        </w:rPr>
        <w:t>N/A</w:t>
      </w:r>
      <w:r w:rsidR="00EA4133">
        <w:rPr>
          <w:rFonts w:ascii="Arial" w:hAnsi="Arial"/>
          <w:u w:val="single"/>
        </w:rPr>
        <w:tab/>
      </w:r>
      <w:r w:rsidR="00EA4133">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412923" w:rsidP="00412923">
      <w:pPr>
        <w:pStyle w:val="List"/>
        <w:tabs>
          <w:tab w:val="left" w:pos="1080"/>
          <w:tab w:val="left" w:pos="9180"/>
        </w:tabs>
        <w:ind w:firstLine="0"/>
        <w:jc w:val="both"/>
        <w:rPr>
          <w:rFonts w:ascii="Arial" w:hAnsi="Arial"/>
        </w:rPr>
      </w:pPr>
      <w:r w:rsidRPr="00412923">
        <w:rPr>
          <w:rFonts w:ascii="Arial" w:hAnsi="Arial"/>
          <w:u w:val="single"/>
        </w:rPr>
        <w:t>No change of control will result from the private placement</w:t>
      </w:r>
      <w:r w:rsidR="00EA4133">
        <w:rPr>
          <w:rFonts w:ascii="Arial" w:hAnsi="Arial"/>
          <w:u w:val="single"/>
        </w:rPr>
        <w:tab/>
      </w:r>
      <w:r w:rsidR="00EA4133">
        <w:rPr>
          <w:rFonts w:ascii="Arial" w:hAnsi="Arial"/>
        </w:rPr>
        <w:t xml:space="preserve"> .</w:t>
      </w:r>
    </w:p>
    <w:p w:rsidR="00EA4133" w:rsidRDefault="00EA4133">
      <w:pPr>
        <w:pStyle w:val="List"/>
        <w:tabs>
          <w:tab w:val="left" w:pos="9180"/>
        </w:tabs>
        <w:spacing w:before="0"/>
        <w:jc w:val="both"/>
        <w:rPr>
          <w:rFonts w:ascii="Arial" w:hAnsi="Arial"/>
        </w:rPr>
      </w:pPr>
    </w:p>
    <w:p w:rsidR="00EA4133" w:rsidRPr="00412923" w:rsidRDefault="00EA4133" w:rsidP="0041292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412923" w:rsidRPr="00412923">
        <w:rPr>
          <w:rFonts w:ascii="Arial" w:hAnsi="Arial"/>
          <w:u w:val="single"/>
        </w:rPr>
        <w:t>N/A</w:t>
      </w:r>
      <w:r>
        <w:rPr>
          <w:rFonts w:ascii="Arial" w:hAnsi="Arial"/>
          <w:u w:val="single"/>
        </w:rPr>
        <w:tab/>
      </w:r>
      <w:r w:rsidRPr="00412923">
        <w:rPr>
          <w:rFonts w:ascii="Arial" w:hAnsi="Arial"/>
        </w:rPr>
        <w:t>.</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412923">
        <w:rPr>
          <w:rFonts w:ascii="Arial" w:hAnsi="Arial"/>
        </w:rPr>
        <w:t>Instrument 45-102</w:t>
      </w:r>
      <w:r>
        <w:rPr>
          <w:rFonts w:ascii="Arial" w:hAnsi="Arial"/>
        </w:rPr>
        <w:t>.</w:t>
      </w:r>
    </w:p>
    <w:p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412923" w:rsidRPr="00412923">
        <w:rPr>
          <w:rFonts w:ascii="Arial" w:hAnsi="Arial"/>
          <w:u w:val="single"/>
        </w:rPr>
        <w:t>N/A</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(eg: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sidR="00412923" w:rsidRPr="00412923">
        <w:rPr>
          <w:rFonts w:ascii="Arial" w:hAnsi="Arial"/>
          <w:u w:val="single"/>
        </w:rPr>
        <w:t>N/A</w:t>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412923" w:rsidRPr="00412923">
        <w:rPr>
          <w:rFonts w:ascii="Arial" w:hAnsi="Arial"/>
          <w:u w:val="single"/>
        </w:rPr>
        <w:t>N/A</w:t>
      </w:r>
      <w:r>
        <w:rPr>
          <w:rFonts w:ascii="Arial" w:hAnsi="Arial"/>
          <w:color w:val="000000"/>
          <w:u w:val="single"/>
        </w:rPr>
        <w:tab/>
      </w:r>
      <w:r>
        <w:rPr>
          <w:rFonts w:ascii="Arial" w:hAnsi="Arial"/>
          <w:color w:val="000000"/>
        </w:rPr>
        <w:t xml:space="preserve"> .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412923" w:rsidRPr="00412923">
        <w:rPr>
          <w:rFonts w:ascii="Arial" w:hAnsi="Arial"/>
          <w:u w:val="single"/>
        </w:rPr>
        <w:t>N/A</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412923" w:rsidRPr="00412923">
        <w:rPr>
          <w:rFonts w:ascii="Arial" w:hAnsi="Arial"/>
          <w:u w:val="single"/>
        </w:rPr>
        <w:t>N/A</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lastRenderedPageBreak/>
        <w:t xml:space="preserve">Other: </w:t>
      </w:r>
      <w:r w:rsidR="00412923" w:rsidRPr="00412923">
        <w:rPr>
          <w:rFonts w:ascii="Arial" w:hAnsi="Arial"/>
          <w:u w:val="single"/>
        </w:rPr>
        <w:t>N/A</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412923" w:rsidRPr="00412923">
        <w:rPr>
          <w:rFonts w:ascii="Arial" w:hAnsi="Arial"/>
          <w:u w:val="single"/>
        </w:rPr>
        <w:t>N/A</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412923" w:rsidRPr="00412923">
        <w:rPr>
          <w:rFonts w:ascii="Arial" w:hAnsi="Arial"/>
          <w:u w:val="single"/>
        </w:rPr>
        <w:t>N/A</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412923" w:rsidRPr="00412923">
        <w:rPr>
          <w:rFonts w:ascii="Arial" w:hAnsi="Arial"/>
          <w:u w:val="single"/>
        </w:rPr>
        <w:t>N/A</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sidR="00412923" w:rsidRPr="00412923">
        <w:rPr>
          <w:rFonts w:ascii="Arial" w:hAnsi="Arial"/>
          <w:u w:val="single"/>
        </w:rPr>
        <w:t>N/A</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412923" w:rsidRPr="00412923">
        <w:rPr>
          <w:rFonts w:ascii="Arial" w:hAnsi="Arial"/>
          <w:u w:val="single"/>
        </w:rPr>
        <w:t>N/A</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sidR="00412923" w:rsidRPr="00412923">
        <w:rPr>
          <w:rFonts w:ascii="Arial" w:hAnsi="Arial"/>
          <w:u w:val="single"/>
        </w:rPr>
        <w:t>N/A</w:t>
      </w:r>
      <w:r>
        <w:rPr>
          <w:rFonts w:ascii="Arial" w:hAnsi="Arial"/>
          <w:u w:val="single"/>
        </w:rPr>
        <w:tab/>
      </w:r>
      <w:r>
        <w:rPr>
          <w:rFonts w:ascii="Arial" w:hAnsi="Arial"/>
          <w:u w:val="single"/>
        </w:rPr>
        <w:tab/>
      </w:r>
      <w:r>
        <w:rPr>
          <w:rFonts w:ascii="Arial" w:hAnsi="Arial"/>
        </w:rPr>
        <w:t xml:space="preserve"> </w:t>
      </w:r>
      <w:bookmarkStart w:id="4" w:name="_GoBack"/>
      <w:r>
        <w:rPr>
          <w:rFonts w:ascii="Arial" w:hAnsi="Arial"/>
          <w:u w:val="single"/>
        </w:rPr>
        <w:tab/>
      </w:r>
      <w:r>
        <w:rPr>
          <w:rFonts w:ascii="Arial" w:hAnsi="Arial"/>
        </w:rPr>
        <w:t>.</w:t>
      </w:r>
    </w:p>
    <w:bookmarkEnd w:id="4"/>
    <w:p w:rsidR="00EA4133" w:rsidRDefault="00EA4133">
      <w:pPr>
        <w:pStyle w:val="List"/>
        <w:tabs>
          <w:tab w:val="left" w:pos="2160"/>
          <w:tab w:val="left" w:pos="9180"/>
        </w:tabs>
        <w:ind w:left="2160"/>
        <w:rPr>
          <w:rFonts w:ascii="Arial" w:hAnsi="Arial"/>
        </w:rPr>
      </w:pPr>
      <w:r>
        <w:rPr>
          <w:rFonts w:ascii="Arial" w:hAnsi="Arial"/>
        </w:rPr>
        <w:lastRenderedPageBreak/>
        <w:t>(b)</w:t>
      </w:r>
      <w:r>
        <w:rPr>
          <w:rFonts w:ascii="Arial" w:hAnsi="Arial"/>
        </w:rPr>
        <w:tab/>
        <w:t xml:space="preserve">Cash </w:t>
      </w:r>
      <w:r w:rsidR="00412923" w:rsidRPr="00412923">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412923" w:rsidRPr="00412923">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412923" w:rsidRPr="00412923">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412923" w:rsidRPr="00412923">
        <w:rPr>
          <w:rFonts w:ascii="Arial" w:hAnsi="Arial"/>
          <w:u w:val="single"/>
        </w:rPr>
        <w:t>N/A</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412923" w:rsidRPr="00412923">
        <w:rPr>
          <w:rFonts w:ascii="Arial" w:hAnsi="Arial"/>
          <w:u w:val="single"/>
        </w:rPr>
        <w:t>N/A</w:t>
      </w:r>
      <w:r>
        <w:rPr>
          <w:rFonts w:ascii="Arial" w:hAnsi="Arial"/>
          <w:u w:val="single"/>
        </w:rPr>
        <w:tab/>
      </w:r>
      <w:r>
        <w:rPr>
          <w:rFonts w:ascii="Arial" w:hAnsi="Arial"/>
        </w:rPr>
        <w:t xml:space="preserve"> .</w:t>
      </w:r>
    </w:p>
    <w:p w:rsidR="00CF2A90" w:rsidRDefault="00CF2A90" w:rsidP="00CF2A90">
      <w:pPr>
        <w:pStyle w:val="List"/>
        <w:tabs>
          <w:tab w:val="left" w:pos="9180"/>
        </w:tabs>
        <w:ind w:left="0" w:firstLine="0"/>
        <w:rPr>
          <w:rFonts w:ascii="Arial" w:hAnsi="Arial"/>
          <w:color w:val="000000"/>
        </w:rPr>
      </w:pPr>
    </w:p>
    <w:p w:rsidR="00CF2A90" w:rsidRDefault="00CF2A90" w:rsidP="00CF2A90">
      <w:pPr>
        <w:pStyle w:val="List"/>
        <w:tabs>
          <w:tab w:val="left" w:pos="9180"/>
        </w:tabs>
        <w:ind w:left="0" w:firstLine="0"/>
        <w:rPr>
          <w:rFonts w:ascii="Arial" w:hAnsi="Arial"/>
          <w:color w:val="000000"/>
        </w:rPr>
      </w:pP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412923" w:rsidRPr="00412923">
        <w:rPr>
          <w:rFonts w:ascii="Arial" w:hAnsi="Arial"/>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412923" w:rsidRPr="00412923">
        <w:rPr>
          <w:rFonts w:ascii="Arial" w:hAnsi="Arial"/>
          <w:u w:val="single"/>
        </w:rPr>
        <w:t>N/A</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412923" w:rsidRPr="00412923">
        <w:rPr>
          <w:rFonts w:ascii="Arial" w:hAnsi="Arial"/>
          <w:u w:val="single"/>
        </w:rPr>
        <w:t>November 5, 2018</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lastRenderedPageBreak/>
        <w:tab/>
      </w:r>
      <w:r w:rsidR="00412923" w:rsidRPr="00412923">
        <w:rPr>
          <w:rFonts w:ascii="Arial" w:hAnsi="Arial"/>
          <w:u w:val="single"/>
        </w:rPr>
        <w:t>Rahim Mohamed</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412923" w:rsidRPr="00412923">
        <w:rPr>
          <w:rFonts w:ascii="Arial" w:hAnsi="Arial"/>
          <w:u w:val="single"/>
        </w:rPr>
        <w:t>“Rahim Mohamed</w:t>
      </w:r>
      <w:r w:rsidR="00412923">
        <w:rPr>
          <w:rFonts w:ascii="Arial" w:hAnsi="Arial"/>
          <w:u w:val="single"/>
        </w:rPr>
        <w:t>”</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412923" w:rsidRPr="00412923">
        <w:rPr>
          <w:rFonts w:ascii="Arial" w:hAnsi="Arial"/>
          <w:u w:val="single"/>
        </w:rPr>
        <w:t>Chief Executive Officer and Director</w:t>
      </w:r>
      <w:r>
        <w:rPr>
          <w:rFonts w:ascii="Arial" w:hAnsi="Arial"/>
          <w:u w:val="single"/>
        </w:rPr>
        <w:tab/>
      </w:r>
      <w:r>
        <w:rPr>
          <w:rFonts w:ascii="Arial" w:hAnsi="Arial"/>
        </w:rPr>
        <w:br/>
        <w:t>Official Capacity</w:t>
      </w:r>
    </w:p>
    <w:sectPr w:rsidR="00EA4133" w:rsidSect="008003B9">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314" w:rsidRDefault="00116314">
      <w:r>
        <w:separator/>
      </w:r>
    </w:p>
  </w:endnote>
  <w:endnote w:type="continuationSeparator" w:id="0">
    <w:p w:rsidR="00116314" w:rsidRDefault="0011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5E1" w:rsidRDefault="009875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33" w:rsidRPr="009875E1" w:rsidRDefault="007B7207" w:rsidP="008003B9">
    <w:pPr>
      <w:tabs>
        <w:tab w:val="center" w:pos="4674"/>
        <w:tab w:val="left" w:pos="8460"/>
      </w:tabs>
      <w:jc w:val="center"/>
      <w:rPr>
        <w:rStyle w:val="PageNumber"/>
        <w:rFonts w:ascii="Arial" w:hAnsi="Arial" w:cs="Arial"/>
        <w:b/>
      </w:rPr>
    </w:pPr>
    <w:r w:rsidRPr="007B7207">
      <w:rPr>
        <w:rFonts w:ascii="Arial" w:hAnsi="Arial" w:cs="Arial"/>
        <w:b/>
        <w:noProof/>
        <w:sz w:val="16"/>
      </w:rPr>
      <w:t>{W0368217}</w:t>
    </w:r>
    <w:r w:rsidR="00A9392C" w:rsidRPr="009875E1">
      <w:rPr>
        <w:b/>
        <w:noProof/>
      </w:rPr>
      <mc:AlternateContent>
        <mc:Choice Requires="wps">
          <w:drawing>
            <wp:anchor distT="0" distB="0" distL="114300" distR="114300" simplePos="0" relativeHeight="251657728" behindDoc="0" locked="0" layoutInCell="1" allowOverlap="1" wp14:anchorId="7828EF23" wp14:editId="556B1AC2">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sidRPr="009875E1">
      <w:rPr>
        <w:rFonts w:ascii="Arial" w:hAnsi="Arial" w:cs="Arial"/>
        <w:b/>
      </w:rPr>
      <w:t>FORM 9 – NOTICE OF PROPOSED ISSUANCE OF</w:t>
    </w:r>
  </w:p>
  <w:p w:rsidR="00EA4133" w:rsidRPr="009875E1" w:rsidRDefault="000B64EF" w:rsidP="008003B9">
    <w:pPr>
      <w:tabs>
        <w:tab w:val="center" w:pos="4674"/>
        <w:tab w:val="left" w:pos="8460"/>
      </w:tabs>
      <w:jc w:val="center"/>
      <w:rPr>
        <w:rStyle w:val="PageNumber"/>
        <w:rFonts w:ascii="Arial" w:hAnsi="Arial" w:cs="Arial"/>
        <w:b/>
      </w:rPr>
    </w:pPr>
    <w:r w:rsidRPr="009875E1">
      <w:rPr>
        <w:rFonts w:ascii="Arial" w:hAnsi="Arial" w:cs="Arial"/>
        <w:b/>
      </w:rPr>
      <w:t>LIST</w:t>
    </w:r>
    <w:r w:rsidR="00EA4133" w:rsidRPr="009875E1">
      <w:rPr>
        <w:rFonts w:ascii="Arial" w:hAnsi="Arial" w:cs="Arial"/>
        <w:b/>
      </w:rPr>
      <w:t>ED SECURITIES</w:t>
    </w:r>
  </w:p>
  <w:p w:rsidR="00EA4133" w:rsidRPr="009875E1" w:rsidRDefault="002F0416" w:rsidP="008003B9">
    <w:pPr>
      <w:pStyle w:val="Footer"/>
      <w:tabs>
        <w:tab w:val="clear" w:pos="4320"/>
        <w:tab w:val="clear" w:pos="8640"/>
        <w:tab w:val="center" w:pos="4860"/>
        <w:tab w:val="right" w:pos="9360"/>
      </w:tabs>
      <w:jc w:val="center"/>
      <w:rPr>
        <w:rStyle w:val="PageNumber"/>
        <w:rFonts w:ascii="Arial" w:hAnsi="Arial" w:cs="Arial"/>
        <w:sz w:val="16"/>
        <w:szCs w:val="16"/>
      </w:rPr>
    </w:pPr>
    <w:r w:rsidRPr="009875E1">
      <w:rPr>
        <w:rStyle w:val="PageNumber"/>
        <w:rFonts w:ascii="Arial" w:hAnsi="Arial" w:cs="Arial"/>
        <w:sz w:val="16"/>
        <w:szCs w:val="16"/>
      </w:rPr>
      <w:t>January 2015</w:t>
    </w:r>
  </w:p>
  <w:p w:rsidR="00EA4133" w:rsidRPr="009875E1" w:rsidRDefault="008003B9" w:rsidP="008003B9">
    <w:pPr>
      <w:pStyle w:val="Footer"/>
      <w:jc w:val="center"/>
      <w:rPr>
        <w:rFonts w:ascii="Arial" w:hAnsi="Arial" w:cs="Arial"/>
        <w:sz w:val="16"/>
        <w:szCs w:val="16"/>
      </w:rPr>
    </w:pPr>
    <w:r w:rsidRPr="009875E1">
      <w:rPr>
        <w:rStyle w:val="PageNumber"/>
        <w:rFonts w:ascii="Arial" w:hAnsi="Arial" w:cs="Arial"/>
        <w:sz w:val="16"/>
        <w:szCs w:val="16"/>
      </w:rPr>
      <w:t xml:space="preserve">Page </w:t>
    </w:r>
    <w:r w:rsidRPr="009875E1">
      <w:rPr>
        <w:rStyle w:val="PageNumber"/>
        <w:rFonts w:ascii="Arial" w:hAnsi="Arial" w:cs="Arial"/>
        <w:sz w:val="16"/>
        <w:szCs w:val="16"/>
      </w:rPr>
      <w:fldChar w:fldCharType="begin"/>
    </w:r>
    <w:r w:rsidRPr="009875E1">
      <w:rPr>
        <w:rStyle w:val="PageNumber"/>
        <w:rFonts w:ascii="Arial" w:hAnsi="Arial" w:cs="Arial"/>
        <w:sz w:val="16"/>
        <w:szCs w:val="16"/>
      </w:rPr>
      <w:instrText xml:space="preserve"> PAGE </w:instrText>
    </w:r>
    <w:r w:rsidRPr="009875E1">
      <w:rPr>
        <w:rStyle w:val="PageNumber"/>
        <w:rFonts w:ascii="Arial" w:hAnsi="Arial" w:cs="Arial"/>
        <w:sz w:val="16"/>
        <w:szCs w:val="16"/>
      </w:rPr>
      <w:fldChar w:fldCharType="separate"/>
    </w:r>
    <w:r w:rsidR="007B7207">
      <w:rPr>
        <w:rStyle w:val="PageNumber"/>
        <w:rFonts w:ascii="Arial" w:hAnsi="Arial" w:cs="Arial"/>
        <w:noProof/>
        <w:sz w:val="16"/>
        <w:szCs w:val="16"/>
      </w:rPr>
      <w:t>7</w:t>
    </w:r>
    <w:r w:rsidRPr="009875E1">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33" w:rsidRDefault="009875E1">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314" w:rsidRDefault="00116314">
      <w:pPr>
        <w:rPr>
          <w:noProof/>
        </w:rPr>
      </w:pPr>
      <w:r>
        <w:rPr>
          <w:noProof/>
        </w:rPr>
        <w:separator/>
      </w:r>
    </w:p>
  </w:footnote>
  <w:footnote w:type="continuationSeparator" w:id="0">
    <w:p w:rsidR="00116314" w:rsidRDefault="00116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5E1" w:rsidRDefault="00987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5E1" w:rsidRDefault="009875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5E1" w:rsidRDefault="009875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16184DC2"/>
    <w:multiLevelType w:val="hybridMultilevel"/>
    <w:tmpl w:val="71C28350"/>
    <w:lvl w:ilvl="0" w:tplc="07C8BF04">
      <w:start w:val="1"/>
      <w:numFmt w:val="lowerLetter"/>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0"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3"/>
  </w:num>
  <w:num w:numId="3">
    <w:abstractNumId w:val="10"/>
  </w:num>
  <w:num w:numId="4">
    <w:abstractNumId w:val="14"/>
  </w:num>
  <w:num w:numId="5">
    <w:abstractNumId w:val="12"/>
  </w:num>
  <w:num w:numId="6">
    <w:abstractNumId w:val="0"/>
  </w:num>
  <w:num w:numId="7">
    <w:abstractNumId w:val="11"/>
  </w:num>
  <w:num w:numId="8">
    <w:abstractNumId w:val="6"/>
  </w:num>
  <w:num w:numId="9">
    <w:abstractNumId w:val="8"/>
  </w:num>
  <w:num w:numId="10">
    <w:abstractNumId w:val="5"/>
  </w:num>
  <w:num w:numId="11">
    <w:abstractNumId w:val="15"/>
  </w:num>
  <w:num w:numId="12">
    <w:abstractNumId w:val="17"/>
  </w:num>
  <w:num w:numId="13">
    <w:abstractNumId w:val="4"/>
  </w:num>
  <w:num w:numId="14">
    <w:abstractNumId w:val="9"/>
  </w:num>
  <w:num w:numId="15">
    <w:abstractNumId w:val="1"/>
  </w:num>
  <w:num w:numId="16">
    <w:abstractNumId w:val="16"/>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1060A"/>
    <w:rsid w:val="000B64EF"/>
    <w:rsid w:val="00116314"/>
    <w:rsid w:val="00173F0B"/>
    <w:rsid w:val="00186DA5"/>
    <w:rsid w:val="001874D6"/>
    <w:rsid w:val="002557FD"/>
    <w:rsid w:val="002F0416"/>
    <w:rsid w:val="00326D55"/>
    <w:rsid w:val="00412923"/>
    <w:rsid w:val="00456624"/>
    <w:rsid w:val="004A1403"/>
    <w:rsid w:val="004B214D"/>
    <w:rsid w:val="00617A0E"/>
    <w:rsid w:val="0062717F"/>
    <w:rsid w:val="007568B3"/>
    <w:rsid w:val="007B0425"/>
    <w:rsid w:val="007B7207"/>
    <w:rsid w:val="008003B9"/>
    <w:rsid w:val="008F27FF"/>
    <w:rsid w:val="009136E7"/>
    <w:rsid w:val="009466F0"/>
    <w:rsid w:val="0097763E"/>
    <w:rsid w:val="009875E1"/>
    <w:rsid w:val="00A00C54"/>
    <w:rsid w:val="00A10285"/>
    <w:rsid w:val="00A90670"/>
    <w:rsid w:val="00A93530"/>
    <w:rsid w:val="00A9392C"/>
    <w:rsid w:val="00B923F6"/>
    <w:rsid w:val="00CF076A"/>
    <w:rsid w:val="00CF2A90"/>
    <w:rsid w:val="00DB640C"/>
    <w:rsid w:val="00E52827"/>
    <w:rsid w:val="00E55E58"/>
    <w:rsid w:val="00E97C13"/>
    <w:rsid w:val="00EA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B6846FA9-A69F-4633-AD98-84ABCAD4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7</Pages>
  <Words>1583</Words>
  <Characters>8105</Characters>
  <Application>Microsoft Office Word</Application>
  <DocSecurity>0</DocSecurity>
  <PresentationFormat/>
  <Lines>293</Lines>
  <Paragraphs>124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APPX CSE Form 9 - Notice of Issuance of Securities November 5, 2018 (W0368217).DOCX</dc:title>
  <dc:subject>W0368217/Font=8</dc:subject>
  <dc:creator>lstdjoh</dc:creator>
  <cp:keywords/>
  <dc:description/>
  <cp:lastModifiedBy>Robert Galletti</cp:lastModifiedBy>
  <cp:revision>5</cp:revision>
  <cp:lastPrinted>2004-05-20T20:47:00Z</cp:lastPrinted>
  <dcterms:created xsi:type="dcterms:W3CDTF">2018-11-02T21:42:00Z</dcterms:created>
  <dcterms:modified xsi:type="dcterms:W3CDTF">2018-11-06T00:53:00Z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