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41D1D" w:rsidRPr="00D41D1D">
        <w:rPr>
          <w:rFonts w:ascii="Arial" w:hAnsi="Arial"/>
          <w:b/>
          <w:color w:val="000000"/>
        </w:rPr>
        <w:t>APPIA ENERGY CORP.</w:t>
      </w:r>
      <w:r w:rsidR="00D41D1D">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41D1D">
        <w:rPr>
          <w:rFonts w:ascii="Arial" w:hAnsi="Arial"/>
          <w:b/>
          <w:color w:val="000000"/>
        </w:rPr>
        <w:t>“API”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41D1D" w:rsidRPr="00D41D1D">
        <w:rPr>
          <w:rFonts w:ascii="Arial" w:hAnsi="Arial"/>
          <w:b/>
          <w:color w:val="000000"/>
        </w:rPr>
        <w:t>4</w:t>
      </w:r>
      <w:r w:rsidR="00F618F3">
        <w:rPr>
          <w:rFonts w:ascii="Arial" w:hAnsi="Arial"/>
          <w:b/>
          <w:color w:val="000000"/>
        </w:rPr>
        <w:t>2</w:t>
      </w:r>
      <w:r w:rsidR="00D41D1D" w:rsidRPr="00D41D1D">
        <w:rPr>
          <w:rFonts w:ascii="Arial" w:hAnsi="Arial"/>
          <w:b/>
          <w:color w:val="000000"/>
        </w:rPr>
        <w:t>,</w:t>
      </w:r>
      <w:r w:rsidR="00F618F3">
        <w:rPr>
          <w:rFonts w:ascii="Arial" w:hAnsi="Arial"/>
          <w:b/>
          <w:color w:val="000000"/>
        </w:rPr>
        <w:t>9</w:t>
      </w:r>
      <w:r w:rsidR="00F97D47">
        <w:rPr>
          <w:rFonts w:ascii="Arial" w:hAnsi="Arial"/>
          <w:b/>
          <w:color w:val="000000"/>
        </w:rPr>
        <w:t>66</w:t>
      </w:r>
      <w:r w:rsidR="00D41D1D" w:rsidRPr="00D41D1D">
        <w:rPr>
          <w:rFonts w:ascii="Arial" w:hAnsi="Arial"/>
          <w:b/>
          <w:color w:val="000000"/>
        </w:rPr>
        <w:t>,078</w:t>
      </w:r>
    </w:p>
    <w:p w:rsidR="00640E94" w:rsidRDefault="00640E94">
      <w:pPr>
        <w:pStyle w:val="BodyText"/>
        <w:tabs>
          <w:tab w:val="left" w:pos="7920"/>
          <w:tab w:val="left" w:pos="9180"/>
        </w:tabs>
        <w:rPr>
          <w:rFonts w:ascii="Arial" w:hAnsi="Arial"/>
          <w:color w:val="000000"/>
        </w:rPr>
      </w:pPr>
      <w:r>
        <w:rPr>
          <w:rFonts w:ascii="Arial" w:hAnsi="Arial"/>
          <w:color w:val="000000"/>
        </w:rPr>
        <w:t>Date:</w:t>
      </w:r>
      <w:r w:rsidRPr="00D57C3C">
        <w:rPr>
          <w:rFonts w:ascii="Arial" w:hAnsi="Arial"/>
          <w:b/>
          <w:color w:val="000000"/>
        </w:rPr>
        <w:t xml:space="preserve"> </w:t>
      </w:r>
      <w:r w:rsidR="003C406A">
        <w:rPr>
          <w:rFonts w:ascii="Arial" w:hAnsi="Arial"/>
          <w:b/>
          <w:color w:val="000000"/>
        </w:rPr>
        <w:t>September 1</w:t>
      </w:r>
      <w:r w:rsidR="00D41D1D">
        <w:rPr>
          <w:rFonts w:ascii="Arial" w:hAnsi="Arial"/>
          <w:b/>
          <w:color w:val="000000"/>
        </w:rPr>
        <w:t>, 2016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E7312C" w:rsidRDefault="00640E94" w:rsidP="00E7312C">
      <w:pPr>
        <w:pStyle w:val="List"/>
        <w:numPr>
          <w:ilvl w:val="0"/>
          <w:numId w:val="28"/>
        </w:numPr>
        <w:spacing w:before="120"/>
        <w:ind w:left="709" w:hanging="709"/>
        <w:jc w:val="both"/>
        <w:rPr>
          <w:rFonts w:ascii="Arial" w:hAnsi="Arial"/>
          <w:b/>
        </w:rPr>
      </w:pPr>
      <w:r>
        <w:rPr>
          <w:rFonts w:ascii="Arial" w:hAnsi="Arial"/>
        </w:rPr>
        <w:t>Provide a general overview and discussion of the development of the Issuer’s business and operations over the previous month.  Where the Issuer was inactive disclose this fact.</w:t>
      </w:r>
      <w:r w:rsidR="00D41D1D">
        <w:rPr>
          <w:rFonts w:ascii="Arial" w:hAnsi="Arial"/>
        </w:rPr>
        <w:t xml:space="preserve"> </w:t>
      </w:r>
      <w:r w:rsidR="003C406A" w:rsidRPr="003C406A">
        <w:rPr>
          <w:rFonts w:ascii="Arial" w:hAnsi="Arial"/>
          <w:b/>
        </w:rPr>
        <w:t>The Company has planned</w:t>
      </w:r>
      <w:r w:rsidR="003C406A">
        <w:rPr>
          <w:rFonts w:ascii="Arial" w:hAnsi="Arial"/>
        </w:rPr>
        <w:t xml:space="preserve"> </w:t>
      </w:r>
      <w:r w:rsidR="003C406A">
        <w:rPr>
          <w:rFonts w:ascii="Arial" w:hAnsi="Arial"/>
          <w:b/>
        </w:rPr>
        <w:t>an</w:t>
      </w:r>
      <w:r w:rsidR="00D57C3C">
        <w:rPr>
          <w:rFonts w:ascii="Arial" w:hAnsi="Arial"/>
          <w:b/>
        </w:rPr>
        <w:t xml:space="preserve"> </w:t>
      </w:r>
      <w:r w:rsidR="00F618F3">
        <w:rPr>
          <w:rFonts w:ascii="Arial" w:hAnsi="Arial"/>
          <w:b/>
        </w:rPr>
        <w:t xml:space="preserve">airborne </w:t>
      </w:r>
      <w:r w:rsidR="003C406A">
        <w:rPr>
          <w:rFonts w:ascii="Arial" w:hAnsi="Arial"/>
          <w:b/>
        </w:rPr>
        <w:t>715</w:t>
      </w:r>
      <w:r w:rsidR="00F618F3">
        <w:rPr>
          <w:rFonts w:ascii="Arial" w:hAnsi="Arial"/>
          <w:b/>
        </w:rPr>
        <w:t xml:space="preserve"> line-kilometre VTEM</w:t>
      </w:r>
      <w:r w:rsidR="00F618F3">
        <w:rPr>
          <w:rFonts w:ascii="Arial" w:hAnsi="Arial"/>
          <w:b/>
          <w:vertAlign w:val="superscript"/>
        </w:rPr>
        <w:t>TM</w:t>
      </w:r>
      <w:r w:rsidR="00F618F3">
        <w:rPr>
          <w:rFonts w:ascii="Arial" w:hAnsi="Arial"/>
          <w:b/>
        </w:rPr>
        <w:t xml:space="preserve"> </w:t>
      </w:r>
      <w:r w:rsidR="003C406A">
        <w:rPr>
          <w:rFonts w:ascii="Arial" w:hAnsi="Arial"/>
          <w:b/>
        </w:rPr>
        <w:t>Max</w:t>
      </w:r>
      <w:r w:rsidR="00F618F3">
        <w:rPr>
          <w:rFonts w:ascii="Arial" w:hAnsi="Arial"/>
          <w:b/>
          <w:i/>
        </w:rPr>
        <w:t xml:space="preserve"> </w:t>
      </w:r>
      <w:r w:rsidR="003C406A">
        <w:rPr>
          <w:rFonts w:ascii="Arial" w:hAnsi="Arial"/>
          <w:b/>
        </w:rPr>
        <w:t>T</w:t>
      </w:r>
      <w:r w:rsidR="00F618F3">
        <w:rPr>
          <w:rFonts w:ascii="Arial" w:hAnsi="Arial"/>
          <w:b/>
        </w:rPr>
        <w:t>ime-</w:t>
      </w:r>
      <w:r w:rsidR="003C406A">
        <w:rPr>
          <w:rFonts w:ascii="Arial" w:hAnsi="Arial"/>
          <w:b/>
        </w:rPr>
        <w:t>D</w:t>
      </w:r>
      <w:r w:rsidR="00F618F3">
        <w:rPr>
          <w:rFonts w:ascii="Arial" w:hAnsi="Arial"/>
          <w:b/>
        </w:rPr>
        <w:t xml:space="preserve">omain electromagnetic survey with additional magnetic and radiometric components over </w:t>
      </w:r>
      <w:r w:rsidR="00E7312C">
        <w:rPr>
          <w:rFonts w:ascii="Arial" w:hAnsi="Arial"/>
          <w:b/>
        </w:rPr>
        <w:t>its</w:t>
      </w:r>
      <w:r w:rsidR="003C406A">
        <w:rPr>
          <w:rFonts w:ascii="Arial" w:hAnsi="Arial"/>
          <w:b/>
        </w:rPr>
        <w:t xml:space="preserve"> Loranger</w:t>
      </w:r>
      <w:r w:rsidR="00F618F3">
        <w:rPr>
          <w:rFonts w:ascii="Arial" w:hAnsi="Arial"/>
          <w:b/>
        </w:rPr>
        <w:t xml:space="preserve"> Property </w:t>
      </w:r>
      <w:r w:rsidR="00E7312C">
        <w:rPr>
          <w:rFonts w:ascii="Arial" w:hAnsi="Arial"/>
          <w:b/>
        </w:rPr>
        <w:t>located 28 km southeast of Cameco’s Rabbit Lake mill, n</w:t>
      </w:r>
      <w:r w:rsidR="00F618F3">
        <w:rPr>
          <w:rFonts w:ascii="Arial" w:hAnsi="Arial"/>
          <w:b/>
        </w:rPr>
        <w:t>orthern Saskatchewan</w:t>
      </w:r>
      <w:r w:rsidR="00E7312C">
        <w:rPr>
          <w:rFonts w:ascii="Arial" w:hAnsi="Arial"/>
          <w:b/>
        </w:rPr>
        <w:t>. Flying is expected to take place in September.</w:t>
      </w:r>
    </w:p>
    <w:p w:rsidR="0078044D" w:rsidRPr="0078044D" w:rsidRDefault="00640E94" w:rsidP="00E7312C">
      <w:pPr>
        <w:pStyle w:val="List"/>
        <w:numPr>
          <w:ilvl w:val="0"/>
          <w:numId w:val="28"/>
        </w:numPr>
        <w:spacing w:before="120"/>
        <w:ind w:left="709" w:hanging="709"/>
        <w:jc w:val="both"/>
        <w:rPr>
          <w:rFonts w:ascii="Arial" w:hAnsi="Arial"/>
          <w:b/>
        </w:rPr>
      </w:pPr>
      <w:r w:rsidRPr="0078044D">
        <w:rPr>
          <w:rFonts w:ascii="Arial" w:hAnsi="Arial"/>
        </w:rPr>
        <w:lastRenderedPageBreak/>
        <w:t>Provide a general overview and discussion of the activities of management.</w:t>
      </w:r>
      <w:r w:rsidR="00C736FB" w:rsidRPr="0078044D">
        <w:rPr>
          <w:rFonts w:ascii="Arial" w:hAnsi="Arial"/>
        </w:rPr>
        <w:t xml:space="preserve"> </w:t>
      </w:r>
      <w:r w:rsidR="0078044D" w:rsidRPr="0078044D">
        <w:rPr>
          <w:rFonts w:ascii="Arial" w:hAnsi="Arial"/>
          <w:b/>
        </w:rPr>
        <w:t xml:space="preserve">The </w:t>
      </w:r>
      <w:r w:rsidR="00F618F3" w:rsidRPr="0078044D">
        <w:rPr>
          <w:rFonts w:ascii="Arial" w:hAnsi="Arial"/>
          <w:b/>
        </w:rPr>
        <w:t xml:space="preserve">Company </w:t>
      </w:r>
      <w:r w:rsidR="0078044D" w:rsidRPr="0078044D">
        <w:rPr>
          <w:rFonts w:ascii="Arial" w:hAnsi="Arial"/>
          <w:b/>
        </w:rPr>
        <w:t xml:space="preserve">is progressing with </w:t>
      </w:r>
      <w:r w:rsidR="00E7312C">
        <w:rPr>
          <w:rFonts w:ascii="Arial" w:hAnsi="Arial"/>
          <w:b/>
        </w:rPr>
        <w:t xml:space="preserve">the </w:t>
      </w:r>
      <w:r w:rsidR="0078044D" w:rsidRPr="0078044D">
        <w:rPr>
          <w:rFonts w:ascii="Arial" w:hAnsi="Arial"/>
          <w:b/>
        </w:rPr>
        <w:t xml:space="preserve">second </w:t>
      </w:r>
      <w:r w:rsidR="004100BD">
        <w:rPr>
          <w:rFonts w:ascii="Arial" w:hAnsi="Arial"/>
          <w:b/>
        </w:rPr>
        <w:t xml:space="preserve">(final) </w:t>
      </w:r>
      <w:r w:rsidR="0078044D" w:rsidRPr="0078044D">
        <w:rPr>
          <w:rFonts w:ascii="Arial" w:hAnsi="Arial"/>
          <w:b/>
        </w:rPr>
        <w:t>tranche</w:t>
      </w:r>
      <w:r w:rsidR="004100BD">
        <w:rPr>
          <w:rFonts w:ascii="Arial" w:hAnsi="Arial"/>
          <w:b/>
        </w:rPr>
        <w:t xml:space="preserve"> </w:t>
      </w:r>
      <w:r w:rsidR="0078044D" w:rsidRPr="0078044D">
        <w:rPr>
          <w:rFonts w:ascii="Arial" w:hAnsi="Arial"/>
          <w:b/>
        </w:rPr>
        <w:t xml:space="preserve">of </w:t>
      </w:r>
      <w:r w:rsidR="00F618F3" w:rsidRPr="0078044D">
        <w:rPr>
          <w:rFonts w:ascii="Arial" w:hAnsi="Arial"/>
          <w:b/>
        </w:rPr>
        <w:t xml:space="preserve">a non-brokered offering of up to 5 million working capital </w:t>
      </w:r>
      <w:r w:rsidR="00D7435F" w:rsidRPr="0078044D">
        <w:rPr>
          <w:rFonts w:ascii="Arial" w:hAnsi="Arial"/>
          <w:b/>
        </w:rPr>
        <w:t xml:space="preserve">units (“WC Units”) at a price of $0.20 per unit and up to 5 million flow-through units (“FT Units”) at a price of $0.20 per unit. </w:t>
      </w:r>
    </w:p>
    <w:p w:rsidR="00F618F3" w:rsidRDefault="0078044D" w:rsidP="00F618F3">
      <w:pPr>
        <w:pStyle w:val="List"/>
        <w:spacing w:before="120"/>
        <w:ind w:left="720" w:firstLine="0"/>
        <w:jc w:val="both"/>
        <w:rPr>
          <w:rFonts w:ascii="Arial" w:hAnsi="Arial"/>
          <w:b/>
        </w:rPr>
      </w:pPr>
      <w:r>
        <w:rPr>
          <w:rFonts w:ascii="Arial" w:hAnsi="Arial"/>
          <w:b/>
        </w:rPr>
        <w:t>In June</w:t>
      </w:r>
      <w:r w:rsidR="00D7435F">
        <w:rPr>
          <w:rFonts w:ascii="Arial" w:hAnsi="Arial"/>
          <w:b/>
        </w:rPr>
        <w:t xml:space="preserve"> the Company announced the closing of the first tranche of WC Units, comprising 1,315,000 units for gross proceeds of $263,000. </w:t>
      </w:r>
      <w:r>
        <w:rPr>
          <w:rFonts w:ascii="Arial" w:hAnsi="Arial"/>
          <w:b/>
        </w:rPr>
        <w:t xml:space="preserve">The Company expects to close </w:t>
      </w:r>
      <w:r w:rsidR="004100BD">
        <w:rPr>
          <w:rFonts w:ascii="Arial" w:hAnsi="Arial"/>
          <w:b/>
        </w:rPr>
        <w:t>the</w:t>
      </w:r>
      <w:r>
        <w:rPr>
          <w:rFonts w:ascii="Arial" w:hAnsi="Arial"/>
          <w:b/>
        </w:rPr>
        <w:t xml:space="preserve"> second tranche in </w:t>
      </w:r>
      <w:r w:rsidR="004100BD">
        <w:rPr>
          <w:rFonts w:ascii="Arial" w:hAnsi="Arial"/>
          <w:b/>
        </w:rPr>
        <w:t>September</w:t>
      </w:r>
      <w:r>
        <w:rPr>
          <w:rFonts w:ascii="Arial" w:hAnsi="Arial"/>
          <w:b/>
        </w:rPr>
        <w:t>.</w:t>
      </w:r>
    </w:p>
    <w:p w:rsidR="0078044D" w:rsidRDefault="0078044D" w:rsidP="00F618F3">
      <w:pPr>
        <w:pStyle w:val="List"/>
        <w:spacing w:before="120"/>
        <w:ind w:left="720" w:firstLine="0"/>
        <w:jc w:val="both"/>
        <w:rPr>
          <w:rFonts w:ascii="Arial" w:hAnsi="Arial"/>
        </w:rPr>
      </w:pPr>
      <w:r>
        <w:rPr>
          <w:rFonts w:ascii="Arial" w:hAnsi="Arial"/>
          <w:b/>
        </w:rPr>
        <w:t>The proceeds will be used to explore the recently acquired Loranger property (see news release April 26, 2016) and for working capital.</w:t>
      </w:r>
    </w:p>
    <w:p w:rsidR="00640E94" w:rsidRDefault="00F97D47" w:rsidP="00C736FB">
      <w:pPr>
        <w:pStyle w:val="List"/>
        <w:numPr>
          <w:ilvl w:val="0"/>
          <w:numId w:val="28"/>
        </w:numPr>
        <w:tabs>
          <w:tab w:val="left" w:pos="567"/>
        </w:tabs>
        <w:spacing w:before="120"/>
        <w:ind w:hanging="578"/>
        <w:jc w:val="both"/>
        <w:rPr>
          <w:rFonts w:ascii="Arial" w:hAnsi="Arial"/>
        </w:rPr>
      </w:pPr>
      <w:r>
        <w:rPr>
          <w:rFonts w:ascii="Arial" w:hAnsi="Arial"/>
        </w:rPr>
        <w:t xml:space="preserve">  </w:t>
      </w:r>
      <w:r w:rsidR="00640E94">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B45038">
        <w:rPr>
          <w:rFonts w:ascii="Arial" w:hAnsi="Arial"/>
        </w:rPr>
        <w:t xml:space="preserve"> </w:t>
      </w:r>
      <w:r w:rsidR="00AC3EB5">
        <w:rPr>
          <w:rFonts w:ascii="Arial" w:hAnsi="Arial"/>
          <w:b/>
        </w:rPr>
        <w:t>During the month Appia acquired an additional 5,969 hectares of surface exploration rights contiguous to the Loranger property in northern Saskatchewan.</w:t>
      </w:r>
    </w:p>
    <w:p w:rsidR="00640E94" w:rsidRPr="00F97D47" w:rsidRDefault="00F97D47">
      <w:pPr>
        <w:pStyle w:val="List"/>
        <w:numPr>
          <w:ilvl w:val="0"/>
          <w:numId w:val="28"/>
        </w:numPr>
        <w:spacing w:before="120"/>
        <w:jc w:val="both"/>
        <w:rPr>
          <w:rFonts w:ascii="Arial" w:hAnsi="Arial"/>
        </w:rPr>
      </w:pPr>
      <w:r>
        <w:rPr>
          <w:rFonts w:ascii="Arial" w:hAnsi="Arial"/>
        </w:rPr>
        <w:t>D</w:t>
      </w:r>
      <w:r w:rsidR="00640E94">
        <w:rPr>
          <w:rFonts w:ascii="Arial" w:hAnsi="Arial"/>
        </w:rPr>
        <w:t>escribe and provide details of any products or services that were discontinued. For resource companies, provide details of any drilling, exploration or production programs that have been amended or abandoned.</w:t>
      </w:r>
      <w:r w:rsidR="00C736FB">
        <w:rPr>
          <w:rFonts w:ascii="Arial" w:hAnsi="Arial"/>
        </w:rPr>
        <w:t xml:space="preserve"> </w:t>
      </w:r>
      <w:r w:rsidR="00C736FB">
        <w:rPr>
          <w:rFonts w:ascii="Arial" w:hAnsi="Arial"/>
          <w:b/>
        </w:rPr>
        <w:t>N/A</w:t>
      </w:r>
    </w:p>
    <w:p w:rsidR="00C736FB" w:rsidRDefault="00640E94" w:rsidP="00F97D47">
      <w:pPr>
        <w:pStyle w:val="List"/>
        <w:numPr>
          <w:ilvl w:val="0"/>
          <w:numId w:val="28"/>
        </w:numPr>
        <w:spacing w:before="120"/>
        <w:jc w:val="both"/>
        <w:rPr>
          <w:rFonts w:ascii="Arial" w:hAnsi="Arial"/>
        </w:rPr>
      </w:pPr>
      <w:r w:rsidRPr="00C736FB">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45038" w:rsidRPr="00C736FB">
        <w:rPr>
          <w:rFonts w:ascii="Arial" w:hAnsi="Arial"/>
          <w:b/>
        </w:rPr>
        <w:t xml:space="preserve"> </w:t>
      </w:r>
      <w:r w:rsidR="00AC3EB5">
        <w:rPr>
          <w:rFonts w:ascii="Arial" w:hAnsi="Arial"/>
          <w:b/>
        </w:rPr>
        <w:t>During the month Appia engaged Palisade Global Investments Ltd. as advisory consultants regarding financial market participants in the United States, Canada and Europe. Dr. Irvine R. Annes</w:t>
      </w:r>
      <w:r w:rsidR="00AD414D">
        <w:rPr>
          <w:rFonts w:ascii="Arial" w:hAnsi="Arial"/>
          <w:b/>
        </w:rPr>
        <w:t>le</w:t>
      </w:r>
      <w:r w:rsidR="00AC3EB5">
        <w:rPr>
          <w:rFonts w:ascii="Arial" w:hAnsi="Arial"/>
          <w:b/>
        </w:rPr>
        <w:t>y</w:t>
      </w:r>
      <w:r w:rsidR="00AD414D">
        <w:rPr>
          <w:rFonts w:ascii="Arial" w:hAnsi="Arial"/>
          <w:b/>
        </w:rPr>
        <w:t>, who has extensive experience in applied mineral exploration in the uranium-thorium-Rare Earth Elements</w:t>
      </w:r>
      <w:r w:rsidR="00AC3EB5">
        <w:rPr>
          <w:rFonts w:ascii="Arial" w:hAnsi="Arial"/>
          <w:b/>
        </w:rPr>
        <w:t xml:space="preserve"> </w:t>
      </w:r>
      <w:r w:rsidR="00AD414D">
        <w:rPr>
          <w:rFonts w:ascii="Arial" w:hAnsi="Arial"/>
          <w:b/>
        </w:rPr>
        <w:t>field, was also appointed as an advisor and consultant to the Company.</w:t>
      </w:r>
      <w:r w:rsidR="00AC3EB5">
        <w:rPr>
          <w:rFonts w:ascii="Arial" w:hAnsi="Arial"/>
          <w:b/>
        </w:rPr>
        <w:t xml:space="preserve"> </w:t>
      </w:r>
    </w:p>
    <w:p w:rsidR="00640E94" w:rsidRPr="00C736FB" w:rsidRDefault="00640E94" w:rsidP="00C736FB">
      <w:pPr>
        <w:pStyle w:val="List"/>
        <w:numPr>
          <w:ilvl w:val="0"/>
          <w:numId w:val="28"/>
        </w:numPr>
        <w:spacing w:before="120"/>
        <w:jc w:val="both"/>
        <w:rPr>
          <w:rFonts w:ascii="Arial" w:hAnsi="Arial"/>
        </w:rPr>
      </w:pPr>
      <w:r w:rsidRPr="00C736FB">
        <w:rPr>
          <w:rFonts w:ascii="Arial" w:hAnsi="Arial"/>
        </w:rPr>
        <w:t>Describe the expiry or termination of any contracts or agreements between the Issuer, the Issuer’s affiliates or third parties or cancellation of any financing arrangements that have been previously announced.</w:t>
      </w:r>
      <w:r w:rsidR="00C736FB">
        <w:rPr>
          <w:rFonts w:ascii="Arial" w:hAnsi="Arial"/>
        </w:rPr>
        <w:t xml:space="preserve"> </w:t>
      </w:r>
      <w:r w:rsid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C736FB">
        <w:rPr>
          <w:rFonts w:ascii="Arial" w:hAnsi="Arial"/>
        </w:rPr>
        <w:t xml:space="preserve">s of the relationship. </w:t>
      </w:r>
      <w:r w:rsidR="00616C05">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C736FB" w:rsidRPr="00C736F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C736FB" w:rsidRPr="00C736F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C736FB" w:rsidRPr="00C736F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78044D" w:rsidRPr="0078044D">
        <w:rPr>
          <w:rFonts w:ascii="Arial" w:hAnsi="Arial"/>
          <w:b/>
        </w:rPr>
        <w:t xml:space="preserve"> N/A</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Pr="006B26E6" w:rsidRDefault="00640E94">
            <w:pPr>
              <w:pStyle w:val="List"/>
              <w:tabs>
                <w:tab w:val="left" w:pos="360"/>
              </w:tabs>
              <w:spacing w:before="0" w:line="280" w:lineRule="exact"/>
              <w:ind w:left="0" w:firstLine="0"/>
              <w:jc w:val="both"/>
              <w:rPr>
                <w:rFonts w:ascii="Arial" w:hAnsi="Arial"/>
                <w:b/>
              </w:rPr>
            </w:pPr>
          </w:p>
        </w:tc>
        <w:tc>
          <w:tcPr>
            <w:tcW w:w="2394" w:type="dxa"/>
          </w:tcPr>
          <w:p w:rsidR="00640E94" w:rsidRPr="006B26E6" w:rsidRDefault="00640E94" w:rsidP="00F97D47">
            <w:pPr>
              <w:pStyle w:val="List"/>
              <w:tabs>
                <w:tab w:val="left" w:pos="360"/>
              </w:tabs>
              <w:spacing w:before="0" w:line="280" w:lineRule="exact"/>
              <w:ind w:left="0" w:firstLine="0"/>
              <w:jc w:val="both"/>
              <w:rPr>
                <w:rFonts w:ascii="Arial" w:hAnsi="Arial"/>
                <w:b/>
              </w:rPr>
            </w:pPr>
          </w:p>
        </w:tc>
        <w:tc>
          <w:tcPr>
            <w:tcW w:w="2394" w:type="dxa"/>
          </w:tcPr>
          <w:p w:rsidR="0034437D" w:rsidRPr="006B26E6" w:rsidRDefault="0034437D">
            <w:pPr>
              <w:pStyle w:val="List"/>
              <w:tabs>
                <w:tab w:val="left" w:pos="360"/>
              </w:tabs>
              <w:spacing w:before="0" w:line="280" w:lineRule="exact"/>
              <w:ind w:left="0" w:firstLine="0"/>
              <w:jc w:val="both"/>
              <w:rPr>
                <w:rFonts w:ascii="Arial" w:hAnsi="Arial"/>
                <w:b/>
              </w:rPr>
            </w:pPr>
          </w:p>
        </w:tc>
        <w:tc>
          <w:tcPr>
            <w:tcW w:w="2394" w:type="dxa"/>
          </w:tcPr>
          <w:p w:rsidR="00640E94" w:rsidRPr="006B26E6" w:rsidRDefault="00640E94">
            <w:pPr>
              <w:pStyle w:val="List"/>
              <w:tabs>
                <w:tab w:val="left" w:pos="360"/>
              </w:tabs>
              <w:spacing w:before="0" w:line="280" w:lineRule="exact"/>
              <w:ind w:left="0" w:firstLine="0"/>
              <w:jc w:val="both"/>
              <w:rPr>
                <w:rFonts w:ascii="Arial" w:hAnsi="Arial"/>
                <w:b/>
              </w:rPr>
            </w:pPr>
          </w:p>
        </w:tc>
      </w:tr>
      <w:tr w:rsidR="00640E94">
        <w:tc>
          <w:tcPr>
            <w:tcW w:w="2394" w:type="dxa"/>
          </w:tcPr>
          <w:p w:rsidR="00640E94" w:rsidRPr="006B26E6" w:rsidRDefault="00640E94">
            <w:pPr>
              <w:pStyle w:val="List"/>
              <w:tabs>
                <w:tab w:val="left" w:pos="360"/>
              </w:tabs>
              <w:spacing w:before="0" w:line="280" w:lineRule="exact"/>
              <w:ind w:left="0" w:firstLine="0"/>
              <w:jc w:val="both"/>
              <w:rPr>
                <w:rFonts w:ascii="Arial" w:hAnsi="Arial"/>
                <w:b/>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Pr="006B26E6" w:rsidRDefault="00640E94">
            <w:pPr>
              <w:pStyle w:val="List"/>
              <w:tabs>
                <w:tab w:val="left" w:pos="360"/>
              </w:tabs>
              <w:spacing w:before="0" w:line="280" w:lineRule="exact"/>
              <w:ind w:left="0" w:firstLine="0"/>
              <w:jc w:val="both"/>
              <w:rPr>
                <w:rFonts w:ascii="Arial" w:hAnsi="Arial"/>
                <w:b/>
              </w:rPr>
            </w:pPr>
          </w:p>
        </w:tc>
      </w:tr>
      <w:tr w:rsidR="00640E94">
        <w:tc>
          <w:tcPr>
            <w:tcW w:w="2394" w:type="dxa"/>
          </w:tcPr>
          <w:p w:rsidR="00640E94" w:rsidRPr="006B26E6" w:rsidRDefault="00640E94">
            <w:pPr>
              <w:pStyle w:val="List"/>
              <w:tabs>
                <w:tab w:val="left" w:pos="360"/>
              </w:tabs>
              <w:spacing w:before="0" w:line="280" w:lineRule="exact"/>
              <w:ind w:left="0" w:firstLine="0"/>
              <w:jc w:val="both"/>
              <w:rPr>
                <w:rFonts w:ascii="Arial" w:hAnsi="Arial"/>
                <w:b/>
              </w:rPr>
            </w:pPr>
          </w:p>
        </w:tc>
        <w:tc>
          <w:tcPr>
            <w:tcW w:w="2394" w:type="dxa"/>
          </w:tcPr>
          <w:p w:rsidR="00640E94" w:rsidRPr="006B26E6" w:rsidRDefault="00640E94">
            <w:pPr>
              <w:pStyle w:val="List"/>
              <w:tabs>
                <w:tab w:val="left" w:pos="360"/>
              </w:tabs>
              <w:spacing w:before="0" w:line="280" w:lineRule="exact"/>
              <w:ind w:left="0" w:firstLine="0"/>
              <w:jc w:val="both"/>
              <w:rPr>
                <w:rFonts w:ascii="Arial" w:hAnsi="Arial"/>
                <w:b/>
              </w:rPr>
            </w:pPr>
          </w:p>
        </w:tc>
        <w:tc>
          <w:tcPr>
            <w:tcW w:w="2394" w:type="dxa"/>
          </w:tcPr>
          <w:p w:rsidR="00640E94" w:rsidRPr="00F97D47" w:rsidRDefault="00640E94">
            <w:pPr>
              <w:pStyle w:val="List"/>
              <w:tabs>
                <w:tab w:val="left" w:pos="360"/>
              </w:tabs>
              <w:spacing w:before="0" w:line="280" w:lineRule="exact"/>
              <w:ind w:left="0" w:firstLine="0"/>
              <w:jc w:val="both"/>
              <w:rPr>
                <w:rFonts w:ascii="Arial" w:hAnsi="Arial"/>
                <w:b/>
              </w:rPr>
            </w:pPr>
          </w:p>
        </w:tc>
        <w:tc>
          <w:tcPr>
            <w:tcW w:w="2394" w:type="dxa"/>
          </w:tcPr>
          <w:p w:rsidR="00640E94" w:rsidRPr="00F97D47" w:rsidRDefault="00640E94">
            <w:pPr>
              <w:pStyle w:val="List"/>
              <w:tabs>
                <w:tab w:val="left" w:pos="360"/>
              </w:tabs>
              <w:spacing w:before="0" w:line="280" w:lineRule="exact"/>
              <w:ind w:left="0" w:firstLine="0"/>
              <w:jc w:val="both"/>
              <w:rPr>
                <w:rFonts w:ascii="Arial" w:hAnsi="Arial"/>
                <w:b/>
              </w:rPr>
            </w:pPr>
          </w:p>
        </w:tc>
      </w:tr>
    </w:tbl>
    <w:p w:rsidR="00640E94" w:rsidRDefault="00640E94" w:rsidP="00F97D47">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rsidR="00F97D47" w:rsidRPr="00F97D47" w:rsidRDefault="000B1E75" w:rsidP="00F97D47">
      <w:pPr>
        <w:pStyle w:val="List"/>
        <w:tabs>
          <w:tab w:val="left" w:pos="360"/>
        </w:tabs>
        <w:spacing w:before="120"/>
        <w:jc w:val="both"/>
        <w:rPr>
          <w:rFonts w:ascii="Arial" w:hAnsi="Arial"/>
          <w:b/>
        </w:rPr>
      </w:pPr>
      <w:r>
        <w:rPr>
          <w:rFonts w:ascii="Arial" w:hAnsi="Arial"/>
          <w:b/>
        </w:rPr>
        <w:tab/>
      </w:r>
      <w:r>
        <w:rPr>
          <w:rFonts w:ascii="Arial" w:hAnsi="Arial"/>
          <w:b/>
        </w:rPr>
        <w:tab/>
      </w:r>
      <w:r w:rsidR="00F97D47">
        <w:rPr>
          <w:rFonts w:ascii="Arial" w:hAnsi="Arial"/>
          <w:b/>
        </w:rPr>
        <w:t xml:space="preserve"> </w:t>
      </w:r>
    </w:p>
    <w:p w:rsidR="00640E94" w:rsidRDefault="00F97D47" w:rsidP="00F97D47">
      <w:pPr>
        <w:pStyle w:val="List"/>
        <w:keepNext/>
        <w:keepLines/>
        <w:numPr>
          <w:ilvl w:val="0"/>
          <w:numId w:val="28"/>
        </w:numPr>
        <w:spacing w:before="120"/>
        <w:jc w:val="both"/>
        <w:rPr>
          <w:rFonts w:ascii="Arial" w:hAnsi="Arial"/>
        </w:rPr>
      </w:pPr>
      <w:r>
        <w:rPr>
          <w:rFonts w:ascii="Arial" w:hAnsi="Arial"/>
        </w:rPr>
        <w:t xml:space="preserve"> </w:t>
      </w:r>
      <w:r w:rsidR="00640E94">
        <w:rPr>
          <w:rFonts w:ascii="Arial" w:hAnsi="Arial"/>
        </w:rPr>
        <w:t>Provide details of any loans to or by Related Persons.</w:t>
      </w:r>
      <w:r w:rsidR="0034437D" w:rsidRPr="00C736FB">
        <w:rPr>
          <w:rFonts w:ascii="Arial" w:hAnsi="Arial"/>
          <w:b/>
        </w:rPr>
        <w:t xml:space="preserve"> </w:t>
      </w:r>
      <w:r w:rsidR="0034437D">
        <w:rPr>
          <w:rFonts w:ascii="Arial" w:hAnsi="Arial"/>
          <w:b/>
        </w:rPr>
        <w:t xml:space="preserve">The CEO is not drawing the fees to which he is entitled. The amount owing to him increases by $5,000 per month. Included in amounts owing to officers and directors at </w:t>
      </w:r>
      <w:r w:rsidR="00AD414D">
        <w:rPr>
          <w:rFonts w:ascii="Arial" w:hAnsi="Arial"/>
          <w:b/>
        </w:rPr>
        <w:t xml:space="preserve">August </w:t>
      </w:r>
      <w:r w:rsidR="000A34CE">
        <w:rPr>
          <w:rFonts w:ascii="Arial" w:hAnsi="Arial"/>
          <w:b/>
        </w:rPr>
        <w:t>3</w:t>
      </w:r>
      <w:r w:rsidR="00AD414D">
        <w:rPr>
          <w:rFonts w:ascii="Arial" w:hAnsi="Arial"/>
          <w:b/>
        </w:rPr>
        <w:t>1</w:t>
      </w:r>
      <w:r w:rsidR="0034437D">
        <w:rPr>
          <w:rFonts w:ascii="Arial" w:hAnsi="Arial"/>
          <w:b/>
        </w:rPr>
        <w:t>, 2016 is $5</w:t>
      </w:r>
      <w:r w:rsidR="00FC27F7">
        <w:rPr>
          <w:rFonts w:ascii="Arial" w:hAnsi="Arial"/>
          <w:b/>
        </w:rPr>
        <w:t>3</w:t>
      </w:r>
      <w:r w:rsidR="00AD414D">
        <w:rPr>
          <w:rFonts w:ascii="Arial" w:hAnsi="Arial"/>
          <w:b/>
        </w:rPr>
        <w:t>3</w:t>
      </w:r>
      <w:r w:rsidR="0034437D">
        <w:rPr>
          <w:rFonts w:ascii="Arial" w:hAnsi="Arial"/>
          <w:b/>
        </w:rPr>
        <w:t xml:space="preserve">,306 owing to him.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34437D">
        <w:rPr>
          <w:rFonts w:ascii="Arial" w:hAnsi="Arial"/>
        </w:rPr>
        <w:t xml:space="preserve"> </w:t>
      </w:r>
      <w:r w:rsidR="0034437D" w:rsidRPr="00C736FB">
        <w:rPr>
          <w:rFonts w:ascii="Arial" w:hAnsi="Arial"/>
          <w:b/>
        </w:rPr>
        <w:t>N/A</w:t>
      </w:r>
    </w:p>
    <w:p w:rsidR="000A34CE" w:rsidRPr="000A34CE"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34437D">
        <w:rPr>
          <w:rFonts w:ascii="Arial" w:hAnsi="Arial"/>
        </w:rPr>
        <w:t xml:space="preserve"> </w:t>
      </w:r>
      <w:r w:rsidR="0034437D">
        <w:rPr>
          <w:rFonts w:ascii="Arial" w:hAnsi="Arial"/>
          <w:b/>
        </w:rPr>
        <w:t>The economic value of the Company’s NI 43-101 reported resources at Elliot Lake is dependent</w:t>
      </w:r>
      <w:r w:rsidR="00604178">
        <w:rPr>
          <w:rFonts w:ascii="Arial" w:hAnsi="Arial"/>
          <w:b/>
        </w:rPr>
        <w:t>,</w:t>
      </w:r>
      <w:r w:rsidR="0034437D">
        <w:rPr>
          <w:rFonts w:ascii="Arial" w:hAnsi="Arial"/>
          <w:b/>
        </w:rPr>
        <w:t xml:space="preserve"> among other factors, on the market price and the outlook for demand</w:t>
      </w:r>
      <w:r w:rsidR="001515D3">
        <w:rPr>
          <w:rFonts w:ascii="Arial" w:hAnsi="Arial"/>
          <w:b/>
        </w:rPr>
        <w:t xml:space="preserve"> for uranium and rare earth element metals (“REEs”). </w:t>
      </w:r>
    </w:p>
    <w:p w:rsidR="000A34CE" w:rsidRDefault="001515D3" w:rsidP="000A34CE">
      <w:pPr>
        <w:pStyle w:val="List"/>
        <w:spacing w:before="120"/>
        <w:ind w:left="720" w:firstLine="0"/>
        <w:jc w:val="both"/>
        <w:rPr>
          <w:rFonts w:ascii="Arial" w:hAnsi="Arial"/>
          <w:b/>
        </w:rPr>
      </w:pPr>
      <w:r>
        <w:rPr>
          <w:rFonts w:ascii="Arial" w:hAnsi="Arial"/>
          <w:b/>
        </w:rPr>
        <w:t xml:space="preserve">The properties in Saskatchewan </w:t>
      </w:r>
      <w:r w:rsidR="0090219E">
        <w:rPr>
          <w:rFonts w:ascii="Arial" w:hAnsi="Arial"/>
          <w:b/>
        </w:rPr>
        <w:t>will advance with the airborne survey at Alces Lake flown in June, the</w:t>
      </w:r>
      <w:r w:rsidR="004F77D8" w:rsidRPr="004F77D8">
        <w:rPr>
          <w:rFonts w:ascii="Arial" w:hAnsi="Arial"/>
          <w:b/>
        </w:rPr>
        <w:t xml:space="preserve"> </w:t>
      </w:r>
      <w:r w:rsidR="004F77D8">
        <w:rPr>
          <w:rFonts w:ascii="Arial" w:hAnsi="Arial"/>
          <w:b/>
        </w:rPr>
        <w:t xml:space="preserve">VTEM airborne survey of the Loranger property </w:t>
      </w:r>
      <w:r w:rsidR="00AD414D">
        <w:rPr>
          <w:rFonts w:ascii="Arial" w:hAnsi="Arial"/>
          <w:b/>
        </w:rPr>
        <w:t xml:space="preserve">expected in September </w:t>
      </w:r>
      <w:r w:rsidR="004F77D8">
        <w:rPr>
          <w:rFonts w:ascii="Arial" w:hAnsi="Arial"/>
          <w:b/>
        </w:rPr>
        <w:t>and a</w:t>
      </w:r>
      <w:r w:rsidR="0090219E">
        <w:rPr>
          <w:rFonts w:ascii="Arial" w:hAnsi="Arial"/>
          <w:b/>
        </w:rPr>
        <w:t xml:space="preserve"> proposed ground </w:t>
      </w:r>
      <w:r>
        <w:rPr>
          <w:rFonts w:ascii="Arial" w:hAnsi="Arial"/>
          <w:b/>
        </w:rPr>
        <w:t>exploration program</w:t>
      </w:r>
      <w:r w:rsidR="0090219E">
        <w:rPr>
          <w:rFonts w:ascii="Arial" w:hAnsi="Arial"/>
          <w:b/>
        </w:rPr>
        <w:t xml:space="preserve"> on the Otherside property</w:t>
      </w:r>
      <w:r w:rsidR="004F77D8">
        <w:rPr>
          <w:rFonts w:ascii="Arial" w:hAnsi="Arial"/>
          <w:b/>
        </w:rPr>
        <w:t xml:space="preserve"> </w:t>
      </w:r>
      <w:r w:rsidR="000A34CE">
        <w:rPr>
          <w:rFonts w:ascii="Arial" w:hAnsi="Arial"/>
          <w:b/>
        </w:rPr>
        <w:t>in calendar 2016.</w:t>
      </w:r>
    </w:p>
    <w:p w:rsidR="0090219E" w:rsidRDefault="00AD414D" w:rsidP="000A34CE">
      <w:pPr>
        <w:pStyle w:val="List"/>
        <w:spacing w:before="120"/>
        <w:ind w:left="720" w:firstLine="0"/>
        <w:jc w:val="both"/>
        <w:rPr>
          <w:rFonts w:ascii="Arial" w:hAnsi="Arial"/>
          <w:b/>
        </w:rPr>
      </w:pPr>
      <w:r>
        <w:rPr>
          <w:rFonts w:ascii="Arial" w:hAnsi="Arial"/>
          <w:b/>
        </w:rPr>
        <w:t>Spot u</w:t>
      </w:r>
      <w:r w:rsidR="001515D3">
        <w:rPr>
          <w:rFonts w:ascii="Arial" w:hAnsi="Arial"/>
          <w:b/>
        </w:rPr>
        <w:t xml:space="preserve">ranium prices </w:t>
      </w:r>
      <w:r>
        <w:rPr>
          <w:rFonts w:ascii="Arial" w:hAnsi="Arial"/>
          <w:b/>
        </w:rPr>
        <w:t xml:space="preserve">continue to be </w:t>
      </w:r>
      <w:r w:rsidR="001515D3">
        <w:rPr>
          <w:rFonts w:ascii="Arial" w:hAnsi="Arial"/>
          <w:b/>
        </w:rPr>
        <w:t>below the cost of production for most miners, and the outlook for REEs is uncertain</w:t>
      </w:r>
      <w:r>
        <w:rPr>
          <w:rFonts w:ascii="Arial" w:hAnsi="Arial"/>
          <w:b/>
        </w:rPr>
        <w:t>. C</w:t>
      </w:r>
      <w:r w:rsidR="004F77D8">
        <w:rPr>
          <w:rFonts w:ascii="Arial" w:hAnsi="Arial"/>
          <w:b/>
        </w:rPr>
        <w:t xml:space="preserve">urrent mine production </w:t>
      </w:r>
      <w:r w:rsidR="00FC27F7">
        <w:rPr>
          <w:rFonts w:ascii="Arial" w:hAnsi="Arial"/>
          <w:b/>
        </w:rPr>
        <w:t xml:space="preserve">of uranium </w:t>
      </w:r>
      <w:r w:rsidR="004F77D8">
        <w:rPr>
          <w:rFonts w:ascii="Arial" w:hAnsi="Arial"/>
          <w:b/>
        </w:rPr>
        <w:t>is less than</w:t>
      </w:r>
      <w:r w:rsidR="001515D3">
        <w:rPr>
          <w:rFonts w:ascii="Arial" w:hAnsi="Arial"/>
          <w:b/>
        </w:rPr>
        <w:t xml:space="preserve"> consumption</w:t>
      </w:r>
      <w:r w:rsidR="004F77D8">
        <w:rPr>
          <w:rFonts w:ascii="Arial" w:hAnsi="Arial"/>
          <w:b/>
        </w:rPr>
        <w:t>, such that existing stockpiles are diminishing</w:t>
      </w:r>
      <w:r w:rsidR="00FC27F7">
        <w:rPr>
          <w:rFonts w:ascii="Arial" w:hAnsi="Arial"/>
          <w:b/>
        </w:rPr>
        <w:t>,</w:t>
      </w:r>
      <w:r w:rsidR="004F77D8">
        <w:rPr>
          <w:rFonts w:ascii="Arial" w:hAnsi="Arial"/>
          <w:b/>
        </w:rPr>
        <w:t xml:space="preserve"> and with the forecast of an increase in demand of 58% by 2020,</w:t>
      </w:r>
      <w:r w:rsidR="001515D3">
        <w:rPr>
          <w:rFonts w:ascii="Arial" w:hAnsi="Arial"/>
          <w:b/>
        </w:rPr>
        <w:t xml:space="preserve"> known supplies will not match demand in the near future</w:t>
      </w:r>
      <w:r w:rsidR="004F77D8">
        <w:rPr>
          <w:rFonts w:ascii="Arial" w:hAnsi="Arial"/>
          <w:b/>
        </w:rPr>
        <w:t>. Sixty-four reactors are under construction and i</w:t>
      </w:r>
      <w:r w:rsidR="00DE7855">
        <w:rPr>
          <w:rFonts w:ascii="Arial" w:hAnsi="Arial"/>
          <w:b/>
        </w:rPr>
        <w:t>ndustry sources report that a reactor start-up requires twice as much uranium in the first year as in ongoing use. Most operators build up a stockpile to cover the first seven years of operations to be assured of supply</w:t>
      </w:r>
      <w:r w:rsidR="00604178">
        <w:rPr>
          <w:rFonts w:ascii="Arial" w:hAnsi="Arial"/>
          <w:b/>
        </w:rPr>
        <w:t>, before a start-up commences</w:t>
      </w:r>
      <w:r w:rsidR="00DE7855">
        <w:rPr>
          <w:rFonts w:ascii="Arial" w:hAnsi="Arial"/>
          <w:b/>
        </w:rPr>
        <w:t>.</w:t>
      </w:r>
      <w:r w:rsidR="004F77D8">
        <w:rPr>
          <w:rFonts w:ascii="Arial" w:hAnsi="Arial"/>
          <w:b/>
        </w:rPr>
        <w:t xml:space="preserve"> </w:t>
      </w:r>
      <w:r w:rsidR="0045496F">
        <w:rPr>
          <w:rFonts w:ascii="Arial" w:hAnsi="Arial"/>
          <w:b/>
        </w:rPr>
        <w:t xml:space="preserve">China is building 6 to 8 </w:t>
      </w:r>
      <w:r w:rsidR="0045496F">
        <w:rPr>
          <w:rFonts w:ascii="Arial" w:hAnsi="Arial"/>
          <w:b/>
        </w:rPr>
        <w:lastRenderedPageBreak/>
        <w:t xml:space="preserve">new units a year to reduce the use of coal, which </w:t>
      </w:r>
      <w:r w:rsidR="00FC27F7">
        <w:rPr>
          <w:rFonts w:ascii="Arial" w:hAnsi="Arial"/>
          <w:b/>
        </w:rPr>
        <w:t xml:space="preserve">is used to </w:t>
      </w:r>
      <w:r w:rsidR="0045496F">
        <w:rPr>
          <w:rFonts w:ascii="Arial" w:hAnsi="Arial"/>
          <w:b/>
        </w:rPr>
        <w:t>suppl</w:t>
      </w:r>
      <w:r w:rsidR="00FC27F7">
        <w:rPr>
          <w:rFonts w:ascii="Arial" w:hAnsi="Arial"/>
          <w:b/>
        </w:rPr>
        <w:t>y</w:t>
      </w:r>
      <w:r w:rsidR="0045496F">
        <w:rPr>
          <w:rFonts w:ascii="Arial" w:hAnsi="Arial"/>
          <w:b/>
        </w:rPr>
        <w:t xml:space="preserve"> 70% of </w:t>
      </w:r>
      <w:r w:rsidR="00FC27F7">
        <w:rPr>
          <w:rFonts w:ascii="Arial" w:hAnsi="Arial"/>
          <w:b/>
        </w:rPr>
        <w:t>its</w:t>
      </w:r>
      <w:bookmarkStart w:id="5" w:name="_GoBack"/>
      <w:bookmarkEnd w:id="5"/>
      <w:r w:rsidR="0045496F">
        <w:rPr>
          <w:rFonts w:ascii="Arial" w:hAnsi="Arial"/>
          <w:b/>
        </w:rPr>
        <w:t xml:space="preserve"> electricity.</w:t>
      </w:r>
    </w:p>
    <w:p w:rsidR="0045496F" w:rsidRDefault="000A34CE" w:rsidP="0045496F">
      <w:pPr>
        <w:pStyle w:val="List"/>
        <w:spacing w:before="120"/>
        <w:ind w:left="720" w:firstLine="0"/>
        <w:jc w:val="both"/>
        <w:rPr>
          <w:rFonts w:ascii="Arial" w:hAnsi="Arial"/>
          <w:b/>
        </w:rPr>
      </w:pPr>
      <w:r>
        <w:rPr>
          <w:rFonts w:ascii="Arial" w:hAnsi="Arial"/>
          <w:b/>
        </w:rPr>
        <w:t xml:space="preserve">The political stability of countries currently supplying the market has caused concern in the United States, </w:t>
      </w:r>
      <w:r w:rsidR="00DE7855">
        <w:rPr>
          <w:rFonts w:ascii="Arial" w:hAnsi="Arial"/>
          <w:b/>
        </w:rPr>
        <w:t xml:space="preserve">as very little uranium for reactor requirements is sourced domestically, </w:t>
      </w:r>
      <w:r w:rsidR="00604178">
        <w:rPr>
          <w:rFonts w:ascii="Arial" w:hAnsi="Arial"/>
          <w:b/>
        </w:rPr>
        <w:t>with the same situation for the supply of</w:t>
      </w:r>
      <w:r w:rsidR="00DE7855">
        <w:rPr>
          <w:rFonts w:ascii="Arial" w:hAnsi="Arial"/>
          <w:b/>
        </w:rPr>
        <w:t xml:space="preserve"> the </w:t>
      </w:r>
      <w:r>
        <w:rPr>
          <w:rFonts w:ascii="Arial" w:hAnsi="Arial"/>
          <w:b/>
        </w:rPr>
        <w:t>REEs</w:t>
      </w:r>
      <w:r w:rsidR="00DE7855">
        <w:rPr>
          <w:rFonts w:ascii="Arial" w:hAnsi="Arial"/>
          <w:b/>
        </w:rPr>
        <w:t xml:space="preserve"> </w:t>
      </w:r>
      <w:r>
        <w:rPr>
          <w:rFonts w:ascii="Arial" w:hAnsi="Arial"/>
          <w:b/>
        </w:rPr>
        <w:t>required by the defence industry</w:t>
      </w:r>
      <w:r w:rsidR="00B01A04">
        <w:rPr>
          <w:rFonts w:ascii="Arial" w:hAnsi="Arial"/>
          <w:b/>
        </w:rPr>
        <w:t xml:space="preserve"> and for electronics.</w:t>
      </w:r>
    </w:p>
    <w:p w:rsidR="0045496F" w:rsidRDefault="0045496F" w:rsidP="0045496F">
      <w:pPr>
        <w:pStyle w:val="List"/>
        <w:spacing w:before="120"/>
        <w:ind w:left="720" w:firstLine="0"/>
        <w:jc w:val="both"/>
        <w:rPr>
          <w:rFonts w:ascii="Arial" w:hAnsi="Arial"/>
          <w:b/>
        </w:rPr>
      </w:pPr>
    </w:p>
    <w:p w:rsidR="0045496F" w:rsidRDefault="0045496F" w:rsidP="0045496F">
      <w:pPr>
        <w:pStyle w:val="List"/>
        <w:spacing w:before="120"/>
        <w:ind w:left="720" w:firstLine="0"/>
        <w:jc w:val="both"/>
        <w:rPr>
          <w:rFonts w:ascii="Arial" w:hAnsi="Arial"/>
          <w:b/>
        </w:rPr>
      </w:pPr>
    </w:p>
    <w:p w:rsidR="00640E94" w:rsidRDefault="0045496F" w:rsidP="0045496F">
      <w:pPr>
        <w:pStyle w:val="List"/>
        <w:spacing w:before="120"/>
        <w:ind w:left="720" w:firstLine="0"/>
        <w:jc w:val="both"/>
        <w:rPr>
          <w:rFonts w:ascii="Arial" w:hAnsi="Arial"/>
          <w:b/>
        </w:rPr>
      </w:pPr>
      <w:r>
        <w:rPr>
          <w:rFonts w:ascii="Arial" w:hAnsi="Arial"/>
          <w:b/>
        </w:rPr>
        <w:t>C</w:t>
      </w:r>
      <w:r w:rsidR="00640E94">
        <w:rPr>
          <w:rFonts w:ascii="Arial" w:hAnsi="Arial"/>
          <w:b/>
        </w:rPr>
        <w:t>ertificate Of Compliance</w:t>
      </w:r>
      <w:r>
        <w:rPr>
          <w:rFonts w:ascii="Arial" w:hAnsi="Arial"/>
          <w:b/>
        </w:rPr>
        <w:t>:</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45496F">
      <w:pPr>
        <w:pStyle w:val="BodyText"/>
        <w:tabs>
          <w:tab w:val="left" w:pos="4680"/>
          <w:tab w:val="left" w:pos="7200"/>
        </w:tabs>
        <w:spacing w:before="480"/>
        <w:ind w:left="5760" w:hanging="4680"/>
        <w:jc w:val="both"/>
        <w:rPr>
          <w:rFonts w:ascii="Arial" w:hAnsi="Arial"/>
        </w:rPr>
      </w:pPr>
      <w:r>
        <w:rPr>
          <w:rFonts w:ascii="Arial" w:hAnsi="Arial"/>
        </w:rPr>
        <w:t>Dated</w:t>
      </w:r>
      <w:r w:rsidR="001515D3">
        <w:rPr>
          <w:rFonts w:ascii="Arial" w:hAnsi="Arial"/>
        </w:rPr>
        <w:t>:</w:t>
      </w:r>
      <w:r>
        <w:rPr>
          <w:rFonts w:ascii="Arial" w:hAnsi="Arial"/>
        </w:rPr>
        <w:t xml:space="preserve"> </w:t>
      </w:r>
      <w:r w:rsidR="00AD414D" w:rsidRPr="00AD414D">
        <w:rPr>
          <w:rFonts w:ascii="Arial" w:hAnsi="Arial"/>
          <w:b/>
        </w:rPr>
        <w:t>September 1</w:t>
      </w:r>
      <w:r w:rsidR="001515D3">
        <w:rPr>
          <w:rFonts w:ascii="Arial" w:hAnsi="Arial"/>
          <w:b/>
        </w:rPr>
        <w:t>, 2016</w:t>
      </w:r>
      <w:r>
        <w:rPr>
          <w:rFonts w:ascii="Arial" w:hAnsi="Arial"/>
        </w:rPr>
        <w:t>.</w:t>
      </w:r>
      <w:r>
        <w:rPr>
          <w:rFonts w:ascii="Arial" w:hAnsi="Arial"/>
        </w:rPr>
        <w:tab/>
      </w:r>
      <w:r>
        <w:rPr>
          <w:rFonts w:ascii="Arial" w:hAnsi="Arial"/>
          <w:u w:val="single"/>
        </w:rPr>
        <w:br/>
      </w:r>
      <w:r w:rsidR="0045496F">
        <w:rPr>
          <w:rFonts w:ascii="Arial" w:hAnsi="Arial"/>
        </w:rPr>
        <w:t>N</w:t>
      </w:r>
      <w:r>
        <w:rPr>
          <w:rFonts w:ascii="Arial" w:hAnsi="Arial"/>
        </w:rPr>
        <w:t>ame of Director or Senior Officer</w:t>
      </w:r>
    </w:p>
    <w:p w:rsidR="001515D3" w:rsidRDefault="00640E94">
      <w:pPr>
        <w:pStyle w:val="List"/>
        <w:tabs>
          <w:tab w:val="left" w:pos="9180"/>
          <w:tab w:val="left" w:pos="9360"/>
        </w:tabs>
        <w:ind w:left="5760" w:hanging="5760"/>
        <w:rPr>
          <w:rFonts w:ascii="Arial" w:hAnsi="Arial"/>
        </w:rPr>
      </w:pPr>
      <w:r>
        <w:rPr>
          <w:rFonts w:ascii="Arial" w:hAnsi="Arial"/>
        </w:rPr>
        <w:tab/>
      </w:r>
      <w:r w:rsidR="001515D3">
        <w:rPr>
          <w:rFonts w:ascii="Arial" w:hAnsi="Arial"/>
          <w:b/>
          <w:i/>
        </w:rPr>
        <w:t>“F. van de Water”</w:t>
      </w:r>
    </w:p>
    <w:p w:rsidR="00640E94" w:rsidRDefault="001515D3">
      <w:pPr>
        <w:pStyle w:val="BodyText"/>
        <w:tabs>
          <w:tab w:val="left" w:pos="9180"/>
        </w:tabs>
        <w:spacing w:before="0"/>
        <w:ind w:left="5760"/>
        <w:rPr>
          <w:rFonts w:ascii="Arial" w:hAnsi="Arial"/>
          <w:b/>
        </w:rPr>
      </w:pPr>
      <w:r w:rsidRPr="001515D3">
        <w:rPr>
          <w:rFonts w:ascii="Arial" w:hAnsi="Arial"/>
          <w:b/>
        </w:rPr>
        <w:t>Secretary</w:t>
      </w:r>
      <w:bookmarkEnd w:id="4"/>
    </w:p>
    <w:p w:rsidR="001515D3" w:rsidRPr="001515D3" w:rsidRDefault="001515D3">
      <w:pPr>
        <w:pStyle w:val="BodyText"/>
        <w:tabs>
          <w:tab w:val="left" w:pos="9180"/>
        </w:tabs>
        <w:spacing w:before="0"/>
        <w:ind w:left="5760"/>
        <w:rPr>
          <w:rFonts w:ascii="Arial" w:hAnsi="Arial"/>
        </w:rPr>
      </w:pPr>
    </w:p>
    <w:tbl>
      <w:tblPr>
        <w:tblW w:w="96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22"/>
        <w:gridCol w:w="2924"/>
      </w:tblGrid>
      <w:tr w:rsidR="00640E94" w:rsidTr="00D87597">
        <w:trPr>
          <w:trHeight w:val="847"/>
        </w:trPr>
        <w:tc>
          <w:tcPr>
            <w:tcW w:w="4513"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1515D3" w:rsidRDefault="00640E94" w:rsidP="001515D3">
            <w:pPr>
              <w:pStyle w:val="BodyText"/>
              <w:spacing w:before="0"/>
              <w:rPr>
                <w:rFonts w:ascii="Arial" w:hAnsi="Arial"/>
              </w:rPr>
            </w:pPr>
            <w:r>
              <w:rPr>
                <w:rFonts w:ascii="Arial" w:hAnsi="Arial"/>
              </w:rPr>
              <w:t>Name of Issuer</w:t>
            </w:r>
          </w:p>
          <w:p w:rsidR="00640E94" w:rsidRPr="001515D3" w:rsidRDefault="001515D3" w:rsidP="001515D3">
            <w:pPr>
              <w:pStyle w:val="BodyText"/>
              <w:spacing w:before="0"/>
              <w:rPr>
                <w:rFonts w:ascii="Arial" w:hAnsi="Arial"/>
                <w:b/>
              </w:rPr>
            </w:pPr>
            <w:r>
              <w:rPr>
                <w:rFonts w:ascii="Arial" w:hAnsi="Arial"/>
                <w:b/>
              </w:rPr>
              <w:t>Appia Energy Corp.</w:t>
            </w:r>
          </w:p>
        </w:tc>
        <w:tc>
          <w:tcPr>
            <w:tcW w:w="2222"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1515D3" w:rsidRPr="001515D3" w:rsidRDefault="00AD414D" w:rsidP="00AD414D">
            <w:pPr>
              <w:pStyle w:val="BodyText"/>
              <w:spacing w:before="0"/>
              <w:rPr>
                <w:rFonts w:ascii="Arial" w:hAnsi="Arial"/>
                <w:b/>
              </w:rPr>
            </w:pPr>
            <w:r>
              <w:rPr>
                <w:rFonts w:ascii="Arial" w:hAnsi="Arial"/>
                <w:b/>
              </w:rPr>
              <w:t>August</w:t>
            </w:r>
            <w:r w:rsidR="00DE7855">
              <w:rPr>
                <w:rFonts w:ascii="Arial" w:hAnsi="Arial"/>
                <w:b/>
              </w:rPr>
              <w:t xml:space="preserve"> 3</w:t>
            </w:r>
            <w:r>
              <w:rPr>
                <w:rFonts w:ascii="Arial" w:hAnsi="Arial"/>
                <w:b/>
              </w:rPr>
              <w:t>1</w:t>
            </w:r>
            <w:r w:rsidR="001515D3">
              <w:rPr>
                <w:rFonts w:ascii="Arial" w:hAnsi="Arial"/>
                <w:b/>
              </w:rPr>
              <w:t>, 2016</w:t>
            </w:r>
          </w:p>
        </w:tc>
        <w:tc>
          <w:tcPr>
            <w:tcW w:w="292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1515D3" w:rsidRPr="001515D3" w:rsidRDefault="001515D3" w:rsidP="00AD414D">
            <w:pPr>
              <w:pStyle w:val="BodyText"/>
              <w:spacing w:before="0"/>
              <w:rPr>
                <w:rFonts w:ascii="Arial" w:hAnsi="Arial"/>
                <w:b/>
              </w:rPr>
            </w:pPr>
            <w:r w:rsidRPr="001515D3">
              <w:rPr>
                <w:rFonts w:ascii="Arial" w:hAnsi="Arial"/>
                <w:b/>
              </w:rPr>
              <w:t>16/0</w:t>
            </w:r>
            <w:r w:rsidR="00AD414D">
              <w:rPr>
                <w:rFonts w:ascii="Arial" w:hAnsi="Arial"/>
                <w:b/>
              </w:rPr>
              <w:t>9</w:t>
            </w:r>
            <w:r w:rsidRPr="001515D3">
              <w:rPr>
                <w:rFonts w:ascii="Arial" w:hAnsi="Arial"/>
                <w:b/>
              </w:rPr>
              <w:t>/0</w:t>
            </w:r>
            <w:r w:rsidR="00AD414D">
              <w:rPr>
                <w:rFonts w:ascii="Arial" w:hAnsi="Arial"/>
                <w:b/>
              </w:rPr>
              <w:t>1</w:t>
            </w:r>
          </w:p>
        </w:tc>
      </w:tr>
      <w:tr w:rsidR="00640E94" w:rsidTr="00D87597">
        <w:trPr>
          <w:cantSplit/>
          <w:trHeight w:val="690"/>
        </w:trPr>
        <w:tc>
          <w:tcPr>
            <w:tcW w:w="9659"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1515D3" w:rsidRDefault="001515D3">
            <w:pPr>
              <w:pStyle w:val="BodyText"/>
              <w:spacing w:before="0"/>
              <w:rPr>
                <w:rFonts w:ascii="Arial" w:hAnsi="Arial"/>
                <w:b/>
              </w:rPr>
            </w:pPr>
            <w:r>
              <w:rPr>
                <w:rFonts w:ascii="Arial" w:hAnsi="Arial"/>
                <w:b/>
              </w:rPr>
              <w:t>500 – 2 Toronto Street</w:t>
            </w:r>
          </w:p>
          <w:p w:rsidR="00640E94" w:rsidRDefault="00640E94">
            <w:pPr>
              <w:pStyle w:val="BodyText"/>
              <w:spacing w:before="0"/>
              <w:rPr>
                <w:rFonts w:ascii="Arial" w:hAnsi="Arial"/>
              </w:rPr>
            </w:pPr>
          </w:p>
        </w:tc>
      </w:tr>
      <w:tr w:rsidR="00640E94" w:rsidTr="00D87597">
        <w:trPr>
          <w:trHeight w:val="1117"/>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A54245">
            <w:pPr>
              <w:pStyle w:val="BodyText"/>
              <w:spacing w:before="0"/>
              <w:rPr>
                <w:rFonts w:ascii="Arial" w:hAnsi="Arial"/>
                <w:b/>
              </w:rPr>
            </w:pPr>
            <w:r>
              <w:rPr>
                <w:rFonts w:ascii="Arial" w:hAnsi="Arial"/>
                <w:b/>
              </w:rPr>
              <w:t>Toronto, ON</w:t>
            </w:r>
          </w:p>
          <w:p w:rsidR="00A54245" w:rsidRPr="00A54245" w:rsidRDefault="00A54245">
            <w:pPr>
              <w:pStyle w:val="BodyText"/>
              <w:spacing w:before="0"/>
              <w:rPr>
                <w:rFonts w:ascii="Arial" w:hAnsi="Arial"/>
                <w:b/>
              </w:rPr>
            </w:pPr>
            <w:r>
              <w:rPr>
                <w:rFonts w:ascii="Arial" w:hAnsi="Arial"/>
                <w:b/>
              </w:rPr>
              <w:t>M5C 2B6</w:t>
            </w:r>
          </w:p>
          <w:p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Pr="00A54245" w:rsidRDefault="00640E94" w:rsidP="00A54245">
            <w:pPr>
              <w:pStyle w:val="BodyText"/>
              <w:spacing w:before="0"/>
              <w:rPr>
                <w:rFonts w:ascii="Arial" w:hAnsi="Arial"/>
                <w:b/>
              </w:rPr>
            </w:pPr>
            <w:r w:rsidRPr="00A54245">
              <w:rPr>
                <w:rFonts w:ascii="Arial" w:hAnsi="Arial"/>
                <w:b/>
              </w:rPr>
              <w:t xml:space="preserve">( </w:t>
            </w:r>
            <w:r w:rsidR="00A54245" w:rsidRPr="00A54245">
              <w:rPr>
                <w:rFonts w:ascii="Arial" w:hAnsi="Arial"/>
                <w:b/>
              </w:rPr>
              <w:t>416</w:t>
            </w:r>
            <w:r w:rsidRPr="00A54245">
              <w:rPr>
                <w:rFonts w:ascii="Arial" w:hAnsi="Arial"/>
                <w:b/>
              </w:rPr>
              <w:t>)</w:t>
            </w:r>
            <w:r w:rsidR="00A54245" w:rsidRPr="00A54245">
              <w:rPr>
                <w:rFonts w:ascii="Arial" w:hAnsi="Arial"/>
                <w:b/>
              </w:rPr>
              <w:t xml:space="preserve"> 218 9772</w:t>
            </w:r>
          </w:p>
        </w:tc>
        <w:tc>
          <w:tcPr>
            <w:tcW w:w="292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A54245">
            <w:pPr>
              <w:pStyle w:val="BodyText"/>
              <w:spacing w:before="0"/>
              <w:rPr>
                <w:rFonts w:ascii="Arial" w:hAnsi="Arial"/>
              </w:rPr>
            </w:pPr>
            <w:r>
              <w:rPr>
                <w:rFonts w:ascii="Arial" w:hAnsi="Arial"/>
              </w:rPr>
              <w:t>(</w:t>
            </w:r>
            <w:r w:rsidR="00A54245">
              <w:rPr>
                <w:rFonts w:ascii="Arial" w:hAnsi="Arial"/>
                <w:b/>
              </w:rPr>
              <w:t>416</w:t>
            </w:r>
            <w:r>
              <w:rPr>
                <w:rFonts w:ascii="Arial" w:hAnsi="Arial"/>
              </w:rPr>
              <w:t>)</w:t>
            </w:r>
            <w:r w:rsidR="00A54245">
              <w:rPr>
                <w:rFonts w:ascii="Arial" w:hAnsi="Arial"/>
              </w:rPr>
              <w:t xml:space="preserve"> </w:t>
            </w:r>
            <w:r w:rsidR="00A54245" w:rsidRPr="00A54245">
              <w:rPr>
                <w:rFonts w:ascii="Arial" w:hAnsi="Arial"/>
                <w:b/>
              </w:rPr>
              <w:t>546 2707</w:t>
            </w:r>
          </w:p>
        </w:tc>
      </w:tr>
      <w:tr w:rsidR="00640E94" w:rsidTr="00D87597">
        <w:trPr>
          <w:trHeight w:val="1129"/>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lastRenderedPageBreak/>
              <w:t>Contact Name</w:t>
            </w:r>
          </w:p>
          <w:p w:rsidR="00640E94" w:rsidRPr="00A54245" w:rsidRDefault="00A54245">
            <w:pPr>
              <w:pStyle w:val="BodyText"/>
              <w:spacing w:before="0"/>
              <w:rPr>
                <w:rFonts w:ascii="Arial" w:hAnsi="Arial"/>
                <w:b/>
              </w:rPr>
            </w:pPr>
            <w:r>
              <w:rPr>
                <w:rFonts w:ascii="Arial" w:hAnsi="Arial"/>
                <w:b/>
              </w:rPr>
              <w:t>Frank van de Water</w:t>
            </w:r>
          </w:p>
          <w:p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A54245" w:rsidRPr="00A54245" w:rsidRDefault="00A54245" w:rsidP="00A54245">
            <w:pPr>
              <w:pStyle w:val="BodyText"/>
              <w:spacing w:before="0"/>
              <w:rPr>
                <w:rFonts w:ascii="Arial" w:hAnsi="Arial"/>
                <w:b/>
              </w:rPr>
            </w:pPr>
            <w:r>
              <w:rPr>
                <w:rFonts w:ascii="Arial" w:hAnsi="Arial"/>
                <w:b/>
              </w:rPr>
              <w:t>COO, CFO,Sec</w:t>
            </w:r>
          </w:p>
        </w:tc>
        <w:tc>
          <w:tcPr>
            <w:tcW w:w="2924" w:type="dxa"/>
            <w:tcBorders>
              <w:top w:val="single" w:sz="18" w:space="0" w:color="auto"/>
              <w:left w:val="single" w:sz="18" w:space="0" w:color="auto"/>
              <w:bottom w:val="single" w:sz="18" w:space="0" w:color="auto"/>
            </w:tcBorders>
          </w:tcPr>
          <w:p w:rsidR="00A54245" w:rsidRDefault="00640E94" w:rsidP="00D87597">
            <w:pPr>
              <w:pStyle w:val="BodyText"/>
              <w:spacing w:before="0"/>
              <w:rPr>
                <w:rFonts w:ascii="Arial" w:hAnsi="Arial"/>
              </w:rPr>
            </w:pPr>
            <w:r>
              <w:rPr>
                <w:rFonts w:ascii="Arial" w:hAnsi="Arial"/>
              </w:rPr>
              <w:t>Contact Telephone No.</w:t>
            </w:r>
            <w:r w:rsidR="00A54245">
              <w:rPr>
                <w:rFonts w:ascii="Arial" w:hAnsi="Arial"/>
              </w:rPr>
              <w:t>(</w:t>
            </w:r>
            <w:r w:rsidR="00A54245">
              <w:rPr>
                <w:rFonts w:ascii="Arial" w:hAnsi="Arial"/>
                <w:b/>
              </w:rPr>
              <w:t>416</w:t>
            </w:r>
            <w:r w:rsidR="00A54245">
              <w:rPr>
                <w:rFonts w:ascii="Arial" w:hAnsi="Arial"/>
              </w:rPr>
              <w:t xml:space="preserve">) </w:t>
            </w:r>
            <w:r w:rsidR="00A54245" w:rsidRPr="00A54245">
              <w:rPr>
                <w:rFonts w:ascii="Arial" w:hAnsi="Arial"/>
                <w:b/>
              </w:rPr>
              <w:t>546 2707</w:t>
            </w:r>
          </w:p>
        </w:tc>
      </w:tr>
      <w:tr w:rsidR="00640E94" w:rsidTr="00D87597">
        <w:trPr>
          <w:cantSplit/>
          <w:trHeight w:val="552"/>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A54245" w:rsidRDefault="00A54245">
            <w:pPr>
              <w:pStyle w:val="BodyText"/>
              <w:spacing w:before="0"/>
              <w:rPr>
                <w:rFonts w:ascii="Arial" w:hAnsi="Arial"/>
                <w:b/>
              </w:rPr>
            </w:pPr>
            <w:r>
              <w:rPr>
                <w:rFonts w:ascii="Arial" w:hAnsi="Arial"/>
                <w:b/>
              </w:rPr>
              <w:t>fvandewater@rogers.com</w:t>
            </w:r>
          </w:p>
        </w:tc>
        <w:tc>
          <w:tcPr>
            <w:tcW w:w="5146"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A54245" w:rsidRDefault="00E0373F">
            <w:pPr>
              <w:pStyle w:val="BodyText"/>
              <w:spacing w:before="0"/>
              <w:rPr>
                <w:rFonts w:ascii="Arial" w:hAnsi="Arial"/>
                <w:b/>
              </w:rPr>
            </w:pPr>
            <w:hyperlink r:id="rId7" w:history="1">
              <w:r w:rsidR="00A54245" w:rsidRPr="00EF5A33">
                <w:rPr>
                  <w:rStyle w:val="Hyperlink"/>
                  <w:rFonts w:ascii="Arial" w:hAnsi="Arial"/>
                  <w:b/>
                </w:rPr>
                <w:t>www.appiaenergy.ca</w:t>
              </w:r>
            </w:hyperlink>
            <w:r w:rsidR="00A54245">
              <w:rPr>
                <w:rFonts w:ascii="Arial" w:hAnsi="Arial"/>
                <w:b/>
              </w:rPr>
              <w:t xml:space="preserve"> </w:t>
            </w:r>
          </w:p>
        </w:tc>
      </w:tr>
    </w:tbl>
    <w:p w:rsidR="00640E94" w:rsidRDefault="00640E94" w:rsidP="0045496F">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3F" w:rsidRDefault="00E0373F">
      <w:r>
        <w:separator/>
      </w:r>
    </w:p>
  </w:endnote>
  <w:endnote w:type="continuationSeparator" w:id="0">
    <w:p w:rsidR="00E0373F" w:rsidRDefault="00E0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268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C27F7">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A9D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3F" w:rsidRDefault="00E0373F">
      <w:r>
        <w:separator/>
      </w:r>
    </w:p>
  </w:footnote>
  <w:footnote w:type="continuationSeparator" w:id="0">
    <w:p w:rsidR="00E0373F" w:rsidRDefault="00E0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6C8A47EE"/>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7B30162"/>
    <w:multiLevelType w:val="hybridMultilevel"/>
    <w:tmpl w:val="36BC5BE8"/>
    <w:lvl w:ilvl="0" w:tplc="F95CC8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67403DB"/>
    <w:multiLevelType w:val="hybridMultilevel"/>
    <w:tmpl w:val="BE426196"/>
    <w:lvl w:ilvl="0" w:tplc="8F4A939E">
      <w:start w:val="3"/>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7"/>
  </w:num>
  <w:num w:numId="27">
    <w:abstractNumId w:val="29"/>
  </w:num>
  <w:num w:numId="28">
    <w:abstractNumId w:val="5"/>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A1AB1"/>
    <w:rsid w:val="000A34CE"/>
    <w:rsid w:val="000B1E75"/>
    <w:rsid w:val="001515D3"/>
    <w:rsid w:val="002C281E"/>
    <w:rsid w:val="002F00EB"/>
    <w:rsid w:val="0034437D"/>
    <w:rsid w:val="003669A9"/>
    <w:rsid w:val="00371A64"/>
    <w:rsid w:val="00387FA8"/>
    <w:rsid w:val="003A3C28"/>
    <w:rsid w:val="003C406A"/>
    <w:rsid w:val="003D7E53"/>
    <w:rsid w:val="004100BD"/>
    <w:rsid w:val="0044317C"/>
    <w:rsid w:val="0045496F"/>
    <w:rsid w:val="004F77D8"/>
    <w:rsid w:val="005453C8"/>
    <w:rsid w:val="005F6D8F"/>
    <w:rsid w:val="00604178"/>
    <w:rsid w:val="00616C05"/>
    <w:rsid w:val="00620E7F"/>
    <w:rsid w:val="00633ED3"/>
    <w:rsid w:val="00635E9A"/>
    <w:rsid w:val="00640E94"/>
    <w:rsid w:val="006A55C1"/>
    <w:rsid w:val="006B26E6"/>
    <w:rsid w:val="006D1A06"/>
    <w:rsid w:val="0078044D"/>
    <w:rsid w:val="007D542F"/>
    <w:rsid w:val="008B7E92"/>
    <w:rsid w:val="0090219E"/>
    <w:rsid w:val="00922A46"/>
    <w:rsid w:val="00A47914"/>
    <w:rsid w:val="00A54245"/>
    <w:rsid w:val="00AC3EB5"/>
    <w:rsid w:val="00AD414D"/>
    <w:rsid w:val="00B01A04"/>
    <w:rsid w:val="00B03239"/>
    <w:rsid w:val="00B45038"/>
    <w:rsid w:val="00C27A18"/>
    <w:rsid w:val="00C6383E"/>
    <w:rsid w:val="00C736FB"/>
    <w:rsid w:val="00D41D1D"/>
    <w:rsid w:val="00D57C3C"/>
    <w:rsid w:val="00D7435F"/>
    <w:rsid w:val="00D87597"/>
    <w:rsid w:val="00DE7855"/>
    <w:rsid w:val="00E0373F"/>
    <w:rsid w:val="00E160BC"/>
    <w:rsid w:val="00E36141"/>
    <w:rsid w:val="00E7312C"/>
    <w:rsid w:val="00E83E58"/>
    <w:rsid w:val="00F40A9C"/>
    <w:rsid w:val="00F618F3"/>
    <w:rsid w:val="00F97D47"/>
    <w:rsid w:val="00FC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6A0B05-FCAA-4E84-AB7A-9F4FA06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54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iaenerg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Frank vandeWater</cp:lastModifiedBy>
  <cp:revision>3</cp:revision>
  <cp:lastPrinted>2016-07-04T16:23:00Z</cp:lastPrinted>
  <dcterms:created xsi:type="dcterms:W3CDTF">2016-08-31T14:26:00Z</dcterms:created>
  <dcterms:modified xsi:type="dcterms:W3CDTF">2016-09-01T14:38:00Z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