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E04D8F" w:rsidRDefault="00F466AB" w:rsidP="00001431">
      <w:pPr>
        <w:spacing w:after="0" w:line="360" w:lineRule="auto"/>
        <w:contextualSpacing/>
        <w:jc w:val="center"/>
        <w:outlineLvl w:val="0"/>
        <w:rPr>
          <w:rFonts w:ascii="Times New Roman" w:eastAsiaTheme="majorEastAsia" w:hAnsi="Times New Roman" w:cs="Times New Roman"/>
          <w:b/>
          <w:bCs/>
          <w:sz w:val="28"/>
          <w:szCs w:val="28"/>
        </w:rPr>
      </w:pPr>
      <w:r w:rsidRPr="00D57E82">
        <w:rPr>
          <w:rFonts w:ascii="Times New Roman" w:eastAsiaTheme="majorEastAsia" w:hAnsi="Times New Roman" w:cs="Times New Roman"/>
          <w:b/>
          <w:bCs/>
          <w:sz w:val="28"/>
          <w:szCs w:val="28"/>
        </w:rPr>
        <w:t xml:space="preserve">ALLIANCE GROWERS </w:t>
      </w:r>
      <w:r w:rsidR="00466B67" w:rsidRPr="00D57E82">
        <w:rPr>
          <w:rFonts w:ascii="Times New Roman" w:eastAsiaTheme="majorEastAsia" w:hAnsi="Times New Roman" w:cs="Times New Roman"/>
          <w:b/>
          <w:bCs/>
          <w:sz w:val="28"/>
          <w:szCs w:val="28"/>
        </w:rPr>
        <w:t>UPDATE</w:t>
      </w:r>
      <w:r w:rsidR="00D57E82" w:rsidRPr="00D57E82">
        <w:rPr>
          <w:rFonts w:ascii="Times New Roman" w:eastAsiaTheme="majorEastAsia" w:hAnsi="Times New Roman" w:cs="Times New Roman"/>
          <w:b/>
          <w:bCs/>
          <w:sz w:val="28"/>
          <w:szCs w:val="28"/>
        </w:rPr>
        <w:t>S</w:t>
      </w:r>
      <w:r w:rsidR="00466B67" w:rsidRPr="00D57E82">
        <w:rPr>
          <w:rFonts w:ascii="Times New Roman" w:eastAsiaTheme="majorEastAsia" w:hAnsi="Times New Roman" w:cs="Times New Roman"/>
          <w:b/>
          <w:bCs/>
          <w:sz w:val="28"/>
          <w:szCs w:val="28"/>
        </w:rPr>
        <w:t xml:space="preserve"> </w:t>
      </w:r>
      <w:r w:rsidR="00880864" w:rsidRPr="00D57E82">
        <w:rPr>
          <w:rFonts w:ascii="Times New Roman" w:eastAsiaTheme="majorEastAsia" w:hAnsi="Times New Roman" w:cs="Times New Roman"/>
          <w:b/>
          <w:bCs/>
          <w:sz w:val="28"/>
          <w:szCs w:val="28"/>
        </w:rPr>
        <w:t xml:space="preserve">FINANCING </w:t>
      </w:r>
    </w:p>
    <w:p w:rsidR="00FE5B43" w:rsidRPr="00D57E82" w:rsidRDefault="00880864" w:rsidP="00001431">
      <w:pPr>
        <w:spacing w:after="0" w:line="360" w:lineRule="auto"/>
        <w:contextualSpacing/>
        <w:jc w:val="center"/>
        <w:outlineLvl w:val="0"/>
        <w:rPr>
          <w:rFonts w:ascii="Times New Roman" w:eastAsiaTheme="majorEastAsia" w:hAnsi="Times New Roman" w:cs="Times New Roman"/>
          <w:b/>
          <w:bCs/>
          <w:sz w:val="28"/>
          <w:szCs w:val="28"/>
        </w:rPr>
      </w:pPr>
      <w:r w:rsidRPr="00D57E82">
        <w:rPr>
          <w:rFonts w:ascii="Times New Roman" w:eastAsiaTheme="majorEastAsia" w:hAnsi="Times New Roman" w:cs="Times New Roman"/>
          <w:b/>
          <w:bCs/>
          <w:sz w:val="28"/>
          <w:szCs w:val="28"/>
        </w:rPr>
        <w:t xml:space="preserve">AND </w:t>
      </w:r>
      <w:r w:rsidR="0020400D" w:rsidRPr="00D57E82">
        <w:rPr>
          <w:rFonts w:ascii="Times New Roman" w:eastAsiaTheme="majorEastAsia" w:hAnsi="Times New Roman" w:cs="Times New Roman"/>
          <w:b/>
          <w:bCs/>
          <w:sz w:val="28"/>
          <w:szCs w:val="28"/>
        </w:rPr>
        <w:t xml:space="preserve">US </w:t>
      </w:r>
      <w:r w:rsidR="00D57E82" w:rsidRPr="00D57E82">
        <w:rPr>
          <w:rFonts w:ascii="Times New Roman" w:eastAsiaTheme="majorEastAsia" w:hAnsi="Times New Roman" w:cs="Times New Roman"/>
          <w:b/>
          <w:bCs/>
          <w:sz w:val="28"/>
          <w:szCs w:val="28"/>
        </w:rPr>
        <w:t xml:space="preserve">MARKET </w:t>
      </w:r>
      <w:r w:rsidRPr="00D57E82">
        <w:rPr>
          <w:rFonts w:ascii="Times New Roman" w:eastAsiaTheme="majorEastAsia" w:hAnsi="Times New Roman" w:cs="Times New Roman"/>
          <w:b/>
          <w:bCs/>
          <w:sz w:val="28"/>
          <w:szCs w:val="28"/>
        </w:rPr>
        <w:t>AWARENESS</w:t>
      </w:r>
      <w:r w:rsidR="00D57E82" w:rsidRPr="00D57E82">
        <w:rPr>
          <w:rFonts w:ascii="Times New Roman" w:eastAsiaTheme="majorEastAsia" w:hAnsi="Times New Roman" w:cs="Times New Roman"/>
          <w:b/>
          <w:bCs/>
          <w:sz w:val="28"/>
          <w:szCs w:val="28"/>
        </w:rPr>
        <w:t xml:space="preserve"> PROGRAMS</w:t>
      </w:r>
    </w:p>
    <w:p w:rsidR="003F638B" w:rsidRDefault="00661326" w:rsidP="003F638B">
      <w:pPr>
        <w:pStyle w:val="Default"/>
        <w:spacing w:after="120"/>
        <w:jc w:val="both"/>
        <w:rPr>
          <w:sz w:val="22"/>
          <w:szCs w:val="22"/>
        </w:rPr>
      </w:pPr>
      <w:r>
        <w:rPr>
          <w:b/>
          <w:bCs/>
          <w:sz w:val="22"/>
          <w:szCs w:val="22"/>
        </w:rPr>
        <w:t xml:space="preserve">August </w:t>
      </w:r>
      <w:r w:rsidR="00D57E82">
        <w:rPr>
          <w:b/>
          <w:bCs/>
          <w:sz w:val="22"/>
          <w:szCs w:val="22"/>
        </w:rPr>
        <w:t>2</w:t>
      </w:r>
      <w:r w:rsidR="00FE5B43" w:rsidRPr="00EF467D">
        <w:rPr>
          <w:b/>
          <w:bCs/>
          <w:sz w:val="22"/>
          <w:szCs w:val="22"/>
        </w:rPr>
        <w:t xml:space="preserve">, 2017 – Vancouver, B.C. – </w:t>
      </w:r>
      <w:r w:rsidR="00FE5B43" w:rsidRPr="00EF467D">
        <w:rPr>
          <w:b/>
          <w:sz w:val="22"/>
          <w:szCs w:val="22"/>
        </w:rPr>
        <w:t>Alliance Growers Corp. (CSE: ACG; FWB: 1LA</w:t>
      </w:r>
      <w:r w:rsidR="00B8495F" w:rsidRPr="00EF467D">
        <w:rPr>
          <w:b/>
          <w:sz w:val="22"/>
          <w:szCs w:val="22"/>
        </w:rPr>
        <w:t>; WKN: A2DFYX</w:t>
      </w:r>
      <w:r w:rsidR="00FE5B43" w:rsidRPr="00EF467D">
        <w:rPr>
          <w:sz w:val="22"/>
          <w:szCs w:val="22"/>
        </w:rPr>
        <w:t>) (“</w:t>
      </w:r>
      <w:r w:rsidR="00FE5B43" w:rsidRPr="00EF467D">
        <w:rPr>
          <w:b/>
          <w:sz w:val="22"/>
          <w:szCs w:val="22"/>
        </w:rPr>
        <w:t>Alliance Growers</w:t>
      </w:r>
      <w:r w:rsidR="00FE5B43" w:rsidRPr="00EF467D">
        <w:rPr>
          <w:sz w:val="22"/>
          <w:szCs w:val="22"/>
        </w:rPr>
        <w:t>” or the “</w:t>
      </w:r>
      <w:r w:rsidR="00FE5B43" w:rsidRPr="00EF467D">
        <w:rPr>
          <w:b/>
          <w:sz w:val="22"/>
          <w:szCs w:val="22"/>
        </w:rPr>
        <w:t>Company</w:t>
      </w:r>
      <w:r w:rsidR="00FE5B43" w:rsidRPr="00EF467D">
        <w:rPr>
          <w:sz w:val="22"/>
          <w:szCs w:val="22"/>
        </w:rPr>
        <w:t xml:space="preserve">”) </w:t>
      </w:r>
      <w:r w:rsidR="0020400D">
        <w:rPr>
          <w:sz w:val="22"/>
          <w:szCs w:val="22"/>
        </w:rPr>
        <w:t xml:space="preserve">is pleased to </w:t>
      </w:r>
      <w:r w:rsidR="00466B67">
        <w:rPr>
          <w:sz w:val="22"/>
          <w:szCs w:val="22"/>
        </w:rPr>
        <w:t xml:space="preserve">provide an </w:t>
      </w:r>
      <w:r w:rsidR="00880864">
        <w:rPr>
          <w:sz w:val="22"/>
          <w:szCs w:val="22"/>
        </w:rPr>
        <w:t xml:space="preserve">update </w:t>
      </w:r>
      <w:r w:rsidR="00E930E4">
        <w:rPr>
          <w:sz w:val="22"/>
          <w:szCs w:val="22"/>
        </w:rPr>
        <w:t xml:space="preserve">on financing </w:t>
      </w:r>
      <w:r w:rsidR="0020400D">
        <w:rPr>
          <w:sz w:val="22"/>
          <w:szCs w:val="22"/>
        </w:rPr>
        <w:t xml:space="preserve">and awareness </w:t>
      </w:r>
      <w:r w:rsidR="00E930E4">
        <w:rPr>
          <w:sz w:val="22"/>
          <w:szCs w:val="22"/>
        </w:rPr>
        <w:t>activities</w:t>
      </w:r>
      <w:r w:rsidR="003F638B">
        <w:rPr>
          <w:sz w:val="22"/>
          <w:szCs w:val="22"/>
        </w:rPr>
        <w:t>.</w:t>
      </w:r>
    </w:p>
    <w:p w:rsidR="00880864" w:rsidRDefault="00E33B8C" w:rsidP="00D57E82">
      <w:pPr>
        <w:pStyle w:val="Default"/>
        <w:spacing w:after="120"/>
        <w:jc w:val="both"/>
        <w:rPr>
          <w:sz w:val="22"/>
          <w:szCs w:val="22"/>
        </w:rPr>
      </w:pPr>
      <w:r>
        <w:rPr>
          <w:sz w:val="22"/>
          <w:szCs w:val="22"/>
        </w:rPr>
        <w:t xml:space="preserve">Alliance </w:t>
      </w:r>
      <w:r w:rsidR="006264A3">
        <w:rPr>
          <w:sz w:val="22"/>
          <w:szCs w:val="22"/>
        </w:rPr>
        <w:t xml:space="preserve">Growers </w:t>
      </w:r>
      <w:r w:rsidR="00880864">
        <w:rPr>
          <w:sz w:val="22"/>
          <w:szCs w:val="22"/>
        </w:rPr>
        <w:t xml:space="preserve">has received a proposal from a </w:t>
      </w:r>
      <w:r w:rsidR="00661326">
        <w:rPr>
          <w:sz w:val="22"/>
          <w:szCs w:val="22"/>
        </w:rPr>
        <w:t>funding g</w:t>
      </w:r>
      <w:r w:rsidR="00880864">
        <w:rPr>
          <w:sz w:val="22"/>
          <w:szCs w:val="22"/>
        </w:rPr>
        <w:t xml:space="preserve">roup </w:t>
      </w:r>
      <w:r w:rsidR="00661326">
        <w:rPr>
          <w:sz w:val="22"/>
          <w:szCs w:val="22"/>
        </w:rPr>
        <w:t>based out of Germany offering to fund Alliance for up to EUR 10,000,000.  The proposal includes</w:t>
      </w:r>
      <w:r w:rsidR="00880864">
        <w:rPr>
          <w:sz w:val="22"/>
          <w:szCs w:val="22"/>
        </w:rPr>
        <w:t xml:space="preserve"> </w:t>
      </w:r>
      <w:r w:rsidR="00661326">
        <w:rPr>
          <w:sz w:val="22"/>
          <w:szCs w:val="22"/>
        </w:rPr>
        <w:t>exposing</w:t>
      </w:r>
      <w:r w:rsidR="00880864">
        <w:rPr>
          <w:sz w:val="22"/>
          <w:szCs w:val="22"/>
        </w:rPr>
        <w:t xml:space="preserve"> Alliance </w:t>
      </w:r>
      <w:r w:rsidR="0055294C">
        <w:rPr>
          <w:sz w:val="22"/>
          <w:szCs w:val="22"/>
        </w:rPr>
        <w:t xml:space="preserve">Growers </w:t>
      </w:r>
      <w:r w:rsidR="00880864">
        <w:rPr>
          <w:sz w:val="22"/>
          <w:szCs w:val="22"/>
        </w:rPr>
        <w:t xml:space="preserve">to its Fundraising Network throughout Europe, Asia and North America. The </w:t>
      </w:r>
      <w:r w:rsidR="00D57E82">
        <w:rPr>
          <w:sz w:val="22"/>
          <w:szCs w:val="22"/>
        </w:rPr>
        <w:t>g</w:t>
      </w:r>
      <w:r w:rsidR="00880864">
        <w:rPr>
          <w:sz w:val="22"/>
          <w:szCs w:val="22"/>
        </w:rPr>
        <w:t>roup</w:t>
      </w:r>
      <w:r w:rsidR="00661326">
        <w:rPr>
          <w:sz w:val="22"/>
          <w:szCs w:val="22"/>
        </w:rPr>
        <w:t xml:space="preserve"> assists</w:t>
      </w:r>
      <w:r w:rsidR="00880864">
        <w:rPr>
          <w:sz w:val="22"/>
          <w:szCs w:val="22"/>
        </w:rPr>
        <w:t xml:space="preserve"> </w:t>
      </w:r>
      <w:r w:rsidR="00661326">
        <w:rPr>
          <w:sz w:val="22"/>
          <w:szCs w:val="22"/>
        </w:rPr>
        <w:t xml:space="preserve">with structuring </w:t>
      </w:r>
      <w:r w:rsidR="00880864">
        <w:rPr>
          <w:sz w:val="22"/>
          <w:szCs w:val="22"/>
        </w:rPr>
        <w:t>various financing initiatives with Institutional investors</w:t>
      </w:r>
      <w:r w:rsidR="00661326">
        <w:rPr>
          <w:sz w:val="22"/>
          <w:szCs w:val="22"/>
        </w:rPr>
        <w:t xml:space="preserve">, </w:t>
      </w:r>
      <w:r w:rsidR="0055294C">
        <w:rPr>
          <w:sz w:val="22"/>
          <w:szCs w:val="22"/>
        </w:rPr>
        <w:t xml:space="preserve">and </w:t>
      </w:r>
      <w:r w:rsidR="00661326">
        <w:rPr>
          <w:sz w:val="22"/>
          <w:szCs w:val="22"/>
        </w:rPr>
        <w:t xml:space="preserve">leading the negotiations to maximize the value of the financings. </w:t>
      </w:r>
    </w:p>
    <w:p w:rsidR="00661326" w:rsidRDefault="00D57E82" w:rsidP="00D57E82">
      <w:pPr>
        <w:pStyle w:val="Default"/>
        <w:spacing w:after="120"/>
        <w:jc w:val="both"/>
        <w:rPr>
          <w:sz w:val="22"/>
          <w:szCs w:val="22"/>
        </w:rPr>
      </w:pPr>
      <w:r>
        <w:rPr>
          <w:sz w:val="22"/>
          <w:szCs w:val="22"/>
        </w:rPr>
        <w:t>The Company has</w:t>
      </w:r>
      <w:r w:rsidR="00661326">
        <w:rPr>
          <w:sz w:val="22"/>
          <w:szCs w:val="22"/>
        </w:rPr>
        <w:t xml:space="preserve"> been in discussions over the last few months </w:t>
      </w:r>
      <w:r>
        <w:rPr>
          <w:sz w:val="22"/>
          <w:szCs w:val="22"/>
        </w:rPr>
        <w:t>seeking the best</w:t>
      </w:r>
      <w:r w:rsidR="00661326">
        <w:rPr>
          <w:sz w:val="22"/>
          <w:szCs w:val="22"/>
        </w:rPr>
        <w:t xml:space="preserve"> funding group </w:t>
      </w:r>
      <w:r>
        <w:rPr>
          <w:sz w:val="22"/>
          <w:szCs w:val="22"/>
        </w:rPr>
        <w:t xml:space="preserve">to work with </w:t>
      </w:r>
      <w:r w:rsidR="001E326B">
        <w:rPr>
          <w:sz w:val="22"/>
          <w:szCs w:val="22"/>
        </w:rPr>
        <w:t xml:space="preserve">Alliance </w:t>
      </w:r>
      <w:r>
        <w:rPr>
          <w:sz w:val="22"/>
          <w:szCs w:val="22"/>
        </w:rPr>
        <w:t>Growers in order to fund and list</w:t>
      </w:r>
      <w:r w:rsidR="001E326B">
        <w:rPr>
          <w:sz w:val="22"/>
          <w:szCs w:val="22"/>
        </w:rPr>
        <w:t xml:space="preserve"> Class A preferred shares as a non-dilutive financing mechanism.  </w:t>
      </w:r>
      <w:r w:rsidR="00661326">
        <w:rPr>
          <w:sz w:val="22"/>
          <w:szCs w:val="22"/>
        </w:rPr>
        <w:t>Alliance</w:t>
      </w:r>
      <w:r>
        <w:rPr>
          <w:sz w:val="22"/>
          <w:szCs w:val="22"/>
        </w:rPr>
        <w:t xml:space="preserve"> Growers</w:t>
      </w:r>
      <w:r w:rsidR="00661326">
        <w:rPr>
          <w:sz w:val="22"/>
          <w:szCs w:val="22"/>
        </w:rPr>
        <w:t xml:space="preserve"> is setting up </w:t>
      </w:r>
      <w:r>
        <w:rPr>
          <w:sz w:val="22"/>
          <w:szCs w:val="22"/>
        </w:rPr>
        <w:t>strategic relationship</w:t>
      </w:r>
      <w:r w:rsidR="00CB107F">
        <w:rPr>
          <w:sz w:val="22"/>
          <w:szCs w:val="22"/>
        </w:rPr>
        <w:t>s</w:t>
      </w:r>
      <w:r>
        <w:rPr>
          <w:sz w:val="22"/>
          <w:szCs w:val="22"/>
        </w:rPr>
        <w:t xml:space="preserve"> with g</w:t>
      </w:r>
      <w:r w:rsidR="00661326">
        <w:rPr>
          <w:sz w:val="22"/>
          <w:szCs w:val="22"/>
        </w:rPr>
        <w:t xml:space="preserve">roups like this so they are ready to </w:t>
      </w:r>
      <w:r>
        <w:rPr>
          <w:sz w:val="22"/>
          <w:szCs w:val="22"/>
        </w:rPr>
        <w:t>facilitate</w:t>
      </w:r>
      <w:r w:rsidR="00661326">
        <w:rPr>
          <w:sz w:val="22"/>
          <w:szCs w:val="22"/>
        </w:rPr>
        <w:t xml:space="preserve"> significant equity funding at the </w:t>
      </w:r>
      <w:r w:rsidR="00307FE1">
        <w:rPr>
          <w:sz w:val="22"/>
          <w:szCs w:val="22"/>
        </w:rPr>
        <w:t xml:space="preserve">appropriate valuation </w:t>
      </w:r>
      <w:r w:rsidR="0055294C">
        <w:rPr>
          <w:sz w:val="22"/>
          <w:szCs w:val="22"/>
        </w:rPr>
        <w:t xml:space="preserve">and </w:t>
      </w:r>
      <w:r w:rsidR="00307FE1">
        <w:rPr>
          <w:sz w:val="22"/>
          <w:szCs w:val="22"/>
        </w:rPr>
        <w:t xml:space="preserve">the appropriate </w:t>
      </w:r>
      <w:r w:rsidR="00661326">
        <w:rPr>
          <w:sz w:val="22"/>
          <w:szCs w:val="22"/>
        </w:rPr>
        <w:t>stock price</w:t>
      </w:r>
      <w:r w:rsidR="00307FE1">
        <w:rPr>
          <w:sz w:val="22"/>
          <w:szCs w:val="22"/>
        </w:rPr>
        <w:t xml:space="preserve">. </w:t>
      </w:r>
    </w:p>
    <w:p w:rsidR="00977318" w:rsidRPr="00646A46" w:rsidRDefault="00D57E82" w:rsidP="00D57E82">
      <w:pPr>
        <w:jc w:val="both"/>
        <w:rPr>
          <w:rFonts w:ascii="Times New Roman" w:hAnsi="Times New Roman" w:cs="Times New Roman"/>
          <w:color w:val="000000"/>
          <w:lang w:val="en-US"/>
        </w:rPr>
      </w:pPr>
      <w:r>
        <w:rPr>
          <w:rFonts w:ascii="Times New Roman" w:hAnsi="Times New Roman" w:cs="Times New Roman"/>
          <w:color w:val="000000"/>
          <w:lang w:val="en-US"/>
        </w:rPr>
        <w:t xml:space="preserve">The Company </w:t>
      </w:r>
      <w:r w:rsidR="00307FE1" w:rsidRPr="00307FE1">
        <w:rPr>
          <w:rFonts w:ascii="Times New Roman" w:hAnsi="Times New Roman" w:cs="Times New Roman"/>
          <w:color w:val="000000"/>
          <w:lang w:val="en-US"/>
        </w:rPr>
        <w:t xml:space="preserve">has </w:t>
      </w:r>
      <w:r>
        <w:rPr>
          <w:rFonts w:ascii="Times New Roman" w:hAnsi="Times New Roman" w:cs="Times New Roman"/>
          <w:color w:val="000000"/>
          <w:lang w:val="en-US"/>
        </w:rPr>
        <w:t>commenced</w:t>
      </w:r>
      <w:r w:rsidR="00307FE1" w:rsidRPr="00307FE1">
        <w:rPr>
          <w:rFonts w:ascii="Times New Roman" w:hAnsi="Times New Roman" w:cs="Times New Roman"/>
          <w:color w:val="000000"/>
          <w:lang w:val="en-US"/>
        </w:rPr>
        <w:t xml:space="preserve"> discussions with a firm out of </w:t>
      </w:r>
      <w:r w:rsidR="00977318">
        <w:rPr>
          <w:rFonts w:ascii="Times New Roman" w:hAnsi="Times New Roman" w:cs="Times New Roman"/>
          <w:color w:val="000000"/>
          <w:lang w:val="en-US"/>
        </w:rPr>
        <w:t xml:space="preserve">New York that offers a low cost, high impact </w:t>
      </w:r>
      <w:r w:rsidR="00307FE1" w:rsidRPr="00307FE1">
        <w:rPr>
          <w:rFonts w:ascii="Times New Roman" w:hAnsi="Times New Roman" w:cs="Times New Roman"/>
          <w:color w:val="000000"/>
          <w:lang w:val="en-US"/>
        </w:rPr>
        <w:t xml:space="preserve">solution </w:t>
      </w:r>
      <w:r w:rsidR="00307FE1" w:rsidRPr="00977318">
        <w:rPr>
          <w:rFonts w:ascii="Times New Roman" w:eastAsiaTheme="minorHAnsi" w:hAnsi="Times New Roman" w:cs="Times New Roman"/>
          <w:color w:val="000000"/>
          <w:lang w:eastAsia="en-US"/>
        </w:rPr>
        <w:t>for Alliance</w:t>
      </w:r>
      <w:r>
        <w:rPr>
          <w:rFonts w:ascii="Times New Roman" w:eastAsiaTheme="minorHAnsi" w:hAnsi="Times New Roman" w:cs="Times New Roman"/>
          <w:color w:val="000000"/>
          <w:lang w:eastAsia="en-US"/>
        </w:rPr>
        <w:t xml:space="preserve"> Growers</w:t>
      </w:r>
      <w:r w:rsidR="00307FE1" w:rsidRPr="00977318">
        <w:rPr>
          <w:rFonts w:ascii="Times New Roman" w:eastAsiaTheme="minorHAnsi" w:hAnsi="Times New Roman" w:cs="Times New Roman"/>
          <w:color w:val="000000"/>
          <w:lang w:eastAsia="en-US"/>
        </w:rPr>
        <w:t xml:space="preserve"> to get </w:t>
      </w:r>
      <w:r w:rsidR="0020400D">
        <w:rPr>
          <w:rFonts w:ascii="Times New Roman" w:eastAsiaTheme="minorHAnsi" w:hAnsi="Times New Roman" w:cs="Times New Roman"/>
          <w:color w:val="000000"/>
          <w:lang w:eastAsia="en-US"/>
        </w:rPr>
        <w:t xml:space="preserve">quoted </w:t>
      </w:r>
      <w:r w:rsidR="00307FE1" w:rsidRPr="00977318">
        <w:rPr>
          <w:rFonts w:ascii="Times New Roman" w:eastAsiaTheme="minorHAnsi" w:hAnsi="Times New Roman" w:cs="Times New Roman"/>
          <w:color w:val="000000"/>
          <w:lang w:eastAsia="en-US"/>
        </w:rPr>
        <w:t>in the US on either the OTCQB or OTCQX markets. This company works closely with various CSE li</w:t>
      </w:r>
      <w:r w:rsidR="00977318" w:rsidRPr="00977318">
        <w:rPr>
          <w:rFonts w:ascii="Times New Roman" w:eastAsiaTheme="minorHAnsi" w:hAnsi="Times New Roman" w:cs="Times New Roman"/>
          <w:color w:val="000000"/>
          <w:lang w:eastAsia="en-US"/>
        </w:rPr>
        <w:t>sted issuers to open the door for</w:t>
      </w:r>
      <w:r w:rsidR="00307FE1" w:rsidRPr="00977318">
        <w:rPr>
          <w:rFonts w:ascii="Times New Roman" w:eastAsiaTheme="minorHAnsi" w:hAnsi="Times New Roman" w:cs="Times New Roman"/>
          <w:color w:val="000000"/>
          <w:lang w:eastAsia="en-US"/>
        </w:rPr>
        <w:t xml:space="preserve"> US </w:t>
      </w:r>
      <w:r w:rsidR="00977318" w:rsidRPr="00977318">
        <w:rPr>
          <w:rFonts w:ascii="Times New Roman" w:eastAsiaTheme="minorHAnsi" w:hAnsi="Times New Roman" w:cs="Times New Roman"/>
          <w:color w:val="000000"/>
          <w:lang w:eastAsia="en-US"/>
        </w:rPr>
        <w:t xml:space="preserve">investors to be able to trade </w:t>
      </w:r>
      <w:r>
        <w:rPr>
          <w:rFonts w:ascii="Times New Roman" w:eastAsiaTheme="minorHAnsi" w:hAnsi="Times New Roman" w:cs="Times New Roman"/>
          <w:color w:val="000000"/>
          <w:lang w:eastAsia="en-US"/>
        </w:rPr>
        <w:t>the Company’s</w:t>
      </w:r>
      <w:r w:rsidR="00977318" w:rsidRPr="00977318">
        <w:rPr>
          <w:rFonts w:ascii="Times New Roman" w:eastAsiaTheme="minorHAnsi" w:hAnsi="Times New Roman" w:cs="Times New Roman"/>
          <w:color w:val="000000"/>
          <w:lang w:eastAsia="en-US"/>
        </w:rPr>
        <w:t xml:space="preserve"> stock and to provide awareness to a market ten times the size of the Canadian market.  This organization assists </w:t>
      </w:r>
      <w:r w:rsidR="00977318" w:rsidRPr="00646A46">
        <w:rPr>
          <w:rFonts w:ascii="Times New Roman" w:hAnsi="Times New Roman" w:cs="Times New Roman"/>
          <w:color w:val="000000"/>
          <w:lang w:val="en-US"/>
        </w:rPr>
        <w:t xml:space="preserve">companies </w:t>
      </w:r>
      <w:r w:rsidR="0055294C">
        <w:rPr>
          <w:rFonts w:ascii="Times New Roman" w:hAnsi="Times New Roman" w:cs="Times New Roman"/>
          <w:color w:val="000000"/>
          <w:lang w:val="en-US"/>
        </w:rPr>
        <w:t xml:space="preserve">to </w:t>
      </w:r>
      <w:r w:rsidR="00977318" w:rsidRPr="00646A46">
        <w:rPr>
          <w:rFonts w:ascii="Times New Roman" w:hAnsi="Times New Roman" w:cs="Times New Roman"/>
          <w:color w:val="000000"/>
          <w:lang w:val="en-US"/>
        </w:rPr>
        <w:t xml:space="preserve">achieve greater investor engagement and gain a diverse US shareholder base. </w:t>
      </w:r>
    </w:p>
    <w:p w:rsidR="008B12B8" w:rsidRPr="00646A46" w:rsidRDefault="00981B0F" w:rsidP="00D57E82">
      <w:pPr>
        <w:jc w:val="both"/>
        <w:rPr>
          <w:rFonts w:ascii="Times New Roman" w:hAnsi="Times New Roman" w:cs="Times New Roman"/>
          <w:color w:val="000000"/>
          <w:lang w:val="en-US"/>
        </w:rPr>
      </w:pPr>
      <w:r w:rsidRPr="00646A46">
        <w:rPr>
          <w:rFonts w:ascii="Times New Roman" w:hAnsi="Times New Roman" w:cs="Times New Roman"/>
          <w:color w:val="000000"/>
          <w:lang w:val="en-US"/>
        </w:rPr>
        <w:t xml:space="preserve">Commenting on </w:t>
      </w:r>
      <w:r w:rsidR="00612B14" w:rsidRPr="00646A46">
        <w:rPr>
          <w:rFonts w:ascii="Times New Roman" w:hAnsi="Times New Roman" w:cs="Times New Roman"/>
          <w:color w:val="000000"/>
          <w:lang w:val="en-US"/>
        </w:rPr>
        <w:t>the financing</w:t>
      </w:r>
      <w:r w:rsidRPr="00646A46">
        <w:rPr>
          <w:rFonts w:ascii="Times New Roman" w:hAnsi="Times New Roman" w:cs="Times New Roman"/>
          <w:color w:val="000000"/>
          <w:lang w:val="en-US"/>
        </w:rPr>
        <w:t xml:space="preserve">, Dennis Petke, Alliance Growers’ President and CEO </w:t>
      </w:r>
      <w:r w:rsidR="00D57E82">
        <w:rPr>
          <w:rFonts w:ascii="Times New Roman" w:hAnsi="Times New Roman" w:cs="Times New Roman"/>
          <w:color w:val="000000"/>
          <w:lang w:val="en-US"/>
        </w:rPr>
        <w:t>sta</w:t>
      </w:r>
      <w:r w:rsidRPr="00646A46">
        <w:rPr>
          <w:rFonts w:ascii="Times New Roman" w:hAnsi="Times New Roman" w:cs="Times New Roman"/>
          <w:color w:val="000000"/>
          <w:lang w:val="en-US"/>
        </w:rPr>
        <w:t>ted, “</w:t>
      </w:r>
      <w:r w:rsidR="00612B14" w:rsidRPr="00646A46">
        <w:rPr>
          <w:rFonts w:ascii="Times New Roman" w:hAnsi="Times New Roman" w:cs="Times New Roman"/>
          <w:color w:val="000000"/>
          <w:lang w:val="en-US"/>
        </w:rPr>
        <w:t xml:space="preserve">We continue to </w:t>
      </w:r>
      <w:r w:rsidR="00D57E82">
        <w:rPr>
          <w:rFonts w:ascii="Times New Roman" w:hAnsi="Times New Roman" w:cs="Times New Roman"/>
          <w:color w:val="000000"/>
          <w:lang w:val="en-US"/>
        </w:rPr>
        <w:t>seek</w:t>
      </w:r>
      <w:r w:rsidR="00612B14" w:rsidRPr="00646A46">
        <w:rPr>
          <w:rFonts w:ascii="Times New Roman" w:hAnsi="Times New Roman" w:cs="Times New Roman"/>
          <w:color w:val="000000"/>
          <w:lang w:val="en-US"/>
        </w:rPr>
        <w:t xml:space="preserve"> the best financing solutions that </w:t>
      </w:r>
      <w:r w:rsidR="00646A46" w:rsidRPr="00646A46">
        <w:rPr>
          <w:rFonts w:ascii="Times New Roman" w:hAnsi="Times New Roman" w:cs="Times New Roman"/>
          <w:color w:val="000000"/>
          <w:lang w:val="en-US"/>
        </w:rPr>
        <w:t>are non-dilutive</w:t>
      </w:r>
      <w:r w:rsidR="00D57E82">
        <w:rPr>
          <w:rFonts w:ascii="Times New Roman" w:hAnsi="Times New Roman" w:cs="Times New Roman"/>
          <w:color w:val="000000"/>
          <w:lang w:val="en-US"/>
        </w:rPr>
        <w:t>,</w:t>
      </w:r>
      <w:r w:rsidR="00646A46" w:rsidRPr="00646A46">
        <w:rPr>
          <w:rFonts w:ascii="Times New Roman" w:hAnsi="Times New Roman" w:cs="Times New Roman"/>
          <w:color w:val="000000"/>
          <w:lang w:val="en-US"/>
        </w:rPr>
        <w:t xml:space="preserve"> </w:t>
      </w:r>
      <w:r w:rsidR="00D57E82">
        <w:rPr>
          <w:rFonts w:ascii="Times New Roman" w:hAnsi="Times New Roman" w:cs="Times New Roman"/>
          <w:color w:val="000000"/>
          <w:lang w:val="en-US"/>
        </w:rPr>
        <w:t>where</w:t>
      </w:r>
      <w:r w:rsidR="0020400D">
        <w:rPr>
          <w:rFonts w:ascii="Times New Roman" w:hAnsi="Times New Roman" w:cs="Times New Roman"/>
          <w:color w:val="000000"/>
          <w:lang w:val="en-US"/>
        </w:rPr>
        <w:t xml:space="preserve"> possible, </w:t>
      </w:r>
      <w:r w:rsidR="00646A46" w:rsidRPr="00646A46">
        <w:rPr>
          <w:rFonts w:ascii="Times New Roman" w:hAnsi="Times New Roman" w:cs="Times New Roman"/>
          <w:color w:val="000000"/>
          <w:lang w:val="en-US"/>
        </w:rPr>
        <w:t xml:space="preserve">that fit </w:t>
      </w:r>
      <w:r w:rsidR="00D57E82">
        <w:rPr>
          <w:rFonts w:ascii="Times New Roman" w:hAnsi="Times New Roman" w:cs="Times New Roman"/>
          <w:color w:val="000000"/>
          <w:lang w:val="en-US"/>
        </w:rPr>
        <w:t xml:space="preserve">the timing of </w:t>
      </w:r>
      <w:r w:rsidR="00646A46" w:rsidRPr="00646A46">
        <w:rPr>
          <w:rFonts w:ascii="Times New Roman" w:hAnsi="Times New Roman" w:cs="Times New Roman"/>
          <w:color w:val="000000"/>
          <w:lang w:val="en-US"/>
        </w:rPr>
        <w:t>our various project</w:t>
      </w:r>
      <w:r w:rsidR="0020400D">
        <w:rPr>
          <w:rFonts w:ascii="Times New Roman" w:hAnsi="Times New Roman" w:cs="Times New Roman"/>
          <w:color w:val="000000"/>
          <w:lang w:val="en-US"/>
        </w:rPr>
        <w:t>s</w:t>
      </w:r>
      <w:r w:rsidR="00646A46" w:rsidRPr="00646A46">
        <w:rPr>
          <w:rFonts w:ascii="Times New Roman" w:hAnsi="Times New Roman" w:cs="Times New Roman"/>
          <w:color w:val="000000"/>
          <w:lang w:val="en-US"/>
        </w:rPr>
        <w:t xml:space="preserve">.  </w:t>
      </w:r>
      <w:r w:rsidR="008D4CDA">
        <w:rPr>
          <w:rFonts w:ascii="Times New Roman" w:hAnsi="Times New Roman" w:cs="Times New Roman"/>
          <w:color w:val="000000"/>
          <w:lang w:val="en-US"/>
        </w:rPr>
        <w:t>As well, ma</w:t>
      </w:r>
      <w:r w:rsidR="00D57E82">
        <w:rPr>
          <w:rFonts w:ascii="Times New Roman" w:hAnsi="Times New Roman" w:cs="Times New Roman"/>
          <w:color w:val="000000"/>
          <w:lang w:val="en-US"/>
        </w:rPr>
        <w:t>nagement</w:t>
      </w:r>
      <w:r w:rsidR="00646A46" w:rsidRPr="00646A46">
        <w:rPr>
          <w:rFonts w:ascii="Times New Roman" w:hAnsi="Times New Roman" w:cs="Times New Roman"/>
          <w:color w:val="000000"/>
          <w:lang w:val="en-US"/>
        </w:rPr>
        <w:t xml:space="preserve"> c</w:t>
      </w:r>
      <w:r w:rsidR="00480BB1" w:rsidRPr="00646A46">
        <w:rPr>
          <w:rFonts w:ascii="Times New Roman" w:hAnsi="Times New Roman" w:cs="Times New Roman"/>
          <w:color w:val="000000"/>
          <w:lang w:val="en-US"/>
        </w:rPr>
        <w:t>ontinues to work on closing private placement</w:t>
      </w:r>
      <w:r w:rsidR="0020400D">
        <w:rPr>
          <w:rFonts w:ascii="Times New Roman" w:hAnsi="Times New Roman" w:cs="Times New Roman"/>
          <w:color w:val="000000"/>
          <w:lang w:val="en-US"/>
        </w:rPr>
        <w:t>s</w:t>
      </w:r>
      <w:r w:rsidR="00480BB1" w:rsidRPr="00646A46">
        <w:rPr>
          <w:rFonts w:ascii="Times New Roman" w:hAnsi="Times New Roman" w:cs="Times New Roman"/>
          <w:color w:val="000000"/>
          <w:lang w:val="en-US"/>
        </w:rPr>
        <w:t xml:space="preserve"> by getting the message directly to </w:t>
      </w:r>
      <w:r w:rsidR="008D4CDA">
        <w:rPr>
          <w:rFonts w:ascii="Times New Roman" w:hAnsi="Times New Roman" w:cs="Times New Roman"/>
          <w:color w:val="000000"/>
          <w:lang w:val="en-US"/>
        </w:rPr>
        <w:t xml:space="preserve">both </w:t>
      </w:r>
      <w:r w:rsidR="00480BB1" w:rsidRPr="00646A46">
        <w:rPr>
          <w:rFonts w:ascii="Times New Roman" w:hAnsi="Times New Roman" w:cs="Times New Roman"/>
          <w:color w:val="000000"/>
          <w:lang w:val="en-US"/>
        </w:rPr>
        <w:t xml:space="preserve">investors and </w:t>
      </w:r>
      <w:r w:rsidR="00646A46" w:rsidRPr="00646A46">
        <w:rPr>
          <w:rFonts w:ascii="Times New Roman" w:hAnsi="Times New Roman" w:cs="Times New Roman"/>
          <w:color w:val="000000"/>
          <w:lang w:val="en-US"/>
        </w:rPr>
        <w:t>brokers</w:t>
      </w:r>
      <w:r w:rsidR="00480BB1" w:rsidRPr="00646A46">
        <w:rPr>
          <w:rFonts w:ascii="Times New Roman" w:hAnsi="Times New Roman" w:cs="Times New Roman"/>
          <w:color w:val="000000"/>
          <w:lang w:val="en-US"/>
        </w:rPr>
        <w:t xml:space="preserve">. </w:t>
      </w:r>
      <w:r w:rsidR="00646A46" w:rsidRPr="00646A46">
        <w:rPr>
          <w:rFonts w:ascii="Times New Roman" w:hAnsi="Times New Roman" w:cs="Times New Roman"/>
          <w:color w:val="000000"/>
          <w:lang w:val="en-US"/>
        </w:rPr>
        <w:t xml:space="preserve">We are planning two roadshows over the coming two months featuring </w:t>
      </w:r>
      <w:r w:rsidR="00480BB1" w:rsidRPr="00646A46">
        <w:rPr>
          <w:rFonts w:ascii="Times New Roman" w:hAnsi="Times New Roman" w:cs="Times New Roman"/>
          <w:color w:val="000000"/>
          <w:lang w:val="en-US"/>
        </w:rPr>
        <w:t>multiple investor presentation</w:t>
      </w:r>
      <w:r w:rsidR="00646A46" w:rsidRPr="00646A46">
        <w:rPr>
          <w:rFonts w:ascii="Times New Roman" w:hAnsi="Times New Roman" w:cs="Times New Roman"/>
          <w:color w:val="000000"/>
          <w:lang w:val="en-US"/>
        </w:rPr>
        <w:t>s ar</w:t>
      </w:r>
      <w:r w:rsidR="00480BB1" w:rsidRPr="00646A46">
        <w:rPr>
          <w:rFonts w:ascii="Times New Roman" w:hAnsi="Times New Roman" w:cs="Times New Roman"/>
          <w:color w:val="000000"/>
          <w:lang w:val="en-US"/>
        </w:rPr>
        <w:t>ranged by third parties</w:t>
      </w:r>
      <w:r w:rsidR="008D4CDA">
        <w:rPr>
          <w:rFonts w:ascii="Times New Roman" w:hAnsi="Times New Roman" w:cs="Times New Roman"/>
          <w:color w:val="000000"/>
          <w:lang w:val="en-US"/>
        </w:rPr>
        <w:t>,</w:t>
      </w:r>
      <w:r w:rsidR="00480BB1" w:rsidRPr="00646A46">
        <w:rPr>
          <w:rFonts w:ascii="Times New Roman" w:hAnsi="Times New Roman" w:cs="Times New Roman"/>
          <w:color w:val="000000"/>
          <w:lang w:val="en-US"/>
        </w:rPr>
        <w:t xml:space="preserve"> a</w:t>
      </w:r>
      <w:r w:rsidR="00646A46" w:rsidRPr="00646A46">
        <w:rPr>
          <w:rFonts w:ascii="Times New Roman" w:hAnsi="Times New Roman" w:cs="Times New Roman"/>
          <w:color w:val="000000"/>
          <w:lang w:val="en-US"/>
        </w:rPr>
        <w:t xml:space="preserve">s well as </w:t>
      </w:r>
      <w:r w:rsidR="008D4CDA">
        <w:rPr>
          <w:rFonts w:ascii="Times New Roman" w:hAnsi="Times New Roman" w:cs="Times New Roman"/>
          <w:color w:val="000000"/>
          <w:lang w:val="en-US"/>
        </w:rPr>
        <w:t>those</w:t>
      </w:r>
      <w:r w:rsidR="00646A46" w:rsidRPr="00646A46">
        <w:rPr>
          <w:rFonts w:ascii="Times New Roman" w:hAnsi="Times New Roman" w:cs="Times New Roman"/>
          <w:color w:val="000000"/>
          <w:lang w:val="en-US"/>
        </w:rPr>
        <w:t xml:space="preserve"> that are </w:t>
      </w:r>
      <w:r w:rsidR="00480BB1" w:rsidRPr="00646A46">
        <w:rPr>
          <w:rFonts w:ascii="Times New Roman" w:hAnsi="Times New Roman" w:cs="Times New Roman"/>
          <w:color w:val="000000"/>
          <w:lang w:val="en-US"/>
        </w:rPr>
        <w:t xml:space="preserve">internally generated.  </w:t>
      </w:r>
      <w:r w:rsidR="00646A46" w:rsidRPr="00646A46">
        <w:rPr>
          <w:rFonts w:ascii="Times New Roman" w:hAnsi="Times New Roman" w:cs="Times New Roman"/>
          <w:color w:val="000000"/>
          <w:lang w:val="en-US"/>
        </w:rPr>
        <w:t>We invite investors to watch for upcoming fundraising events, similar to the Calgary investor conference”</w:t>
      </w:r>
      <w:r w:rsidR="00E04D8F">
        <w:rPr>
          <w:rFonts w:ascii="Times New Roman" w:hAnsi="Times New Roman" w:cs="Times New Roman"/>
          <w:color w:val="000000"/>
          <w:lang w:val="en-US"/>
        </w:rPr>
        <w:t>.</w:t>
      </w:r>
      <w:bookmarkStart w:id="0" w:name="_GoBack"/>
      <w:bookmarkEnd w:id="0"/>
      <w:r w:rsidR="00480BB1" w:rsidRPr="00646A46">
        <w:rPr>
          <w:rFonts w:ascii="Times New Roman" w:hAnsi="Times New Roman" w:cs="Times New Roman"/>
          <w:color w:val="000000"/>
          <w:lang w:val="en-US"/>
        </w:rPr>
        <w:t xml:space="preserve"> </w:t>
      </w:r>
    </w:p>
    <w:p w:rsidR="00977318" w:rsidRPr="00307FE1" w:rsidRDefault="008D4CDA" w:rsidP="00D57E82">
      <w:pPr>
        <w:jc w:val="both"/>
        <w:rPr>
          <w:rFonts w:ascii="Times New Roman" w:hAnsi="Times New Roman" w:cs="Times New Roman"/>
          <w:color w:val="000000"/>
          <w:lang w:val="en-US"/>
        </w:rPr>
      </w:pPr>
      <w:r>
        <w:rPr>
          <w:rFonts w:ascii="Times New Roman" w:eastAsiaTheme="minorHAnsi" w:hAnsi="Times New Roman" w:cs="Times New Roman"/>
          <w:color w:val="000000"/>
          <w:lang w:eastAsia="en-US"/>
        </w:rPr>
        <w:t>Dennis Petke</w:t>
      </w:r>
      <w:r w:rsidR="00646A46">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further</w:t>
      </w:r>
      <w:r w:rsidRPr="00744DCB">
        <w:rPr>
          <w:rFonts w:ascii="Times New Roman" w:eastAsiaTheme="minorHAnsi" w:hAnsi="Times New Roman" w:cs="Times New Roman"/>
          <w:color w:val="000000"/>
          <w:lang w:eastAsia="en-US"/>
        </w:rPr>
        <w:t xml:space="preserve"> </w:t>
      </w:r>
      <w:r w:rsidR="008B12B8" w:rsidRPr="00744DCB">
        <w:rPr>
          <w:rFonts w:ascii="Times New Roman" w:eastAsiaTheme="minorHAnsi" w:hAnsi="Times New Roman" w:cs="Times New Roman"/>
          <w:color w:val="000000"/>
          <w:lang w:eastAsia="en-US"/>
        </w:rPr>
        <w:t>commented</w:t>
      </w:r>
      <w:r w:rsidR="008B12B8" w:rsidRPr="00EF467D">
        <w:rPr>
          <w:rFonts w:ascii="Times New Roman" w:eastAsiaTheme="minorHAnsi" w:hAnsi="Times New Roman" w:cs="Times New Roman"/>
          <w:color w:val="000000"/>
          <w:lang w:eastAsia="en-US"/>
        </w:rPr>
        <w:t xml:space="preserve"> </w:t>
      </w:r>
      <w:r w:rsidR="00612B14" w:rsidRPr="00EF467D">
        <w:rPr>
          <w:rFonts w:ascii="Times New Roman" w:eastAsiaTheme="minorHAnsi" w:hAnsi="Times New Roman" w:cs="Times New Roman"/>
          <w:color w:val="000000"/>
          <w:lang w:eastAsia="en-US"/>
        </w:rPr>
        <w:t xml:space="preserve">on </w:t>
      </w:r>
      <w:r w:rsidR="00612B14">
        <w:rPr>
          <w:rFonts w:ascii="Times New Roman" w:eastAsiaTheme="minorHAnsi" w:hAnsi="Times New Roman" w:cs="Times New Roman"/>
          <w:color w:val="000000"/>
          <w:lang w:eastAsia="en-US"/>
        </w:rPr>
        <w:t xml:space="preserve">the </w:t>
      </w:r>
      <w:r>
        <w:rPr>
          <w:rFonts w:ascii="Times New Roman" w:eastAsiaTheme="minorHAnsi" w:hAnsi="Times New Roman" w:cs="Times New Roman"/>
          <w:color w:val="000000"/>
          <w:lang w:eastAsia="en-US"/>
        </w:rPr>
        <w:t xml:space="preserve">potential for a </w:t>
      </w:r>
      <w:r w:rsidR="00612B14">
        <w:rPr>
          <w:rFonts w:ascii="Times New Roman" w:eastAsiaTheme="minorHAnsi" w:hAnsi="Times New Roman" w:cs="Times New Roman"/>
          <w:color w:val="000000"/>
          <w:lang w:eastAsia="en-US"/>
        </w:rPr>
        <w:t>US listing</w:t>
      </w:r>
      <w:r w:rsidR="00612B14" w:rsidRPr="00EF467D">
        <w:rPr>
          <w:rFonts w:ascii="Times New Roman" w:eastAsiaTheme="minorHAnsi" w:hAnsi="Times New Roman" w:cs="Times New Roman"/>
          <w:color w:val="000000"/>
          <w:lang w:eastAsia="en-US"/>
        </w:rPr>
        <w:t xml:space="preserve">, </w:t>
      </w:r>
      <w:r w:rsidR="008B12B8">
        <w:rPr>
          <w:rFonts w:ascii="Times New Roman" w:eastAsiaTheme="minorHAnsi" w:hAnsi="Times New Roman" w:cs="Times New Roman"/>
          <w:color w:val="000000"/>
          <w:lang w:eastAsia="en-US"/>
        </w:rPr>
        <w:t>“It is</w:t>
      </w:r>
      <w:r w:rsidR="00977318" w:rsidRPr="00307FE1">
        <w:rPr>
          <w:rFonts w:ascii="Times New Roman" w:hAnsi="Times New Roman" w:cs="Times New Roman"/>
          <w:color w:val="000000"/>
          <w:lang w:val="en-US"/>
        </w:rPr>
        <w:t xml:space="preserve"> well known that </w:t>
      </w:r>
      <w:r w:rsidR="00977318">
        <w:rPr>
          <w:rFonts w:ascii="Times New Roman" w:hAnsi="Times New Roman" w:cs="Times New Roman"/>
          <w:color w:val="000000"/>
          <w:lang w:val="en-US"/>
        </w:rPr>
        <w:t xml:space="preserve">the </w:t>
      </w:r>
      <w:r w:rsidR="00977318" w:rsidRPr="00307FE1">
        <w:rPr>
          <w:rFonts w:ascii="Times New Roman" w:hAnsi="Times New Roman" w:cs="Times New Roman"/>
          <w:color w:val="000000"/>
          <w:lang w:val="en-US"/>
        </w:rPr>
        <w:t>SEC recognized markets (</w:t>
      </w:r>
      <w:r w:rsidR="00977318">
        <w:rPr>
          <w:rFonts w:ascii="Times New Roman" w:hAnsi="Times New Roman" w:cs="Times New Roman"/>
          <w:color w:val="000000"/>
          <w:lang w:val="en-US"/>
        </w:rPr>
        <w:t>OTC</w:t>
      </w:r>
      <w:r w:rsidR="00977318" w:rsidRPr="00307FE1">
        <w:rPr>
          <w:rFonts w:ascii="Times New Roman" w:hAnsi="Times New Roman" w:cs="Times New Roman"/>
          <w:color w:val="000000"/>
          <w:lang w:val="en-US"/>
        </w:rPr>
        <w:t xml:space="preserve">QB and </w:t>
      </w:r>
      <w:r w:rsidR="00977318">
        <w:rPr>
          <w:rFonts w:ascii="Times New Roman" w:hAnsi="Times New Roman" w:cs="Times New Roman"/>
          <w:color w:val="000000"/>
          <w:lang w:val="en-US"/>
        </w:rPr>
        <w:t>OTC</w:t>
      </w:r>
      <w:r w:rsidR="00977318" w:rsidRPr="00307FE1">
        <w:rPr>
          <w:rFonts w:ascii="Times New Roman" w:hAnsi="Times New Roman" w:cs="Times New Roman"/>
          <w:color w:val="000000"/>
          <w:lang w:val="en-US"/>
        </w:rPr>
        <w:t xml:space="preserve">QX) </w:t>
      </w:r>
      <w:r w:rsidR="008B12B8">
        <w:rPr>
          <w:rFonts w:ascii="Times New Roman" w:hAnsi="Times New Roman" w:cs="Times New Roman"/>
          <w:color w:val="000000"/>
          <w:lang w:val="en-US"/>
        </w:rPr>
        <w:t xml:space="preserve">can </w:t>
      </w:r>
      <w:r>
        <w:rPr>
          <w:rFonts w:ascii="Times New Roman" w:hAnsi="Times New Roman" w:cs="Times New Roman"/>
          <w:color w:val="000000"/>
          <w:lang w:val="en-US"/>
        </w:rPr>
        <w:t>assist</w:t>
      </w:r>
      <w:r w:rsidR="00977318" w:rsidRPr="00307FE1">
        <w:rPr>
          <w:rFonts w:ascii="Times New Roman" w:hAnsi="Times New Roman" w:cs="Times New Roman"/>
          <w:color w:val="000000"/>
          <w:lang w:val="en-US"/>
        </w:rPr>
        <w:t xml:space="preserve"> </w:t>
      </w:r>
      <w:r w:rsidR="00977318">
        <w:rPr>
          <w:rFonts w:ascii="Times New Roman" w:hAnsi="Times New Roman" w:cs="Times New Roman"/>
          <w:color w:val="000000"/>
          <w:lang w:val="en-US"/>
        </w:rPr>
        <w:t xml:space="preserve">Canadian </w:t>
      </w:r>
      <w:r w:rsidR="008B12B8">
        <w:rPr>
          <w:rFonts w:ascii="Times New Roman" w:hAnsi="Times New Roman" w:cs="Times New Roman"/>
          <w:color w:val="000000"/>
          <w:lang w:val="en-US"/>
        </w:rPr>
        <w:t xml:space="preserve">listed </w:t>
      </w:r>
      <w:r w:rsidR="00977318" w:rsidRPr="00307FE1">
        <w:rPr>
          <w:rFonts w:ascii="Times New Roman" w:hAnsi="Times New Roman" w:cs="Times New Roman"/>
          <w:color w:val="000000"/>
          <w:lang w:val="en-US"/>
        </w:rPr>
        <w:t xml:space="preserve">companies </w:t>
      </w:r>
      <w:r>
        <w:rPr>
          <w:rFonts w:ascii="Times New Roman" w:hAnsi="Times New Roman" w:cs="Times New Roman"/>
          <w:color w:val="000000"/>
          <w:lang w:val="en-US"/>
        </w:rPr>
        <w:t xml:space="preserve">in </w:t>
      </w:r>
      <w:r w:rsidR="00977318" w:rsidRPr="00307FE1">
        <w:rPr>
          <w:rFonts w:ascii="Times New Roman" w:hAnsi="Times New Roman" w:cs="Times New Roman"/>
          <w:color w:val="000000"/>
          <w:lang w:val="en-US"/>
        </w:rPr>
        <w:t>gain</w:t>
      </w:r>
      <w:r>
        <w:rPr>
          <w:rFonts w:ascii="Times New Roman" w:hAnsi="Times New Roman" w:cs="Times New Roman"/>
          <w:color w:val="000000"/>
          <w:lang w:val="en-US"/>
        </w:rPr>
        <w:t>ing</w:t>
      </w:r>
      <w:r w:rsidR="00977318" w:rsidRPr="00307FE1">
        <w:rPr>
          <w:rFonts w:ascii="Times New Roman" w:hAnsi="Times New Roman" w:cs="Times New Roman"/>
          <w:color w:val="000000"/>
          <w:lang w:val="en-US"/>
        </w:rPr>
        <w:t xml:space="preserve"> far greater US investo</w:t>
      </w:r>
      <w:r>
        <w:rPr>
          <w:rFonts w:ascii="Times New Roman" w:hAnsi="Times New Roman" w:cs="Times New Roman"/>
          <w:color w:val="000000"/>
          <w:lang w:val="en-US"/>
        </w:rPr>
        <w:t xml:space="preserve">r interest, trading volume, to </w:t>
      </w:r>
      <w:r w:rsidR="00977318" w:rsidRPr="00307FE1">
        <w:rPr>
          <w:rFonts w:ascii="Times New Roman" w:hAnsi="Times New Roman" w:cs="Times New Roman"/>
          <w:color w:val="000000"/>
          <w:lang w:val="en-US"/>
        </w:rPr>
        <w:t xml:space="preserve">achieve </w:t>
      </w:r>
      <w:r w:rsidR="00612B14">
        <w:rPr>
          <w:rFonts w:ascii="Times New Roman" w:hAnsi="Times New Roman" w:cs="Times New Roman"/>
          <w:color w:val="000000"/>
          <w:lang w:val="en-US"/>
        </w:rPr>
        <w:t xml:space="preserve">a more accurate, fair </w:t>
      </w:r>
      <w:r w:rsidR="00977318">
        <w:rPr>
          <w:rFonts w:ascii="Times New Roman" w:hAnsi="Times New Roman" w:cs="Times New Roman"/>
          <w:color w:val="000000"/>
          <w:lang w:val="en-US"/>
        </w:rPr>
        <w:t>v</w:t>
      </w:r>
      <w:r w:rsidR="00977318" w:rsidRPr="00307FE1">
        <w:rPr>
          <w:rFonts w:ascii="Times New Roman" w:hAnsi="Times New Roman" w:cs="Times New Roman"/>
          <w:color w:val="000000"/>
          <w:lang w:val="en-US"/>
        </w:rPr>
        <w:t>aluation</w:t>
      </w:r>
      <w:r w:rsidR="00612B14">
        <w:rPr>
          <w:rFonts w:ascii="Times New Roman" w:hAnsi="Times New Roman" w:cs="Times New Roman"/>
          <w:color w:val="000000"/>
          <w:lang w:val="en-US"/>
        </w:rPr>
        <w:t xml:space="preserve"> </w:t>
      </w:r>
      <w:r>
        <w:rPr>
          <w:rFonts w:ascii="Times New Roman" w:hAnsi="Times New Roman" w:cs="Times New Roman"/>
          <w:color w:val="000000"/>
          <w:lang w:val="en-US"/>
        </w:rPr>
        <w:t xml:space="preserve">with </w:t>
      </w:r>
      <w:r w:rsidR="00612B14">
        <w:rPr>
          <w:rFonts w:ascii="Times New Roman" w:hAnsi="Times New Roman" w:cs="Times New Roman"/>
          <w:color w:val="000000"/>
          <w:lang w:val="en-US"/>
        </w:rPr>
        <w:t>greater liquidity</w:t>
      </w:r>
      <w:r w:rsidR="00977318" w:rsidRPr="00307FE1">
        <w:rPr>
          <w:rFonts w:ascii="Times New Roman" w:hAnsi="Times New Roman" w:cs="Times New Roman"/>
          <w:color w:val="000000"/>
          <w:lang w:val="en-US"/>
        </w:rPr>
        <w:t xml:space="preserve">. </w:t>
      </w:r>
      <w:r w:rsidR="00612B14">
        <w:rPr>
          <w:rFonts w:ascii="Times New Roman" w:hAnsi="Times New Roman" w:cs="Times New Roman"/>
          <w:color w:val="000000"/>
          <w:lang w:val="en-US"/>
        </w:rPr>
        <w:t>Getting quoted and/or listed in the US does not add a heavy burden to</w:t>
      </w:r>
      <w:r w:rsidR="00977318" w:rsidRPr="00307FE1">
        <w:rPr>
          <w:rFonts w:ascii="Times New Roman" w:hAnsi="Times New Roman" w:cs="Times New Roman"/>
          <w:color w:val="000000"/>
          <w:lang w:val="en-US"/>
        </w:rPr>
        <w:t xml:space="preserve"> </w:t>
      </w:r>
      <w:r w:rsidR="00612B14">
        <w:rPr>
          <w:rFonts w:ascii="Times New Roman" w:hAnsi="Times New Roman" w:cs="Times New Roman"/>
          <w:color w:val="000000"/>
          <w:lang w:val="en-US"/>
        </w:rPr>
        <w:t>our</w:t>
      </w:r>
      <w:r w:rsidR="00977318" w:rsidRPr="00307FE1">
        <w:rPr>
          <w:rFonts w:ascii="Times New Roman" w:hAnsi="Times New Roman" w:cs="Times New Roman"/>
          <w:color w:val="000000"/>
          <w:lang w:val="en-US"/>
        </w:rPr>
        <w:t xml:space="preserve"> reporting </w:t>
      </w:r>
      <w:r w:rsidR="00612B14">
        <w:rPr>
          <w:rFonts w:ascii="Times New Roman" w:hAnsi="Times New Roman" w:cs="Times New Roman"/>
          <w:color w:val="000000"/>
          <w:lang w:val="en-US"/>
        </w:rPr>
        <w:t>requirements</w:t>
      </w:r>
      <w:r w:rsidR="00977318" w:rsidRPr="00307FE1">
        <w:rPr>
          <w:rFonts w:ascii="Times New Roman" w:hAnsi="Times New Roman" w:cs="Times New Roman"/>
          <w:color w:val="000000"/>
          <w:lang w:val="en-US"/>
        </w:rPr>
        <w:t xml:space="preserve">, </w:t>
      </w:r>
      <w:r w:rsidR="00612B14">
        <w:rPr>
          <w:rFonts w:ascii="Times New Roman" w:hAnsi="Times New Roman" w:cs="Times New Roman"/>
          <w:color w:val="000000"/>
          <w:lang w:val="en-US"/>
        </w:rPr>
        <w:t xml:space="preserve">thus no </w:t>
      </w:r>
      <w:r w:rsidR="00977318" w:rsidRPr="00307FE1">
        <w:rPr>
          <w:rFonts w:ascii="Times New Roman" w:hAnsi="Times New Roman" w:cs="Times New Roman"/>
          <w:color w:val="000000"/>
          <w:lang w:val="en-US"/>
        </w:rPr>
        <w:t xml:space="preserve">significant </w:t>
      </w:r>
      <w:r>
        <w:rPr>
          <w:rFonts w:ascii="Times New Roman" w:hAnsi="Times New Roman" w:cs="Times New Roman"/>
          <w:color w:val="000000"/>
          <w:lang w:val="en-US"/>
        </w:rPr>
        <w:t xml:space="preserve">incremental </w:t>
      </w:r>
      <w:r w:rsidR="00612B14">
        <w:rPr>
          <w:rFonts w:ascii="Times New Roman" w:hAnsi="Times New Roman" w:cs="Times New Roman"/>
          <w:color w:val="000000"/>
          <w:lang w:val="en-US"/>
        </w:rPr>
        <w:t>ongoing costs</w:t>
      </w:r>
      <w:r w:rsidR="00977318" w:rsidRPr="00307FE1">
        <w:rPr>
          <w:rFonts w:ascii="Times New Roman" w:hAnsi="Times New Roman" w:cs="Times New Roman"/>
          <w:color w:val="000000"/>
          <w:lang w:val="en-US"/>
        </w:rPr>
        <w:t>.</w:t>
      </w:r>
      <w:r w:rsidR="00977318" w:rsidRPr="00977318">
        <w:rPr>
          <w:rFonts w:ascii="Times New Roman" w:hAnsi="Times New Roman" w:cs="Times New Roman"/>
          <w:color w:val="000000"/>
          <w:lang w:val="en-US"/>
        </w:rPr>
        <w:t xml:space="preserve"> </w:t>
      </w:r>
      <w:r w:rsidR="00612B14">
        <w:rPr>
          <w:rFonts w:ascii="Times New Roman" w:hAnsi="Times New Roman" w:cs="Times New Roman"/>
          <w:color w:val="000000"/>
          <w:lang w:val="en-US"/>
        </w:rPr>
        <w:t xml:space="preserve">Although Alliance </w:t>
      </w:r>
      <w:r>
        <w:rPr>
          <w:rFonts w:ascii="Times New Roman" w:hAnsi="Times New Roman" w:cs="Times New Roman"/>
          <w:color w:val="000000"/>
          <w:lang w:val="en-US"/>
        </w:rPr>
        <w:t xml:space="preserve">Growers </w:t>
      </w:r>
      <w:r w:rsidR="00612B14">
        <w:rPr>
          <w:rFonts w:ascii="Times New Roman" w:hAnsi="Times New Roman" w:cs="Times New Roman"/>
          <w:color w:val="000000"/>
          <w:lang w:val="en-US"/>
        </w:rPr>
        <w:t xml:space="preserve">has responded to many queries from US investors, </w:t>
      </w:r>
      <w:r>
        <w:rPr>
          <w:rFonts w:ascii="Times New Roman" w:hAnsi="Times New Roman" w:cs="Times New Roman"/>
          <w:color w:val="000000"/>
          <w:lang w:val="en-US"/>
        </w:rPr>
        <w:t xml:space="preserve">to date </w:t>
      </w:r>
      <w:r w:rsidR="00612B14">
        <w:rPr>
          <w:rFonts w:ascii="Times New Roman" w:hAnsi="Times New Roman" w:cs="Times New Roman"/>
          <w:color w:val="000000"/>
          <w:lang w:val="en-US"/>
        </w:rPr>
        <w:t xml:space="preserve">we have only been able to secure a handful of US shareholders.  This is because </w:t>
      </w:r>
      <w:r w:rsidR="00977318" w:rsidRPr="00977318">
        <w:rPr>
          <w:rFonts w:ascii="Times New Roman" w:hAnsi="Times New Roman" w:cs="Times New Roman"/>
          <w:color w:val="000000"/>
          <w:lang w:val="en-US"/>
        </w:rPr>
        <w:t xml:space="preserve">most investors, brokers and advisors are either unwilling or unable to trade or recommend </w:t>
      </w:r>
      <w:r w:rsidR="00612B14">
        <w:rPr>
          <w:rFonts w:ascii="Times New Roman" w:hAnsi="Times New Roman" w:cs="Times New Roman"/>
          <w:color w:val="000000"/>
          <w:lang w:val="en-US"/>
        </w:rPr>
        <w:t>Canadian s</w:t>
      </w:r>
      <w:r w:rsidR="00977318" w:rsidRPr="00977318">
        <w:rPr>
          <w:rFonts w:ascii="Times New Roman" w:hAnsi="Times New Roman" w:cs="Times New Roman"/>
          <w:color w:val="000000"/>
          <w:lang w:val="en-US"/>
        </w:rPr>
        <w:t>tock in the US for a variety of reasons</w:t>
      </w:r>
      <w:r w:rsidR="00612B14">
        <w:rPr>
          <w:rFonts w:ascii="Times New Roman" w:hAnsi="Times New Roman" w:cs="Times New Roman"/>
          <w:color w:val="000000"/>
          <w:lang w:val="en-US"/>
        </w:rPr>
        <w:t>, unless they are quoted on the OTC</w:t>
      </w:r>
      <w:r w:rsidR="00612B14" w:rsidRPr="00307FE1">
        <w:rPr>
          <w:rFonts w:ascii="Times New Roman" w:hAnsi="Times New Roman" w:cs="Times New Roman"/>
          <w:color w:val="000000"/>
          <w:lang w:val="en-US"/>
        </w:rPr>
        <w:t xml:space="preserve">QB </w:t>
      </w:r>
      <w:r w:rsidR="00612B14">
        <w:rPr>
          <w:rFonts w:ascii="Times New Roman" w:hAnsi="Times New Roman" w:cs="Times New Roman"/>
          <w:color w:val="000000"/>
          <w:lang w:val="en-US"/>
        </w:rPr>
        <w:t>or</w:t>
      </w:r>
      <w:r w:rsidR="00612B14" w:rsidRPr="00307FE1">
        <w:rPr>
          <w:rFonts w:ascii="Times New Roman" w:hAnsi="Times New Roman" w:cs="Times New Roman"/>
          <w:color w:val="000000"/>
          <w:lang w:val="en-US"/>
        </w:rPr>
        <w:t xml:space="preserve"> </w:t>
      </w:r>
      <w:r w:rsidR="00612B14">
        <w:rPr>
          <w:rFonts w:ascii="Times New Roman" w:hAnsi="Times New Roman" w:cs="Times New Roman"/>
          <w:color w:val="000000"/>
          <w:lang w:val="en-US"/>
        </w:rPr>
        <w:t>OTC</w:t>
      </w:r>
      <w:r w:rsidR="00612B14" w:rsidRPr="00307FE1">
        <w:rPr>
          <w:rFonts w:ascii="Times New Roman" w:hAnsi="Times New Roman" w:cs="Times New Roman"/>
          <w:color w:val="000000"/>
          <w:lang w:val="en-US"/>
        </w:rPr>
        <w:t>QX</w:t>
      </w:r>
      <w:r w:rsidR="00612B14">
        <w:rPr>
          <w:rFonts w:ascii="Times New Roman" w:hAnsi="Times New Roman" w:cs="Times New Roman"/>
          <w:color w:val="000000"/>
          <w:lang w:val="en-US"/>
        </w:rPr>
        <w:t xml:space="preserve"> and other large exchanges.</w:t>
      </w:r>
      <w:r w:rsidR="00646A46">
        <w:rPr>
          <w:rFonts w:ascii="Times New Roman" w:hAnsi="Times New Roman" w:cs="Times New Roman"/>
          <w:color w:val="000000"/>
          <w:lang w:val="en-US"/>
        </w:rPr>
        <w:t xml:space="preserve">  It is our </w:t>
      </w:r>
      <w:r w:rsidR="00646A46">
        <w:rPr>
          <w:rFonts w:ascii="Times New Roman" w:hAnsi="Times New Roman" w:cs="Times New Roman"/>
          <w:color w:val="000000"/>
          <w:lang w:val="en-US"/>
        </w:rPr>
        <w:lastRenderedPageBreak/>
        <w:t>objective to get our story out to as wide an audience as possible as quickly as possible</w:t>
      </w:r>
      <w:r>
        <w:rPr>
          <w:rFonts w:ascii="Times New Roman" w:hAnsi="Times New Roman" w:cs="Times New Roman"/>
          <w:color w:val="000000"/>
          <w:lang w:val="en-US"/>
        </w:rPr>
        <w:t>,</w:t>
      </w:r>
      <w:r w:rsidR="00646A46">
        <w:rPr>
          <w:rFonts w:ascii="Times New Roman" w:hAnsi="Times New Roman" w:cs="Times New Roman"/>
          <w:color w:val="000000"/>
          <w:lang w:val="en-US"/>
        </w:rPr>
        <w:t xml:space="preserve"> fund our projects in the most efficient manner possible</w:t>
      </w:r>
      <w:r>
        <w:rPr>
          <w:rFonts w:ascii="Times New Roman" w:hAnsi="Times New Roman" w:cs="Times New Roman"/>
          <w:color w:val="000000"/>
          <w:lang w:val="en-US"/>
        </w:rPr>
        <w:t>, and build value for our shareholders</w:t>
      </w:r>
      <w:r w:rsidR="00612B14">
        <w:rPr>
          <w:rFonts w:ascii="Times New Roman" w:hAnsi="Times New Roman" w:cs="Times New Roman"/>
          <w:color w:val="000000"/>
          <w:lang w:val="en-US"/>
        </w:rPr>
        <w:t>”</w:t>
      </w:r>
      <w:r>
        <w:rPr>
          <w:rFonts w:ascii="Times New Roman" w:hAnsi="Times New Roman" w:cs="Times New Roman"/>
          <w:color w:val="000000"/>
          <w:lang w:val="en-US"/>
        </w:rPr>
        <w:t>.</w:t>
      </w: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E04D8F"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E04D8F" w:rsidP="00927E0C">
      <w:pPr>
        <w:spacing w:before="120" w:after="120"/>
        <w:jc w:val="both"/>
        <w:rPr>
          <w:rFonts w:ascii="Times New Roman" w:eastAsia="Times New Roman" w:hAnsi="Times New Roman" w:cs="Times New Roman"/>
          <w:b/>
          <w:color w:val="000000"/>
        </w:rPr>
      </w:pPr>
      <w:hyperlink r:id="rId11" w:history="1">
        <w:r w:rsidR="00F55943" w:rsidRPr="00ED0837">
          <w:rPr>
            <w:rStyle w:val="Hyperlink"/>
            <w:rFonts w:ascii="Times New Roman" w:eastAsia="Times New Roman" w:hAnsi="Times New Roman" w:cs="Times New Roman"/>
          </w:rPr>
          <w:t>RobDGrace@gmail.com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w:t>
      </w:r>
      <w:r w:rsidRPr="00927E0C">
        <w:rPr>
          <w:rFonts w:ascii="Times New Roman" w:eastAsia="Times New Roman" w:hAnsi="Times New Roman" w:cs="Times New Roman"/>
          <w:sz w:val="20"/>
          <w:szCs w:val="20"/>
        </w:rPr>
        <w:lastRenderedPageBreak/>
        <w:t>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01431"/>
    <w:rsid w:val="00062BA0"/>
    <w:rsid w:val="00081D59"/>
    <w:rsid w:val="00093FF9"/>
    <w:rsid w:val="00095CA1"/>
    <w:rsid w:val="000A4886"/>
    <w:rsid w:val="000F192D"/>
    <w:rsid w:val="00114AEC"/>
    <w:rsid w:val="00147E9E"/>
    <w:rsid w:val="00152A48"/>
    <w:rsid w:val="00174300"/>
    <w:rsid w:val="0019738A"/>
    <w:rsid w:val="001D6B87"/>
    <w:rsid w:val="001E326B"/>
    <w:rsid w:val="0020400D"/>
    <w:rsid w:val="00217DD6"/>
    <w:rsid w:val="00246617"/>
    <w:rsid w:val="002469B9"/>
    <w:rsid w:val="00281974"/>
    <w:rsid w:val="002B0C7F"/>
    <w:rsid w:val="002F0974"/>
    <w:rsid w:val="00307FE1"/>
    <w:rsid w:val="00312297"/>
    <w:rsid w:val="00315630"/>
    <w:rsid w:val="00334C74"/>
    <w:rsid w:val="003504AB"/>
    <w:rsid w:val="003845EB"/>
    <w:rsid w:val="003C0DF7"/>
    <w:rsid w:val="003C5521"/>
    <w:rsid w:val="003F638B"/>
    <w:rsid w:val="004157EE"/>
    <w:rsid w:val="00462221"/>
    <w:rsid w:val="00466B67"/>
    <w:rsid w:val="00480BB1"/>
    <w:rsid w:val="004841F6"/>
    <w:rsid w:val="00486C92"/>
    <w:rsid w:val="004C3118"/>
    <w:rsid w:val="004D7560"/>
    <w:rsid w:val="004E5BCD"/>
    <w:rsid w:val="004E5BD5"/>
    <w:rsid w:val="004E6445"/>
    <w:rsid w:val="00501CC2"/>
    <w:rsid w:val="005375A8"/>
    <w:rsid w:val="0055044E"/>
    <w:rsid w:val="0055216A"/>
    <w:rsid w:val="0055294C"/>
    <w:rsid w:val="00612B14"/>
    <w:rsid w:val="0062424D"/>
    <w:rsid w:val="006264A3"/>
    <w:rsid w:val="00636597"/>
    <w:rsid w:val="00646A46"/>
    <w:rsid w:val="00661326"/>
    <w:rsid w:val="006623BF"/>
    <w:rsid w:val="00666976"/>
    <w:rsid w:val="00686D24"/>
    <w:rsid w:val="00690B93"/>
    <w:rsid w:val="006C70A3"/>
    <w:rsid w:val="00733593"/>
    <w:rsid w:val="007340DB"/>
    <w:rsid w:val="00744DCB"/>
    <w:rsid w:val="007840EA"/>
    <w:rsid w:val="00793F1A"/>
    <w:rsid w:val="00794664"/>
    <w:rsid w:val="007A6F39"/>
    <w:rsid w:val="007B1F04"/>
    <w:rsid w:val="007C5FEB"/>
    <w:rsid w:val="007C7379"/>
    <w:rsid w:val="007D3DD0"/>
    <w:rsid w:val="008074E9"/>
    <w:rsid w:val="00871107"/>
    <w:rsid w:val="00875020"/>
    <w:rsid w:val="00880864"/>
    <w:rsid w:val="00890920"/>
    <w:rsid w:val="008A1609"/>
    <w:rsid w:val="008A630B"/>
    <w:rsid w:val="008B12B8"/>
    <w:rsid w:val="008D4CDA"/>
    <w:rsid w:val="009065AB"/>
    <w:rsid w:val="00916D40"/>
    <w:rsid w:val="00927E0C"/>
    <w:rsid w:val="009574A9"/>
    <w:rsid w:val="00965185"/>
    <w:rsid w:val="00977318"/>
    <w:rsid w:val="009817E7"/>
    <w:rsid w:val="00981B0F"/>
    <w:rsid w:val="009E37BD"/>
    <w:rsid w:val="009F07D3"/>
    <w:rsid w:val="00A01CD6"/>
    <w:rsid w:val="00A04D82"/>
    <w:rsid w:val="00B019AA"/>
    <w:rsid w:val="00B8495F"/>
    <w:rsid w:val="00B85246"/>
    <w:rsid w:val="00BA3F6B"/>
    <w:rsid w:val="00BA4BEA"/>
    <w:rsid w:val="00BB26C2"/>
    <w:rsid w:val="00BD4BFA"/>
    <w:rsid w:val="00BD5842"/>
    <w:rsid w:val="00BE27CE"/>
    <w:rsid w:val="00C0510C"/>
    <w:rsid w:val="00C07810"/>
    <w:rsid w:val="00C109D8"/>
    <w:rsid w:val="00C551F9"/>
    <w:rsid w:val="00C9023E"/>
    <w:rsid w:val="00CA7917"/>
    <w:rsid w:val="00CB107F"/>
    <w:rsid w:val="00CB3EBC"/>
    <w:rsid w:val="00D02FBB"/>
    <w:rsid w:val="00D0307A"/>
    <w:rsid w:val="00D14E3B"/>
    <w:rsid w:val="00D26B8E"/>
    <w:rsid w:val="00D57E82"/>
    <w:rsid w:val="00D7449B"/>
    <w:rsid w:val="00D81F16"/>
    <w:rsid w:val="00D9411F"/>
    <w:rsid w:val="00DB22F6"/>
    <w:rsid w:val="00DB67D9"/>
    <w:rsid w:val="00E0410A"/>
    <w:rsid w:val="00E04D8F"/>
    <w:rsid w:val="00E23F79"/>
    <w:rsid w:val="00E33B8C"/>
    <w:rsid w:val="00E52458"/>
    <w:rsid w:val="00E57B93"/>
    <w:rsid w:val="00E930E4"/>
    <w:rsid w:val="00EB5C88"/>
    <w:rsid w:val="00EE24EA"/>
    <w:rsid w:val="00EF467D"/>
    <w:rsid w:val="00EF7F17"/>
    <w:rsid w:val="00F13747"/>
    <w:rsid w:val="00F14A37"/>
    <w:rsid w:val="00F316FB"/>
    <w:rsid w:val="00F34DED"/>
    <w:rsid w:val="00F361D4"/>
    <w:rsid w:val="00F421D5"/>
    <w:rsid w:val="00F427AA"/>
    <w:rsid w:val="00F466AB"/>
    <w:rsid w:val="00F55943"/>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72D4"/>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F55943"/>
    <w:rPr>
      <w:color w:val="2B579A"/>
      <w:shd w:val="clear" w:color="auto" w:fill="E6E6E6"/>
    </w:rPr>
  </w:style>
  <w:style w:type="paragraph" w:customStyle="1" w:styleId="canvas-atom">
    <w:name w:val="canvas-atom"/>
    <w:basedOn w:val="Normal"/>
    <w:rsid w:val="00480BB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479082948">
      <w:bodyDiv w:val="1"/>
      <w:marLeft w:val="0"/>
      <w:marRight w:val="0"/>
      <w:marTop w:val="0"/>
      <w:marBottom w:val="0"/>
      <w:divBdr>
        <w:top w:val="none" w:sz="0" w:space="0" w:color="auto"/>
        <w:left w:val="none" w:sz="0" w:space="0" w:color="auto"/>
        <w:bottom w:val="none" w:sz="0" w:space="0" w:color="auto"/>
        <w:right w:val="none" w:sz="0" w:space="0" w:color="auto"/>
      </w:divBdr>
    </w:div>
    <w:div w:id="517039890">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2890">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2064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B53A-3291-4725-82D6-836AC279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2017-08-02T02:03:00Z</dcterms:created>
  <dcterms:modified xsi:type="dcterms:W3CDTF">2017-08-02T02:03:00Z</dcterms:modified>
</cp:coreProperties>
</file>