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7A29CA" w:rsidRPr="00E51D83" w:rsidP="00310C13" w14:paraId="276C3EB6" w14:textId="4DD81F31">
      <w:pPr>
        <w:pStyle w:val="Heading1"/>
        <w:divId w:val="1115715413"/>
        <w:pBdr>
          <w:bottom w:val="single" w:sz="12" w:space="1" w:color="auto"/>
        </w:pBdr>
        <w:spacing w:before="0" w:line="276" w:lineRule="auto"/>
        <w:jc w:val="center"/>
        <w:rPr>
          <w:rFonts w:ascii="Times New Roman" w:hAnsi="Times New Roman" w:cs="Times New Roman"/>
          <w:color w:val="auto"/>
          <w:sz w:val="22"/>
          <w:szCs w:val="22"/>
          <w:shd w:val="clear" w:color="auto" w:fill="auto"/>
        </w:rPr>
      </w:pPr>
      <w:r w:rsidRPr="00E51D83">
        <w:rPr>
          <w:rFonts w:ascii="Times New Roman" w:hAnsi="Times New Roman" w:cs="Times New Roman"/>
          <w:noProof/>
          <w:sz w:val="22"/>
          <w:szCs w:val="22"/>
          <w:lang w:val="en-US"/>
        </w:rPr>
        <w:drawing>
          <wp:inline distT="0" distB="0" distL="0" distR="0">
            <wp:extent cx="2255144" cy="710033"/>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4"/>
                    <a:stretch>
                      <a:fillRect/>
                    </a:stretch>
                  </pic:blipFill>
                  <pic:spPr>
                    <a:xfrm>
                      <a:off x="0" y="0"/>
                      <a:ext cx="2255144" cy="710033"/>
                    </a:xfrm>
                    <a:prstGeom prst="rect">
                      <a:avLst/>
                    </a:prstGeom>
                  </pic:spPr>
                </pic:pic>
              </a:graphicData>
            </a:graphic>
          </wp:inline>
        </w:drawing>
      </w:r>
    </w:p>
    <w:p w:rsidR="003A7945" w:rsidRPr="00E51D83" w:rsidP="000371EB" w14:paraId="7EAE94CB" w14:textId="77777777">
      <w:pPr>
        <w:divId w:val="1115715413"/>
        <w:spacing w:line="276" w:lineRule="auto"/>
        <w:jc w:val="both"/>
        <w:rPr>
          <w:rFonts w:ascii="Times New Roman" w:hAnsi="Times New Roman" w:cs="Times New Roman"/>
          <w:color w:val="auto"/>
          <w:shd w:val="clear" w:color="auto" w:fill="auto"/>
        </w:rPr>
      </w:pPr>
    </w:p>
    <w:p w:rsidR="00520E03" w:rsidRPr="00434828" w:rsidP="006458ED" w14:paraId="7E1B0875" w14:textId="28C6397A">
      <w:pPr>
        <w:pStyle w:val="s5"/>
        <w:spacing w:before="0" w:beforeAutospacing="0" w:after="0" w:afterAutospacing="0" w:line="276" w:lineRule="auto"/>
        <w:jc w:val="center"/>
        <w:rPr>
          <w:rStyle w:val="s9"/>
          <w:b/>
          <w:bCs/>
          <w:i/>
          <w:iCs/>
          <w:color w:val="0E101A"/>
          <w:sz w:val="48"/>
          <w:szCs w:val="48"/>
          <w:shd w:val="clear" w:color="auto" w:fill="auto"/>
        </w:rPr>
      </w:pPr>
      <w:r w:rsidRPr="00434828">
        <w:rPr>
          <w:rStyle w:val="s6"/>
          <w:rFonts w:eastAsiaTheme="majorEastAsia"/>
          <w:b/>
          <w:bCs/>
          <w:color w:val="0E101A"/>
          <w:sz w:val="48"/>
          <w:szCs w:val="48"/>
        </w:rPr>
        <w:t xml:space="preserve">Spetz Announces </w:t>
      </w:r>
      <w:r w:rsidR="008844C2">
        <w:rPr>
          <w:rStyle w:val="s6"/>
          <w:rFonts w:eastAsiaTheme="majorEastAsia"/>
          <w:b/>
          <w:bCs/>
          <w:color w:val="0E101A"/>
          <w:sz w:val="48"/>
          <w:szCs w:val="48"/>
        </w:rPr>
        <w:t xml:space="preserve">Convertible Debenture </w:t>
      </w:r>
      <w:r w:rsidR="00B21BEA">
        <w:rPr>
          <w:rStyle w:val="s6"/>
          <w:rFonts w:eastAsiaTheme="majorEastAsia"/>
          <w:b/>
          <w:bCs/>
          <w:color w:val="0E101A"/>
          <w:sz w:val="48"/>
          <w:szCs w:val="48"/>
        </w:rPr>
        <w:t xml:space="preserve">and Warrant </w:t>
      </w:r>
      <w:r w:rsidR="008844C2">
        <w:rPr>
          <w:rStyle w:val="s6"/>
          <w:rFonts w:eastAsiaTheme="majorEastAsia"/>
          <w:b/>
          <w:bCs/>
          <w:color w:val="0E101A"/>
          <w:sz w:val="48"/>
          <w:szCs w:val="48"/>
        </w:rPr>
        <w:t>Offering</w:t>
      </w:r>
    </w:p>
    <w:p w:rsidR="00520E03" w:rsidRPr="00E51D83" w:rsidP="000371EB" w14:paraId="6FAD092F" w14:textId="77777777">
      <w:pPr>
        <w:pStyle w:val="s5"/>
        <w:spacing w:before="0" w:beforeAutospacing="0" w:after="0" w:afterAutospacing="0" w:line="276" w:lineRule="auto"/>
        <w:jc w:val="both"/>
        <w:rPr>
          <w:rStyle w:val="s9"/>
          <w:b/>
          <w:bCs/>
          <w:i/>
          <w:iCs/>
          <w:color w:val="0E101A"/>
          <w:sz w:val="22"/>
          <w:szCs w:val="22"/>
          <w:shd w:val="clear" w:color="auto" w:fill="auto"/>
        </w:rPr>
      </w:pPr>
    </w:p>
    <w:p w:rsidR="007C7625" w:rsidRPr="00E51D83" w:rsidP="000371EB" w14:paraId="3349025A" w14:textId="74EABD07">
      <w:pPr>
        <w:pStyle w:val="s5"/>
        <w:spacing w:before="0" w:beforeAutospacing="0" w:after="0" w:afterAutospacing="0" w:line="276" w:lineRule="auto"/>
        <w:jc w:val="both"/>
        <w:rPr>
          <w:color w:val="0E101A"/>
          <w:sz w:val="22"/>
          <w:szCs w:val="22"/>
          <w:shd w:val="clear" w:color="auto" w:fill="auto"/>
        </w:rPr>
      </w:pPr>
      <w:r w:rsidRPr="00E51D83">
        <w:rPr>
          <w:rStyle w:val="s9"/>
          <w:b/>
          <w:bCs/>
          <w:i/>
          <w:iCs/>
          <w:color w:val="0E101A"/>
          <w:sz w:val="22"/>
          <w:szCs w:val="22"/>
        </w:rPr>
        <w:t xml:space="preserve">PRESS RELEASE </w:t>
      </w:r>
      <w:r w:rsidRPr="00E51D83" w:rsidR="008A5F9C">
        <w:rPr>
          <w:rStyle w:val="s9"/>
          <w:b/>
          <w:bCs/>
          <w:i/>
          <w:iCs/>
          <w:color w:val="0E101A"/>
          <w:sz w:val="22"/>
          <w:szCs w:val="22"/>
        </w:rPr>
        <w:t>–</w:t>
      </w:r>
      <w:r w:rsidR="00F16AED">
        <w:rPr>
          <w:rStyle w:val="s9"/>
          <w:b/>
          <w:bCs/>
          <w:i/>
          <w:iCs/>
          <w:color w:val="0E101A"/>
          <w:sz w:val="22"/>
          <w:szCs w:val="22"/>
        </w:rPr>
        <w:t xml:space="preserve"> February 1</w:t>
      </w:r>
      <w:r w:rsidRPr="00E51D83">
        <w:rPr>
          <w:rStyle w:val="s9"/>
          <w:b/>
          <w:bCs/>
          <w:i/>
          <w:iCs/>
          <w:color w:val="0E101A"/>
          <w:sz w:val="22"/>
          <w:szCs w:val="22"/>
        </w:rPr>
        <w:t>,</w:t>
      </w:r>
      <w:r w:rsidRPr="00E51D83">
        <w:rPr>
          <w:rStyle w:val="apple-converted-space"/>
          <w:b/>
          <w:bCs/>
          <w:i/>
          <w:iCs/>
          <w:color w:val="0E101A"/>
          <w:sz w:val="22"/>
          <w:szCs w:val="22"/>
        </w:rPr>
        <w:t> </w:t>
      </w:r>
      <w:r w:rsidRPr="00E51D83">
        <w:rPr>
          <w:rStyle w:val="s9"/>
          <w:b/>
          <w:bCs/>
          <w:i/>
          <w:iCs/>
          <w:color w:val="0E101A"/>
          <w:sz w:val="22"/>
          <w:szCs w:val="22"/>
        </w:rPr>
        <w:t>202</w:t>
      </w:r>
      <w:r w:rsidRPr="00E51D83" w:rsidR="00852084">
        <w:rPr>
          <w:rStyle w:val="s9"/>
          <w:b/>
          <w:bCs/>
          <w:i/>
          <w:iCs/>
          <w:color w:val="0E101A"/>
          <w:sz w:val="22"/>
          <w:szCs w:val="22"/>
        </w:rPr>
        <w:t>3</w:t>
      </w:r>
    </w:p>
    <w:p w:rsidR="00520E03" w:rsidRPr="00E51D83" w:rsidP="000371EB" w14:paraId="3F8F615A" w14:textId="431A11E7">
      <w:pPr>
        <w:pStyle w:val="BodyText"/>
        <w:spacing w:before="246" w:line="276" w:lineRule="auto"/>
        <w:ind w:left="0"/>
        <w:jc w:val="both"/>
        <w:rPr>
          <w:rFonts w:ascii="Times New Roman" w:hAnsi="Times New Roman" w:cs="Times New Roman"/>
          <w:color w:val="auto"/>
          <w:sz w:val="22"/>
          <w:szCs w:val="22"/>
          <w:shd w:val="clear" w:color="auto" w:fill="auto"/>
        </w:rPr>
      </w:pPr>
      <w:r w:rsidRPr="00E51D83">
        <w:rPr>
          <w:rFonts w:ascii="Times New Roman" w:hAnsi="Times New Roman" w:cs="Times New Roman"/>
          <w:b/>
          <w:sz w:val="22"/>
          <w:szCs w:val="22"/>
        </w:rPr>
        <w:t>TORONTO/ACCESSWIRE</w:t>
      </w:r>
      <w:r w:rsidRPr="00E51D83">
        <w:rPr>
          <w:rFonts w:ascii="Times New Roman" w:hAnsi="Times New Roman" w:cs="Times New Roman"/>
          <w:sz w:val="22"/>
          <w:szCs w:val="22"/>
        </w:rPr>
        <w:t xml:space="preserve"> </w:t>
      </w:r>
      <w:r w:rsidRPr="00E51D83">
        <w:rPr>
          <w:rFonts w:ascii="Times New Roman" w:hAnsi="Times New Roman" w:cs="Times New Roman"/>
          <w:sz w:val="22"/>
          <w:szCs w:val="22"/>
        </w:rPr>
        <w:t>– Spetz Inc. (“</w:t>
      </w:r>
      <w:r w:rsidRPr="00E51D83">
        <w:rPr>
          <w:rFonts w:ascii="Times New Roman" w:hAnsi="Times New Roman" w:cs="Times New Roman"/>
          <w:b/>
          <w:sz w:val="22"/>
          <w:szCs w:val="22"/>
        </w:rPr>
        <w:t>Spetz</w:t>
      </w:r>
      <w:r w:rsidRPr="00E51D83">
        <w:rPr>
          <w:rFonts w:ascii="Times New Roman" w:hAnsi="Times New Roman" w:cs="Times New Roman"/>
          <w:sz w:val="22"/>
          <w:szCs w:val="22"/>
        </w:rPr>
        <w:t xml:space="preserve">”), is pleased to announce that it has </w:t>
      </w:r>
      <w:r w:rsidR="005F5638">
        <w:rPr>
          <w:rFonts w:ascii="Times New Roman" w:hAnsi="Times New Roman" w:cs="Times New Roman"/>
          <w:sz w:val="22"/>
          <w:szCs w:val="22"/>
        </w:rPr>
        <w:t>completed an offering of</w:t>
      </w:r>
      <w:r w:rsidRPr="00E51D83">
        <w:rPr>
          <w:rFonts w:ascii="Times New Roman" w:hAnsi="Times New Roman" w:cs="Times New Roman"/>
          <w:sz w:val="22"/>
          <w:szCs w:val="22"/>
        </w:rPr>
        <w:t xml:space="preserve"> sec</w:t>
      </w:r>
      <w:r w:rsidR="008844C2">
        <w:rPr>
          <w:rFonts w:ascii="Times New Roman" w:hAnsi="Times New Roman" w:cs="Times New Roman"/>
          <w:sz w:val="22"/>
          <w:szCs w:val="22"/>
        </w:rPr>
        <w:t>ured convertible debentures</w:t>
      </w:r>
      <w:r w:rsidRPr="00E51D83">
        <w:rPr>
          <w:rFonts w:ascii="Times New Roman" w:hAnsi="Times New Roman" w:cs="Times New Roman"/>
          <w:sz w:val="22"/>
          <w:szCs w:val="22"/>
        </w:rPr>
        <w:t xml:space="preserve"> (the “</w:t>
      </w:r>
      <w:r w:rsidRPr="00E51D83">
        <w:rPr>
          <w:rFonts w:ascii="Times New Roman" w:hAnsi="Times New Roman" w:cs="Times New Roman"/>
          <w:b/>
          <w:sz w:val="22"/>
          <w:szCs w:val="22"/>
        </w:rPr>
        <w:t>Debenture</w:t>
      </w:r>
      <w:r w:rsidR="008844C2">
        <w:rPr>
          <w:rFonts w:ascii="Times New Roman" w:hAnsi="Times New Roman" w:cs="Times New Roman"/>
          <w:b/>
          <w:sz w:val="22"/>
          <w:szCs w:val="22"/>
        </w:rPr>
        <w:t>s</w:t>
      </w:r>
      <w:r w:rsidRPr="00E51D83">
        <w:rPr>
          <w:rFonts w:ascii="Times New Roman" w:hAnsi="Times New Roman" w:cs="Times New Roman"/>
          <w:sz w:val="22"/>
          <w:szCs w:val="22"/>
        </w:rPr>
        <w:t>”)</w:t>
      </w:r>
      <w:r w:rsidR="008844C2">
        <w:rPr>
          <w:rFonts w:ascii="Times New Roman" w:hAnsi="Times New Roman" w:cs="Times New Roman"/>
          <w:sz w:val="22"/>
          <w:szCs w:val="22"/>
        </w:rPr>
        <w:t xml:space="preserve"> and common share purchase warrants</w:t>
      </w:r>
      <w:r w:rsidR="00B21BEA">
        <w:rPr>
          <w:rFonts w:ascii="Times New Roman" w:hAnsi="Times New Roman" w:cs="Times New Roman"/>
          <w:sz w:val="22"/>
          <w:szCs w:val="22"/>
        </w:rPr>
        <w:t xml:space="preserve"> (“</w:t>
      </w:r>
      <w:r w:rsidRPr="00B21BEA" w:rsidR="00B21BEA">
        <w:rPr>
          <w:rFonts w:ascii="Times New Roman" w:hAnsi="Times New Roman" w:cs="Times New Roman"/>
          <w:b/>
          <w:sz w:val="22"/>
          <w:szCs w:val="22"/>
        </w:rPr>
        <w:t>Warrants</w:t>
      </w:r>
      <w:r w:rsidR="00B21BEA">
        <w:rPr>
          <w:rFonts w:ascii="Times New Roman" w:hAnsi="Times New Roman" w:cs="Times New Roman"/>
          <w:sz w:val="22"/>
          <w:szCs w:val="22"/>
        </w:rPr>
        <w:t>”)</w:t>
      </w:r>
      <w:r w:rsidRPr="00E51D83">
        <w:rPr>
          <w:rFonts w:ascii="Times New Roman" w:hAnsi="Times New Roman" w:cs="Times New Roman"/>
          <w:sz w:val="22"/>
          <w:szCs w:val="22"/>
        </w:rPr>
        <w:t xml:space="preserve"> to arm’s length parties for aggregate gross proceeds of $</w:t>
      </w:r>
      <w:r w:rsidRPr="009F5AD3" w:rsidR="009F5AD3">
        <w:rPr>
          <w:rFonts w:ascii="Times New Roman" w:hAnsi="Times New Roman" w:cs="Times New Roman"/>
          <w:sz w:val="22"/>
          <w:szCs w:val="22"/>
        </w:rPr>
        <w:t>600</w:t>
      </w:r>
      <w:r w:rsidRPr="009F5AD3" w:rsidR="00F16AED">
        <w:rPr>
          <w:rFonts w:ascii="Times New Roman" w:hAnsi="Times New Roman" w:cs="Times New Roman"/>
          <w:sz w:val="22"/>
          <w:szCs w:val="22"/>
        </w:rPr>
        <w:t>,000</w:t>
      </w:r>
      <w:r w:rsidRPr="00F16AED" w:rsidR="00F16AED">
        <w:rPr>
          <w:rFonts w:ascii="Times New Roman" w:hAnsi="Times New Roman" w:cs="Times New Roman"/>
          <w:b/>
          <w:color w:val="0000FF"/>
          <w:sz w:val="22"/>
          <w:szCs w:val="22"/>
        </w:rPr>
        <w:t>‬</w:t>
      </w:r>
      <w:r w:rsidRPr="00E51D83">
        <w:rPr>
          <w:rFonts w:ascii="Times New Roman" w:hAnsi="Times New Roman" w:cs="Times New Roman"/>
          <w:sz w:val="22"/>
          <w:szCs w:val="22"/>
        </w:rPr>
        <w:t>.</w:t>
      </w:r>
    </w:p>
    <w:p w:rsidR="00520E03" w:rsidRPr="00E51D83" w:rsidP="000371EB" w14:paraId="7A968359" w14:textId="77777777">
      <w:pPr>
        <w:pStyle w:val="BodyText"/>
        <w:spacing w:before="3" w:line="276" w:lineRule="auto"/>
        <w:ind w:left="0"/>
        <w:jc w:val="both"/>
        <w:rPr>
          <w:rFonts w:ascii="Times New Roman" w:hAnsi="Times New Roman" w:cs="Times New Roman"/>
          <w:color w:val="auto"/>
          <w:sz w:val="22"/>
          <w:szCs w:val="22"/>
          <w:shd w:val="clear" w:color="auto" w:fill="auto"/>
        </w:rPr>
      </w:pPr>
    </w:p>
    <w:p w:rsidR="00520E03" w:rsidRPr="00E51D83" w:rsidP="000371EB" w14:paraId="7B39E7D6" w14:textId="0BBC14B5">
      <w:pPr>
        <w:pStyle w:val="BodyText"/>
        <w:spacing w:line="276" w:lineRule="auto"/>
        <w:ind w:left="0"/>
        <w:jc w:val="both"/>
        <w:rPr>
          <w:rFonts w:ascii="Times New Roman" w:hAnsi="Times New Roman" w:cs="Times New Roman"/>
          <w:color w:val="auto"/>
          <w:sz w:val="22"/>
          <w:szCs w:val="22"/>
          <w:shd w:val="clear" w:color="auto" w:fill="auto"/>
        </w:rPr>
      </w:pPr>
      <w:r>
        <w:rPr>
          <w:rFonts w:ascii="Times New Roman" w:hAnsi="Times New Roman" w:cs="Times New Roman"/>
          <w:sz w:val="22"/>
          <w:szCs w:val="22"/>
        </w:rPr>
        <w:t xml:space="preserve">The offering </w:t>
      </w:r>
      <w:r w:rsidR="005F5638">
        <w:rPr>
          <w:rFonts w:ascii="Times New Roman" w:hAnsi="Times New Roman" w:cs="Times New Roman"/>
          <w:sz w:val="22"/>
          <w:szCs w:val="22"/>
        </w:rPr>
        <w:t xml:space="preserve">was structured as notional units consisting </w:t>
      </w:r>
      <w:bookmarkStart w:id="0" w:name="_GoBack"/>
      <w:bookmarkEnd w:id="0"/>
      <w:r w:rsidR="005F5638">
        <w:rPr>
          <w:rFonts w:ascii="Times New Roman" w:hAnsi="Times New Roman" w:cs="Times New Roman"/>
          <w:sz w:val="22"/>
          <w:szCs w:val="22"/>
        </w:rPr>
        <w:t>of one (1</w:t>
      </w:r>
      <w:r w:rsidR="000C57EC">
        <w:rPr>
          <w:rFonts w:ascii="Times New Roman" w:hAnsi="Times New Roman" w:cs="Times New Roman"/>
          <w:sz w:val="22"/>
          <w:szCs w:val="22"/>
        </w:rPr>
        <w:t>)</w:t>
      </w:r>
      <w:r w:rsidRPr="00E51D83" w:rsidR="000C57EC">
        <w:rPr>
          <w:rFonts w:ascii="Times New Roman" w:hAnsi="Times New Roman" w:cs="Times New Roman"/>
          <w:sz w:val="22"/>
          <w:szCs w:val="22"/>
        </w:rPr>
        <w:t xml:space="preserve"> </w:t>
      </w:r>
      <w:r w:rsidR="000C57EC">
        <w:rPr>
          <w:rFonts w:ascii="Times New Roman" w:hAnsi="Times New Roman" w:cs="Times New Roman"/>
          <w:sz w:val="22"/>
          <w:szCs w:val="22"/>
        </w:rPr>
        <w:t>$</w:t>
      </w:r>
      <w:r>
        <w:rPr>
          <w:rFonts w:ascii="Times New Roman" w:hAnsi="Times New Roman" w:cs="Times New Roman"/>
          <w:sz w:val="22"/>
          <w:szCs w:val="22"/>
        </w:rPr>
        <w:t xml:space="preserve">1,000 aggregate principal Debenture, </w:t>
      </w:r>
      <w:r w:rsidRPr="00E51D83">
        <w:rPr>
          <w:rFonts w:ascii="Times New Roman" w:hAnsi="Times New Roman" w:cs="Times New Roman"/>
          <w:sz w:val="22"/>
          <w:szCs w:val="22"/>
        </w:rPr>
        <w:t xml:space="preserve">maturing </w:t>
      </w:r>
      <w:r w:rsidR="000C57EC">
        <w:rPr>
          <w:rFonts w:ascii="Times New Roman" w:hAnsi="Times New Roman" w:cs="Times New Roman"/>
          <w:sz w:val="22"/>
          <w:szCs w:val="22"/>
        </w:rPr>
        <w:t>nine</w:t>
      </w:r>
      <w:r w:rsidRPr="00E51D83">
        <w:rPr>
          <w:rFonts w:ascii="Times New Roman" w:hAnsi="Times New Roman" w:cs="Times New Roman"/>
          <w:sz w:val="22"/>
          <w:szCs w:val="22"/>
        </w:rPr>
        <w:t xml:space="preserve"> (</w:t>
      </w:r>
      <w:r w:rsidR="000C57EC">
        <w:rPr>
          <w:rFonts w:ascii="Times New Roman" w:hAnsi="Times New Roman" w:cs="Times New Roman"/>
          <w:sz w:val="22"/>
          <w:szCs w:val="22"/>
        </w:rPr>
        <w:t>9</w:t>
      </w:r>
      <w:r w:rsidRPr="00E51D83">
        <w:rPr>
          <w:rFonts w:ascii="Times New Roman" w:hAnsi="Times New Roman" w:cs="Times New Roman"/>
          <w:sz w:val="22"/>
          <w:szCs w:val="22"/>
        </w:rPr>
        <w:t xml:space="preserve">) </w:t>
      </w:r>
      <w:r w:rsidR="000C57EC">
        <w:rPr>
          <w:rFonts w:ascii="Times New Roman" w:hAnsi="Times New Roman" w:cs="Times New Roman"/>
          <w:sz w:val="22"/>
          <w:szCs w:val="22"/>
        </w:rPr>
        <w:t>months</w:t>
      </w:r>
      <w:r w:rsidRPr="00E51D83">
        <w:rPr>
          <w:rFonts w:ascii="Times New Roman" w:hAnsi="Times New Roman" w:cs="Times New Roman"/>
          <w:sz w:val="22"/>
          <w:szCs w:val="22"/>
        </w:rPr>
        <w:t xml:space="preserve"> from the date of issuance</w:t>
      </w:r>
      <w:r w:rsidR="000C57EC">
        <w:rPr>
          <w:rFonts w:ascii="Times New Roman" w:hAnsi="Times New Roman" w:cs="Times New Roman"/>
          <w:sz w:val="22"/>
          <w:szCs w:val="22"/>
        </w:rPr>
        <w:t xml:space="preserve"> (the “</w:t>
      </w:r>
      <w:r w:rsidRPr="009075D7" w:rsidR="000C57EC">
        <w:rPr>
          <w:rFonts w:ascii="Times New Roman" w:hAnsi="Times New Roman" w:cs="Times New Roman"/>
          <w:b/>
          <w:sz w:val="22"/>
          <w:szCs w:val="22"/>
        </w:rPr>
        <w:t>Maturity Date</w:t>
      </w:r>
      <w:r w:rsidR="000C57EC">
        <w:rPr>
          <w:rFonts w:ascii="Times New Roman" w:hAnsi="Times New Roman" w:cs="Times New Roman"/>
          <w:sz w:val="22"/>
          <w:szCs w:val="22"/>
        </w:rPr>
        <w:t xml:space="preserve">”), </w:t>
      </w:r>
      <w:r w:rsidRPr="00E51D83">
        <w:rPr>
          <w:rFonts w:ascii="Times New Roman" w:hAnsi="Times New Roman" w:cs="Times New Roman"/>
          <w:sz w:val="22"/>
          <w:szCs w:val="22"/>
        </w:rPr>
        <w:t xml:space="preserve">and </w:t>
      </w:r>
      <w:r w:rsidRPr="000C57EC" w:rsidR="000C57EC">
        <w:rPr>
          <w:rFonts w:ascii="Times New Roman" w:hAnsi="Times New Roman" w:cs="Times New Roman"/>
          <w:sz w:val="22"/>
          <w:szCs w:val="22"/>
          <w:lang w:val="en-CA"/>
        </w:rPr>
        <w:t>33,333.333</w:t>
      </w:r>
      <w:r w:rsidRPr="00E51D83">
        <w:rPr>
          <w:rFonts w:ascii="Times New Roman" w:hAnsi="Times New Roman" w:cs="Times New Roman"/>
          <w:sz w:val="22"/>
          <w:szCs w:val="22"/>
        </w:rPr>
        <w:t xml:space="preserve"> share purchase warrant</w:t>
      </w:r>
      <w:r w:rsidR="000C57EC">
        <w:rPr>
          <w:rFonts w:ascii="Times New Roman" w:hAnsi="Times New Roman" w:cs="Times New Roman"/>
          <w:sz w:val="22"/>
          <w:szCs w:val="22"/>
        </w:rPr>
        <w:t>s</w:t>
      </w:r>
      <w:r w:rsidRPr="00E51D83">
        <w:rPr>
          <w:rFonts w:ascii="Times New Roman" w:hAnsi="Times New Roman" w:cs="Times New Roman"/>
          <w:sz w:val="22"/>
          <w:szCs w:val="22"/>
        </w:rPr>
        <w:t xml:space="preserve"> of </w:t>
      </w:r>
      <w:r w:rsidRPr="00E51D83" w:rsidR="00A429DD">
        <w:rPr>
          <w:rFonts w:ascii="Times New Roman" w:hAnsi="Times New Roman" w:cs="Times New Roman"/>
          <w:sz w:val="22"/>
          <w:szCs w:val="22"/>
        </w:rPr>
        <w:t xml:space="preserve">Spetz </w:t>
      </w:r>
      <w:r w:rsidRPr="00E51D83">
        <w:rPr>
          <w:rFonts w:ascii="Times New Roman" w:hAnsi="Times New Roman" w:cs="Times New Roman"/>
          <w:sz w:val="22"/>
          <w:szCs w:val="22"/>
        </w:rPr>
        <w:t>(the “</w:t>
      </w:r>
      <w:r w:rsidRPr="00E51D83">
        <w:rPr>
          <w:rFonts w:ascii="Times New Roman" w:hAnsi="Times New Roman" w:cs="Times New Roman"/>
          <w:b/>
          <w:sz w:val="22"/>
          <w:szCs w:val="22"/>
        </w:rPr>
        <w:t>Warrants</w:t>
      </w:r>
      <w:r w:rsidRPr="00E51D83">
        <w:rPr>
          <w:rFonts w:ascii="Times New Roman" w:hAnsi="Times New Roman" w:cs="Times New Roman"/>
          <w:sz w:val="22"/>
          <w:szCs w:val="22"/>
        </w:rPr>
        <w:t xml:space="preserve">”). Each Warrant </w:t>
      </w:r>
      <w:r>
        <w:rPr>
          <w:rFonts w:ascii="Times New Roman" w:hAnsi="Times New Roman" w:cs="Times New Roman"/>
          <w:sz w:val="22"/>
          <w:szCs w:val="22"/>
        </w:rPr>
        <w:t>entitles</w:t>
      </w:r>
      <w:r w:rsidRPr="00E51D83">
        <w:rPr>
          <w:rFonts w:ascii="Times New Roman" w:hAnsi="Times New Roman" w:cs="Times New Roman"/>
          <w:sz w:val="22"/>
          <w:szCs w:val="22"/>
        </w:rPr>
        <w:t xml:space="preserve"> the holder thereof to </w:t>
      </w:r>
      <w:r>
        <w:rPr>
          <w:rFonts w:ascii="Times New Roman" w:hAnsi="Times New Roman" w:cs="Times New Roman"/>
          <w:sz w:val="22"/>
          <w:szCs w:val="22"/>
        </w:rPr>
        <w:t xml:space="preserve">subscribe for </w:t>
      </w:r>
      <w:r w:rsidRPr="00E51D83">
        <w:rPr>
          <w:rFonts w:ascii="Times New Roman" w:hAnsi="Times New Roman" w:cs="Times New Roman"/>
          <w:sz w:val="22"/>
          <w:szCs w:val="22"/>
        </w:rPr>
        <w:t xml:space="preserve">one common share in the capital of </w:t>
      </w:r>
      <w:r w:rsidRPr="00E51D83" w:rsidR="00A429DD">
        <w:rPr>
          <w:rFonts w:ascii="Times New Roman" w:hAnsi="Times New Roman" w:cs="Times New Roman"/>
          <w:sz w:val="22"/>
          <w:szCs w:val="22"/>
        </w:rPr>
        <w:t>Spetz</w:t>
      </w:r>
      <w:r w:rsidR="00B21BEA">
        <w:rPr>
          <w:rFonts w:ascii="Times New Roman" w:hAnsi="Times New Roman" w:cs="Times New Roman"/>
          <w:sz w:val="22"/>
          <w:szCs w:val="22"/>
        </w:rPr>
        <w:t xml:space="preserve"> (</w:t>
      </w:r>
      <w:r w:rsidRPr="00E51D83">
        <w:rPr>
          <w:rFonts w:ascii="Times New Roman" w:hAnsi="Times New Roman" w:cs="Times New Roman"/>
          <w:sz w:val="22"/>
          <w:szCs w:val="22"/>
        </w:rPr>
        <w:t>a “</w:t>
      </w:r>
      <w:r w:rsidRPr="00B21BEA">
        <w:rPr>
          <w:rFonts w:ascii="Times New Roman" w:hAnsi="Times New Roman" w:cs="Times New Roman"/>
          <w:b/>
          <w:sz w:val="22"/>
          <w:szCs w:val="22"/>
        </w:rPr>
        <w:t>Common Share</w:t>
      </w:r>
      <w:r w:rsidRPr="00E51D83">
        <w:rPr>
          <w:rFonts w:ascii="Times New Roman" w:hAnsi="Times New Roman" w:cs="Times New Roman"/>
          <w:sz w:val="22"/>
          <w:szCs w:val="22"/>
        </w:rPr>
        <w:t>”) at an exercise price of $0.0</w:t>
      </w:r>
      <w:r w:rsidR="000C57EC">
        <w:rPr>
          <w:rFonts w:ascii="Times New Roman" w:hAnsi="Times New Roman" w:cs="Times New Roman"/>
          <w:sz w:val="22"/>
          <w:szCs w:val="22"/>
        </w:rPr>
        <w:t>5</w:t>
      </w:r>
      <w:r w:rsidRPr="00E51D83">
        <w:rPr>
          <w:rFonts w:ascii="Times New Roman" w:hAnsi="Times New Roman" w:cs="Times New Roman"/>
          <w:sz w:val="22"/>
          <w:szCs w:val="22"/>
        </w:rPr>
        <w:t xml:space="preserve"> </w:t>
      </w:r>
      <w:r w:rsidRPr="00E51D83" w:rsidR="00A429DD">
        <w:rPr>
          <w:rFonts w:ascii="Times New Roman" w:hAnsi="Times New Roman" w:cs="Times New Roman"/>
          <w:sz w:val="22"/>
          <w:szCs w:val="22"/>
        </w:rPr>
        <w:t>for a period of three (3) years from the date of issuance.</w:t>
      </w:r>
    </w:p>
    <w:p w:rsidR="00520E03" w:rsidRPr="00E51D83" w:rsidP="000371EB" w14:paraId="777FFC58" w14:textId="77777777">
      <w:pPr>
        <w:pStyle w:val="BodyText"/>
        <w:spacing w:before="7" w:line="276" w:lineRule="auto"/>
        <w:ind w:left="0"/>
        <w:jc w:val="both"/>
        <w:rPr>
          <w:rFonts w:ascii="Times New Roman" w:hAnsi="Times New Roman" w:cs="Times New Roman"/>
          <w:color w:val="auto"/>
          <w:sz w:val="22"/>
          <w:szCs w:val="22"/>
          <w:shd w:val="clear" w:color="auto" w:fill="auto"/>
        </w:rPr>
      </w:pPr>
    </w:p>
    <w:p w:rsidR="00520E03" w:rsidRPr="009075D7" w:rsidP="000371EB" w14:paraId="0400A2B3" w14:textId="1C6801D7">
      <w:pPr>
        <w:pStyle w:val="BodyText"/>
        <w:spacing w:line="276" w:lineRule="auto"/>
        <w:ind w:left="0"/>
        <w:jc w:val="both"/>
        <w:rPr>
          <w:rFonts w:ascii="Times New Roman" w:hAnsi="Times New Roman" w:cs="Times New Roman"/>
          <w:color w:val="auto"/>
          <w:sz w:val="22"/>
          <w:szCs w:val="22"/>
          <w:shd w:val="clear" w:color="auto" w:fill="auto"/>
          <w:lang w:val="en-CA"/>
        </w:rPr>
      </w:pPr>
      <w:r w:rsidRPr="00E51D83">
        <w:rPr>
          <w:rFonts w:ascii="Times New Roman" w:hAnsi="Times New Roman" w:cs="Times New Roman"/>
          <w:sz w:val="22"/>
          <w:szCs w:val="22"/>
        </w:rPr>
        <w:t>The Debentures sha</w:t>
      </w:r>
      <w:r w:rsidR="00DA3AE9">
        <w:rPr>
          <w:rFonts w:ascii="Times New Roman" w:hAnsi="Times New Roman" w:cs="Times New Roman"/>
          <w:sz w:val="22"/>
          <w:szCs w:val="22"/>
        </w:rPr>
        <w:t xml:space="preserve">ll bear interest at a rate of </w:t>
      </w:r>
      <w:r w:rsidRPr="00DA3AE9" w:rsidR="00DA3AE9">
        <w:rPr>
          <w:rFonts w:ascii="Times New Roman" w:hAnsi="Times New Roman" w:cs="Times New Roman"/>
          <w:sz w:val="22"/>
          <w:szCs w:val="22"/>
          <w:lang w:val="en-CA"/>
        </w:rPr>
        <w:t>1% per month, calculated monthly in advance, and shall be payable, in cash, quarter</w:t>
      </w:r>
      <w:r w:rsidR="00F32CFD">
        <w:rPr>
          <w:rFonts w:ascii="Times New Roman" w:hAnsi="Times New Roman" w:cs="Times New Roman"/>
          <w:sz w:val="22"/>
          <w:szCs w:val="22"/>
          <w:lang w:val="en-CA"/>
        </w:rPr>
        <w:t xml:space="preserve">ly. </w:t>
      </w:r>
      <w:r w:rsidR="009075D7">
        <w:rPr>
          <w:rFonts w:ascii="Times New Roman" w:hAnsi="Times New Roman" w:cs="Times New Roman"/>
          <w:sz w:val="22"/>
          <w:szCs w:val="22"/>
        </w:rPr>
        <w:t xml:space="preserve">Spetz reserves the </w:t>
      </w:r>
      <w:r w:rsidR="005F5638">
        <w:rPr>
          <w:rFonts w:ascii="Times New Roman" w:hAnsi="Times New Roman" w:cs="Times New Roman"/>
          <w:sz w:val="22"/>
          <w:szCs w:val="22"/>
        </w:rPr>
        <w:t xml:space="preserve">right to </w:t>
      </w:r>
      <w:r w:rsidR="009075D7">
        <w:rPr>
          <w:rFonts w:ascii="Times New Roman" w:hAnsi="Times New Roman" w:cs="Times New Roman"/>
          <w:sz w:val="22"/>
          <w:szCs w:val="22"/>
        </w:rPr>
        <w:t xml:space="preserve">repay </w:t>
      </w:r>
      <w:r w:rsidR="009075D7">
        <w:rPr>
          <w:rFonts w:ascii="Times New Roman" w:hAnsi="Times New Roman" w:cs="Times New Roman"/>
          <w:sz w:val="22"/>
          <w:szCs w:val="22"/>
          <w:lang w:val="en-CA"/>
        </w:rPr>
        <w:t>the Debentures</w:t>
      </w:r>
      <w:r w:rsidRPr="009075D7" w:rsidR="009075D7">
        <w:rPr>
          <w:rFonts w:ascii="Times New Roman" w:hAnsi="Times New Roman" w:cs="Times New Roman"/>
          <w:sz w:val="22"/>
          <w:szCs w:val="22"/>
          <w:lang w:val="en-CA"/>
        </w:rPr>
        <w:t>, without penalty, in whole or in part, prior to the Maturity Date, on 30 days prior written notice to the</w:t>
      </w:r>
      <w:r w:rsidR="009075D7">
        <w:rPr>
          <w:rFonts w:ascii="Times New Roman" w:hAnsi="Times New Roman" w:cs="Times New Roman"/>
          <w:sz w:val="22"/>
          <w:szCs w:val="22"/>
          <w:lang w:val="en-CA"/>
        </w:rPr>
        <w:t xml:space="preserve"> holder</w:t>
      </w:r>
      <w:r w:rsidR="000371EB">
        <w:rPr>
          <w:rFonts w:ascii="Times New Roman" w:hAnsi="Times New Roman" w:cs="Times New Roman"/>
          <w:sz w:val="22"/>
          <w:szCs w:val="22"/>
          <w:lang w:val="en-CA"/>
        </w:rPr>
        <w:t>s</w:t>
      </w:r>
      <w:r w:rsidR="009075D7">
        <w:rPr>
          <w:rFonts w:ascii="Times New Roman" w:hAnsi="Times New Roman" w:cs="Times New Roman"/>
          <w:sz w:val="22"/>
          <w:szCs w:val="22"/>
          <w:lang w:val="en-CA"/>
        </w:rPr>
        <w:t xml:space="preserve"> of the Debentures</w:t>
      </w:r>
      <w:r w:rsidRPr="009075D7" w:rsidR="009075D7">
        <w:rPr>
          <w:rFonts w:ascii="Times New Roman" w:hAnsi="Times New Roman" w:cs="Times New Roman"/>
          <w:sz w:val="22"/>
          <w:szCs w:val="22"/>
          <w:lang w:val="en-CA"/>
        </w:rPr>
        <w:t xml:space="preserve"> in advance of repayment or redemption</w:t>
      </w:r>
      <w:r w:rsidR="00BE20ED">
        <w:rPr>
          <w:rFonts w:ascii="Times New Roman" w:hAnsi="Times New Roman" w:cs="Times New Roman"/>
          <w:sz w:val="22"/>
          <w:szCs w:val="22"/>
          <w:lang w:val="en-CA"/>
        </w:rPr>
        <w:t>.</w:t>
      </w:r>
    </w:p>
    <w:p w:rsidR="00520E03" w:rsidRPr="00E51D83" w:rsidP="000371EB" w14:paraId="276E61B4" w14:textId="77777777">
      <w:pPr>
        <w:pStyle w:val="BodyText"/>
        <w:spacing w:before="4" w:line="276" w:lineRule="auto"/>
        <w:ind w:left="0"/>
        <w:jc w:val="both"/>
        <w:rPr>
          <w:rFonts w:ascii="Times New Roman" w:hAnsi="Times New Roman" w:cs="Times New Roman"/>
          <w:color w:val="auto"/>
          <w:sz w:val="22"/>
          <w:szCs w:val="22"/>
          <w:shd w:val="clear" w:color="auto" w:fill="auto"/>
        </w:rPr>
      </w:pPr>
    </w:p>
    <w:p w:rsidR="000371EB" w:rsidRPr="009075D7" w:rsidP="000371EB" w14:paraId="32307CB3" w14:textId="7A5728AD">
      <w:pPr>
        <w:pStyle w:val="BodyText"/>
        <w:spacing w:line="276" w:lineRule="auto"/>
        <w:ind w:left="0"/>
        <w:jc w:val="both"/>
        <w:rPr>
          <w:rFonts w:ascii="Times New Roman" w:hAnsi="Times New Roman" w:cs="Times New Roman"/>
          <w:color w:val="auto"/>
          <w:sz w:val="22"/>
          <w:szCs w:val="22"/>
          <w:shd w:val="clear" w:color="auto" w:fill="auto"/>
          <w:lang w:val="en-CA"/>
        </w:rPr>
      </w:pPr>
      <w:r w:rsidRPr="00E51D83">
        <w:rPr>
          <w:rFonts w:ascii="Times New Roman" w:hAnsi="Times New Roman" w:cs="Times New Roman"/>
          <w:sz w:val="22"/>
          <w:szCs w:val="22"/>
        </w:rPr>
        <w:t xml:space="preserve">The principal amount of each Debenture shall be convertible, for no additional consideration, into Common Shares at the option of the holder at any time prior to </w:t>
      </w:r>
      <w:r w:rsidR="008B2A27">
        <w:rPr>
          <w:rFonts w:ascii="Times New Roman" w:hAnsi="Times New Roman" w:cs="Times New Roman"/>
          <w:sz w:val="22"/>
          <w:szCs w:val="22"/>
        </w:rPr>
        <w:t>the Maturity Date</w:t>
      </w:r>
      <w:r w:rsidRPr="00E51D83">
        <w:rPr>
          <w:rFonts w:ascii="Times New Roman" w:hAnsi="Times New Roman" w:cs="Times New Roman"/>
          <w:sz w:val="22"/>
          <w:szCs w:val="22"/>
        </w:rPr>
        <w:t xml:space="preserve"> at a conversion price equal to $0.0</w:t>
      </w:r>
      <w:r>
        <w:rPr>
          <w:rFonts w:ascii="Times New Roman" w:hAnsi="Times New Roman" w:cs="Times New Roman"/>
          <w:sz w:val="22"/>
          <w:szCs w:val="22"/>
        </w:rPr>
        <w:t>5</w:t>
      </w:r>
      <w:r w:rsidRPr="00E51D83">
        <w:rPr>
          <w:rFonts w:ascii="Times New Roman" w:hAnsi="Times New Roman" w:cs="Times New Roman"/>
          <w:sz w:val="22"/>
          <w:szCs w:val="22"/>
        </w:rPr>
        <w:t xml:space="preserve"> per Common Share</w:t>
      </w:r>
      <w:r>
        <w:rPr>
          <w:rFonts w:ascii="Times New Roman" w:hAnsi="Times New Roman" w:cs="Times New Roman"/>
          <w:sz w:val="22"/>
          <w:szCs w:val="22"/>
        </w:rPr>
        <w:t xml:space="preserve"> (the “</w:t>
      </w:r>
      <w:r w:rsidRPr="000371EB">
        <w:rPr>
          <w:rFonts w:ascii="Times New Roman" w:hAnsi="Times New Roman" w:cs="Times New Roman"/>
          <w:b/>
          <w:sz w:val="22"/>
          <w:szCs w:val="22"/>
        </w:rPr>
        <w:t>Conversion Price</w:t>
      </w:r>
      <w:r>
        <w:rPr>
          <w:rFonts w:ascii="Times New Roman" w:hAnsi="Times New Roman" w:cs="Times New Roman"/>
          <w:sz w:val="22"/>
          <w:szCs w:val="22"/>
        </w:rPr>
        <w:t>”)</w:t>
      </w:r>
      <w:r w:rsidRPr="00E51D83">
        <w:rPr>
          <w:rFonts w:ascii="Times New Roman" w:hAnsi="Times New Roman" w:cs="Times New Roman"/>
          <w:sz w:val="22"/>
          <w:szCs w:val="22"/>
        </w:rPr>
        <w:t>.</w:t>
      </w:r>
      <w:r w:rsidRPr="000371EB">
        <w:rPr>
          <w:rFonts w:ascii="Times New Roman" w:hAnsi="Times New Roman" w:cs="Times New Roman"/>
          <w:sz w:val="22"/>
          <w:szCs w:val="22"/>
          <w:lang w:val="en-CA"/>
        </w:rPr>
        <w:t xml:space="preserve"> </w:t>
      </w:r>
      <w:r>
        <w:rPr>
          <w:rFonts w:ascii="Times New Roman" w:hAnsi="Times New Roman" w:cs="Times New Roman"/>
          <w:sz w:val="22"/>
          <w:szCs w:val="22"/>
          <w:lang w:val="en-CA"/>
        </w:rPr>
        <w:t xml:space="preserve">Spetz </w:t>
      </w:r>
      <w:r w:rsidRPr="000C57EC">
        <w:rPr>
          <w:rFonts w:ascii="Times New Roman" w:hAnsi="Times New Roman" w:cs="Times New Roman"/>
          <w:sz w:val="22"/>
          <w:szCs w:val="22"/>
          <w:lang w:val="en-CA"/>
        </w:rPr>
        <w:t xml:space="preserve">may require the </w:t>
      </w:r>
      <w:r>
        <w:rPr>
          <w:rFonts w:ascii="Times New Roman" w:hAnsi="Times New Roman" w:cs="Times New Roman"/>
          <w:sz w:val="22"/>
          <w:szCs w:val="22"/>
          <w:lang w:val="en-CA"/>
        </w:rPr>
        <w:t>h</w:t>
      </w:r>
      <w:r w:rsidRPr="000C57EC">
        <w:rPr>
          <w:rFonts w:ascii="Times New Roman" w:hAnsi="Times New Roman" w:cs="Times New Roman"/>
          <w:sz w:val="22"/>
          <w:szCs w:val="22"/>
          <w:lang w:val="en-CA"/>
        </w:rPr>
        <w:t>older</w:t>
      </w:r>
      <w:r>
        <w:rPr>
          <w:rFonts w:ascii="Times New Roman" w:hAnsi="Times New Roman" w:cs="Times New Roman"/>
          <w:sz w:val="22"/>
          <w:szCs w:val="22"/>
          <w:lang w:val="en-CA"/>
        </w:rPr>
        <w:t>s of the Debentures</w:t>
      </w:r>
      <w:r w:rsidRPr="000C57EC">
        <w:rPr>
          <w:rFonts w:ascii="Times New Roman" w:hAnsi="Times New Roman" w:cs="Times New Roman"/>
          <w:sz w:val="22"/>
          <w:szCs w:val="22"/>
          <w:lang w:val="en-CA"/>
        </w:rPr>
        <w:t xml:space="preserve"> to effect the conversion of the entire principal</w:t>
      </w:r>
      <w:r>
        <w:rPr>
          <w:rFonts w:ascii="Times New Roman" w:hAnsi="Times New Roman" w:cs="Times New Roman"/>
          <w:sz w:val="22"/>
          <w:szCs w:val="22"/>
          <w:lang w:val="en-CA"/>
        </w:rPr>
        <w:t xml:space="preserve"> </w:t>
      </w:r>
      <w:r w:rsidRPr="000C57EC">
        <w:rPr>
          <w:rFonts w:ascii="Times New Roman" w:hAnsi="Times New Roman" w:cs="Times New Roman"/>
          <w:sz w:val="22"/>
          <w:szCs w:val="22"/>
          <w:lang w:val="en-CA"/>
        </w:rPr>
        <w:t xml:space="preserve">amount </w:t>
      </w:r>
      <w:r>
        <w:rPr>
          <w:rFonts w:ascii="Times New Roman" w:hAnsi="Times New Roman" w:cs="Times New Roman"/>
          <w:sz w:val="22"/>
          <w:szCs w:val="22"/>
          <w:lang w:val="en-CA"/>
        </w:rPr>
        <w:t>owed t</w:t>
      </w:r>
      <w:r w:rsidRPr="000C57EC">
        <w:rPr>
          <w:rFonts w:ascii="Times New Roman" w:hAnsi="Times New Roman" w:cs="Times New Roman"/>
          <w:sz w:val="22"/>
          <w:szCs w:val="22"/>
          <w:lang w:val="en-CA"/>
        </w:rPr>
        <w:t xml:space="preserve">hereunder at the Conversion Price, upon giving the </w:t>
      </w:r>
      <w:r>
        <w:rPr>
          <w:rFonts w:ascii="Times New Roman" w:hAnsi="Times New Roman" w:cs="Times New Roman"/>
          <w:sz w:val="22"/>
          <w:szCs w:val="22"/>
          <w:lang w:val="en-CA"/>
        </w:rPr>
        <w:t>h</w:t>
      </w:r>
      <w:r w:rsidRPr="000C57EC">
        <w:rPr>
          <w:rFonts w:ascii="Times New Roman" w:hAnsi="Times New Roman" w:cs="Times New Roman"/>
          <w:sz w:val="22"/>
          <w:szCs w:val="22"/>
          <w:lang w:val="en-CA"/>
        </w:rPr>
        <w:t>older</w:t>
      </w:r>
      <w:r>
        <w:rPr>
          <w:rFonts w:ascii="Times New Roman" w:hAnsi="Times New Roman" w:cs="Times New Roman"/>
          <w:sz w:val="22"/>
          <w:szCs w:val="22"/>
          <w:lang w:val="en-CA"/>
        </w:rPr>
        <w:t xml:space="preserve">s of the Debentures </w:t>
      </w:r>
      <w:r w:rsidRPr="000C57EC">
        <w:rPr>
          <w:rFonts w:ascii="Times New Roman" w:hAnsi="Times New Roman" w:cs="Times New Roman"/>
          <w:sz w:val="22"/>
          <w:szCs w:val="22"/>
          <w:lang w:val="en-CA"/>
        </w:rPr>
        <w:t>not less than 30</w:t>
      </w:r>
      <w:r>
        <w:rPr>
          <w:rFonts w:ascii="Times New Roman" w:hAnsi="Times New Roman" w:cs="Times New Roman"/>
          <w:sz w:val="22"/>
          <w:szCs w:val="22"/>
          <w:lang w:val="en-CA"/>
        </w:rPr>
        <w:t xml:space="preserve"> </w:t>
      </w:r>
      <w:r w:rsidRPr="000C57EC">
        <w:rPr>
          <w:rFonts w:ascii="Times New Roman" w:hAnsi="Times New Roman" w:cs="Times New Roman"/>
          <w:sz w:val="22"/>
          <w:szCs w:val="22"/>
          <w:lang w:val="en-CA"/>
        </w:rPr>
        <w:t>days prior written notice, in the event that and only for so long as on the date prior to the date of notice,</w:t>
      </w:r>
      <w:r>
        <w:rPr>
          <w:rFonts w:ascii="Times New Roman" w:hAnsi="Times New Roman" w:cs="Times New Roman"/>
          <w:sz w:val="22"/>
          <w:szCs w:val="22"/>
          <w:lang w:val="en-CA"/>
        </w:rPr>
        <w:t xml:space="preserve"> </w:t>
      </w:r>
      <w:r w:rsidR="00DA3AE9">
        <w:rPr>
          <w:rFonts w:ascii="Times New Roman" w:hAnsi="Times New Roman" w:cs="Times New Roman"/>
          <w:sz w:val="22"/>
          <w:szCs w:val="22"/>
          <w:lang w:val="en-CA"/>
        </w:rPr>
        <w:t>the 15</w:t>
      </w:r>
      <w:r w:rsidRPr="000C57EC">
        <w:rPr>
          <w:rFonts w:ascii="Times New Roman" w:hAnsi="Times New Roman" w:cs="Times New Roman"/>
          <w:sz w:val="22"/>
          <w:szCs w:val="22"/>
          <w:lang w:val="en-CA"/>
        </w:rPr>
        <w:t xml:space="preserve"> day volume weighted average trading price of the </w:t>
      </w:r>
      <w:r>
        <w:rPr>
          <w:rFonts w:ascii="Times New Roman" w:hAnsi="Times New Roman" w:cs="Times New Roman"/>
          <w:sz w:val="22"/>
          <w:szCs w:val="22"/>
          <w:lang w:val="en-CA"/>
        </w:rPr>
        <w:t>Common Shares</w:t>
      </w:r>
      <w:r w:rsidRPr="000C57EC">
        <w:rPr>
          <w:rFonts w:ascii="Times New Roman" w:hAnsi="Times New Roman" w:cs="Times New Roman"/>
          <w:sz w:val="22"/>
          <w:szCs w:val="22"/>
          <w:lang w:val="en-CA"/>
        </w:rPr>
        <w:t xml:space="preserve"> on the </w:t>
      </w:r>
      <w:r>
        <w:rPr>
          <w:rFonts w:ascii="Times New Roman" w:hAnsi="Times New Roman" w:cs="Times New Roman"/>
          <w:sz w:val="22"/>
          <w:szCs w:val="22"/>
          <w:lang w:val="en-CA"/>
        </w:rPr>
        <w:t xml:space="preserve">Canadian Securities </w:t>
      </w:r>
      <w:r w:rsidRPr="000C57EC">
        <w:rPr>
          <w:rFonts w:ascii="Times New Roman" w:hAnsi="Times New Roman" w:cs="Times New Roman"/>
          <w:sz w:val="22"/>
          <w:szCs w:val="22"/>
          <w:lang w:val="en-CA"/>
        </w:rPr>
        <w:t xml:space="preserve">Exchange </w:t>
      </w:r>
      <w:r>
        <w:rPr>
          <w:rFonts w:ascii="Times New Roman" w:hAnsi="Times New Roman" w:cs="Times New Roman"/>
          <w:sz w:val="22"/>
          <w:szCs w:val="22"/>
          <w:lang w:val="en-CA"/>
        </w:rPr>
        <w:t>(</w:t>
      </w:r>
      <w:r w:rsidR="00BE20ED">
        <w:rPr>
          <w:rFonts w:ascii="Times New Roman" w:hAnsi="Times New Roman" w:cs="Times New Roman"/>
          <w:sz w:val="22"/>
          <w:szCs w:val="22"/>
          <w:lang w:val="en-CA"/>
        </w:rPr>
        <w:t xml:space="preserve">the </w:t>
      </w:r>
      <w:r>
        <w:rPr>
          <w:rFonts w:ascii="Times New Roman" w:hAnsi="Times New Roman" w:cs="Times New Roman"/>
          <w:sz w:val="22"/>
          <w:szCs w:val="22"/>
          <w:lang w:val="en-CA"/>
        </w:rPr>
        <w:t>“</w:t>
      </w:r>
      <w:r w:rsidRPr="000371EB">
        <w:rPr>
          <w:rFonts w:ascii="Times New Roman" w:hAnsi="Times New Roman" w:cs="Times New Roman"/>
          <w:b/>
          <w:sz w:val="22"/>
          <w:szCs w:val="22"/>
          <w:lang w:val="en-CA"/>
        </w:rPr>
        <w:t>CSE</w:t>
      </w:r>
      <w:r>
        <w:rPr>
          <w:rFonts w:ascii="Times New Roman" w:hAnsi="Times New Roman" w:cs="Times New Roman"/>
          <w:sz w:val="22"/>
          <w:szCs w:val="22"/>
          <w:lang w:val="en-CA"/>
        </w:rPr>
        <w:t xml:space="preserve">”) </w:t>
      </w:r>
      <w:r w:rsidRPr="000C57EC">
        <w:rPr>
          <w:rFonts w:ascii="Times New Roman" w:hAnsi="Times New Roman" w:cs="Times New Roman"/>
          <w:sz w:val="22"/>
          <w:szCs w:val="22"/>
          <w:lang w:val="en-CA"/>
        </w:rPr>
        <w:t>is equal or</w:t>
      </w:r>
      <w:r>
        <w:rPr>
          <w:rFonts w:ascii="Times New Roman" w:hAnsi="Times New Roman" w:cs="Times New Roman"/>
          <w:sz w:val="22"/>
          <w:szCs w:val="22"/>
          <w:lang w:val="en-CA"/>
        </w:rPr>
        <w:t xml:space="preserve"> </w:t>
      </w:r>
      <w:r w:rsidRPr="000C57EC">
        <w:rPr>
          <w:rFonts w:ascii="Times New Roman" w:hAnsi="Times New Roman" w:cs="Times New Roman"/>
          <w:sz w:val="22"/>
          <w:szCs w:val="22"/>
          <w:lang w:val="en-CA"/>
        </w:rPr>
        <w:t>greater than $0.12.</w:t>
      </w:r>
    </w:p>
    <w:p w:rsidR="00520E03" w:rsidRPr="00E51D83" w:rsidP="000371EB" w14:paraId="32632D69" w14:textId="77777777">
      <w:pPr>
        <w:pStyle w:val="BodyText"/>
        <w:spacing w:before="4" w:line="276" w:lineRule="auto"/>
        <w:ind w:left="0"/>
        <w:jc w:val="both"/>
        <w:rPr>
          <w:rFonts w:ascii="Times New Roman" w:hAnsi="Times New Roman" w:cs="Times New Roman"/>
          <w:color w:val="auto"/>
          <w:sz w:val="22"/>
          <w:szCs w:val="22"/>
          <w:shd w:val="clear" w:color="auto" w:fill="auto"/>
        </w:rPr>
      </w:pPr>
    </w:p>
    <w:p w:rsidR="009075D7" w:rsidP="000371EB" w14:paraId="2744C09E" w14:textId="77777777">
      <w:pPr>
        <w:pStyle w:val="BodyText"/>
        <w:spacing w:line="276" w:lineRule="auto"/>
        <w:ind w:left="0"/>
        <w:jc w:val="both"/>
        <w:rPr>
          <w:rStyle w:val="s13"/>
          <w:rFonts w:ascii="Times New Roman" w:hAnsi="Times New Roman" w:cs="Times New Roman"/>
          <w:b/>
          <w:bCs/>
          <w:color w:val="auto"/>
          <w:u w:val="single"/>
          <w:shd w:val="clear" w:color="auto" w:fill="auto"/>
        </w:rPr>
      </w:pPr>
      <w:r w:rsidRPr="00E51D83">
        <w:rPr>
          <w:rFonts w:ascii="Times New Roman" w:hAnsi="Times New Roman" w:cs="Times New Roman"/>
          <w:sz w:val="22"/>
          <w:szCs w:val="22"/>
        </w:rPr>
        <w:t>The proceeds from the issuance of the Convertible Debentures will be used for general working capital</w:t>
      </w:r>
      <w:r w:rsidR="005F5638">
        <w:rPr>
          <w:rFonts w:ascii="Times New Roman" w:hAnsi="Times New Roman" w:cs="Times New Roman"/>
          <w:sz w:val="22"/>
          <w:szCs w:val="22"/>
        </w:rPr>
        <w:t xml:space="preserve"> purposes</w:t>
      </w:r>
      <w:r w:rsidRPr="00E51D83">
        <w:rPr>
          <w:rFonts w:ascii="Times New Roman" w:hAnsi="Times New Roman" w:cs="Times New Roman"/>
          <w:sz w:val="22"/>
          <w:szCs w:val="22"/>
        </w:rPr>
        <w:t>.</w:t>
      </w:r>
    </w:p>
    <w:p w:rsidR="009075D7" w:rsidRPr="009075D7" w:rsidP="000371EB" w14:paraId="39147B3F" w14:textId="77777777">
      <w:pPr>
        <w:pStyle w:val="BodyText"/>
        <w:spacing w:line="276" w:lineRule="auto"/>
        <w:ind w:left="0"/>
        <w:jc w:val="both"/>
        <w:rPr>
          <w:rStyle w:val="s13"/>
          <w:rFonts w:ascii="Times New Roman" w:hAnsi="Times New Roman" w:cs="Times New Roman"/>
          <w:b/>
          <w:bCs/>
          <w:color w:val="auto"/>
          <w:sz w:val="22"/>
          <w:szCs w:val="22"/>
          <w:u w:val="single"/>
          <w:shd w:val="clear" w:color="auto" w:fill="auto"/>
        </w:rPr>
      </w:pPr>
    </w:p>
    <w:p w:rsidR="00D362C9" w:rsidRPr="009075D7" w:rsidP="000371EB" w14:paraId="423D20B5" w14:textId="139E4046">
      <w:pPr>
        <w:pStyle w:val="BodyText"/>
        <w:spacing w:line="276" w:lineRule="auto"/>
        <w:ind w:left="0"/>
        <w:jc w:val="both"/>
        <w:rPr>
          <w:rStyle w:val="s13"/>
          <w:rFonts w:ascii="Times New Roman" w:hAnsi="Times New Roman" w:cs="Times New Roman"/>
          <w:color w:val="0E101A"/>
          <w:sz w:val="22"/>
          <w:szCs w:val="22"/>
          <w:shd w:val="clear" w:color="auto" w:fill="auto"/>
        </w:rPr>
      </w:pPr>
      <w:r w:rsidRPr="009075D7">
        <w:rPr>
          <w:rStyle w:val="s13"/>
          <w:rFonts w:ascii="Times New Roman" w:hAnsi="Times New Roman" w:cs="Times New Roman"/>
          <w:b/>
          <w:bCs/>
          <w:color w:val="0E101A"/>
          <w:sz w:val="22"/>
          <w:u w:val="single"/>
        </w:rPr>
        <w:t xml:space="preserve">About </w:t>
      </w:r>
      <w:r w:rsidRPr="009075D7" w:rsidR="00427E75">
        <w:rPr>
          <w:rStyle w:val="s13"/>
          <w:rFonts w:ascii="Times New Roman" w:hAnsi="Times New Roman" w:cs="Times New Roman"/>
          <w:b/>
          <w:bCs/>
          <w:color w:val="0E101A"/>
          <w:sz w:val="22"/>
          <w:u w:val="single"/>
        </w:rPr>
        <w:t>Spetz</w:t>
      </w:r>
      <w:r w:rsidRPr="009075D7" w:rsidR="00E90F7C">
        <w:rPr>
          <w:rStyle w:val="s13"/>
          <w:rFonts w:ascii="Times New Roman" w:hAnsi="Times New Roman" w:cs="Times New Roman"/>
          <w:b/>
          <w:bCs/>
          <w:color w:val="0E101A"/>
          <w:sz w:val="22"/>
          <w:u w:val="single"/>
        </w:rPr>
        <w:t xml:space="preserve"> </w:t>
      </w:r>
      <w:r w:rsidRPr="009075D7" w:rsidR="00427E75">
        <w:rPr>
          <w:rStyle w:val="s13"/>
          <w:rFonts w:ascii="Times New Roman" w:hAnsi="Times New Roman" w:cs="Times New Roman"/>
          <w:b/>
          <w:bCs/>
          <w:color w:val="0E101A"/>
          <w:sz w:val="22"/>
          <w:u w:val="single"/>
        </w:rPr>
        <w:t>Inc</w:t>
      </w:r>
      <w:r w:rsidRPr="00434828" w:rsidR="00427E75">
        <w:rPr>
          <w:rStyle w:val="s13"/>
          <w:rFonts w:ascii="Times New Roman" w:hAnsi="Times New Roman" w:cs="Times New Roman"/>
          <w:b/>
          <w:bCs/>
          <w:color w:val="0E101A"/>
          <w:u w:val="single"/>
        </w:rPr>
        <w:t>.</w:t>
      </w:r>
    </w:p>
    <w:p w:rsidR="00A90148" w:rsidRPr="00E51D83" w:rsidP="000371EB" w14:paraId="3E1C97A5" w14:textId="77777777">
      <w:pPr>
        <w:pStyle w:val="s5"/>
        <w:spacing w:before="0" w:beforeAutospacing="0" w:after="0" w:afterAutospacing="0" w:line="276" w:lineRule="auto"/>
        <w:jc w:val="both"/>
        <w:rPr>
          <w:rStyle w:val="s13"/>
          <w:b/>
          <w:bCs/>
          <w:color w:val="0E101A"/>
          <w:sz w:val="22"/>
          <w:szCs w:val="22"/>
          <w:u w:val="single"/>
          <w:shd w:val="clear" w:color="auto" w:fill="auto"/>
        </w:rPr>
      </w:pPr>
    </w:p>
    <w:p w:rsidR="00F9788D" w:rsidRPr="00E51D83" w:rsidP="000371EB" w14:paraId="4742D64C" w14:textId="139688D9">
      <w:pPr>
        <w:pStyle w:val="s5"/>
        <w:spacing w:before="0" w:beforeAutospacing="0" w:after="0" w:afterAutospacing="0" w:line="276" w:lineRule="auto"/>
        <w:jc w:val="both"/>
        <w:rPr>
          <w:color w:val="000000"/>
          <w:sz w:val="22"/>
          <w:szCs w:val="22"/>
          <w:shd w:val="clear" w:color="auto" w:fill="auto"/>
          <w:lang w:val="en-US"/>
        </w:rPr>
      </w:pPr>
      <w:r w:rsidRPr="00E51D83">
        <w:rPr>
          <w:rStyle w:val="s10"/>
          <w:color w:val="0E101A"/>
          <w:sz w:val="22"/>
          <w:szCs w:val="22"/>
        </w:rPr>
        <w:t xml:space="preserve">Spetz </w:t>
      </w:r>
      <w:r w:rsidRPr="00E51D83" w:rsidR="00CD6F87">
        <w:rPr>
          <w:rStyle w:val="s10"/>
          <w:color w:val="0E101A"/>
          <w:sz w:val="22"/>
          <w:szCs w:val="22"/>
        </w:rPr>
        <w:t>I</w:t>
      </w:r>
      <w:r w:rsidRPr="00E51D83">
        <w:rPr>
          <w:rStyle w:val="s10"/>
          <w:color w:val="0E101A"/>
          <w:sz w:val="22"/>
          <w:szCs w:val="22"/>
        </w:rPr>
        <w:t>nc.</w:t>
      </w:r>
      <w:r w:rsidRPr="00E51D83" w:rsidR="00CF47FA">
        <w:rPr>
          <w:rStyle w:val="s10"/>
          <w:color w:val="0E101A"/>
          <w:sz w:val="22"/>
          <w:szCs w:val="22"/>
        </w:rPr>
        <w:t xml:space="preserve"> </w:t>
      </w:r>
      <w:r w:rsidRPr="00E51D83" w:rsidR="00526B82">
        <w:rPr>
          <w:rStyle w:val="s10"/>
          <w:color w:val="0E101A"/>
          <w:sz w:val="22"/>
          <w:szCs w:val="22"/>
        </w:rPr>
        <w:t xml:space="preserve">is a multinational technology company that operates Spetz, a global online, AI-powered marketplace platform that dynamically connects consumers to nearby top-rated service providers in around 30 seconds. Spetz is </w:t>
      </w:r>
      <w:r w:rsidRPr="00E51D83">
        <w:rPr>
          <w:rStyle w:val="s10"/>
          <w:color w:val="0E101A"/>
          <w:sz w:val="22"/>
          <w:szCs w:val="22"/>
        </w:rPr>
        <w:t>available</w:t>
      </w:r>
      <w:r w:rsidRPr="00E51D83" w:rsidR="00526B82">
        <w:rPr>
          <w:rStyle w:val="s10"/>
          <w:color w:val="0E101A"/>
          <w:sz w:val="22"/>
          <w:szCs w:val="22"/>
        </w:rPr>
        <w:t xml:space="preserve"> in the</w:t>
      </w:r>
      <w:r w:rsidRPr="00E51D83">
        <w:rPr>
          <w:rStyle w:val="s10"/>
          <w:color w:val="0E101A"/>
          <w:sz w:val="22"/>
          <w:szCs w:val="22"/>
        </w:rPr>
        <w:t xml:space="preserve"> USA, </w:t>
      </w:r>
      <w:r w:rsidRPr="00E51D83" w:rsidR="00526B82">
        <w:rPr>
          <w:rStyle w:val="s10"/>
          <w:color w:val="0E101A"/>
          <w:sz w:val="22"/>
          <w:szCs w:val="22"/>
        </w:rPr>
        <w:t>United Kingdom, Australia</w:t>
      </w:r>
      <w:r w:rsidRPr="00E51D83">
        <w:rPr>
          <w:rStyle w:val="s10"/>
          <w:color w:val="0E101A"/>
          <w:sz w:val="22"/>
          <w:szCs w:val="22"/>
        </w:rPr>
        <w:t>,</w:t>
      </w:r>
      <w:r w:rsidRPr="00E51D83" w:rsidR="00526B82">
        <w:rPr>
          <w:rStyle w:val="s10"/>
          <w:color w:val="0E101A"/>
          <w:sz w:val="22"/>
          <w:szCs w:val="22"/>
        </w:rPr>
        <w:t xml:space="preserve"> and Israel.</w:t>
      </w:r>
      <w:r w:rsidR="009075D7">
        <w:rPr>
          <w:color w:val="000000"/>
          <w:sz w:val="22"/>
          <w:szCs w:val="22"/>
        </w:rPr>
        <w:t xml:space="preserve"> </w:t>
      </w:r>
      <w:r w:rsidRPr="00E51D83">
        <w:rPr>
          <w:color w:val="000000"/>
          <w:sz w:val="22"/>
          <w:szCs w:val="22"/>
        </w:rPr>
        <w:t xml:space="preserve">The Spetz </w:t>
      </w:r>
      <w:r w:rsidRPr="00E51D83" w:rsidR="00DA02B7">
        <w:rPr>
          <w:color w:val="000000"/>
          <w:sz w:val="22"/>
          <w:szCs w:val="22"/>
        </w:rPr>
        <w:t xml:space="preserve">vision is to </w:t>
      </w:r>
      <w:r w:rsidRPr="00E51D83" w:rsidR="00DA02B7">
        <w:rPr>
          <w:color w:val="000000"/>
          <w:sz w:val="22"/>
          <w:szCs w:val="22"/>
        </w:rPr>
        <w:t>reinvent how people around the world connect to services in their moment of need. Connecting them immediately with the top-matched service provider, for any need, anytime, anywhere.</w:t>
      </w:r>
    </w:p>
    <w:p w:rsidR="00E90F7C" w:rsidRPr="00E51D83" w:rsidP="000371EB" w14:paraId="6A23FC32" w14:textId="77777777">
      <w:pPr>
        <w:pStyle w:val="s5"/>
        <w:spacing w:before="0" w:beforeAutospacing="0" w:after="0" w:afterAutospacing="0" w:line="276" w:lineRule="auto"/>
        <w:jc w:val="both"/>
        <w:rPr>
          <w:color w:val="000000"/>
          <w:sz w:val="22"/>
          <w:szCs w:val="22"/>
          <w:shd w:val="clear" w:color="auto" w:fill="auto"/>
        </w:rPr>
      </w:pPr>
    </w:p>
    <w:p w:rsidR="00417FA6" w:rsidRPr="00E51D83" w:rsidP="000371EB" w14:paraId="481ABB58" w14:textId="77777777">
      <w:pPr>
        <w:pStyle w:val="s5"/>
        <w:spacing w:before="0" w:beforeAutospacing="0" w:after="0" w:afterAutospacing="0" w:line="276" w:lineRule="auto"/>
        <w:jc w:val="both"/>
        <w:rPr>
          <w:rStyle w:val="Hyperlink"/>
          <w:color w:val="0070C0"/>
          <w:sz w:val="22"/>
          <w:szCs w:val="22"/>
          <w:shd w:val="clear" w:color="auto" w:fill="auto"/>
        </w:rPr>
      </w:pPr>
      <w:r w:rsidRPr="00E51D83">
        <w:rPr>
          <w:color w:val="000000"/>
          <w:sz w:val="22"/>
          <w:szCs w:val="22"/>
        </w:rPr>
        <w:t xml:space="preserve">Spetz website: </w:t>
      </w:r>
      <w:hyperlink r:id="rId5" w:history="1">
        <w:r w:rsidRPr="001C7D6B">
          <w:rPr>
            <w:rStyle w:val="Hyperlink"/>
            <w:b/>
            <w:bCs/>
            <w:color w:val="0070C0"/>
            <w:sz w:val="22"/>
            <w:szCs w:val="22"/>
          </w:rPr>
          <w:t>www.spetz.app</w:t>
        </w:r>
      </w:hyperlink>
      <w:r w:rsidRPr="001C7D6B">
        <w:rPr>
          <w:rStyle w:val="Hyperlink"/>
          <w:color w:val="0070C0"/>
          <w:sz w:val="22"/>
          <w:szCs w:val="22"/>
        </w:rPr>
        <w:t xml:space="preserve"> </w:t>
      </w:r>
      <w:r w:rsidRPr="001C7D6B">
        <w:rPr>
          <w:rStyle w:val="Hyperlink"/>
          <w:color w:val="0070C0"/>
          <w:sz w:val="22"/>
          <w:szCs w:val="22"/>
        </w:rPr>
        <w:t xml:space="preserve">  </w:t>
      </w:r>
    </w:p>
    <w:p w:rsidR="0081667E" w:rsidRPr="00E51D83" w:rsidP="000371EB" w14:paraId="018EFB29" w14:textId="45076782">
      <w:pPr>
        <w:pStyle w:val="s5"/>
        <w:spacing w:before="0" w:beforeAutospacing="0" w:after="0" w:afterAutospacing="0" w:line="276" w:lineRule="auto"/>
        <w:jc w:val="both"/>
        <w:rPr>
          <w:color w:val="0070C0"/>
          <w:sz w:val="22"/>
          <w:szCs w:val="22"/>
          <w:shd w:val="clear" w:color="auto" w:fill="auto"/>
        </w:rPr>
      </w:pPr>
      <w:r w:rsidRPr="00E51D83">
        <w:rPr>
          <w:rStyle w:val="Hyperlink"/>
          <w:color w:val="auto"/>
          <w:sz w:val="22"/>
          <w:szCs w:val="22"/>
          <w:u w:val="none"/>
        </w:rPr>
        <w:t xml:space="preserve">Spetz Investor information: </w:t>
      </w:r>
      <w:hyperlink r:id="rId6" w:history="1">
        <w:r w:rsidRPr="001C7D6B">
          <w:rPr>
            <w:rStyle w:val="Hyperlink"/>
            <w:rFonts w:cstheme="majorBidi"/>
            <w:b/>
            <w:bCs/>
            <w:color w:val="0070C0"/>
            <w:sz w:val="22"/>
            <w:szCs w:val="22"/>
          </w:rPr>
          <w:t>https://investor.spetz.app/</w:t>
        </w:r>
      </w:hyperlink>
    </w:p>
    <w:p w:rsidR="00D55C8B" w:rsidRPr="00E51D83" w:rsidP="000371EB" w14:paraId="2CD2C47D" w14:textId="3F2BA951">
      <w:pPr>
        <w:pStyle w:val="s16"/>
        <w:spacing w:before="210" w:beforeAutospacing="0" w:after="210" w:afterAutospacing="0" w:line="276" w:lineRule="auto"/>
        <w:jc w:val="both"/>
        <w:rPr>
          <w:color w:val="0E101A"/>
          <w:sz w:val="22"/>
          <w:szCs w:val="22"/>
          <w:shd w:val="clear" w:color="auto" w:fill="auto"/>
        </w:rPr>
      </w:pPr>
      <w:r w:rsidRPr="00E51D83">
        <w:rPr>
          <w:rStyle w:val="s13"/>
          <w:b/>
          <w:bCs/>
          <w:color w:val="0E101A"/>
          <w:sz w:val="22"/>
          <w:szCs w:val="22"/>
          <w:u w:val="single"/>
        </w:rPr>
        <w:t xml:space="preserve">Company Contacts: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42935152" w14:textId="77777777" w:rsidTr="006849E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D55C8B" w:rsidRPr="00E51D83" w:rsidP="000371EB" w14:paraId="2CC8BED6" w14:textId="77777777">
            <w:pPr>
              <w:pStyle w:val="s5"/>
              <w:spacing w:before="0" w:beforeAutospacing="0" w:after="0" w:afterAutospacing="0" w:line="276" w:lineRule="auto"/>
              <w:jc w:val="both"/>
              <w:rPr>
                <w:color w:val="0E101A"/>
                <w:sz w:val="22"/>
                <w:szCs w:val="22"/>
                <w:shd w:val="clear" w:color="auto" w:fill="auto"/>
              </w:rPr>
            </w:pPr>
            <w:r w:rsidRPr="00E51D83">
              <w:rPr>
                <w:rStyle w:val="s10"/>
                <w:color w:val="0E101A"/>
                <w:sz w:val="22"/>
                <w:szCs w:val="22"/>
              </w:rPr>
              <w:t>Ofir Friedman</w:t>
            </w:r>
          </w:p>
        </w:tc>
        <w:tc>
          <w:tcPr>
            <w:tcW w:w="4675" w:type="dxa"/>
          </w:tcPr>
          <w:p w:rsidR="00D55C8B" w:rsidRPr="00E51D83" w:rsidP="000371EB" w14:paraId="2C4DDFE6" w14:textId="77777777">
            <w:pPr>
              <w:pStyle w:val="s5"/>
              <w:spacing w:before="0" w:beforeAutospacing="0" w:after="0" w:afterAutospacing="0" w:line="276" w:lineRule="auto"/>
              <w:jc w:val="both"/>
              <w:rPr>
                <w:rStyle w:val="s10"/>
                <w:color w:val="0E101A"/>
                <w:sz w:val="22"/>
                <w:szCs w:val="22"/>
                <w:shd w:val="clear" w:color="auto" w:fill="auto"/>
              </w:rPr>
            </w:pPr>
            <w:r w:rsidRPr="00E51D83">
              <w:rPr>
                <w:rStyle w:val="s10"/>
                <w:rFonts w:cstheme="majorBidi"/>
                <w:color w:val="0E101A"/>
                <w:sz w:val="22"/>
                <w:szCs w:val="22"/>
              </w:rPr>
              <w:t>Daniel Mogil</w:t>
            </w:r>
          </w:p>
        </w:tc>
      </w:tr>
      <w:tr w14:paraId="0102F143" w14:textId="77777777" w:rsidTr="006849E5">
        <w:tblPrEx>
          <w:tblW w:w="0" w:type="auto"/>
          <w:tblLook w:val="04A0"/>
        </w:tblPrEx>
        <w:tc>
          <w:tcPr>
            <w:tcW w:w="4675" w:type="dxa"/>
          </w:tcPr>
          <w:p w:rsidR="00D55C8B" w:rsidRPr="00E51D83" w:rsidP="000371EB" w14:paraId="28A39DAB" w14:textId="77777777">
            <w:pPr>
              <w:pStyle w:val="s5"/>
              <w:spacing w:before="0" w:beforeAutospacing="0" w:after="0" w:afterAutospacing="0" w:line="276" w:lineRule="auto"/>
              <w:jc w:val="both"/>
              <w:rPr>
                <w:rStyle w:val="s14"/>
                <w:color w:val="000000"/>
                <w:sz w:val="22"/>
                <w:szCs w:val="22"/>
                <w:u w:val="single"/>
                <w:shd w:val="clear" w:color="auto" w:fill="auto"/>
              </w:rPr>
            </w:pPr>
            <w:r w:rsidRPr="00E51D83">
              <w:rPr>
                <w:color w:val="000000"/>
                <w:sz w:val="22"/>
                <w:szCs w:val="22"/>
              </w:rPr>
              <w:t>Director and Chief Marketing Officer</w:t>
            </w:r>
          </w:p>
        </w:tc>
        <w:tc>
          <w:tcPr>
            <w:tcW w:w="4675" w:type="dxa"/>
          </w:tcPr>
          <w:p w:rsidR="00D55C8B" w:rsidRPr="00E51D83" w:rsidP="000371EB" w14:paraId="27E46BA9" w14:textId="77777777">
            <w:pPr>
              <w:pStyle w:val="s5"/>
              <w:spacing w:before="0" w:beforeAutospacing="0" w:after="0" w:afterAutospacing="0" w:line="276" w:lineRule="auto"/>
              <w:jc w:val="both"/>
              <w:rPr>
                <w:color w:val="0E101A"/>
                <w:sz w:val="22"/>
                <w:szCs w:val="22"/>
                <w:shd w:val="clear" w:color="auto" w:fill="auto"/>
              </w:rPr>
            </w:pPr>
            <w:r w:rsidRPr="00E51D83">
              <w:rPr>
                <w:rFonts w:cstheme="majorBidi"/>
                <w:color w:val="000000"/>
                <w:sz w:val="22"/>
                <w:szCs w:val="22"/>
              </w:rPr>
              <w:t>​​​​</w:t>
            </w:r>
            <w:r w:rsidRPr="00E51D83">
              <w:rPr>
                <w:rStyle w:val="s10"/>
                <w:rFonts w:cstheme="majorBidi"/>
                <w:color w:val="0E101A"/>
                <w:sz w:val="22"/>
                <w:szCs w:val="22"/>
              </w:rPr>
              <w:t>Investor Relations Manager</w:t>
            </w:r>
          </w:p>
        </w:tc>
      </w:tr>
      <w:tr w14:paraId="7EEE9B3D" w14:textId="77777777" w:rsidTr="006849E5">
        <w:tblPrEx>
          <w:tblW w:w="0" w:type="auto"/>
          <w:tblLook w:val="04A0"/>
        </w:tblPrEx>
        <w:tc>
          <w:tcPr>
            <w:tcW w:w="4675" w:type="dxa"/>
          </w:tcPr>
          <w:p w:rsidR="00D55C8B" w:rsidRPr="001C7D6B" w:rsidP="000371EB" w14:paraId="68EE5A06" w14:textId="77777777">
            <w:pPr>
              <w:pStyle w:val="s5"/>
              <w:spacing w:before="0" w:beforeAutospacing="0" w:after="0" w:afterAutospacing="0" w:line="276" w:lineRule="auto"/>
              <w:jc w:val="both"/>
              <w:rPr>
                <w:rFonts w:cstheme="majorBidi"/>
                <w:b/>
                <w:color w:val="0070C0"/>
                <w:sz w:val="22"/>
                <w:szCs w:val="22"/>
                <w:shd w:val="clear" w:color="auto" w:fill="auto"/>
              </w:rPr>
            </w:pPr>
            <w:hyperlink r:id="rId7" w:history="1">
              <w:r w:rsidRPr="001C7D6B">
                <w:rPr>
                  <w:rStyle w:val="s14"/>
                  <w:b/>
                  <w:color w:val="0070C0"/>
                  <w:sz w:val="22"/>
                  <w:szCs w:val="22"/>
                  <w:u w:val="single"/>
                </w:rPr>
                <w:t>ofir@spetz.app</w:t>
              </w:r>
            </w:hyperlink>
          </w:p>
        </w:tc>
        <w:tc>
          <w:tcPr>
            <w:tcW w:w="4675" w:type="dxa"/>
          </w:tcPr>
          <w:p w:rsidR="00D55C8B" w:rsidRPr="001C7D6B" w:rsidP="000371EB" w14:paraId="1B008B59" w14:textId="77777777">
            <w:pPr>
              <w:pStyle w:val="s5"/>
              <w:spacing w:before="0" w:beforeAutospacing="0" w:after="0" w:afterAutospacing="0" w:line="276" w:lineRule="auto"/>
              <w:jc w:val="both"/>
              <w:rPr>
                <w:rStyle w:val="s10"/>
                <w:rFonts w:cstheme="majorBidi"/>
                <w:b/>
                <w:color w:val="0070C0"/>
                <w:sz w:val="22"/>
                <w:szCs w:val="22"/>
                <w:shd w:val="clear" w:color="auto" w:fill="auto"/>
              </w:rPr>
            </w:pPr>
            <w:r w:rsidRPr="001C7D6B">
              <w:rPr>
                <w:rFonts w:cstheme="majorBidi"/>
                <w:b/>
                <w:color w:val="0070C0"/>
                <w:sz w:val="22"/>
                <w:szCs w:val="22"/>
              </w:rPr>
              <w:t>​​​​​</w:t>
            </w:r>
            <w:hyperlink r:id="rId7" w:history="1">
              <w:r w:rsidRPr="001C7D6B">
                <w:rPr>
                  <w:rStyle w:val="s14"/>
                  <w:b/>
                  <w:color w:val="0070C0"/>
                  <w:sz w:val="22"/>
                  <w:szCs w:val="22"/>
                  <w:u w:val="single"/>
                </w:rPr>
                <w:t>Investors@spetz.app</w:t>
              </w:r>
            </w:hyperlink>
            <w:r w:rsidRPr="001C7D6B">
              <w:rPr>
                <w:rStyle w:val="s14"/>
                <w:b/>
                <w:color w:val="0070C0"/>
                <w:sz w:val="22"/>
                <w:szCs w:val="22"/>
                <w:u w:val="single"/>
              </w:rPr>
              <w:t xml:space="preserve">  </w:t>
            </w:r>
          </w:p>
        </w:tc>
      </w:tr>
      <w:tr w14:paraId="4DA9B186" w14:textId="77777777" w:rsidTr="006849E5">
        <w:tblPrEx>
          <w:tblW w:w="0" w:type="auto"/>
          <w:tblLook w:val="04A0"/>
        </w:tblPrEx>
        <w:tc>
          <w:tcPr>
            <w:tcW w:w="4675" w:type="dxa"/>
          </w:tcPr>
          <w:p w:rsidR="00D55C8B" w:rsidRPr="00E51D83" w:rsidP="000371EB" w14:paraId="22C65F0F" w14:textId="77777777">
            <w:pPr>
              <w:pStyle w:val="s5"/>
              <w:spacing w:before="0" w:beforeAutospacing="0" w:after="0" w:afterAutospacing="0" w:line="276" w:lineRule="auto"/>
              <w:jc w:val="both"/>
              <w:rPr>
                <w:rStyle w:val="s14"/>
                <w:color w:val="0070C0"/>
                <w:sz w:val="22"/>
                <w:szCs w:val="22"/>
                <w:u w:val="single"/>
                <w:shd w:val="clear" w:color="auto" w:fill="auto"/>
              </w:rPr>
            </w:pPr>
            <w:bookmarkStart w:id="1" w:name="_Hlk122557081"/>
          </w:p>
        </w:tc>
        <w:tc>
          <w:tcPr>
            <w:tcW w:w="4675" w:type="dxa"/>
          </w:tcPr>
          <w:p w:rsidR="00D55C8B" w:rsidRPr="00E51D83" w:rsidP="000371EB" w14:paraId="2F398B81" w14:textId="77777777">
            <w:pPr>
              <w:pStyle w:val="s16"/>
              <w:spacing w:before="0" w:beforeAutospacing="0" w:after="0" w:afterAutospacing="0" w:line="276" w:lineRule="auto"/>
              <w:jc w:val="both"/>
              <w:rPr>
                <w:rStyle w:val="s10"/>
                <w:rFonts w:cstheme="majorBidi"/>
                <w:color w:val="0E101A"/>
                <w:sz w:val="22"/>
                <w:szCs w:val="22"/>
                <w:shd w:val="clear" w:color="auto" w:fill="auto"/>
              </w:rPr>
            </w:pPr>
            <w:r w:rsidRPr="00E51D83">
              <w:rPr>
                <w:rStyle w:val="s10"/>
                <w:rFonts w:cstheme="majorBidi"/>
                <w:color w:val="0E101A"/>
                <w:sz w:val="22"/>
                <w:szCs w:val="22"/>
              </w:rPr>
              <w:t>437-826-4012</w:t>
            </w:r>
          </w:p>
        </w:tc>
      </w:tr>
    </w:tbl>
    <w:bookmarkEnd w:id="1"/>
    <w:p w:rsidR="00D55C8B" w:rsidRPr="00E51D83" w:rsidP="000371EB" w14:paraId="020C3D79" w14:textId="390DFD3F">
      <w:pPr>
        <w:pStyle w:val="s16"/>
        <w:spacing w:before="210" w:beforeAutospacing="0" w:after="210" w:afterAutospacing="0" w:line="276" w:lineRule="auto"/>
        <w:jc w:val="both"/>
        <w:rPr>
          <w:rFonts w:cstheme="majorBidi"/>
          <w:i/>
          <w:iCs/>
          <w:color w:val="0E101A"/>
          <w:sz w:val="22"/>
          <w:szCs w:val="22"/>
          <w:shd w:val="clear" w:color="auto" w:fill="auto"/>
        </w:rPr>
      </w:pPr>
      <w:r w:rsidRPr="00E51D83">
        <w:rPr>
          <w:rStyle w:val="s17"/>
          <w:rFonts w:cstheme="majorBidi"/>
          <w:i/>
          <w:iCs/>
          <w:color w:val="0E101A"/>
          <w:sz w:val="22"/>
          <w:szCs w:val="22"/>
        </w:rPr>
        <w:t xml:space="preserve">NEITHER THE </w:t>
      </w:r>
      <w:r w:rsidR="000371EB">
        <w:rPr>
          <w:rStyle w:val="s17"/>
          <w:rFonts w:cstheme="majorBidi"/>
          <w:i/>
          <w:iCs/>
          <w:color w:val="0E101A"/>
          <w:sz w:val="22"/>
          <w:szCs w:val="22"/>
        </w:rPr>
        <w:t>CSE</w:t>
      </w:r>
      <w:r w:rsidRPr="00E51D83">
        <w:rPr>
          <w:rStyle w:val="s17"/>
          <w:rFonts w:cstheme="majorBidi"/>
          <w:i/>
          <w:iCs/>
          <w:color w:val="0E101A"/>
          <w:sz w:val="22"/>
          <w:szCs w:val="22"/>
        </w:rPr>
        <w:t>, NOR THEIR REGULATION SERVICES PROVIDERS HAVE REVIEWED OR ACCEPT RESPONSIBILITY FOR THE ADEQUACY OR ACCURACY OF THIS RELEASE</w:t>
      </w:r>
      <w:r w:rsidRPr="00E51D83">
        <w:rPr>
          <w:rFonts w:cstheme="majorBidi"/>
          <w:i/>
          <w:iCs/>
          <w:color w:val="0E101A"/>
          <w:sz w:val="22"/>
          <w:szCs w:val="22"/>
        </w:rPr>
        <w:t xml:space="preserve">. </w:t>
      </w:r>
    </w:p>
    <w:p w:rsidR="00D55C8B" w:rsidRPr="00E51D83" w:rsidP="000371EB" w14:paraId="2A9EEBA1" w14:textId="77777777">
      <w:pPr>
        <w:pStyle w:val="s16"/>
        <w:spacing w:before="0" w:beforeAutospacing="0" w:after="0" w:afterAutospacing="0" w:line="276" w:lineRule="auto"/>
        <w:jc w:val="both"/>
        <w:rPr>
          <w:rStyle w:val="s13"/>
          <w:rFonts w:cstheme="majorBidi"/>
          <w:b/>
          <w:bCs/>
          <w:color w:val="0E101A"/>
          <w:sz w:val="22"/>
          <w:szCs w:val="22"/>
          <w:u w:val="single"/>
          <w:shd w:val="clear" w:color="auto" w:fill="auto"/>
        </w:rPr>
      </w:pPr>
      <w:r w:rsidRPr="00E51D83">
        <w:rPr>
          <w:rStyle w:val="s13"/>
          <w:rFonts w:cstheme="majorBidi"/>
          <w:b/>
          <w:bCs/>
          <w:color w:val="0E101A"/>
          <w:sz w:val="22"/>
          <w:szCs w:val="22"/>
          <w:u w:val="single"/>
        </w:rPr>
        <w:t>Cautionary Note Regarding Forward-looking Statements</w:t>
      </w:r>
    </w:p>
    <w:p w:rsidR="00D55C8B" w:rsidRPr="00E51D83" w:rsidP="000371EB" w14:paraId="2DC23A76" w14:textId="77777777">
      <w:pPr>
        <w:spacing w:line="276" w:lineRule="auto"/>
        <w:jc w:val="both"/>
        <w:rPr>
          <w:rStyle w:val="s18"/>
          <w:rFonts w:ascii="Times New Roman" w:hAnsi="Times New Roman" w:cstheme="majorBidi"/>
          <w:i/>
          <w:iCs/>
          <w:color w:val="0E101A"/>
          <w:shd w:val="clear" w:color="auto" w:fill="auto"/>
        </w:rPr>
      </w:pPr>
    </w:p>
    <w:p w:rsidR="00D55C8B" w:rsidRPr="00E51D83" w:rsidP="000371EB" w14:paraId="0F49897A" w14:textId="1BEDA6FD">
      <w:pPr>
        <w:spacing w:line="276" w:lineRule="auto"/>
        <w:jc w:val="both"/>
        <w:rPr>
          <w:rStyle w:val="s18"/>
          <w:rFonts w:ascii="Times New Roman" w:hAnsi="Times New Roman" w:cstheme="majorBidi"/>
          <w:i/>
          <w:iCs/>
          <w:color w:val="auto"/>
          <w:shd w:val="clear" w:color="auto" w:fill="auto"/>
        </w:rPr>
      </w:pPr>
      <w:r w:rsidRPr="00E51D83">
        <w:rPr>
          <w:rStyle w:val="s18"/>
          <w:rFonts w:ascii="Times New Roman" w:hAnsi="Times New Roman" w:cstheme="majorBidi"/>
          <w:i/>
          <w:iCs/>
        </w:rPr>
        <w:t xml:space="preserve">Certain information herein constitutes “forward-looking information” as defined under Canadian securities </w:t>
      </w:r>
      <w:r w:rsidRPr="00E51D83" w:rsidR="009842C6">
        <w:rPr>
          <w:rStyle w:val="s18"/>
          <w:rFonts w:ascii="Times New Roman" w:hAnsi="Times New Roman" w:cstheme="majorBidi"/>
          <w:i/>
          <w:iCs/>
        </w:rPr>
        <w:t>laws, which</w:t>
      </w:r>
      <w:r w:rsidRPr="00E51D83">
        <w:rPr>
          <w:rStyle w:val="s18"/>
          <w:rFonts w:ascii="Times New Roman" w:hAnsi="Times New Roman" w:cstheme="majorBidi"/>
          <w:i/>
          <w:iCs/>
        </w:rPr>
        <w:t xml:space="preserve"> reflect management’s expectations regarding objectives, plans, goals, strategies, future growth, results of operations, performance, business prospects and opportunities of the Company. The words “plans”, “expects”, “does not expect”, “scheduled”, “estimates”, “intends”, “anticipates”, “does not anticipate”, “projects”, “believes”, or variations of such words and phrases or statements to the effect that certain actions, events or results “may”, “will”, “could”, “would”, “might”, “occur”, “be achieved”, or “continue” and similar expressions identify forward-looking statements. Such forward-looking statements are qualified in their entirety by the inherent risks and uncertainties surrounding future expectations.</w:t>
      </w:r>
    </w:p>
    <w:p w:rsidR="00D55C8B" w:rsidRPr="00E51D83" w:rsidP="000371EB" w14:paraId="132BC12C" w14:textId="77777777">
      <w:pPr>
        <w:spacing w:line="276" w:lineRule="auto"/>
        <w:jc w:val="both"/>
        <w:rPr>
          <w:rStyle w:val="s18"/>
          <w:rFonts w:ascii="Times New Roman" w:hAnsi="Times New Roman" w:cstheme="majorBidi"/>
          <w:i/>
          <w:iCs/>
          <w:color w:val="auto"/>
          <w:shd w:val="clear" w:color="auto" w:fill="auto"/>
        </w:rPr>
      </w:pPr>
    </w:p>
    <w:p w:rsidR="0089737F" w:rsidRPr="00E51D83" w:rsidP="000371EB" w14:paraId="5C52F560" w14:textId="147CD420">
      <w:pPr>
        <w:spacing w:line="276" w:lineRule="auto"/>
        <w:jc w:val="both"/>
        <w:rPr>
          <w:rStyle w:val="s10"/>
          <w:rFonts w:ascii="Times New Roman" w:hAnsi="Times New Roman" w:cstheme="majorBidi"/>
          <w:color w:val="auto"/>
          <w:shd w:val="clear" w:color="auto" w:fill="auto"/>
          <w:lang w:val="en-US" w:bidi="he-IL"/>
        </w:rPr>
      </w:pPr>
      <w:r w:rsidRPr="00E51D83">
        <w:rPr>
          <w:rStyle w:val="s18"/>
          <w:rFonts w:ascii="Times New Roman" w:hAnsi="Times New Roman" w:cstheme="majorBidi"/>
          <w:i/>
          <w:iCs/>
        </w:rPr>
        <w:t xml:space="preserve">Forward-looking statements are necessarily based on a number of estimates and assumptions that, while considered reasonable by management as of the date hereof, are inherently subject to significant business, economic and competitive uncertainties and contingencies. When relying on forward-looking statements to make decisions, the Company cautions readers not to place undue reliance on these statements, as forward-looking statements involve significant  risks and uncertainties and should not be read as guarantees of future performance or results, and will not necessarily be accurate indications of whether or not the times at or by which such performance or results will be achieved. A number of factors could cause actual results to differ, possibly materially, from the results discussed in the forward-looking statements. </w:t>
      </w:r>
    </w:p>
    <w:sectPr w:rsidSect="00E51D83">
      <w:headerReference w:type="default" r:id="rId8"/>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558" w14:paraId="2D3D4965" w14:textId="77777777">
    <w:pPr>
      <w:pStyle w:val="Footer"/>
      <w:rPr>
        <w:color w:val="auto"/>
        <w:shd w:val="clear" w:color="auto" w:fill="auto"/>
      </w:rPr>
    </w:pPr>
    <w:r>
      <w:rPr>
        <w:noProof/>
        <w:sz w:val="20"/>
        <w:lang w:val="en-US"/>
      </w:rPr>
      <mc:AlternateContent>
        <mc:Choice Requires="wps">
          <w:drawing>
            <wp:anchor distT="0" distB="0" distL="114300" distR="114300" simplePos="0" relativeHeight="251658240" behindDoc="0" locked="1" layoutInCell="0" allowOverlap="1">
              <wp:simplePos x="0" y="0"/>
              <wp:positionH relativeFrom="margin">
                <wp:posOffset>0</wp:posOffset>
              </wp:positionH>
              <wp:positionV relativeFrom="paragraph">
                <wp:posOffset>137160</wp:posOffset>
              </wp:positionV>
              <wp:extent cx="5943600" cy="228600"/>
              <wp:effectExtent l="0" t="0" r="0" b="0"/>
              <wp:wrapNone/>
              <wp:docPr id="12" name="DocsID_PF44893581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228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6C88" w:rsidRPr="00C55343" w14:textId="77777777">
                          <w:pPr>
                            <w:pStyle w:val="DocsID"/>
                            <w:rPr>
                              <w:color w:val="auto"/>
                              <w:shd w:val="clear" w:color="auto" w:fill="auto"/>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89358141" o:spid="_x0000_s2049" type="#_x0000_t202" style="width:468pt;height:18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filled="f" stroked="f">
              <v:textbox inset="0,0,0,0">
                <w:txbxContent>
                  <w:p w:rsidR="00386C88" w:rsidRPr="00C55343" w14:paraId="7DE7466D" w14:textId="77777777">
                    <w:pPr>
                      <w:pStyle w:val="DocsID"/>
                      <w:rPr>
                        <w:color w:val="auto"/>
                      </w:rPr>
                    </w:pPr>
                  </w:p>
                </w:txbxContent>
              </v:textbox>
              <w10:wrap anchorx="margin"/>
              <w10:anchorlock/>
            </v:shape>
          </w:pict>
        </mc:Fallback>
      </mc:AlternateContent>
    </w:r>
    <w:r w:rsidR="007A44E1">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558" w14:paraId="61E9B510" w14:textId="77777777">
    <w:pPr>
      <w:pStyle w:val="Header"/>
      <w:rPr>
        <w:color w:val="auto"/>
        <w:shd w:val="clear" w:color="auto" w:fill="auto"/>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347D5"/>
    <w:multiLevelType w:val="hybridMultilevel"/>
    <w:tmpl w:val="A6DE3F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2C25D7"/>
    <w:multiLevelType w:val="hybridMultilevel"/>
    <w:tmpl w:val="B28AE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765795"/>
    <w:multiLevelType w:val="hybridMultilevel"/>
    <w:tmpl w:val="E7D09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E2E59F3"/>
    <w:multiLevelType w:val="hybridMultilevel"/>
    <w:tmpl w:val="0D966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C315AA8"/>
    <w:multiLevelType w:val="multilevel"/>
    <w:tmpl w:val="5DDE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D0"/>
    <w:rsid w:val="00000D26"/>
    <w:rsid w:val="00002164"/>
    <w:rsid w:val="00004AF7"/>
    <w:rsid w:val="00006217"/>
    <w:rsid w:val="00010D5E"/>
    <w:rsid w:val="00015204"/>
    <w:rsid w:val="00015585"/>
    <w:rsid w:val="00017724"/>
    <w:rsid w:val="000200BC"/>
    <w:rsid w:val="00020DD3"/>
    <w:rsid w:val="00026470"/>
    <w:rsid w:val="00027357"/>
    <w:rsid w:val="000317D0"/>
    <w:rsid w:val="000371EB"/>
    <w:rsid w:val="0004331B"/>
    <w:rsid w:val="00046D73"/>
    <w:rsid w:val="00052B21"/>
    <w:rsid w:val="00052B75"/>
    <w:rsid w:val="00053871"/>
    <w:rsid w:val="00053B90"/>
    <w:rsid w:val="00053C29"/>
    <w:rsid w:val="00055297"/>
    <w:rsid w:val="000573EF"/>
    <w:rsid w:val="000579E8"/>
    <w:rsid w:val="00065AF0"/>
    <w:rsid w:val="0006666F"/>
    <w:rsid w:val="000701D6"/>
    <w:rsid w:val="0007594F"/>
    <w:rsid w:val="00075BEA"/>
    <w:rsid w:val="00076D66"/>
    <w:rsid w:val="00080679"/>
    <w:rsid w:val="000810F6"/>
    <w:rsid w:val="000817A8"/>
    <w:rsid w:val="0008239E"/>
    <w:rsid w:val="0008778C"/>
    <w:rsid w:val="00087DAC"/>
    <w:rsid w:val="0009084E"/>
    <w:rsid w:val="00091A0C"/>
    <w:rsid w:val="0009599C"/>
    <w:rsid w:val="000961C3"/>
    <w:rsid w:val="000969FA"/>
    <w:rsid w:val="00097A84"/>
    <w:rsid w:val="000A06ED"/>
    <w:rsid w:val="000A3521"/>
    <w:rsid w:val="000A3558"/>
    <w:rsid w:val="000A44B4"/>
    <w:rsid w:val="000A50FA"/>
    <w:rsid w:val="000B115A"/>
    <w:rsid w:val="000B1769"/>
    <w:rsid w:val="000B2468"/>
    <w:rsid w:val="000B31B0"/>
    <w:rsid w:val="000B3821"/>
    <w:rsid w:val="000B54C8"/>
    <w:rsid w:val="000C0C33"/>
    <w:rsid w:val="000C57EC"/>
    <w:rsid w:val="000C5A10"/>
    <w:rsid w:val="000C6951"/>
    <w:rsid w:val="000C717B"/>
    <w:rsid w:val="000D1076"/>
    <w:rsid w:val="000D4DB5"/>
    <w:rsid w:val="000D5443"/>
    <w:rsid w:val="000D58E1"/>
    <w:rsid w:val="000D59C4"/>
    <w:rsid w:val="000D7434"/>
    <w:rsid w:val="000E0C00"/>
    <w:rsid w:val="000E7D3F"/>
    <w:rsid w:val="000F00B9"/>
    <w:rsid w:val="000F39FB"/>
    <w:rsid w:val="000F7C56"/>
    <w:rsid w:val="001002FB"/>
    <w:rsid w:val="00100B69"/>
    <w:rsid w:val="00104537"/>
    <w:rsid w:val="00113E88"/>
    <w:rsid w:val="001204B8"/>
    <w:rsid w:val="001214F3"/>
    <w:rsid w:val="001214FC"/>
    <w:rsid w:val="00123ABC"/>
    <w:rsid w:val="00123CC4"/>
    <w:rsid w:val="0012756A"/>
    <w:rsid w:val="001304A9"/>
    <w:rsid w:val="00134C4A"/>
    <w:rsid w:val="00135884"/>
    <w:rsid w:val="001370A4"/>
    <w:rsid w:val="0014183A"/>
    <w:rsid w:val="00142A8E"/>
    <w:rsid w:val="00142F4F"/>
    <w:rsid w:val="001461FA"/>
    <w:rsid w:val="001513B1"/>
    <w:rsid w:val="00153A0A"/>
    <w:rsid w:val="00154870"/>
    <w:rsid w:val="00154A01"/>
    <w:rsid w:val="001617B4"/>
    <w:rsid w:val="00161C35"/>
    <w:rsid w:val="00162906"/>
    <w:rsid w:val="00163499"/>
    <w:rsid w:val="00164379"/>
    <w:rsid w:val="00164C9A"/>
    <w:rsid w:val="00164CCD"/>
    <w:rsid w:val="00170DAB"/>
    <w:rsid w:val="001738D8"/>
    <w:rsid w:val="00180C06"/>
    <w:rsid w:val="001815B1"/>
    <w:rsid w:val="00181C58"/>
    <w:rsid w:val="00182F78"/>
    <w:rsid w:val="001831FF"/>
    <w:rsid w:val="00184B95"/>
    <w:rsid w:val="0019022D"/>
    <w:rsid w:val="00192000"/>
    <w:rsid w:val="0019547B"/>
    <w:rsid w:val="00195B2B"/>
    <w:rsid w:val="00195EEC"/>
    <w:rsid w:val="00197082"/>
    <w:rsid w:val="001A1B19"/>
    <w:rsid w:val="001A2AF2"/>
    <w:rsid w:val="001A42D2"/>
    <w:rsid w:val="001A6EFF"/>
    <w:rsid w:val="001A7B55"/>
    <w:rsid w:val="001B0F62"/>
    <w:rsid w:val="001B1C02"/>
    <w:rsid w:val="001C06E6"/>
    <w:rsid w:val="001C1AD0"/>
    <w:rsid w:val="001C3EC3"/>
    <w:rsid w:val="001C53C8"/>
    <w:rsid w:val="001C577B"/>
    <w:rsid w:val="001C7D6B"/>
    <w:rsid w:val="001D02D6"/>
    <w:rsid w:val="001D0943"/>
    <w:rsid w:val="001D0B57"/>
    <w:rsid w:val="001D1F84"/>
    <w:rsid w:val="001D3CDD"/>
    <w:rsid w:val="001D4FC0"/>
    <w:rsid w:val="001D5C8C"/>
    <w:rsid w:val="001E361F"/>
    <w:rsid w:val="001E3A1A"/>
    <w:rsid w:val="001E4F10"/>
    <w:rsid w:val="001F1825"/>
    <w:rsid w:val="001F1A70"/>
    <w:rsid w:val="001F4197"/>
    <w:rsid w:val="001F5FEE"/>
    <w:rsid w:val="001F64B3"/>
    <w:rsid w:val="0020345C"/>
    <w:rsid w:val="00204E9C"/>
    <w:rsid w:val="00205DA7"/>
    <w:rsid w:val="0020613D"/>
    <w:rsid w:val="002074BC"/>
    <w:rsid w:val="002107EA"/>
    <w:rsid w:val="00211D89"/>
    <w:rsid w:val="00215FF2"/>
    <w:rsid w:val="00217EBA"/>
    <w:rsid w:val="00222603"/>
    <w:rsid w:val="00222A84"/>
    <w:rsid w:val="00222F36"/>
    <w:rsid w:val="0023155A"/>
    <w:rsid w:val="00232961"/>
    <w:rsid w:val="00236024"/>
    <w:rsid w:val="00237AA7"/>
    <w:rsid w:val="00240CA5"/>
    <w:rsid w:val="00243421"/>
    <w:rsid w:val="00243F9A"/>
    <w:rsid w:val="0025254A"/>
    <w:rsid w:val="002526FC"/>
    <w:rsid w:val="00252840"/>
    <w:rsid w:val="0025392A"/>
    <w:rsid w:val="00255A46"/>
    <w:rsid w:val="0025635A"/>
    <w:rsid w:val="00256B67"/>
    <w:rsid w:val="00257158"/>
    <w:rsid w:val="0026229F"/>
    <w:rsid w:val="00262CE3"/>
    <w:rsid w:val="0026408B"/>
    <w:rsid w:val="00271B49"/>
    <w:rsid w:val="0027232C"/>
    <w:rsid w:val="0027337B"/>
    <w:rsid w:val="00273767"/>
    <w:rsid w:val="00276C29"/>
    <w:rsid w:val="00280BE5"/>
    <w:rsid w:val="0028214F"/>
    <w:rsid w:val="002830F8"/>
    <w:rsid w:val="002856E9"/>
    <w:rsid w:val="00287728"/>
    <w:rsid w:val="002909E8"/>
    <w:rsid w:val="002935A0"/>
    <w:rsid w:val="00293A50"/>
    <w:rsid w:val="002949FB"/>
    <w:rsid w:val="0029565C"/>
    <w:rsid w:val="00296E12"/>
    <w:rsid w:val="00297A16"/>
    <w:rsid w:val="002A32B1"/>
    <w:rsid w:val="002A7B92"/>
    <w:rsid w:val="002B0677"/>
    <w:rsid w:val="002B77B9"/>
    <w:rsid w:val="002B7806"/>
    <w:rsid w:val="002C0D7A"/>
    <w:rsid w:val="002C2988"/>
    <w:rsid w:val="002C56C5"/>
    <w:rsid w:val="002C59F3"/>
    <w:rsid w:val="002C76FC"/>
    <w:rsid w:val="002D09CE"/>
    <w:rsid w:val="002D19DA"/>
    <w:rsid w:val="002D284B"/>
    <w:rsid w:val="002D2BBF"/>
    <w:rsid w:val="002D40D0"/>
    <w:rsid w:val="002D420A"/>
    <w:rsid w:val="002D4815"/>
    <w:rsid w:val="002E0252"/>
    <w:rsid w:val="002E1558"/>
    <w:rsid w:val="002F0C57"/>
    <w:rsid w:val="002F2238"/>
    <w:rsid w:val="002F3B57"/>
    <w:rsid w:val="002F5081"/>
    <w:rsid w:val="002F6916"/>
    <w:rsid w:val="00301190"/>
    <w:rsid w:val="003012D5"/>
    <w:rsid w:val="0030273B"/>
    <w:rsid w:val="00310C13"/>
    <w:rsid w:val="003146D7"/>
    <w:rsid w:val="00315F1E"/>
    <w:rsid w:val="003203A8"/>
    <w:rsid w:val="00320FED"/>
    <w:rsid w:val="00321536"/>
    <w:rsid w:val="0032198C"/>
    <w:rsid w:val="00321F1E"/>
    <w:rsid w:val="00323E9B"/>
    <w:rsid w:val="003252E4"/>
    <w:rsid w:val="00330BFB"/>
    <w:rsid w:val="003312AB"/>
    <w:rsid w:val="003348BF"/>
    <w:rsid w:val="0034048D"/>
    <w:rsid w:val="00341C6E"/>
    <w:rsid w:val="0034267C"/>
    <w:rsid w:val="00343BD7"/>
    <w:rsid w:val="00343C5C"/>
    <w:rsid w:val="003445DE"/>
    <w:rsid w:val="00344921"/>
    <w:rsid w:val="0034571C"/>
    <w:rsid w:val="00346DB7"/>
    <w:rsid w:val="00352F15"/>
    <w:rsid w:val="0035377F"/>
    <w:rsid w:val="00355C6A"/>
    <w:rsid w:val="003564A0"/>
    <w:rsid w:val="003571C7"/>
    <w:rsid w:val="0037136F"/>
    <w:rsid w:val="00376877"/>
    <w:rsid w:val="003823AD"/>
    <w:rsid w:val="003841C7"/>
    <w:rsid w:val="00386C88"/>
    <w:rsid w:val="00393F6C"/>
    <w:rsid w:val="00394C7D"/>
    <w:rsid w:val="00397EE6"/>
    <w:rsid w:val="003A1379"/>
    <w:rsid w:val="003A37B6"/>
    <w:rsid w:val="003A4D29"/>
    <w:rsid w:val="003A6913"/>
    <w:rsid w:val="003A7945"/>
    <w:rsid w:val="003B0010"/>
    <w:rsid w:val="003B2A1D"/>
    <w:rsid w:val="003B64D7"/>
    <w:rsid w:val="003B7B68"/>
    <w:rsid w:val="003C0422"/>
    <w:rsid w:val="003C204B"/>
    <w:rsid w:val="003C3641"/>
    <w:rsid w:val="003C3EF9"/>
    <w:rsid w:val="003C3FC2"/>
    <w:rsid w:val="003D045A"/>
    <w:rsid w:val="003E1054"/>
    <w:rsid w:val="003E2566"/>
    <w:rsid w:val="003E3A26"/>
    <w:rsid w:val="003E7A43"/>
    <w:rsid w:val="003F0859"/>
    <w:rsid w:val="003F207C"/>
    <w:rsid w:val="003F3851"/>
    <w:rsid w:val="003F399C"/>
    <w:rsid w:val="003F47F5"/>
    <w:rsid w:val="003F5329"/>
    <w:rsid w:val="004026C3"/>
    <w:rsid w:val="00403276"/>
    <w:rsid w:val="00406089"/>
    <w:rsid w:val="004063C1"/>
    <w:rsid w:val="0040669D"/>
    <w:rsid w:val="00410495"/>
    <w:rsid w:val="004142F2"/>
    <w:rsid w:val="00415AA3"/>
    <w:rsid w:val="0041700D"/>
    <w:rsid w:val="00417FA6"/>
    <w:rsid w:val="00424FFE"/>
    <w:rsid w:val="00425A0F"/>
    <w:rsid w:val="00426034"/>
    <w:rsid w:val="0042616E"/>
    <w:rsid w:val="00427E3C"/>
    <w:rsid w:val="00427E75"/>
    <w:rsid w:val="00427EC4"/>
    <w:rsid w:val="00432A75"/>
    <w:rsid w:val="00432F27"/>
    <w:rsid w:val="00434828"/>
    <w:rsid w:val="004356B4"/>
    <w:rsid w:val="0044049B"/>
    <w:rsid w:val="00440C92"/>
    <w:rsid w:val="00441F78"/>
    <w:rsid w:val="00442CE1"/>
    <w:rsid w:val="00444A9E"/>
    <w:rsid w:val="004530BC"/>
    <w:rsid w:val="0045512D"/>
    <w:rsid w:val="004557BA"/>
    <w:rsid w:val="00460C6C"/>
    <w:rsid w:val="00460FDA"/>
    <w:rsid w:val="00463A60"/>
    <w:rsid w:val="00463E37"/>
    <w:rsid w:val="00470791"/>
    <w:rsid w:val="00471227"/>
    <w:rsid w:val="00471D5A"/>
    <w:rsid w:val="0047418D"/>
    <w:rsid w:val="0048004A"/>
    <w:rsid w:val="00481BF2"/>
    <w:rsid w:val="00482311"/>
    <w:rsid w:val="00486043"/>
    <w:rsid w:val="00487A5C"/>
    <w:rsid w:val="00491595"/>
    <w:rsid w:val="00493EEB"/>
    <w:rsid w:val="00494856"/>
    <w:rsid w:val="00496058"/>
    <w:rsid w:val="0049656D"/>
    <w:rsid w:val="004A0B27"/>
    <w:rsid w:val="004A1A5C"/>
    <w:rsid w:val="004A3D98"/>
    <w:rsid w:val="004A4255"/>
    <w:rsid w:val="004A71FC"/>
    <w:rsid w:val="004A76CA"/>
    <w:rsid w:val="004A7863"/>
    <w:rsid w:val="004B0522"/>
    <w:rsid w:val="004B5602"/>
    <w:rsid w:val="004C1B78"/>
    <w:rsid w:val="004C2585"/>
    <w:rsid w:val="004C4008"/>
    <w:rsid w:val="004C70AF"/>
    <w:rsid w:val="004C7AD1"/>
    <w:rsid w:val="004D1384"/>
    <w:rsid w:val="004D3F19"/>
    <w:rsid w:val="004D49BD"/>
    <w:rsid w:val="004D708C"/>
    <w:rsid w:val="004D7954"/>
    <w:rsid w:val="004E30EA"/>
    <w:rsid w:val="004E3A4E"/>
    <w:rsid w:val="004E46AD"/>
    <w:rsid w:val="004E6B6E"/>
    <w:rsid w:val="004F098B"/>
    <w:rsid w:val="004F2A22"/>
    <w:rsid w:val="004F2F57"/>
    <w:rsid w:val="004F613A"/>
    <w:rsid w:val="004F67C1"/>
    <w:rsid w:val="004F6A6D"/>
    <w:rsid w:val="004F6D40"/>
    <w:rsid w:val="0050076F"/>
    <w:rsid w:val="0050675B"/>
    <w:rsid w:val="00510E8C"/>
    <w:rsid w:val="00512622"/>
    <w:rsid w:val="00513781"/>
    <w:rsid w:val="00520E03"/>
    <w:rsid w:val="005216F0"/>
    <w:rsid w:val="00521876"/>
    <w:rsid w:val="00523153"/>
    <w:rsid w:val="0052560B"/>
    <w:rsid w:val="00526B82"/>
    <w:rsid w:val="0052734D"/>
    <w:rsid w:val="00527C71"/>
    <w:rsid w:val="005311DD"/>
    <w:rsid w:val="00531433"/>
    <w:rsid w:val="00531911"/>
    <w:rsid w:val="00532725"/>
    <w:rsid w:val="00534DB2"/>
    <w:rsid w:val="00534E51"/>
    <w:rsid w:val="00537B99"/>
    <w:rsid w:val="00540B93"/>
    <w:rsid w:val="0054223B"/>
    <w:rsid w:val="005451FC"/>
    <w:rsid w:val="00550611"/>
    <w:rsid w:val="00553845"/>
    <w:rsid w:val="00553D05"/>
    <w:rsid w:val="00555037"/>
    <w:rsid w:val="00555D17"/>
    <w:rsid w:val="005603AE"/>
    <w:rsid w:val="00562E3B"/>
    <w:rsid w:val="00564310"/>
    <w:rsid w:val="005654A7"/>
    <w:rsid w:val="00567FC7"/>
    <w:rsid w:val="0057011D"/>
    <w:rsid w:val="00572056"/>
    <w:rsid w:val="00572E2B"/>
    <w:rsid w:val="00577DD9"/>
    <w:rsid w:val="005827E4"/>
    <w:rsid w:val="00586230"/>
    <w:rsid w:val="005906FB"/>
    <w:rsid w:val="00590D5F"/>
    <w:rsid w:val="00591193"/>
    <w:rsid w:val="00593C43"/>
    <w:rsid w:val="00595E5A"/>
    <w:rsid w:val="005A0365"/>
    <w:rsid w:val="005A09A8"/>
    <w:rsid w:val="005A1305"/>
    <w:rsid w:val="005A31EC"/>
    <w:rsid w:val="005A3277"/>
    <w:rsid w:val="005A3A3B"/>
    <w:rsid w:val="005A612C"/>
    <w:rsid w:val="005A70EC"/>
    <w:rsid w:val="005B0445"/>
    <w:rsid w:val="005B2BD7"/>
    <w:rsid w:val="005B7FAB"/>
    <w:rsid w:val="005C2999"/>
    <w:rsid w:val="005C5389"/>
    <w:rsid w:val="005C59DA"/>
    <w:rsid w:val="005C6D29"/>
    <w:rsid w:val="005C77E6"/>
    <w:rsid w:val="005D2AFC"/>
    <w:rsid w:val="005D34F6"/>
    <w:rsid w:val="005E278D"/>
    <w:rsid w:val="005F10EE"/>
    <w:rsid w:val="005F48F6"/>
    <w:rsid w:val="005F49EA"/>
    <w:rsid w:val="005F5638"/>
    <w:rsid w:val="005F5CD3"/>
    <w:rsid w:val="00600EF0"/>
    <w:rsid w:val="0060351F"/>
    <w:rsid w:val="0060600C"/>
    <w:rsid w:val="00610678"/>
    <w:rsid w:val="00610D1F"/>
    <w:rsid w:val="006161BB"/>
    <w:rsid w:val="00617C7C"/>
    <w:rsid w:val="006204A4"/>
    <w:rsid w:val="00621AA9"/>
    <w:rsid w:val="0062203E"/>
    <w:rsid w:val="00622247"/>
    <w:rsid w:val="00623774"/>
    <w:rsid w:val="00627B6F"/>
    <w:rsid w:val="00631AD6"/>
    <w:rsid w:val="00636E32"/>
    <w:rsid w:val="006401C3"/>
    <w:rsid w:val="0064263A"/>
    <w:rsid w:val="006444C7"/>
    <w:rsid w:val="006452E8"/>
    <w:rsid w:val="006458ED"/>
    <w:rsid w:val="00645D70"/>
    <w:rsid w:val="00646529"/>
    <w:rsid w:val="00651D34"/>
    <w:rsid w:val="00652280"/>
    <w:rsid w:val="00657EB3"/>
    <w:rsid w:val="00660879"/>
    <w:rsid w:val="00661FBF"/>
    <w:rsid w:val="0067478D"/>
    <w:rsid w:val="00676103"/>
    <w:rsid w:val="00677374"/>
    <w:rsid w:val="0068141D"/>
    <w:rsid w:val="00684760"/>
    <w:rsid w:val="0068635A"/>
    <w:rsid w:val="00691C03"/>
    <w:rsid w:val="00692036"/>
    <w:rsid w:val="0069390D"/>
    <w:rsid w:val="00696E4B"/>
    <w:rsid w:val="00697E3D"/>
    <w:rsid w:val="006A073E"/>
    <w:rsid w:val="006A25F7"/>
    <w:rsid w:val="006A33A1"/>
    <w:rsid w:val="006A3C8E"/>
    <w:rsid w:val="006A5FE2"/>
    <w:rsid w:val="006A6867"/>
    <w:rsid w:val="006A6A91"/>
    <w:rsid w:val="006A7D1D"/>
    <w:rsid w:val="006B0248"/>
    <w:rsid w:val="006B245D"/>
    <w:rsid w:val="006B2F9E"/>
    <w:rsid w:val="006B4A85"/>
    <w:rsid w:val="006B5595"/>
    <w:rsid w:val="006B5F43"/>
    <w:rsid w:val="006C0BD4"/>
    <w:rsid w:val="006D5C55"/>
    <w:rsid w:val="006E3762"/>
    <w:rsid w:val="006E3E18"/>
    <w:rsid w:val="006E4BBC"/>
    <w:rsid w:val="006E5024"/>
    <w:rsid w:val="006E767A"/>
    <w:rsid w:val="006E798A"/>
    <w:rsid w:val="006F1BB6"/>
    <w:rsid w:val="006F1F38"/>
    <w:rsid w:val="006F4107"/>
    <w:rsid w:val="006F4B6A"/>
    <w:rsid w:val="006F7D4D"/>
    <w:rsid w:val="00701B3F"/>
    <w:rsid w:val="007020F4"/>
    <w:rsid w:val="00704069"/>
    <w:rsid w:val="007062C7"/>
    <w:rsid w:val="00706489"/>
    <w:rsid w:val="0070731F"/>
    <w:rsid w:val="00707976"/>
    <w:rsid w:val="00707B19"/>
    <w:rsid w:val="00713271"/>
    <w:rsid w:val="00713826"/>
    <w:rsid w:val="00714294"/>
    <w:rsid w:val="00715681"/>
    <w:rsid w:val="00715F53"/>
    <w:rsid w:val="0071691A"/>
    <w:rsid w:val="00717292"/>
    <w:rsid w:val="00722A11"/>
    <w:rsid w:val="00723191"/>
    <w:rsid w:val="00725AB9"/>
    <w:rsid w:val="00725BBD"/>
    <w:rsid w:val="00727ED4"/>
    <w:rsid w:val="00730F47"/>
    <w:rsid w:val="00732938"/>
    <w:rsid w:val="007352E9"/>
    <w:rsid w:val="00735AE3"/>
    <w:rsid w:val="007373D2"/>
    <w:rsid w:val="00740897"/>
    <w:rsid w:val="00741A95"/>
    <w:rsid w:val="00741D4E"/>
    <w:rsid w:val="007435FB"/>
    <w:rsid w:val="007455AB"/>
    <w:rsid w:val="00745900"/>
    <w:rsid w:val="0075649E"/>
    <w:rsid w:val="00756847"/>
    <w:rsid w:val="007571DC"/>
    <w:rsid w:val="007572DB"/>
    <w:rsid w:val="007603A2"/>
    <w:rsid w:val="00761202"/>
    <w:rsid w:val="00761A08"/>
    <w:rsid w:val="00761ADD"/>
    <w:rsid w:val="007625C1"/>
    <w:rsid w:val="00766B2F"/>
    <w:rsid w:val="00767685"/>
    <w:rsid w:val="00770C1C"/>
    <w:rsid w:val="00770DF3"/>
    <w:rsid w:val="00774AE7"/>
    <w:rsid w:val="00775122"/>
    <w:rsid w:val="00782D59"/>
    <w:rsid w:val="00785DE8"/>
    <w:rsid w:val="00785E16"/>
    <w:rsid w:val="00786B65"/>
    <w:rsid w:val="00787953"/>
    <w:rsid w:val="00787B58"/>
    <w:rsid w:val="007954AD"/>
    <w:rsid w:val="007971DB"/>
    <w:rsid w:val="007A0C9E"/>
    <w:rsid w:val="007A1A59"/>
    <w:rsid w:val="007A1FFD"/>
    <w:rsid w:val="007A29CA"/>
    <w:rsid w:val="007A44E1"/>
    <w:rsid w:val="007B33DF"/>
    <w:rsid w:val="007B7C6E"/>
    <w:rsid w:val="007C084A"/>
    <w:rsid w:val="007C2377"/>
    <w:rsid w:val="007C45FA"/>
    <w:rsid w:val="007C7625"/>
    <w:rsid w:val="007C7F34"/>
    <w:rsid w:val="007D1906"/>
    <w:rsid w:val="007D4AAC"/>
    <w:rsid w:val="007D6E81"/>
    <w:rsid w:val="007E3373"/>
    <w:rsid w:val="007E3F14"/>
    <w:rsid w:val="007E67CD"/>
    <w:rsid w:val="007F03DF"/>
    <w:rsid w:val="007F111F"/>
    <w:rsid w:val="007F27ED"/>
    <w:rsid w:val="007F3021"/>
    <w:rsid w:val="007F39BA"/>
    <w:rsid w:val="007F77FF"/>
    <w:rsid w:val="00802508"/>
    <w:rsid w:val="00802C4A"/>
    <w:rsid w:val="008047C6"/>
    <w:rsid w:val="00806D1B"/>
    <w:rsid w:val="00806FC8"/>
    <w:rsid w:val="0081032B"/>
    <w:rsid w:val="00810347"/>
    <w:rsid w:val="0081084A"/>
    <w:rsid w:val="00813727"/>
    <w:rsid w:val="008148FF"/>
    <w:rsid w:val="00814DF8"/>
    <w:rsid w:val="008152DF"/>
    <w:rsid w:val="0081667E"/>
    <w:rsid w:val="00816D30"/>
    <w:rsid w:val="00821618"/>
    <w:rsid w:val="00823CFA"/>
    <w:rsid w:val="008259F6"/>
    <w:rsid w:val="0083027F"/>
    <w:rsid w:val="00832A15"/>
    <w:rsid w:val="00834BF5"/>
    <w:rsid w:val="00836186"/>
    <w:rsid w:val="008361CC"/>
    <w:rsid w:val="00836673"/>
    <w:rsid w:val="008407AC"/>
    <w:rsid w:val="008470C9"/>
    <w:rsid w:val="0085010E"/>
    <w:rsid w:val="00851F87"/>
    <w:rsid w:val="00852084"/>
    <w:rsid w:val="00854BE0"/>
    <w:rsid w:val="008616CE"/>
    <w:rsid w:val="00861AE8"/>
    <w:rsid w:val="00862074"/>
    <w:rsid w:val="008620B3"/>
    <w:rsid w:val="008642A9"/>
    <w:rsid w:val="00866663"/>
    <w:rsid w:val="00871E00"/>
    <w:rsid w:val="00872F5E"/>
    <w:rsid w:val="00874406"/>
    <w:rsid w:val="00875A7C"/>
    <w:rsid w:val="0087648A"/>
    <w:rsid w:val="00876B7B"/>
    <w:rsid w:val="00877EBE"/>
    <w:rsid w:val="008800F2"/>
    <w:rsid w:val="00880DB9"/>
    <w:rsid w:val="008824B3"/>
    <w:rsid w:val="00882846"/>
    <w:rsid w:val="008844C2"/>
    <w:rsid w:val="008917C1"/>
    <w:rsid w:val="008947C7"/>
    <w:rsid w:val="00895258"/>
    <w:rsid w:val="008960B8"/>
    <w:rsid w:val="0089737F"/>
    <w:rsid w:val="008A0BA4"/>
    <w:rsid w:val="008A1561"/>
    <w:rsid w:val="008A235E"/>
    <w:rsid w:val="008A3D65"/>
    <w:rsid w:val="008A5BBB"/>
    <w:rsid w:val="008A5F9C"/>
    <w:rsid w:val="008A7B54"/>
    <w:rsid w:val="008B04F3"/>
    <w:rsid w:val="008B2335"/>
    <w:rsid w:val="008B2A27"/>
    <w:rsid w:val="008B431F"/>
    <w:rsid w:val="008B51FC"/>
    <w:rsid w:val="008B5EEF"/>
    <w:rsid w:val="008C3F4D"/>
    <w:rsid w:val="008C46E8"/>
    <w:rsid w:val="008C4B93"/>
    <w:rsid w:val="008C6E48"/>
    <w:rsid w:val="008C766D"/>
    <w:rsid w:val="008D0413"/>
    <w:rsid w:val="008D60AB"/>
    <w:rsid w:val="008E5B52"/>
    <w:rsid w:val="008E626D"/>
    <w:rsid w:val="008F0FD8"/>
    <w:rsid w:val="008F315B"/>
    <w:rsid w:val="008F3A53"/>
    <w:rsid w:val="008F6268"/>
    <w:rsid w:val="009025AA"/>
    <w:rsid w:val="00906D82"/>
    <w:rsid w:val="009075D7"/>
    <w:rsid w:val="00907FFE"/>
    <w:rsid w:val="0091007E"/>
    <w:rsid w:val="00921936"/>
    <w:rsid w:val="00923E04"/>
    <w:rsid w:val="009254D5"/>
    <w:rsid w:val="009256F5"/>
    <w:rsid w:val="00925A00"/>
    <w:rsid w:val="0093024C"/>
    <w:rsid w:val="00930F21"/>
    <w:rsid w:val="00932802"/>
    <w:rsid w:val="00940C83"/>
    <w:rsid w:val="00944DE9"/>
    <w:rsid w:val="00946C51"/>
    <w:rsid w:val="00946F70"/>
    <w:rsid w:val="00947CDE"/>
    <w:rsid w:val="00954227"/>
    <w:rsid w:val="00955147"/>
    <w:rsid w:val="009617C3"/>
    <w:rsid w:val="00962C18"/>
    <w:rsid w:val="00962DC6"/>
    <w:rsid w:val="009637C9"/>
    <w:rsid w:val="0096519B"/>
    <w:rsid w:val="0096532B"/>
    <w:rsid w:val="00965FCF"/>
    <w:rsid w:val="009727E9"/>
    <w:rsid w:val="00974E1E"/>
    <w:rsid w:val="00981E89"/>
    <w:rsid w:val="00981F3A"/>
    <w:rsid w:val="00982A6D"/>
    <w:rsid w:val="009838B2"/>
    <w:rsid w:val="00983B98"/>
    <w:rsid w:val="009842C6"/>
    <w:rsid w:val="0099064D"/>
    <w:rsid w:val="00993A72"/>
    <w:rsid w:val="00996BE9"/>
    <w:rsid w:val="009A052D"/>
    <w:rsid w:val="009A1718"/>
    <w:rsid w:val="009A350E"/>
    <w:rsid w:val="009A39EA"/>
    <w:rsid w:val="009A3BD9"/>
    <w:rsid w:val="009A4552"/>
    <w:rsid w:val="009A4CCB"/>
    <w:rsid w:val="009B3923"/>
    <w:rsid w:val="009B4A1F"/>
    <w:rsid w:val="009B625B"/>
    <w:rsid w:val="009C096D"/>
    <w:rsid w:val="009C4B3C"/>
    <w:rsid w:val="009C7217"/>
    <w:rsid w:val="009C7D6F"/>
    <w:rsid w:val="009D4896"/>
    <w:rsid w:val="009D6C5D"/>
    <w:rsid w:val="009E2E6D"/>
    <w:rsid w:val="009E4C9D"/>
    <w:rsid w:val="009E4F1F"/>
    <w:rsid w:val="009F11CD"/>
    <w:rsid w:val="009F249C"/>
    <w:rsid w:val="009F33C6"/>
    <w:rsid w:val="009F380E"/>
    <w:rsid w:val="009F4C5E"/>
    <w:rsid w:val="009F5236"/>
    <w:rsid w:val="009F5AD3"/>
    <w:rsid w:val="00A01D1C"/>
    <w:rsid w:val="00A021ED"/>
    <w:rsid w:val="00A024CB"/>
    <w:rsid w:val="00A059AA"/>
    <w:rsid w:val="00A07488"/>
    <w:rsid w:val="00A11088"/>
    <w:rsid w:val="00A1354F"/>
    <w:rsid w:val="00A139E1"/>
    <w:rsid w:val="00A13DC6"/>
    <w:rsid w:val="00A14951"/>
    <w:rsid w:val="00A15212"/>
    <w:rsid w:val="00A174CC"/>
    <w:rsid w:val="00A24AFF"/>
    <w:rsid w:val="00A25133"/>
    <w:rsid w:val="00A25245"/>
    <w:rsid w:val="00A2610C"/>
    <w:rsid w:val="00A26B28"/>
    <w:rsid w:val="00A33774"/>
    <w:rsid w:val="00A3506D"/>
    <w:rsid w:val="00A362E9"/>
    <w:rsid w:val="00A4020A"/>
    <w:rsid w:val="00A41D7E"/>
    <w:rsid w:val="00A429DD"/>
    <w:rsid w:val="00A430CB"/>
    <w:rsid w:val="00A469D1"/>
    <w:rsid w:val="00A46DE9"/>
    <w:rsid w:val="00A52A4D"/>
    <w:rsid w:val="00A5370E"/>
    <w:rsid w:val="00A55BC5"/>
    <w:rsid w:val="00A60373"/>
    <w:rsid w:val="00A62045"/>
    <w:rsid w:val="00A621F7"/>
    <w:rsid w:val="00A6443C"/>
    <w:rsid w:val="00A64C54"/>
    <w:rsid w:val="00A70016"/>
    <w:rsid w:val="00A70F95"/>
    <w:rsid w:val="00A7263F"/>
    <w:rsid w:val="00A733DD"/>
    <w:rsid w:val="00A77601"/>
    <w:rsid w:val="00A77A82"/>
    <w:rsid w:val="00A84AB2"/>
    <w:rsid w:val="00A85EEC"/>
    <w:rsid w:val="00A87A90"/>
    <w:rsid w:val="00A90148"/>
    <w:rsid w:val="00A97683"/>
    <w:rsid w:val="00AA586C"/>
    <w:rsid w:val="00AA66AB"/>
    <w:rsid w:val="00AB007F"/>
    <w:rsid w:val="00AB24AC"/>
    <w:rsid w:val="00AC0C04"/>
    <w:rsid w:val="00AC0EC7"/>
    <w:rsid w:val="00AC3B91"/>
    <w:rsid w:val="00AC3D1A"/>
    <w:rsid w:val="00AC4CC6"/>
    <w:rsid w:val="00AC5809"/>
    <w:rsid w:val="00AD0622"/>
    <w:rsid w:val="00AD16F8"/>
    <w:rsid w:val="00AD2998"/>
    <w:rsid w:val="00AD3D3C"/>
    <w:rsid w:val="00AD5766"/>
    <w:rsid w:val="00AD5930"/>
    <w:rsid w:val="00AD69E9"/>
    <w:rsid w:val="00AD7D4A"/>
    <w:rsid w:val="00AE2DE7"/>
    <w:rsid w:val="00AE7021"/>
    <w:rsid w:val="00AF082D"/>
    <w:rsid w:val="00AF0CF0"/>
    <w:rsid w:val="00AF6190"/>
    <w:rsid w:val="00AF67B1"/>
    <w:rsid w:val="00B00BD2"/>
    <w:rsid w:val="00B06DBF"/>
    <w:rsid w:val="00B13768"/>
    <w:rsid w:val="00B1643E"/>
    <w:rsid w:val="00B1647A"/>
    <w:rsid w:val="00B1719E"/>
    <w:rsid w:val="00B201D0"/>
    <w:rsid w:val="00B218FA"/>
    <w:rsid w:val="00B219A5"/>
    <w:rsid w:val="00B21BEA"/>
    <w:rsid w:val="00B2215B"/>
    <w:rsid w:val="00B2263D"/>
    <w:rsid w:val="00B24FFD"/>
    <w:rsid w:val="00B251BD"/>
    <w:rsid w:val="00B25E73"/>
    <w:rsid w:val="00B40C9A"/>
    <w:rsid w:val="00B42758"/>
    <w:rsid w:val="00B47F7F"/>
    <w:rsid w:val="00B5025E"/>
    <w:rsid w:val="00B50EF7"/>
    <w:rsid w:val="00B5118E"/>
    <w:rsid w:val="00B56F41"/>
    <w:rsid w:val="00B6374C"/>
    <w:rsid w:val="00B63C0C"/>
    <w:rsid w:val="00B64C7A"/>
    <w:rsid w:val="00B72380"/>
    <w:rsid w:val="00B72BA9"/>
    <w:rsid w:val="00B755A9"/>
    <w:rsid w:val="00B80155"/>
    <w:rsid w:val="00B80326"/>
    <w:rsid w:val="00B80E2F"/>
    <w:rsid w:val="00B855E1"/>
    <w:rsid w:val="00B92F94"/>
    <w:rsid w:val="00B933AC"/>
    <w:rsid w:val="00B93AAE"/>
    <w:rsid w:val="00B93B61"/>
    <w:rsid w:val="00B962DF"/>
    <w:rsid w:val="00B96AC7"/>
    <w:rsid w:val="00BA1763"/>
    <w:rsid w:val="00BA1ED2"/>
    <w:rsid w:val="00BA24C0"/>
    <w:rsid w:val="00BA3501"/>
    <w:rsid w:val="00BB1F01"/>
    <w:rsid w:val="00BB60C2"/>
    <w:rsid w:val="00BB7C4F"/>
    <w:rsid w:val="00BC1581"/>
    <w:rsid w:val="00BC3FA4"/>
    <w:rsid w:val="00BC473E"/>
    <w:rsid w:val="00BC4EB5"/>
    <w:rsid w:val="00BC61F0"/>
    <w:rsid w:val="00BC6A52"/>
    <w:rsid w:val="00BC6BF9"/>
    <w:rsid w:val="00BC72B1"/>
    <w:rsid w:val="00BD0C6A"/>
    <w:rsid w:val="00BD19CB"/>
    <w:rsid w:val="00BD3764"/>
    <w:rsid w:val="00BD5192"/>
    <w:rsid w:val="00BE1806"/>
    <w:rsid w:val="00BE20ED"/>
    <w:rsid w:val="00BE248D"/>
    <w:rsid w:val="00BE73C1"/>
    <w:rsid w:val="00BE7AFC"/>
    <w:rsid w:val="00BF03EC"/>
    <w:rsid w:val="00BF121E"/>
    <w:rsid w:val="00BF487C"/>
    <w:rsid w:val="00BF61B5"/>
    <w:rsid w:val="00C02297"/>
    <w:rsid w:val="00C03EC4"/>
    <w:rsid w:val="00C0517C"/>
    <w:rsid w:val="00C056E6"/>
    <w:rsid w:val="00C075FC"/>
    <w:rsid w:val="00C10638"/>
    <w:rsid w:val="00C1188E"/>
    <w:rsid w:val="00C21B8D"/>
    <w:rsid w:val="00C225E7"/>
    <w:rsid w:val="00C24D24"/>
    <w:rsid w:val="00C30371"/>
    <w:rsid w:val="00C30C2E"/>
    <w:rsid w:val="00C3325F"/>
    <w:rsid w:val="00C377D3"/>
    <w:rsid w:val="00C417EE"/>
    <w:rsid w:val="00C50FC4"/>
    <w:rsid w:val="00C520D7"/>
    <w:rsid w:val="00C5335B"/>
    <w:rsid w:val="00C54E4F"/>
    <w:rsid w:val="00C55343"/>
    <w:rsid w:val="00C57CD5"/>
    <w:rsid w:val="00C60985"/>
    <w:rsid w:val="00C623BC"/>
    <w:rsid w:val="00C64196"/>
    <w:rsid w:val="00C66382"/>
    <w:rsid w:val="00C70E47"/>
    <w:rsid w:val="00C76EE6"/>
    <w:rsid w:val="00C8046B"/>
    <w:rsid w:val="00C83879"/>
    <w:rsid w:val="00C84F57"/>
    <w:rsid w:val="00C8543F"/>
    <w:rsid w:val="00C92E67"/>
    <w:rsid w:val="00C95E3F"/>
    <w:rsid w:val="00C95F55"/>
    <w:rsid w:val="00C95F85"/>
    <w:rsid w:val="00C96B09"/>
    <w:rsid w:val="00CA39F9"/>
    <w:rsid w:val="00CB03F2"/>
    <w:rsid w:val="00CB1119"/>
    <w:rsid w:val="00CB50D0"/>
    <w:rsid w:val="00CB5316"/>
    <w:rsid w:val="00CC127A"/>
    <w:rsid w:val="00CC26C9"/>
    <w:rsid w:val="00CC422E"/>
    <w:rsid w:val="00CD092B"/>
    <w:rsid w:val="00CD11D0"/>
    <w:rsid w:val="00CD4C62"/>
    <w:rsid w:val="00CD6F87"/>
    <w:rsid w:val="00CD72FC"/>
    <w:rsid w:val="00CE15C9"/>
    <w:rsid w:val="00CE2232"/>
    <w:rsid w:val="00CE2CC7"/>
    <w:rsid w:val="00CE6A55"/>
    <w:rsid w:val="00CE6A6A"/>
    <w:rsid w:val="00CE7C14"/>
    <w:rsid w:val="00CF0BDE"/>
    <w:rsid w:val="00CF0D02"/>
    <w:rsid w:val="00CF29DD"/>
    <w:rsid w:val="00CF3184"/>
    <w:rsid w:val="00CF3C42"/>
    <w:rsid w:val="00CF3D6A"/>
    <w:rsid w:val="00CF47FA"/>
    <w:rsid w:val="00CF5810"/>
    <w:rsid w:val="00CF5852"/>
    <w:rsid w:val="00CF700B"/>
    <w:rsid w:val="00D00E02"/>
    <w:rsid w:val="00D15524"/>
    <w:rsid w:val="00D20E9A"/>
    <w:rsid w:val="00D247AB"/>
    <w:rsid w:val="00D301BD"/>
    <w:rsid w:val="00D322A7"/>
    <w:rsid w:val="00D332A9"/>
    <w:rsid w:val="00D33400"/>
    <w:rsid w:val="00D3380F"/>
    <w:rsid w:val="00D362C9"/>
    <w:rsid w:val="00D3718B"/>
    <w:rsid w:val="00D37D2F"/>
    <w:rsid w:val="00D408F3"/>
    <w:rsid w:val="00D45689"/>
    <w:rsid w:val="00D47A2F"/>
    <w:rsid w:val="00D536E3"/>
    <w:rsid w:val="00D55C8B"/>
    <w:rsid w:val="00D55D10"/>
    <w:rsid w:val="00D657BF"/>
    <w:rsid w:val="00D67203"/>
    <w:rsid w:val="00D707CB"/>
    <w:rsid w:val="00D71F98"/>
    <w:rsid w:val="00D801D3"/>
    <w:rsid w:val="00D812B3"/>
    <w:rsid w:val="00D85840"/>
    <w:rsid w:val="00D8613E"/>
    <w:rsid w:val="00D909AF"/>
    <w:rsid w:val="00D90D34"/>
    <w:rsid w:val="00D920E9"/>
    <w:rsid w:val="00D92C4D"/>
    <w:rsid w:val="00D92CCC"/>
    <w:rsid w:val="00D97712"/>
    <w:rsid w:val="00DA02B7"/>
    <w:rsid w:val="00DA3AE9"/>
    <w:rsid w:val="00DA49C8"/>
    <w:rsid w:val="00DA60DD"/>
    <w:rsid w:val="00DB2B50"/>
    <w:rsid w:val="00DB2FEC"/>
    <w:rsid w:val="00DB7AC0"/>
    <w:rsid w:val="00DB7C45"/>
    <w:rsid w:val="00DB7F50"/>
    <w:rsid w:val="00DC0562"/>
    <w:rsid w:val="00DC0B65"/>
    <w:rsid w:val="00DC0B94"/>
    <w:rsid w:val="00DC0D92"/>
    <w:rsid w:val="00DC437F"/>
    <w:rsid w:val="00DC76FA"/>
    <w:rsid w:val="00DD2538"/>
    <w:rsid w:val="00DD3BEF"/>
    <w:rsid w:val="00DD5871"/>
    <w:rsid w:val="00DD72A9"/>
    <w:rsid w:val="00DE2ED6"/>
    <w:rsid w:val="00DE6E11"/>
    <w:rsid w:val="00DE7292"/>
    <w:rsid w:val="00DF127B"/>
    <w:rsid w:val="00DF389B"/>
    <w:rsid w:val="00DF3C96"/>
    <w:rsid w:val="00DF54AA"/>
    <w:rsid w:val="00DF5749"/>
    <w:rsid w:val="00DF6E23"/>
    <w:rsid w:val="00DF7125"/>
    <w:rsid w:val="00E05E2A"/>
    <w:rsid w:val="00E073CB"/>
    <w:rsid w:val="00E11BF3"/>
    <w:rsid w:val="00E11D6E"/>
    <w:rsid w:val="00E11EDF"/>
    <w:rsid w:val="00E12059"/>
    <w:rsid w:val="00E12BE1"/>
    <w:rsid w:val="00E1430A"/>
    <w:rsid w:val="00E20679"/>
    <w:rsid w:val="00E239F4"/>
    <w:rsid w:val="00E2458B"/>
    <w:rsid w:val="00E2740A"/>
    <w:rsid w:val="00E31EB9"/>
    <w:rsid w:val="00E32BCC"/>
    <w:rsid w:val="00E34F85"/>
    <w:rsid w:val="00E42375"/>
    <w:rsid w:val="00E45C3D"/>
    <w:rsid w:val="00E46B68"/>
    <w:rsid w:val="00E50398"/>
    <w:rsid w:val="00E51D83"/>
    <w:rsid w:val="00E52D51"/>
    <w:rsid w:val="00E564E8"/>
    <w:rsid w:val="00E5780D"/>
    <w:rsid w:val="00E65087"/>
    <w:rsid w:val="00E6518A"/>
    <w:rsid w:val="00E66D6F"/>
    <w:rsid w:val="00E66FD9"/>
    <w:rsid w:val="00E70E7E"/>
    <w:rsid w:val="00E73211"/>
    <w:rsid w:val="00E7410E"/>
    <w:rsid w:val="00E770DB"/>
    <w:rsid w:val="00E802AC"/>
    <w:rsid w:val="00E812D8"/>
    <w:rsid w:val="00E86C8A"/>
    <w:rsid w:val="00E90F7C"/>
    <w:rsid w:val="00E9203E"/>
    <w:rsid w:val="00E92C7A"/>
    <w:rsid w:val="00E93273"/>
    <w:rsid w:val="00E9386A"/>
    <w:rsid w:val="00E94E64"/>
    <w:rsid w:val="00E9620D"/>
    <w:rsid w:val="00EA13BB"/>
    <w:rsid w:val="00EA2F1E"/>
    <w:rsid w:val="00EA6377"/>
    <w:rsid w:val="00EA68EB"/>
    <w:rsid w:val="00EA6F1B"/>
    <w:rsid w:val="00EB0A68"/>
    <w:rsid w:val="00EB1644"/>
    <w:rsid w:val="00EB1F91"/>
    <w:rsid w:val="00EB34BE"/>
    <w:rsid w:val="00EB44CD"/>
    <w:rsid w:val="00EB6AFB"/>
    <w:rsid w:val="00EC020A"/>
    <w:rsid w:val="00EC2D34"/>
    <w:rsid w:val="00EC3A6A"/>
    <w:rsid w:val="00EC3ABB"/>
    <w:rsid w:val="00EC6491"/>
    <w:rsid w:val="00EC6890"/>
    <w:rsid w:val="00EC7759"/>
    <w:rsid w:val="00ED1CFD"/>
    <w:rsid w:val="00ED4306"/>
    <w:rsid w:val="00ED7189"/>
    <w:rsid w:val="00EE20EB"/>
    <w:rsid w:val="00EE20FB"/>
    <w:rsid w:val="00EE2171"/>
    <w:rsid w:val="00EE717B"/>
    <w:rsid w:val="00EF0571"/>
    <w:rsid w:val="00EF218D"/>
    <w:rsid w:val="00EF2CEA"/>
    <w:rsid w:val="00EF2E2F"/>
    <w:rsid w:val="00EF3273"/>
    <w:rsid w:val="00F0478F"/>
    <w:rsid w:val="00F04E7B"/>
    <w:rsid w:val="00F05909"/>
    <w:rsid w:val="00F125D8"/>
    <w:rsid w:val="00F143DE"/>
    <w:rsid w:val="00F15C73"/>
    <w:rsid w:val="00F16AED"/>
    <w:rsid w:val="00F22D3F"/>
    <w:rsid w:val="00F240E0"/>
    <w:rsid w:val="00F30847"/>
    <w:rsid w:val="00F32473"/>
    <w:rsid w:val="00F32CFD"/>
    <w:rsid w:val="00F3390C"/>
    <w:rsid w:val="00F36D02"/>
    <w:rsid w:val="00F40364"/>
    <w:rsid w:val="00F44B2A"/>
    <w:rsid w:val="00F4628D"/>
    <w:rsid w:val="00F46632"/>
    <w:rsid w:val="00F56694"/>
    <w:rsid w:val="00F6087D"/>
    <w:rsid w:val="00F6401A"/>
    <w:rsid w:val="00F64187"/>
    <w:rsid w:val="00F651C1"/>
    <w:rsid w:val="00F70DA4"/>
    <w:rsid w:val="00F72DD4"/>
    <w:rsid w:val="00F755DC"/>
    <w:rsid w:val="00F822B4"/>
    <w:rsid w:val="00F86CDA"/>
    <w:rsid w:val="00F9788D"/>
    <w:rsid w:val="00FA05CB"/>
    <w:rsid w:val="00FA4E5B"/>
    <w:rsid w:val="00FA4F1A"/>
    <w:rsid w:val="00FA568A"/>
    <w:rsid w:val="00FA5AD9"/>
    <w:rsid w:val="00FB1809"/>
    <w:rsid w:val="00FB2D48"/>
    <w:rsid w:val="00FC23D3"/>
    <w:rsid w:val="00FC28B6"/>
    <w:rsid w:val="00FC35F4"/>
    <w:rsid w:val="00FC7B59"/>
    <w:rsid w:val="00FD621A"/>
    <w:rsid w:val="00FE00BB"/>
    <w:rsid w:val="00FE2854"/>
    <w:rsid w:val="00FE4B5C"/>
    <w:rsid w:val="00FE6A8D"/>
    <w:rsid w:val="00FE6FF3"/>
    <w:rsid w:val="00FE75ED"/>
    <w:rsid w:val="0718E4A2"/>
    <w:rsid w:val="15797836"/>
    <w:rsid w:val="256A8C04"/>
    <w:rsid w:val="342FCAA9"/>
  </w:rsids>
  <m:mathPr>
    <m:mathFont m:val="Cambria Math"/>
  </m:mathPr>
  <w:themeFontLang w:val="en-CA" w:eastAsia="ja-JP" w:bidi="he-IL"/>
  <w:clrSchemeMapping w:bg1="light1" w:t1="dark1" w:bg2="light2" w:t2="dark2" w:accent1="accent1" w:accent2="accent2" w:accent3="accent3" w:accent4="accent4" w:accent5="accent5" w:accent6="accent6" w:hyperlink="hyperlink" w:followedHyperlink="followedHyperlink"/>
  <w14:docId w14:val="517F7F8D"/>
  <w15:chartTrackingRefBased/>
  <w15:docId w15:val="{F9E54E15-67B4-4B9C-9259-5C1D6C91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5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7C7625"/>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7C7625"/>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7C7625"/>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7C7625"/>
  </w:style>
  <w:style w:type="character" w:customStyle="1" w:styleId="apple-converted-space">
    <w:name w:val="apple-converted-space"/>
    <w:basedOn w:val="DefaultParagraphFont"/>
    <w:rsid w:val="007C7625"/>
  </w:style>
  <w:style w:type="character" w:customStyle="1" w:styleId="s8">
    <w:name w:val="s8"/>
    <w:basedOn w:val="DefaultParagraphFont"/>
    <w:rsid w:val="007C7625"/>
  </w:style>
  <w:style w:type="character" w:customStyle="1" w:styleId="s9">
    <w:name w:val="s9"/>
    <w:basedOn w:val="DefaultParagraphFont"/>
    <w:rsid w:val="007C7625"/>
  </w:style>
  <w:style w:type="character" w:customStyle="1" w:styleId="s10">
    <w:name w:val="s10"/>
    <w:basedOn w:val="DefaultParagraphFont"/>
    <w:rsid w:val="007C7625"/>
  </w:style>
  <w:style w:type="character" w:customStyle="1" w:styleId="s11">
    <w:name w:val="s11"/>
    <w:basedOn w:val="DefaultParagraphFont"/>
    <w:rsid w:val="007C7625"/>
  </w:style>
  <w:style w:type="character" w:customStyle="1" w:styleId="s12">
    <w:name w:val="s12"/>
    <w:basedOn w:val="DefaultParagraphFont"/>
    <w:rsid w:val="007C7625"/>
  </w:style>
  <w:style w:type="paragraph" w:styleId="NormalWeb">
    <w:name w:val="Normal (Web)"/>
    <w:basedOn w:val="Normal"/>
    <w:uiPriority w:val="99"/>
    <w:unhideWhenUsed/>
    <w:rsid w:val="007C7625"/>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7C7625"/>
  </w:style>
  <w:style w:type="character" w:customStyle="1" w:styleId="s14">
    <w:name w:val="s14"/>
    <w:basedOn w:val="DefaultParagraphFont"/>
    <w:rsid w:val="007C7625"/>
  </w:style>
  <w:style w:type="paragraph" w:customStyle="1" w:styleId="s15">
    <w:name w:val="s15"/>
    <w:basedOn w:val="Normal"/>
    <w:rsid w:val="007C7625"/>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7C7625"/>
    <w:pPr>
      <w:spacing w:before="100" w:beforeAutospacing="1" w:after="100" w:afterAutospacing="1"/>
    </w:pPr>
    <w:rPr>
      <w:rFonts w:ascii="Times New Roman" w:hAnsi="Times New Roman" w:cs="Times New Roman"/>
      <w:sz w:val="24"/>
      <w:szCs w:val="24"/>
    </w:rPr>
  </w:style>
  <w:style w:type="character" w:customStyle="1" w:styleId="s17">
    <w:name w:val="s17"/>
    <w:basedOn w:val="DefaultParagraphFont"/>
    <w:rsid w:val="007C7625"/>
  </w:style>
  <w:style w:type="character" w:customStyle="1" w:styleId="s18">
    <w:name w:val="s18"/>
    <w:basedOn w:val="DefaultParagraphFont"/>
    <w:rsid w:val="007C7625"/>
  </w:style>
  <w:style w:type="paragraph" w:styleId="Header">
    <w:name w:val="header"/>
    <w:basedOn w:val="Normal"/>
    <w:link w:val="HeaderChar"/>
    <w:uiPriority w:val="99"/>
    <w:unhideWhenUsed/>
    <w:rsid w:val="007C7625"/>
    <w:pPr>
      <w:tabs>
        <w:tab w:val="center" w:pos="4680"/>
        <w:tab w:val="right" w:pos="9360"/>
      </w:tabs>
    </w:pPr>
  </w:style>
  <w:style w:type="character" w:customStyle="1" w:styleId="HeaderChar">
    <w:name w:val="Header Char"/>
    <w:basedOn w:val="DefaultParagraphFont"/>
    <w:link w:val="Header"/>
    <w:uiPriority w:val="99"/>
    <w:rsid w:val="007C7625"/>
  </w:style>
  <w:style w:type="paragraph" w:styleId="Footer">
    <w:name w:val="footer"/>
    <w:basedOn w:val="Normal"/>
    <w:link w:val="FooterChar"/>
    <w:uiPriority w:val="99"/>
    <w:unhideWhenUsed/>
    <w:rsid w:val="007C7625"/>
    <w:pPr>
      <w:tabs>
        <w:tab w:val="center" w:pos="4680"/>
        <w:tab w:val="right" w:pos="9360"/>
      </w:tabs>
    </w:pPr>
  </w:style>
  <w:style w:type="character" w:customStyle="1" w:styleId="FooterChar">
    <w:name w:val="Footer Char"/>
    <w:basedOn w:val="DefaultParagraphFont"/>
    <w:link w:val="Footer"/>
    <w:uiPriority w:val="99"/>
    <w:rsid w:val="007C7625"/>
  </w:style>
  <w:style w:type="character" w:customStyle="1" w:styleId="Heading1Char">
    <w:name w:val="Heading 1 Char"/>
    <w:basedOn w:val="DefaultParagraphFont"/>
    <w:link w:val="Heading1"/>
    <w:uiPriority w:val="9"/>
    <w:rsid w:val="00FC35F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A33A1"/>
    <w:rPr>
      <w:color w:val="0563C1" w:themeColor="hyperlink"/>
      <w:u w:val="single"/>
    </w:rPr>
  </w:style>
  <w:style w:type="character" w:customStyle="1" w:styleId="UnresolvedMention1">
    <w:name w:val="Unresolved Mention1"/>
    <w:basedOn w:val="DefaultParagraphFont"/>
    <w:uiPriority w:val="99"/>
    <w:semiHidden/>
    <w:unhideWhenUsed/>
    <w:rsid w:val="006A33A1"/>
    <w:rPr>
      <w:color w:val="605E5C"/>
      <w:shd w:val="clear" w:color="auto" w:fill="E1DFDD"/>
    </w:rPr>
  </w:style>
  <w:style w:type="character" w:styleId="CommentReference">
    <w:name w:val="annotation reference"/>
    <w:basedOn w:val="DefaultParagraphFont"/>
    <w:uiPriority w:val="99"/>
    <w:semiHidden/>
    <w:unhideWhenUsed/>
    <w:rsid w:val="00555037"/>
    <w:rPr>
      <w:sz w:val="16"/>
      <w:szCs w:val="16"/>
    </w:rPr>
  </w:style>
  <w:style w:type="paragraph" w:styleId="CommentText">
    <w:name w:val="annotation text"/>
    <w:basedOn w:val="Normal"/>
    <w:link w:val="CommentTextChar"/>
    <w:uiPriority w:val="99"/>
    <w:unhideWhenUsed/>
    <w:rsid w:val="00555037"/>
    <w:rPr>
      <w:sz w:val="20"/>
      <w:szCs w:val="20"/>
    </w:rPr>
  </w:style>
  <w:style w:type="character" w:customStyle="1" w:styleId="CommentTextChar">
    <w:name w:val="Comment Text Char"/>
    <w:basedOn w:val="DefaultParagraphFont"/>
    <w:link w:val="CommentText"/>
    <w:uiPriority w:val="99"/>
    <w:rsid w:val="00555037"/>
    <w:rPr>
      <w:sz w:val="20"/>
      <w:szCs w:val="20"/>
    </w:rPr>
  </w:style>
  <w:style w:type="paragraph" w:styleId="CommentSubject">
    <w:name w:val="annotation subject"/>
    <w:basedOn w:val="CommentText"/>
    <w:next w:val="CommentText"/>
    <w:link w:val="CommentSubjectChar"/>
    <w:uiPriority w:val="99"/>
    <w:semiHidden/>
    <w:unhideWhenUsed/>
    <w:rsid w:val="00555037"/>
    <w:rPr>
      <w:b/>
      <w:bCs/>
    </w:rPr>
  </w:style>
  <w:style w:type="character" w:customStyle="1" w:styleId="CommentSubjectChar">
    <w:name w:val="Comment Subject Char"/>
    <w:basedOn w:val="CommentTextChar"/>
    <w:link w:val="CommentSubject"/>
    <w:uiPriority w:val="99"/>
    <w:semiHidden/>
    <w:rsid w:val="00555037"/>
    <w:rPr>
      <w:b/>
      <w:bCs/>
      <w:sz w:val="20"/>
      <w:szCs w:val="20"/>
    </w:rPr>
  </w:style>
  <w:style w:type="character" w:styleId="FollowedHyperlink">
    <w:name w:val="FollowedHyperlink"/>
    <w:basedOn w:val="DefaultParagraphFont"/>
    <w:uiPriority w:val="99"/>
    <w:semiHidden/>
    <w:unhideWhenUsed/>
    <w:rsid w:val="00BE7AFC"/>
    <w:rPr>
      <w:color w:val="954F72" w:themeColor="followedHyperlink"/>
      <w:u w:val="single"/>
    </w:rPr>
  </w:style>
  <w:style w:type="paragraph" w:styleId="Revision">
    <w:name w:val="Revision"/>
    <w:hidden/>
    <w:uiPriority w:val="99"/>
    <w:semiHidden/>
    <w:rsid w:val="00EA6377"/>
  </w:style>
  <w:style w:type="paragraph" w:customStyle="1" w:styleId="DocsID">
    <w:name w:val="DocsID"/>
    <w:basedOn w:val="Normal"/>
    <w:rsid w:val="002E1558"/>
    <w:pPr>
      <w:spacing w:before="20"/>
    </w:pPr>
    <w:rPr>
      <w:rFonts w:ascii="Arial" w:eastAsia="Times New Roman" w:hAnsi="Arial" w:cs="Arial"/>
      <w:color w:val="000080"/>
      <w:sz w:val="16"/>
      <w:szCs w:val="20"/>
    </w:rPr>
  </w:style>
  <w:style w:type="character" w:customStyle="1" w:styleId="UnresolvedMention2">
    <w:name w:val="Unresolved Mention2"/>
    <w:basedOn w:val="DefaultParagraphFont"/>
    <w:uiPriority w:val="99"/>
    <w:semiHidden/>
    <w:unhideWhenUsed/>
    <w:rsid w:val="006B4A85"/>
    <w:rPr>
      <w:color w:val="605E5C"/>
      <w:shd w:val="clear" w:color="auto" w:fill="E1DFDD"/>
    </w:rPr>
  </w:style>
  <w:style w:type="character" w:customStyle="1" w:styleId="Mention1">
    <w:name w:val="Mention1"/>
    <w:basedOn w:val="DefaultParagraphFont"/>
    <w:uiPriority w:val="99"/>
    <w:unhideWhenUsed/>
    <w:rsid w:val="0081667E"/>
    <w:rPr>
      <w:color w:val="2B579A"/>
      <w:shd w:val="clear" w:color="auto" w:fill="E1DFDD"/>
    </w:rPr>
  </w:style>
  <w:style w:type="paragraph" w:styleId="BalloonText">
    <w:name w:val="Balloon Text"/>
    <w:basedOn w:val="Normal"/>
    <w:link w:val="BalloonTextChar"/>
    <w:uiPriority w:val="99"/>
    <w:semiHidden/>
    <w:unhideWhenUsed/>
    <w:rsid w:val="00E9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F7C"/>
    <w:rPr>
      <w:rFonts w:ascii="Segoe UI" w:hAnsi="Segoe UI" w:cs="Segoe UI"/>
      <w:sz w:val="18"/>
      <w:szCs w:val="18"/>
    </w:rPr>
  </w:style>
  <w:style w:type="table" w:styleId="TableGrid">
    <w:name w:val="Table Grid"/>
    <w:basedOn w:val="TableNormal"/>
    <w:uiPriority w:val="39"/>
    <w:rsid w:val="00D5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3021"/>
    <w:rPr>
      <w:color w:val="605E5C"/>
      <w:shd w:val="clear" w:color="auto" w:fill="E1DFDD"/>
    </w:rPr>
  </w:style>
  <w:style w:type="paragraph" w:styleId="BodyText">
    <w:name w:val="Body Text"/>
    <w:basedOn w:val="Normal"/>
    <w:link w:val="BodyTextChar"/>
    <w:uiPriority w:val="1"/>
    <w:qFormat/>
    <w:rsid w:val="00520E03"/>
    <w:pPr>
      <w:widowControl w:val="0"/>
      <w:autoSpaceDE w:val="0"/>
      <w:autoSpaceDN w:val="0"/>
      <w:ind w:left="118"/>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20E03"/>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0576">
      <w:bodyDiv w:val="1"/>
      <w:marLeft w:val="0"/>
      <w:marRight w:val="0"/>
      <w:marTop w:val="0"/>
      <w:marBottom w:val="0"/>
      <w:divBdr>
        <w:top w:val="none" w:sz="0" w:space="0" w:color="auto"/>
        <w:left w:val="none" w:sz="0" w:space="0" w:color="auto"/>
        <w:bottom w:val="none" w:sz="0" w:space="0" w:color="auto"/>
        <w:right w:val="none" w:sz="0" w:space="0" w:color="auto"/>
      </w:divBdr>
    </w:div>
    <w:div w:id="89786840">
      <w:bodyDiv w:val="1"/>
      <w:marLeft w:val="0"/>
      <w:marRight w:val="0"/>
      <w:marTop w:val="0"/>
      <w:marBottom w:val="0"/>
      <w:divBdr>
        <w:top w:val="none" w:sz="0" w:space="0" w:color="auto"/>
        <w:left w:val="none" w:sz="0" w:space="0" w:color="auto"/>
        <w:bottom w:val="none" w:sz="0" w:space="0" w:color="auto"/>
        <w:right w:val="none" w:sz="0" w:space="0" w:color="auto"/>
      </w:divBdr>
    </w:div>
    <w:div w:id="192035384">
      <w:bodyDiv w:val="1"/>
      <w:marLeft w:val="0"/>
      <w:marRight w:val="0"/>
      <w:marTop w:val="0"/>
      <w:marBottom w:val="0"/>
      <w:divBdr>
        <w:top w:val="none" w:sz="0" w:space="0" w:color="auto"/>
        <w:left w:val="none" w:sz="0" w:space="0" w:color="auto"/>
        <w:bottom w:val="none" w:sz="0" w:space="0" w:color="auto"/>
        <w:right w:val="none" w:sz="0" w:space="0" w:color="auto"/>
      </w:divBdr>
    </w:div>
    <w:div w:id="284699794">
      <w:bodyDiv w:val="1"/>
      <w:marLeft w:val="0"/>
      <w:marRight w:val="0"/>
      <w:marTop w:val="0"/>
      <w:marBottom w:val="0"/>
      <w:divBdr>
        <w:top w:val="none" w:sz="0" w:space="0" w:color="auto"/>
        <w:left w:val="none" w:sz="0" w:space="0" w:color="auto"/>
        <w:bottom w:val="none" w:sz="0" w:space="0" w:color="auto"/>
        <w:right w:val="none" w:sz="0" w:space="0" w:color="auto"/>
      </w:divBdr>
    </w:div>
    <w:div w:id="414716794">
      <w:bodyDiv w:val="1"/>
      <w:marLeft w:val="0"/>
      <w:marRight w:val="0"/>
      <w:marTop w:val="0"/>
      <w:marBottom w:val="0"/>
      <w:divBdr>
        <w:top w:val="none" w:sz="0" w:space="0" w:color="auto"/>
        <w:left w:val="none" w:sz="0" w:space="0" w:color="auto"/>
        <w:bottom w:val="none" w:sz="0" w:space="0" w:color="auto"/>
        <w:right w:val="none" w:sz="0" w:space="0" w:color="auto"/>
      </w:divBdr>
    </w:div>
    <w:div w:id="593711551">
      <w:marLeft w:val="0"/>
      <w:marRight w:val="0"/>
      <w:marTop w:val="0"/>
      <w:marBottom w:val="0"/>
      <w:divBdr>
        <w:top w:val="none" w:sz="0" w:space="0" w:color="auto"/>
        <w:left w:val="none" w:sz="0" w:space="0" w:color="auto"/>
        <w:bottom w:val="none" w:sz="0" w:space="0" w:color="auto"/>
        <w:right w:val="none" w:sz="0" w:space="0" w:color="auto"/>
      </w:divBdr>
    </w:div>
    <w:div w:id="1080055059">
      <w:marLeft w:val="0"/>
      <w:marRight w:val="0"/>
      <w:marTop w:val="0"/>
      <w:marBottom w:val="0"/>
      <w:divBdr>
        <w:top w:val="none" w:sz="0" w:space="0" w:color="auto"/>
        <w:left w:val="none" w:sz="0" w:space="0" w:color="auto"/>
        <w:bottom w:val="none" w:sz="0" w:space="0" w:color="auto"/>
        <w:right w:val="none" w:sz="0" w:space="0" w:color="auto"/>
      </w:divBdr>
    </w:div>
    <w:div w:id="1115715413">
      <w:marLeft w:val="0"/>
      <w:marRight w:val="0"/>
      <w:marTop w:val="0"/>
      <w:marBottom w:val="0"/>
      <w:divBdr>
        <w:top w:val="none" w:sz="0" w:space="0" w:color="auto"/>
        <w:left w:val="none" w:sz="0" w:space="0" w:color="auto"/>
        <w:bottom w:val="none" w:sz="0" w:space="0" w:color="auto"/>
        <w:right w:val="none" w:sz="0" w:space="0" w:color="auto"/>
      </w:divBdr>
      <w:divsChild>
        <w:div w:id="1769346284">
          <w:marLeft w:val="0"/>
          <w:marRight w:val="0"/>
          <w:marTop w:val="0"/>
          <w:marBottom w:val="0"/>
          <w:divBdr>
            <w:top w:val="none" w:sz="0" w:space="0" w:color="auto"/>
            <w:left w:val="none" w:sz="0" w:space="0" w:color="auto"/>
            <w:bottom w:val="none" w:sz="0" w:space="0" w:color="auto"/>
            <w:right w:val="none" w:sz="0" w:space="0" w:color="auto"/>
          </w:divBdr>
        </w:div>
      </w:divsChild>
    </w:div>
    <w:div w:id="1265725586">
      <w:bodyDiv w:val="1"/>
      <w:marLeft w:val="0"/>
      <w:marRight w:val="0"/>
      <w:marTop w:val="0"/>
      <w:marBottom w:val="0"/>
      <w:divBdr>
        <w:top w:val="none" w:sz="0" w:space="0" w:color="auto"/>
        <w:left w:val="none" w:sz="0" w:space="0" w:color="auto"/>
        <w:bottom w:val="none" w:sz="0" w:space="0" w:color="auto"/>
        <w:right w:val="none" w:sz="0" w:space="0" w:color="auto"/>
      </w:divBdr>
    </w:div>
    <w:div w:id="1547253373">
      <w:bodyDiv w:val="1"/>
      <w:marLeft w:val="0"/>
      <w:marRight w:val="0"/>
      <w:marTop w:val="0"/>
      <w:marBottom w:val="0"/>
      <w:divBdr>
        <w:top w:val="none" w:sz="0" w:space="0" w:color="auto"/>
        <w:left w:val="none" w:sz="0" w:space="0" w:color="auto"/>
        <w:bottom w:val="none" w:sz="0" w:space="0" w:color="auto"/>
        <w:right w:val="none" w:sz="0" w:space="0" w:color="auto"/>
      </w:divBdr>
    </w:div>
    <w:div w:id="1851943080">
      <w:bodyDiv w:val="1"/>
      <w:marLeft w:val="0"/>
      <w:marRight w:val="0"/>
      <w:marTop w:val="0"/>
      <w:marBottom w:val="0"/>
      <w:divBdr>
        <w:top w:val="none" w:sz="0" w:space="0" w:color="auto"/>
        <w:left w:val="none" w:sz="0" w:space="0" w:color="auto"/>
        <w:bottom w:val="none" w:sz="0" w:space="0" w:color="auto"/>
        <w:right w:val="none" w:sz="0" w:space="0" w:color="auto"/>
      </w:divBdr>
    </w:div>
    <w:div w:id="20338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spetz.app" TargetMode="External" /><Relationship Id="rId6" Type="http://schemas.openxmlformats.org/officeDocument/2006/relationships/hyperlink" Target="https://investor.spetz.app/" TargetMode="External" /><Relationship Id="rId7" Type="http://schemas.openxmlformats.org/officeDocument/2006/relationships/hyperlink" Target="mailto:Investors@spetz.app"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670</Words>
  <Characters>3945</Characters>
  <Application>Microsoft Office Word</Application>
  <DocSecurity>0</DocSecurity>
  <Lines>34</Lines>
  <Paragraphs>23</Paragraphs>
  <ScaleCrop>false</ScaleCrop>
  <HeadingPairs>
    <vt:vector size="6" baseType="variant">
      <vt:variant>
        <vt:lpstr>Title</vt:lpstr>
      </vt:variant>
      <vt:variant>
        <vt:i4>1</vt:i4>
      </vt:variant>
      <vt:variant>
        <vt:lpstr>שם</vt:lpstr>
      </vt:variant>
      <vt:variant>
        <vt:i4>1</vt:i4>
      </vt:variant>
      <vt:variant>
        <vt:lpstr/>
      </vt:variant>
      <vt:variant>
        <vt:i4>1</vt:i4>
      </vt:variant>
    </vt:vector>
  </HeadingPairs>
  <TitlesOfParts>
    <vt:vector size="3" baseType="lpstr">
      <vt: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67462636.3</vt:lpwstr>
  </property>
</Properties>
</file>