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5434"/>
        <w:gridCol w:w="5434"/>
      </w:tblGrid>
      <w:tr w:rsidR="009A64DB" w:rsidRPr="007A746A" w:rsidTr="004B37CE">
        <w:tc>
          <w:tcPr>
            <w:tcW w:w="5434" w:type="dxa"/>
          </w:tcPr>
          <w:p w:rsidR="009A64DB" w:rsidRPr="007A746A" w:rsidRDefault="004057FA" w:rsidP="004B37CE">
            <w:pPr>
              <w:pStyle w:val="Default"/>
              <w:pBdr>
                <w:top w:val="none" w:sz="0" w:space="0" w:color="auto"/>
                <w:left w:val="none" w:sz="0" w:space="0" w:color="auto"/>
                <w:bottom w:val="none" w:sz="0" w:space="0" w:color="auto"/>
                <w:right w:val="none" w:sz="0" w:space="0" w:color="auto"/>
              </w:pBdr>
              <w:rPr>
                <w:rStyle w:val="Strong"/>
                <w:rFonts w:cs="Arial"/>
                <w:bCs/>
                <w:color w:val="000000"/>
                <w:sz w:val="28"/>
                <w:szCs w:val="28"/>
              </w:rPr>
            </w:pPr>
            <w:bookmarkStart w:id="0" w:name="_GoBack"/>
            <w:bookmarkEnd w:id="0"/>
            <w:r>
              <w:rPr>
                <w:noProof/>
                <w:lang w:val="en-CA"/>
              </w:rPr>
              <w:drawing>
                <wp:inline distT="0" distB="0" distL="0" distR="0">
                  <wp:extent cx="1781175" cy="618490"/>
                  <wp:effectExtent l="0" t="0" r="9525"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618490"/>
                          </a:xfrm>
                          <a:prstGeom prst="rect">
                            <a:avLst/>
                          </a:prstGeom>
                          <a:noFill/>
                          <a:ln>
                            <a:noFill/>
                          </a:ln>
                        </pic:spPr>
                      </pic:pic>
                    </a:graphicData>
                  </a:graphic>
                </wp:inline>
              </w:drawing>
            </w:r>
          </w:p>
        </w:tc>
        <w:tc>
          <w:tcPr>
            <w:tcW w:w="5434" w:type="dxa"/>
          </w:tcPr>
          <w:p w:rsidR="009A64DB" w:rsidRPr="007A746A" w:rsidRDefault="004057FA" w:rsidP="004B37CE">
            <w:pPr>
              <w:pStyle w:val="Default"/>
              <w:pBdr>
                <w:top w:val="none" w:sz="0" w:space="0" w:color="auto"/>
                <w:left w:val="none" w:sz="0" w:space="0" w:color="auto"/>
                <w:bottom w:val="none" w:sz="0" w:space="0" w:color="auto"/>
                <w:right w:val="none" w:sz="0" w:space="0" w:color="auto"/>
              </w:pBdr>
              <w:jc w:val="right"/>
              <w:rPr>
                <w:rStyle w:val="Strong"/>
                <w:rFonts w:cs="Arial"/>
                <w:bCs/>
                <w:color w:val="000000"/>
                <w:sz w:val="28"/>
                <w:szCs w:val="28"/>
              </w:rPr>
            </w:pPr>
            <w:r>
              <w:rPr>
                <w:rFonts w:cs="Arial"/>
                <w:noProof/>
                <w:sz w:val="15"/>
                <w:szCs w:val="15"/>
                <w:lang w:val="en-CA"/>
              </w:rPr>
              <w:drawing>
                <wp:inline distT="0" distB="0" distL="0" distR="0">
                  <wp:extent cx="1812925" cy="602615"/>
                  <wp:effectExtent l="0" t="0" r="0" b="6985"/>
                  <wp:docPr id="2" name="comp-ioulfnytimgimage" descr="https://static.wixstatic.com/media/96ae67_c58d549d359848c9ac9c31b6902e2e14~mv2.png/v1/fill/w_264,h_88,al_c,usm_0.66_1.00_0.01/96ae67_c58d549d359848c9ac9c31b6902e2e14~m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ioulfnytimgimage" descr="https://static.wixstatic.com/media/96ae67_c58d549d359848c9ac9c31b6902e2e14~mv2.png/v1/fill/w_264,h_88,al_c,usm_0.66_1.00_0.01/96ae67_c58d549d359848c9ac9c31b6902e2e14~mv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2925" cy="602615"/>
                          </a:xfrm>
                          <a:prstGeom prst="rect">
                            <a:avLst/>
                          </a:prstGeom>
                          <a:noFill/>
                          <a:ln>
                            <a:noFill/>
                          </a:ln>
                        </pic:spPr>
                      </pic:pic>
                    </a:graphicData>
                  </a:graphic>
                </wp:inline>
              </w:drawing>
            </w:r>
          </w:p>
        </w:tc>
      </w:tr>
    </w:tbl>
    <w:p w:rsidR="00C6568E" w:rsidRDefault="00C6568E" w:rsidP="006E3A8E">
      <w:pPr>
        <w:pBdr>
          <w:top w:val="none" w:sz="0" w:space="0" w:color="auto"/>
          <w:left w:val="none" w:sz="0" w:space="0" w:color="auto"/>
          <w:bottom w:val="none" w:sz="0" w:space="0" w:color="auto"/>
          <w:right w:val="none" w:sz="0" w:space="0" w:color="auto"/>
        </w:pBdr>
        <w:spacing w:line="160" w:lineRule="atLeast"/>
        <w:jc w:val="center"/>
        <w:rPr>
          <w:rFonts w:ascii="Arial" w:hAnsi="Arial" w:cs="Arial"/>
          <w:b/>
          <w:bCs/>
          <w:sz w:val="20"/>
          <w:szCs w:val="20"/>
        </w:rPr>
      </w:pPr>
    </w:p>
    <w:p w:rsidR="009A64DB" w:rsidRPr="00C6568E" w:rsidRDefault="009A64DB" w:rsidP="006E3A8E">
      <w:pPr>
        <w:pBdr>
          <w:top w:val="none" w:sz="0" w:space="0" w:color="auto"/>
          <w:left w:val="none" w:sz="0" w:space="0" w:color="auto"/>
          <w:bottom w:val="none" w:sz="0" w:space="0" w:color="auto"/>
          <w:right w:val="none" w:sz="0" w:space="0" w:color="auto"/>
        </w:pBdr>
        <w:spacing w:line="160" w:lineRule="atLeast"/>
        <w:jc w:val="center"/>
        <w:rPr>
          <w:rFonts w:asciiTheme="minorHAnsi" w:hAnsiTheme="minorHAnsi" w:cs="Arial"/>
          <w:b/>
          <w:bCs/>
          <w:sz w:val="20"/>
          <w:szCs w:val="20"/>
        </w:rPr>
      </w:pPr>
      <w:r w:rsidRPr="00C6568E">
        <w:rPr>
          <w:rFonts w:asciiTheme="minorHAnsi" w:hAnsiTheme="minorHAnsi" w:cs="Arial"/>
          <w:b/>
          <w:bCs/>
          <w:sz w:val="20"/>
          <w:szCs w:val="20"/>
        </w:rPr>
        <w:t>PokerVision’s Multi-Platform Network to Co-Produce Reality Content with Twitch Poker Celebrities</w:t>
      </w:r>
    </w:p>
    <w:p w:rsidR="009A64DB" w:rsidRPr="00C6568E" w:rsidRDefault="009A64DB" w:rsidP="006E3A8E">
      <w:pPr>
        <w:pBdr>
          <w:top w:val="none" w:sz="0" w:space="0" w:color="auto"/>
          <w:left w:val="none" w:sz="0" w:space="0" w:color="auto"/>
          <w:bottom w:val="none" w:sz="0" w:space="0" w:color="auto"/>
          <w:right w:val="none" w:sz="0" w:space="0" w:color="auto"/>
        </w:pBdr>
        <w:spacing w:line="160" w:lineRule="atLeast"/>
        <w:jc w:val="center"/>
        <w:rPr>
          <w:rFonts w:asciiTheme="minorHAnsi" w:hAnsiTheme="minorHAnsi" w:cs="Arial"/>
          <w:i/>
          <w:iCs/>
          <w:sz w:val="20"/>
          <w:szCs w:val="20"/>
        </w:rPr>
      </w:pPr>
      <w:r w:rsidRPr="00C6568E">
        <w:rPr>
          <w:rFonts w:asciiTheme="minorHAnsi" w:hAnsiTheme="minorHAnsi" w:cs="Arial"/>
          <w:i/>
          <w:iCs/>
          <w:sz w:val="20"/>
          <w:szCs w:val="20"/>
        </w:rPr>
        <w:t>Poker Pros to stream Reality content live from a yacht in the Caribbean on Twitch and PVN</w:t>
      </w:r>
    </w:p>
    <w:p w:rsidR="009A64DB" w:rsidRPr="00C6568E" w:rsidRDefault="009A64DB" w:rsidP="006E3A8E">
      <w:pPr>
        <w:pBdr>
          <w:top w:val="none" w:sz="0" w:space="0" w:color="auto"/>
          <w:left w:val="none" w:sz="0" w:space="0" w:color="auto"/>
          <w:bottom w:val="none" w:sz="0" w:space="0" w:color="auto"/>
          <w:right w:val="none" w:sz="0" w:space="0" w:color="auto"/>
        </w:pBdr>
        <w:rPr>
          <w:rFonts w:asciiTheme="minorHAnsi" w:hAnsiTheme="minorHAnsi" w:cs="Arial"/>
          <w:sz w:val="20"/>
          <w:szCs w:val="20"/>
        </w:rPr>
      </w:pPr>
    </w:p>
    <w:p w:rsidR="009A64DB" w:rsidRPr="00C6568E" w:rsidRDefault="004057FA" w:rsidP="00AB2912">
      <w:pPr>
        <w:pBdr>
          <w:top w:val="none" w:sz="0" w:space="0" w:color="auto"/>
          <w:left w:val="none" w:sz="0" w:space="0" w:color="auto"/>
          <w:bottom w:val="none" w:sz="0" w:space="0" w:color="auto"/>
          <w:right w:val="none" w:sz="0" w:space="0" w:color="auto"/>
        </w:pBdr>
        <w:jc w:val="both"/>
        <w:rPr>
          <w:rFonts w:asciiTheme="minorHAnsi" w:hAnsiTheme="minorHAnsi" w:cs="Arial"/>
          <w:sz w:val="20"/>
          <w:szCs w:val="20"/>
        </w:rPr>
      </w:pPr>
      <w:r w:rsidRPr="004057FA">
        <w:rPr>
          <w:rFonts w:ascii="Calibri" w:hAnsi="Calibri" w:cs="Arial"/>
          <w:b/>
          <w:sz w:val="20"/>
          <w:szCs w:val="20"/>
        </w:rPr>
        <w:t>Calgary, Alberta – (</w:t>
      </w:r>
      <w:r>
        <w:rPr>
          <w:rFonts w:ascii="Calibri" w:hAnsi="Calibri" w:cs="Arial"/>
          <w:b/>
          <w:sz w:val="20"/>
          <w:szCs w:val="20"/>
        </w:rPr>
        <w:t>March 3</w:t>
      </w:r>
      <w:r w:rsidRPr="004057FA">
        <w:rPr>
          <w:rFonts w:ascii="Calibri" w:hAnsi="Calibri" w:cs="Arial"/>
          <w:b/>
          <w:sz w:val="20"/>
          <w:szCs w:val="20"/>
        </w:rPr>
        <w:t xml:space="preserve">, 2017) – </w:t>
      </w:r>
      <w:r w:rsidR="009A64DB" w:rsidRPr="00C6568E">
        <w:rPr>
          <w:rFonts w:asciiTheme="minorHAnsi" w:hAnsiTheme="minorHAnsi" w:cs="Arial"/>
          <w:b/>
          <w:sz w:val="20"/>
          <w:szCs w:val="20"/>
        </w:rPr>
        <w:t>PokerVision Network (PVN),</w:t>
      </w:r>
      <w:r w:rsidR="009A64DB" w:rsidRPr="00C6568E">
        <w:rPr>
          <w:rFonts w:asciiTheme="minorHAnsi" w:hAnsiTheme="minorHAnsi" w:cs="Arial"/>
          <w:sz w:val="20"/>
          <w:szCs w:val="20"/>
        </w:rPr>
        <w:t xml:space="preserve"> a wholly owned subsidiary of </w:t>
      </w:r>
      <w:r w:rsidR="009A64DB" w:rsidRPr="00C6568E">
        <w:rPr>
          <w:rFonts w:asciiTheme="minorHAnsi" w:hAnsiTheme="minorHAnsi" w:cs="Arial"/>
          <w:b/>
          <w:sz w:val="20"/>
          <w:szCs w:val="20"/>
        </w:rPr>
        <w:t>ePlay Digital Inc. (CSE:EPY</w:t>
      </w:r>
      <w:r w:rsidR="009A64DB" w:rsidRPr="00C6568E">
        <w:rPr>
          <w:rFonts w:asciiTheme="minorHAnsi" w:hAnsiTheme="minorHAnsi" w:cs="Arial"/>
          <w:sz w:val="20"/>
          <w:szCs w:val="20"/>
        </w:rPr>
        <w:t>) announced today that it will co-produce reality TV style content from St. Thomas, Virgin Islands.  PVN will provide behind the scenes footage of “Streamboat”, a week long marathon of poker featuring Twitch streamers and poker pros Bill Perkins, Jeff Gross, Jaime Staples and Matt Staples.  They will also be raising money for their individual charities while streaming live online poker from the Caribbean as well as hosting online qualifiers from Poker Stars who have won the chance to participate.</w:t>
      </w:r>
    </w:p>
    <w:p w:rsidR="009A64DB" w:rsidRPr="00C6568E" w:rsidRDefault="009A64DB" w:rsidP="00AB2912">
      <w:pPr>
        <w:pBdr>
          <w:top w:val="none" w:sz="0" w:space="0" w:color="auto"/>
          <w:left w:val="none" w:sz="0" w:space="0" w:color="auto"/>
          <w:bottom w:val="none" w:sz="0" w:space="0" w:color="auto"/>
          <w:right w:val="none" w:sz="0" w:space="0" w:color="auto"/>
        </w:pBdr>
        <w:jc w:val="both"/>
        <w:rPr>
          <w:rFonts w:asciiTheme="minorHAnsi" w:hAnsiTheme="minorHAnsi" w:cs="Arial"/>
          <w:sz w:val="20"/>
          <w:szCs w:val="20"/>
        </w:rPr>
      </w:pPr>
    </w:p>
    <w:p w:rsidR="009A64DB" w:rsidRPr="00C6568E" w:rsidRDefault="009A64DB" w:rsidP="00AB2912">
      <w:pPr>
        <w:pBdr>
          <w:top w:val="none" w:sz="0" w:space="0" w:color="auto"/>
          <w:left w:val="none" w:sz="0" w:space="0" w:color="auto"/>
          <w:bottom w:val="none" w:sz="0" w:space="0" w:color="auto"/>
          <w:right w:val="none" w:sz="0" w:space="0" w:color="auto"/>
        </w:pBdr>
        <w:jc w:val="both"/>
        <w:rPr>
          <w:rFonts w:asciiTheme="minorHAnsi" w:hAnsiTheme="minorHAnsi" w:cs="Arial"/>
          <w:sz w:val="20"/>
          <w:szCs w:val="20"/>
        </w:rPr>
      </w:pPr>
      <w:r w:rsidRPr="00C6568E">
        <w:rPr>
          <w:rFonts w:asciiTheme="minorHAnsi" w:hAnsiTheme="minorHAnsi" w:cs="Arial"/>
          <w:sz w:val="20"/>
          <w:szCs w:val="20"/>
        </w:rPr>
        <w:t>“We are creating an amazing poker life experience and we want showcase the fun we have on and off the tables,” stated poker player and philanthropist Bill Perkins.  “And we want to take you with us!  Win you</w:t>
      </w:r>
      <w:r w:rsidRPr="00C6568E">
        <w:rPr>
          <w:rFonts w:asciiTheme="minorHAnsi" w:hAnsiTheme="minorHAnsi" w:cs="Arial"/>
          <w:color w:val="1F497D"/>
          <w:sz w:val="20"/>
          <w:szCs w:val="20"/>
        </w:rPr>
        <w:t>r</w:t>
      </w:r>
      <w:r w:rsidRPr="00C6568E">
        <w:rPr>
          <w:rFonts w:asciiTheme="minorHAnsi" w:hAnsiTheme="minorHAnsi" w:cs="Arial"/>
          <w:sz w:val="20"/>
          <w:szCs w:val="20"/>
        </w:rPr>
        <w:t xml:space="preserve"> way on to the yacht through PokerStars and you will party like the pros</w:t>
      </w:r>
      <w:r w:rsidR="00340616">
        <w:rPr>
          <w:rFonts w:asciiTheme="minorHAnsi" w:hAnsiTheme="minorHAnsi" w:cs="Arial"/>
          <w:sz w:val="20"/>
          <w:szCs w:val="20"/>
        </w:rPr>
        <w:t xml:space="preserve"> or party like me</w:t>
      </w:r>
      <w:r w:rsidRPr="00C6568E">
        <w:rPr>
          <w:rFonts w:asciiTheme="minorHAnsi" w:hAnsiTheme="minorHAnsi" w:cs="Arial"/>
          <w:sz w:val="20"/>
          <w:szCs w:val="20"/>
        </w:rPr>
        <w:t>!”</w:t>
      </w:r>
    </w:p>
    <w:p w:rsidR="009A64DB" w:rsidRPr="00C6568E" w:rsidRDefault="009A64DB" w:rsidP="00AB2912">
      <w:pPr>
        <w:pBdr>
          <w:top w:val="none" w:sz="0" w:space="0" w:color="auto"/>
          <w:left w:val="none" w:sz="0" w:space="0" w:color="auto"/>
          <w:bottom w:val="none" w:sz="0" w:space="0" w:color="auto"/>
          <w:right w:val="none" w:sz="0" w:space="0" w:color="auto"/>
        </w:pBdr>
        <w:jc w:val="both"/>
        <w:rPr>
          <w:rFonts w:asciiTheme="minorHAnsi" w:hAnsiTheme="minorHAnsi" w:cs="Arial"/>
          <w:sz w:val="20"/>
          <w:szCs w:val="20"/>
        </w:rPr>
      </w:pPr>
    </w:p>
    <w:p w:rsidR="009A64DB" w:rsidRPr="00C6568E" w:rsidRDefault="009A64DB" w:rsidP="00AB2912">
      <w:pPr>
        <w:pBdr>
          <w:top w:val="none" w:sz="0" w:space="0" w:color="auto"/>
          <w:left w:val="none" w:sz="0" w:space="0" w:color="auto"/>
          <w:bottom w:val="none" w:sz="0" w:space="0" w:color="auto"/>
          <w:right w:val="none" w:sz="0" w:space="0" w:color="auto"/>
        </w:pBdr>
        <w:jc w:val="both"/>
        <w:rPr>
          <w:rFonts w:asciiTheme="minorHAnsi" w:hAnsiTheme="minorHAnsi" w:cs="Arial"/>
          <w:sz w:val="20"/>
          <w:szCs w:val="20"/>
        </w:rPr>
      </w:pPr>
      <w:r w:rsidRPr="00C6568E">
        <w:rPr>
          <w:rFonts w:asciiTheme="minorHAnsi" w:hAnsiTheme="minorHAnsi" w:cs="Arial"/>
          <w:sz w:val="20"/>
          <w:szCs w:val="20"/>
        </w:rPr>
        <w:t xml:space="preserve">“The eyes of the poker world will be on Bill Perkins' luxury yacht in the Caribbean as four intrepid </w:t>
      </w:r>
      <w:proofErr w:type="gramStart"/>
      <w:r w:rsidRPr="00C6568E">
        <w:rPr>
          <w:rFonts w:asciiTheme="minorHAnsi" w:hAnsiTheme="minorHAnsi" w:cs="Arial"/>
          <w:sz w:val="20"/>
          <w:szCs w:val="20"/>
        </w:rPr>
        <w:t>souls</w:t>
      </w:r>
      <w:proofErr w:type="gramEnd"/>
      <w:r w:rsidRPr="00C6568E">
        <w:rPr>
          <w:rFonts w:asciiTheme="minorHAnsi" w:hAnsiTheme="minorHAnsi" w:cs="Arial"/>
          <w:sz w:val="20"/>
          <w:szCs w:val="20"/>
        </w:rPr>
        <w:t xml:space="preserve"> stream online poker while cruising the beautiful blue water in the US Virgin Islands,” commented PokerVision’s Director of Poker Programming Adam Schwartz.  “Three poker superstars are joining Bill for the marathon of fun in the sun. Jeff Gross, Bill's close friend and winner of over $2.8 million in his career will be alongside the brothers that have taken online poker streaming by storm, Jaime and Matt Staples. PokerVision is very excited to be the network to bring the excitement of the event to the world through our various platforms.”</w:t>
      </w:r>
    </w:p>
    <w:p w:rsidR="009A64DB" w:rsidRPr="00C6568E" w:rsidRDefault="009A64DB" w:rsidP="00AB2912">
      <w:pPr>
        <w:pBdr>
          <w:top w:val="none" w:sz="0" w:space="0" w:color="auto"/>
          <w:left w:val="none" w:sz="0" w:space="0" w:color="auto"/>
          <w:bottom w:val="none" w:sz="0" w:space="0" w:color="auto"/>
          <w:right w:val="none" w:sz="0" w:space="0" w:color="auto"/>
        </w:pBdr>
        <w:jc w:val="both"/>
        <w:rPr>
          <w:rFonts w:asciiTheme="minorHAnsi" w:hAnsiTheme="minorHAnsi" w:cs="Arial"/>
          <w:sz w:val="20"/>
          <w:szCs w:val="20"/>
        </w:rPr>
      </w:pPr>
    </w:p>
    <w:p w:rsidR="009A64DB" w:rsidRPr="00C6568E" w:rsidRDefault="009A64DB" w:rsidP="00AB2912">
      <w:pPr>
        <w:pBdr>
          <w:top w:val="none" w:sz="0" w:space="0" w:color="auto"/>
          <w:left w:val="none" w:sz="0" w:space="0" w:color="auto"/>
          <w:bottom w:val="none" w:sz="0" w:space="0" w:color="auto"/>
          <w:right w:val="none" w:sz="0" w:space="0" w:color="auto"/>
        </w:pBdr>
        <w:jc w:val="both"/>
        <w:rPr>
          <w:rFonts w:asciiTheme="minorHAnsi" w:hAnsiTheme="minorHAnsi" w:cs="Arial"/>
          <w:sz w:val="20"/>
          <w:szCs w:val="20"/>
        </w:rPr>
      </w:pPr>
      <w:r w:rsidRPr="00C6568E">
        <w:rPr>
          <w:rFonts w:asciiTheme="minorHAnsi" w:hAnsiTheme="minorHAnsi" w:cs="Arial"/>
          <w:sz w:val="20"/>
          <w:szCs w:val="20"/>
        </w:rPr>
        <w:t>PokerVision’s multi-platform network will be featuring exclusive content from the Caribbean March 22-28th.  This will be PVN’s initial co-production for original live content.  Viewers can be a part of the action by following the various Twitch streams from the pros and engaging through the PVN network creating a “Big Brother” like poker experience showcasing the poker lifestyles of some</w:t>
      </w:r>
      <w:r w:rsidR="00AB2912">
        <w:rPr>
          <w:rFonts w:asciiTheme="minorHAnsi" w:hAnsiTheme="minorHAnsi" w:cs="Arial"/>
          <w:sz w:val="20"/>
          <w:szCs w:val="20"/>
        </w:rPr>
        <w:t xml:space="preserve"> of the industry’s biggest</w:t>
      </w:r>
      <w:r w:rsidRPr="00C6568E">
        <w:rPr>
          <w:rFonts w:asciiTheme="minorHAnsi" w:hAnsiTheme="minorHAnsi" w:cs="Arial"/>
          <w:sz w:val="20"/>
          <w:szCs w:val="20"/>
        </w:rPr>
        <w:t xml:space="preserve"> celebrities.</w:t>
      </w:r>
    </w:p>
    <w:p w:rsidR="009A64DB" w:rsidRPr="00C6568E" w:rsidRDefault="009A64DB" w:rsidP="00AB2912">
      <w:pPr>
        <w:pBdr>
          <w:top w:val="none" w:sz="0" w:space="0" w:color="auto"/>
          <w:left w:val="none" w:sz="0" w:space="0" w:color="auto"/>
          <w:bottom w:val="none" w:sz="0" w:space="0" w:color="auto"/>
          <w:right w:val="none" w:sz="0" w:space="0" w:color="auto"/>
        </w:pBdr>
        <w:jc w:val="both"/>
        <w:rPr>
          <w:rFonts w:asciiTheme="minorHAnsi" w:hAnsiTheme="minorHAnsi" w:cs="Arial"/>
          <w:color w:val="1F497D"/>
          <w:sz w:val="20"/>
          <w:szCs w:val="20"/>
        </w:rPr>
      </w:pPr>
    </w:p>
    <w:p w:rsidR="009A64DB" w:rsidRPr="00C6568E" w:rsidRDefault="009A64DB" w:rsidP="00AB2912">
      <w:pPr>
        <w:pBdr>
          <w:top w:val="none" w:sz="0" w:space="0" w:color="auto"/>
          <w:left w:val="none" w:sz="0" w:space="0" w:color="auto"/>
          <w:bottom w:val="none" w:sz="0" w:space="0" w:color="auto"/>
          <w:right w:val="none" w:sz="0" w:space="0" w:color="auto"/>
        </w:pBdr>
        <w:jc w:val="both"/>
        <w:rPr>
          <w:rFonts w:asciiTheme="minorHAnsi" w:hAnsiTheme="minorHAnsi" w:cs="Arial"/>
          <w:b/>
          <w:i/>
          <w:iCs/>
          <w:sz w:val="20"/>
          <w:szCs w:val="20"/>
        </w:rPr>
      </w:pPr>
      <w:r w:rsidRPr="00C6568E">
        <w:rPr>
          <w:rFonts w:asciiTheme="minorHAnsi" w:hAnsiTheme="minorHAnsi" w:cs="Arial"/>
          <w:b/>
          <w:i/>
          <w:iCs/>
          <w:sz w:val="20"/>
          <w:szCs w:val="20"/>
        </w:rPr>
        <w:t>About PokerVision Media</w:t>
      </w:r>
    </w:p>
    <w:p w:rsidR="009A64DB" w:rsidRPr="00C6568E" w:rsidRDefault="009A64DB" w:rsidP="00AB2912">
      <w:pPr>
        <w:pBdr>
          <w:top w:val="none" w:sz="0" w:space="0" w:color="auto"/>
          <w:left w:val="none" w:sz="0" w:space="0" w:color="auto"/>
          <w:bottom w:val="none" w:sz="0" w:space="0" w:color="auto"/>
          <w:right w:val="none" w:sz="0" w:space="0" w:color="auto"/>
        </w:pBdr>
        <w:jc w:val="both"/>
        <w:rPr>
          <w:rFonts w:asciiTheme="minorHAnsi" w:hAnsiTheme="minorHAnsi" w:cs="Arial"/>
          <w:i/>
          <w:iCs/>
          <w:sz w:val="20"/>
          <w:szCs w:val="20"/>
        </w:rPr>
      </w:pPr>
    </w:p>
    <w:p w:rsidR="009A64DB" w:rsidRPr="00C6568E" w:rsidRDefault="009A64DB" w:rsidP="00AB2912">
      <w:pPr>
        <w:pBdr>
          <w:top w:val="none" w:sz="0" w:space="0" w:color="auto"/>
          <w:left w:val="none" w:sz="0" w:space="0" w:color="auto"/>
          <w:bottom w:val="none" w:sz="0" w:space="0" w:color="auto"/>
          <w:right w:val="none" w:sz="0" w:space="0" w:color="auto"/>
        </w:pBdr>
        <w:jc w:val="both"/>
        <w:rPr>
          <w:rFonts w:asciiTheme="minorHAnsi" w:hAnsiTheme="minorHAnsi" w:cs="Arial"/>
          <w:i/>
          <w:iCs/>
          <w:sz w:val="20"/>
          <w:szCs w:val="20"/>
        </w:rPr>
      </w:pPr>
      <w:r w:rsidRPr="00C6568E">
        <w:rPr>
          <w:rFonts w:asciiTheme="minorHAnsi" w:hAnsiTheme="minorHAnsi" w:cs="Arial"/>
          <w:i/>
          <w:iCs/>
          <w:sz w:val="20"/>
          <w:szCs w:val="20"/>
        </w:rPr>
        <w:t xml:space="preserve">PokerVision Media Inc., a subdivision of ePlay Digital, is a Calgary, Alberta-based multi-platform media and entertainment company that </w:t>
      </w:r>
      <w:proofErr w:type="gramStart"/>
      <w:r w:rsidRPr="00C6568E">
        <w:rPr>
          <w:rFonts w:asciiTheme="minorHAnsi" w:hAnsiTheme="minorHAnsi" w:cs="Arial"/>
          <w:i/>
          <w:iCs/>
          <w:sz w:val="20"/>
          <w:szCs w:val="20"/>
        </w:rPr>
        <w:t>is</w:t>
      </w:r>
      <w:proofErr w:type="gramEnd"/>
      <w:r w:rsidRPr="00C6568E">
        <w:rPr>
          <w:rFonts w:asciiTheme="minorHAnsi" w:hAnsiTheme="minorHAnsi" w:cs="Arial"/>
          <w:i/>
          <w:iCs/>
          <w:sz w:val="20"/>
          <w:szCs w:val="20"/>
        </w:rPr>
        <w:t xml:space="preserve"> redefining the future of sports consumption by bridging poker, gaming, eSports and sports content with unparalleled consumer interactivity.   Engaging viewers on multiple platforms with live events and original programming that embed gamification and interactivity, sets the stage for PVN to change the way media is consumed and monetized in targeted industries.</w:t>
      </w:r>
    </w:p>
    <w:p w:rsidR="009A64DB" w:rsidRPr="00C6568E" w:rsidRDefault="009A64DB" w:rsidP="00AB2912">
      <w:pPr>
        <w:pBdr>
          <w:top w:val="none" w:sz="0" w:space="0" w:color="auto"/>
          <w:left w:val="none" w:sz="0" w:space="0" w:color="auto"/>
          <w:bottom w:val="none" w:sz="0" w:space="0" w:color="auto"/>
          <w:right w:val="none" w:sz="0" w:space="0" w:color="auto"/>
        </w:pBdr>
        <w:jc w:val="both"/>
        <w:rPr>
          <w:rFonts w:asciiTheme="minorHAnsi" w:hAnsiTheme="minorHAnsi" w:cs="Arial"/>
          <w:i/>
          <w:iCs/>
          <w:sz w:val="20"/>
          <w:szCs w:val="20"/>
        </w:rPr>
      </w:pPr>
    </w:p>
    <w:p w:rsidR="009A64DB" w:rsidRPr="00C6568E" w:rsidRDefault="009A64DB" w:rsidP="00AB2912">
      <w:pPr>
        <w:pBdr>
          <w:top w:val="none" w:sz="0" w:space="0" w:color="auto"/>
          <w:left w:val="none" w:sz="0" w:space="0" w:color="auto"/>
          <w:bottom w:val="none" w:sz="0" w:space="0" w:color="auto"/>
          <w:right w:val="none" w:sz="0" w:space="0" w:color="auto"/>
        </w:pBdr>
        <w:jc w:val="both"/>
        <w:rPr>
          <w:rFonts w:asciiTheme="minorHAnsi" w:hAnsiTheme="minorHAnsi" w:cs="Arial"/>
          <w:b/>
          <w:i/>
          <w:iCs/>
          <w:sz w:val="20"/>
          <w:szCs w:val="20"/>
        </w:rPr>
      </w:pPr>
      <w:r w:rsidRPr="00C6568E">
        <w:rPr>
          <w:rFonts w:asciiTheme="minorHAnsi" w:hAnsiTheme="minorHAnsi" w:cs="Arial"/>
          <w:b/>
          <w:i/>
          <w:iCs/>
          <w:sz w:val="20"/>
          <w:szCs w:val="20"/>
        </w:rPr>
        <w:t>About ePlay Digital</w:t>
      </w:r>
    </w:p>
    <w:p w:rsidR="009A64DB" w:rsidRPr="00C6568E" w:rsidRDefault="009A64DB" w:rsidP="00AB2912">
      <w:pPr>
        <w:pBdr>
          <w:top w:val="none" w:sz="0" w:space="0" w:color="auto"/>
          <w:left w:val="none" w:sz="0" w:space="0" w:color="auto"/>
          <w:bottom w:val="none" w:sz="0" w:space="0" w:color="auto"/>
          <w:right w:val="none" w:sz="0" w:space="0" w:color="auto"/>
        </w:pBdr>
        <w:jc w:val="both"/>
        <w:rPr>
          <w:rFonts w:asciiTheme="minorHAnsi" w:hAnsiTheme="minorHAnsi" w:cs="Arial"/>
          <w:i/>
          <w:iCs/>
          <w:sz w:val="20"/>
          <w:szCs w:val="20"/>
        </w:rPr>
      </w:pPr>
    </w:p>
    <w:p w:rsidR="009A64DB" w:rsidRPr="00C6568E" w:rsidRDefault="009A64DB" w:rsidP="00AB2912">
      <w:pPr>
        <w:pBdr>
          <w:top w:val="none" w:sz="0" w:space="0" w:color="auto"/>
          <w:left w:val="none" w:sz="0" w:space="0" w:color="auto"/>
          <w:bottom w:val="none" w:sz="0" w:space="0" w:color="auto"/>
          <w:right w:val="none" w:sz="0" w:space="0" w:color="auto"/>
        </w:pBdr>
        <w:jc w:val="both"/>
        <w:rPr>
          <w:rFonts w:asciiTheme="minorHAnsi" w:hAnsiTheme="minorHAnsi" w:cs="Arial"/>
          <w:i/>
          <w:iCs/>
          <w:sz w:val="20"/>
          <w:szCs w:val="20"/>
        </w:rPr>
      </w:pPr>
      <w:proofErr w:type="gramStart"/>
      <w:r w:rsidRPr="00C6568E">
        <w:rPr>
          <w:rFonts w:asciiTheme="minorHAnsi" w:hAnsiTheme="minorHAnsi" w:cs="Arial"/>
          <w:i/>
          <w:iCs/>
          <w:sz w:val="20"/>
          <w:szCs w:val="20"/>
        </w:rPr>
        <w:t>ePlay</w:t>
      </w:r>
      <w:proofErr w:type="gramEnd"/>
      <w:r w:rsidRPr="00C6568E">
        <w:rPr>
          <w:rFonts w:asciiTheme="minorHAnsi" w:hAnsiTheme="minorHAnsi" w:cs="Arial"/>
          <w:i/>
          <w:iCs/>
          <w:sz w:val="20"/>
          <w:szCs w:val="20"/>
        </w:rPr>
        <w:t xml:space="preserve"> Digital Inc. develops and operates broadcast and live video technologies that enable TV networks to evolve and meet the demands of today's highly-engaged audiences. ePlay bridges the gap between traditional TV and dynamic, next generation digital broadcasts that deliver interactive content, live streaming, augmented reality, fantasy sports, and social media across multiple devices. ePlay is operated by a team of sports, gaming and eSports authorities as well as broadcast and digital technology industry experts, software engineers and athletes who have brought the ePlay platform to market and successfully partnered with companies including Time Warner Cable, ESPN, Sony Pictures, AXS TV, Intel, AXN, Fiat, and others.</w:t>
      </w:r>
    </w:p>
    <w:p w:rsidR="00C6568E" w:rsidRPr="006E3A8E" w:rsidRDefault="00C6568E" w:rsidP="00AB2912">
      <w:pPr>
        <w:pBdr>
          <w:top w:val="none" w:sz="0" w:space="0" w:color="auto"/>
          <w:left w:val="none" w:sz="0" w:space="0" w:color="auto"/>
          <w:bottom w:val="none" w:sz="0" w:space="0" w:color="auto"/>
          <w:right w:val="none" w:sz="0" w:space="0" w:color="auto"/>
        </w:pBdr>
        <w:jc w:val="both"/>
        <w:rPr>
          <w:rFonts w:ascii="Arial" w:hAnsi="Arial" w:cs="Arial"/>
          <w:i/>
          <w:iCs/>
          <w:sz w:val="20"/>
          <w:szCs w:val="20"/>
        </w:rPr>
      </w:pPr>
    </w:p>
    <w:p w:rsidR="009A64DB" w:rsidRPr="00BD0644" w:rsidRDefault="009A64DB" w:rsidP="00AB2912">
      <w:pPr>
        <w:pStyle w:val="NormalWeb"/>
        <w:spacing w:before="0" w:beforeAutospacing="0" w:after="0" w:afterAutospacing="0"/>
        <w:jc w:val="both"/>
        <w:rPr>
          <w:rFonts w:ascii="Calibri" w:hAnsi="Calibri"/>
          <w:sz w:val="20"/>
          <w:szCs w:val="20"/>
        </w:rPr>
      </w:pPr>
      <w:r w:rsidRPr="00BD0644">
        <w:rPr>
          <w:rFonts w:ascii="Calibri" w:hAnsi="Calibri" w:cs="Arial"/>
          <w:b/>
          <w:bCs/>
          <w:color w:val="000000"/>
          <w:sz w:val="20"/>
          <w:szCs w:val="20"/>
        </w:rPr>
        <w:t>Further Information</w:t>
      </w:r>
    </w:p>
    <w:p w:rsidR="009A64DB" w:rsidRPr="00BD0644" w:rsidRDefault="009A64DB" w:rsidP="00AB2912">
      <w:pPr>
        <w:pStyle w:val="NormalWeb"/>
        <w:spacing w:before="0" w:beforeAutospacing="0" w:after="0" w:afterAutospacing="0"/>
        <w:jc w:val="both"/>
        <w:rPr>
          <w:rFonts w:ascii="Calibri" w:hAnsi="Calibri"/>
          <w:sz w:val="20"/>
          <w:szCs w:val="20"/>
        </w:rPr>
      </w:pPr>
      <w:r w:rsidRPr="00BD0644">
        <w:rPr>
          <w:rFonts w:ascii="Calibri" w:hAnsi="Calibri" w:cs="Arial"/>
          <w:color w:val="000000"/>
          <w:sz w:val="20"/>
          <w:szCs w:val="20"/>
        </w:rPr>
        <w:t xml:space="preserve">Further details are available under the Company’s profile on SEDAR at www.sedar.com, and the Company’s profile on the CSE’s website at </w:t>
      </w:r>
      <w:hyperlink r:id="rId10" w:history="1">
        <w:r w:rsidRPr="00BD0644">
          <w:rPr>
            <w:rStyle w:val="Hyperlink"/>
            <w:rFonts w:ascii="Calibri" w:hAnsi="Calibri" w:cs="Arial"/>
            <w:color w:val="1155CC"/>
            <w:sz w:val="20"/>
            <w:szCs w:val="20"/>
          </w:rPr>
          <w:t>www.thecse.com/</w:t>
        </w:r>
      </w:hyperlink>
    </w:p>
    <w:p w:rsidR="009A64DB" w:rsidRPr="00BD0644" w:rsidRDefault="009A64DB" w:rsidP="00AB2912">
      <w:pPr>
        <w:pBdr>
          <w:top w:val="none" w:sz="0" w:space="0" w:color="auto"/>
          <w:left w:val="none" w:sz="0" w:space="0" w:color="auto"/>
          <w:bottom w:val="none" w:sz="0" w:space="0" w:color="auto"/>
          <w:right w:val="none" w:sz="0" w:space="0" w:color="auto"/>
        </w:pBdr>
        <w:jc w:val="both"/>
        <w:rPr>
          <w:rFonts w:ascii="Calibri" w:hAnsi="Calibri"/>
          <w:sz w:val="20"/>
          <w:szCs w:val="20"/>
        </w:rPr>
      </w:pPr>
    </w:p>
    <w:p w:rsidR="009A64DB" w:rsidRPr="00BD0644" w:rsidRDefault="009A64DB" w:rsidP="00AB2912">
      <w:pPr>
        <w:pStyle w:val="NormalWeb"/>
        <w:spacing w:before="0" w:beforeAutospacing="0" w:after="0" w:afterAutospacing="0"/>
        <w:jc w:val="both"/>
        <w:rPr>
          <w:rFonts w:ascii="Calibri" w:hAnsi="Calibri"/>
          <w:sz w:val="20"/>
          <w:szCs w:val="20"/>
        </w:rPr>
      </w:pPr>
      <w:r w:rsidRPr="00BD0644">
        <w:rPr>
          <w:rFonts w:ascii="Calibri" w:hAnsi="Calibri" w:cs="Arial"/>
          <w:color w:val="000000"/>
          <w:sz w:val="20"/>
          <w:szCs w:val="20"/>
        </w:rPr>
        <w:t>For further information please contact:</w:t>
      </w:r>
    </w:p>
    <w:p w:rsidR="009A64DB" w:rsidRPr="00BD0644" w:rsidRDefault="009A64DB" w:rsidP="00AB2912">
      <w:pPr>
        <w:pStyle w:val="NormalWeb"/>
        <w:spacing w:before="0" w:beforeAutospacing="0" w:after="0" w:afterAutospacing="0"/>
        <w:jc w:val="both"/>
        <w:rPr>
          <w:rFonts w:ascii="Calibri" w:hAnsi="Calibri"/>
          <w:sz w:val="20"/>
          <w:szCs w:val="20"/>
        </w:rPr>
      </w:pPr>
      <w:r w:rsidRPr="00BD0644">
        <w:rPr>
          <w:rFonts w:ascii="Calibri" w:hAnsi="Calibri" w:cs="Arial"/>
          <w:color w:val="000000"/>
          <w:sz w:val="20"/>
          <w:szCs w:val="20"/>
        </w:rPr>
        <w:t>Trevor Doerksen, CEO, and Director</w:t>
      </w:r>
    </w:p>
    <w:p w:rsidR="009A64DB" w:rsidRPr="00BD0644" w:rsidRDefault="009A64DB" w:rsidP="00AB2912">
      <w:pPr>
        <w:pStyle w:val="NormalWeb"/>
        <w:spacing w:before="0" w:beforeAutospacing="0" w:after="0" w:afterAutospacing="0"/>
        <w:jc w:val="both"/>
        <w:rPr>
          <w:rFonts w:ascii="Calibri" w:hAnsi="Calibri"/>
          <w:sz w:val="20"/>
          <w:szCs w:val="20"/>
        </w:rPr>
      </w:pPr>
      <w:r w:rsidRPr="00BD0644">
        <w:rPr>
          <w:rFonts w:ascii="Calibri" w:hAnsi="Calibri" w:cs="Arial"/>
          <w:color w:val="000000"/>
          <w:sz w:val="20"/>
          <w:szCs w:val="20"/>
        </w:rPr>
        <w:t>Telephone: (403) 775-9475</w:t>
      </w:r>
    </w:p>
    <w:p w:rsidR="009A64DB" w:rsidRPr="00BD0644" w:rsidRDefault="009A64DB" w:rsidP="00AB2912">
      <w:pPr>
        <w:pStyle w:val="NormalWeb"/>
        <w:spacing w:before="0" w:beforeAutospacing="0" w:after="0" w:afterAutospacing="0"/>
        <w:jc w:val="both"/>
        <w:rPr>
          <w:rFonts w:ascii="Calibri" w:hAnsi="Calibri"/>
          <w:sz w:val="20"/>
          <w:szCs w:val="20"/>
        </w:rPr>
      </w:pPr>
      <w:r w:rsidRPr="00BD0644">
        <w:rPr>
          <w:rFonts w:ascii="Calibri" w:hAnsi="Calibri" w:cs="Arial"/>
          <w:color w:val="000000"/>
          <w:sz w:val="20"/>
          <w:szCs w:val="20"/>
        </w:rPr>
        <w:t>E-mail:</w:t>
      </w:r>
      <w:hyperlink r:id="rId11" w:history="1">
        <w:r w:rsidRPr="00BD0644">
          <w:rPr>
            <w:rStyle w:val="Hyperlink"/>
            <w:rFonts w:ascii="Calibri" w:hAnsi="Calibri" w:cs="Arial"/>
            <w:color w:val="1155CC"/>
            <w:sz w:val="20"/>
            <w:szCs w:val="20"/>
          </w:rPr>
          <w:t xml:space="preserve"> info@eplaydigital.com </w:t>
        </w:r>
      </w:hyperlink>
    </w:p>
    <w:p w:rsidR="009A64DB" w:rsidRPr="00BD0644" w:rsidRDefault="009A64DB" w:rsidP="00AB2912">
      <w:pPr>
        <w:pStyle w:val="NormalWeb"/>
        <w:spacing w:before="0" w:beforeAutospacing="0" w:after="0" w:afterAutospacing="0"/>
        <w:jc w:val="both"/>
        <w:rPr>
          <w:rFonts w:ascii="Calibri" w:hAnsi="Calibri"/>
          <w:sz w:val="20"/>
          <w:szCs w:val="20"/>
        </w:rPr>
      </w:pPr>
      <w:r w:rsidRPr="00BD0644">
        <w:rPr>
          <w:rFonts w:ascii="Calibri" w:hAnsi="Calibri" w:cs="Arial"/>
          <w:color w:val="000000"/>
          <w:sz w:val="20"/>
          <w:szCs w:val="20"/>
        </w:rPr>
        <w:t>Website:</w:t>
      </w:r>
      <w:hyperlink r:id="rId12" w:history="1">
        <w:r w:rsidRPr="00BD0644">
          <w:rPr>
            <w:rStyle w:val="Hyperlink"/>
            <w:rFonts w:ascii="Calibri" w:hAnsi="Calibri" w:cs="Arial"/>
            <w:color w:val="1155CC"/>
            <w:sz w:val="20"/>
            <w:szCs w:val="20"/>
          </w:rPr>
          <w:t xml:space="preserve"> www.eplaydigital.com</w:t>
        </w:r>
      </w:hyperlink>
    </w:p>
    <w:p w:rsidR="009A64DB" w:rsidRPr="00BD0644" w:rsidRDefault="009A64DB" w:rsidP="00AB2912">
      <w:pPr>
        <w:pBdr>
          <w:top w:val="none" w:sz="0" w:space="0" w:color="auto"/>
          <w:left w:val="none" w:sz="0" w:space="0" w:color="auto"/>
          <w:bottom w:val="none" w:sz="0" w:space="0" w:color="auto"/>
          <w:right w:val="none" w:sz="0" w:space="0" w:color="auto"/>
        </w:pBdr>
        <w:jc w:val="both"/>
        <w:rPr>
          <w:rFonts w:ascii="Calibri" w:hAnsi="Calibri"/>
          <w:sz w:val="20"/>
          <w:szCs w:val="20"/>
        </w:rPr>
      </w:pPr>
    </w:p>
    <w:p w:rsidR="009A64DB" w:rsidRPr="00BD0644" w:rsidRDefault="009A64DB" w:rsidP="00AB2912">
      <w:pPr>
        <w:pStyle w:val="NormalWeb"/>
        <w:spacing w:before="0" w:beforeAutospacing="0" w:after="0" w:afterAutospacing="0"/>
        <w:jc w:val="both"/>
        <w:rPr>
          <w:rFonts w:ascii="Calibri" w:hAnsi="Calibri"/>
          <w:sz w:val="20"/>
          <w:szCs w:val="20"/>
        </w:rPr>
      </w:pPr>
      <w:r w:rsidRPr="00BD0644">
        <w:rPr>
          <w:rFonts w:ascii="Calibri" w:hAnsi="Calibri" w:cs="Arial"/>
          <w:color w:val="000000"/>
          <w:sz w:val="20"/>
          <w:szCs w:val="20"/>
        </w:rPr>
        <w:t xml:space="preserve">Canadian Securities Exchange </w:t>
      </w:r>
      <w:hyperlink r:id="rId13" w:history="1">
        <w:r w:rsidRPr="00BD0644">
          <w:rPr>
            <w:rStyle w:val="Hyperlink"/>
            <w:rFonts w:ascii="Calibri" w:hAnsi="Calibri" w:cs="Arial"/>
            <w:color w:val="1155CC"/>
            <w:sz w:val="20"/>
            <w:szCs w:val="20"/>
          </w:rPr>
          <w:t>(CSE): Symbol EPY</w:t>
        </w:r>
      </w:hyperlink>
    </w:p>
    <w:p w:rsidR="009A64DB" w:rsidRPr="00BD0644" w:rsidRDefault="009A64DB" w:rsidP="00AB2912">
      <w:pPr>
        <w:pStyle w:val="NormalWeb"/>
        <w:spacing w:before="0" w:beforeAutospacing="0" w:after="0" w:afterAutospacing="0"/>
        <w:jc w:val="both"/>
        <w:rPr>
          <w:rFonts w:ascii="Calibri" w:hAnsi="Calibri"/>
          <w:sz w:val="20"/>
          <w:szCs w:val="20"/>
        </w:rPr>
      </w:pPr>
      <w:r w:rsidRPr="00BD0644">
        <w:rPr>
          <w:rFonts w:ascii="Calibri" w:hAnsi="Calibri" w:cs="Arial"/>
          <w:color w:val="000000"/>
          <w:sz w:val="20"/>
          <w:szCs w:val="20"/>
        </w:rPr>
        <w:t xml:space="preserve">Deutsche </w:t>
      </w:r>
      <w:proofErr w:type="spellStart"/>
      <w:r w:rsidRPr="00BD0644">
        <w:rPr>
          <w:rFonts w:ascii="Calibri" w:hAnsi="Calibri" w:cs="Arial"/>
          <w:color w:val="000000"/>
          <w:sz w:val="20"/>
          <w:szCs w:val="20"/>
        </w:rPr>
        <w:t>Boerse</w:t>
      </w:r>
      <w:proofErr w:type="spellEnd"/>
      <w:r w:rsidRPr="00BD0644">
        <w:rPr>
          <w:rFonts w:ascii="Calibri" w:hAnsi="Calibri" w:cs="Arial"/>
          <w:color w:val="000000"/>
          <w:sz w:val="20"/>
          <w:szCs w:val="20"/>
        </w:rPr>
        <w:t xml:space="preserve"> </w:t>
      </w:r>
      <w:proofErr w:type="spellStart"/>
      <w:r w:rsidRPr="00BD0644">
        <w:rPr>
          <w:rFonts w:ascii="Calibri" w:hAnsi="Calibri" w:cs="Arial"/>
          <w:color w:val="000000"/>
          <w:sz w:val="20"/>
          <w:szCs w:val="20"/>
        </w:rPr>
        <w:t>Xetra</w:t>
      </w:r>
      <w:proofErr w:type="spellEnd"/>
      <w:r w:rsidRPr="00BD0644">
        <w:rPr>
          <w:rFonts w:ascii="Calibri" w:hAnsi="Calibri" w:cs="Arial"/>
          <w:color w:val="000000"/>
          <w:sz w:val="20"/>
          <w:szCs w:val="20"/>
        </w:rPr>
        <w:t xml:space="preserve"> - Frankfurt Stock Exchange: </w:t>
      </w:r>
      <w:hyperlink r:id="rId14" w:history="1">
        <w:r w:rsidRPr="00BD0644">
          <w:rPr>
            <w:rStyle w:val="Hyperlink"/>
            <w:rFonts w:ascii="Calibri" w:hAnsi="Calibri" w:cs="Arial"/>
            <w:color w:val="1155CC"/>
            <w:sz w:val="20"/>
            <w:szCs w:val="20"/>
          </w:rPr>
          <w:t>Symbol 2NY2; WKN: A2AN4D; ISIN CA26885W1041</w:t>
        </w:r>
      </w:hyperlink>
    </w:p>
    <w:p w:rsidR="009A64DB" w:rsidRPr="00BD0644" w:rsidRDefault="009A64DB" w:rsidP="00AB2912">
      <w:pPr>
        <w:pStyle w:val="Body"/>
        <w:pBdr>
          <w:top w:val="none" w:sz="0" w:space="0" w:color="auto"/>
          <w:left w:val="none" w:sz="0" w:space="0" w:color="auto"/>
          <w:bottom w:val="none" w:sz="0" w:space="0" w:color="auto"/>
          <w:right w:val="none" w:sz="0" w:space="0" w:color="auto"/>
        </w:pBdr>
        <w:spacing w:after="120"/>
        <w:jc w:val="both"/>
        <w:outlineLvl w:val="0"/>
        <w:rPr>
          <w:b/>
          <w:bCs/>
          <w:sz w:val="16"/>
          <w:szCs w:val="16"/>
          <w:lang w:val="en-US"/>
        </w:rPr>
      </w:pPr>
    </w:p>
    <w:p w:rsidR="009A64DB" w:rsidRDefault="00C6568E" w:rsidP="00AB2912">
      <w:pPr>
        <w:pStyle w:val="Body"/>
        <w:pBdr>
          <w:top w:val="none" w:sz="0" w:space="0" w:color="auto"/>
          <w:left w:val="none" w:sz="0" w:space="0" w:color="auto"/>
          <w:bottom w:val="none" w:sz="0" w:space="0" w:color="auto"/>
          <w:right w:val="none" w:sz="0" w:space="0" w:color="auto"/>
        </w:pBdr>
        <w:spacing w:after="120"/>
        <w:jc w:val="both"/>
        <w:outlineLvl w:val="0"/>
        <w:rPr>
          <w:rFonts w:ascii="Arial" w:hAnsi="Arial" w:cs="Arial"/>
          <w:b/>
          <w:bCs/>
          <w:sz w:val="16"/>
          <w:szCs w:val="16"/>
        </w:rPr>
      </w:pPr>
      <w:r>
        <w:rPr>
          <w:rFonts w:ascii="Arial" w:hAnsi="Arial"/>
          <w:b/>
          <w:bCs/>
          <w:sz w:val="16"/>
          <w:szCs w:val="16"/>
          <w:lang w:val="en-US"/>
        </w:rPr>
        <w:br w:type="page"/>
      </w:r>
      <w:r w:rsidR="009A64DB">
        <w:rPr>
          <w:rFonts w:ascii="Arial" w:hAnsi="Arial"/>
          <w:b/>
          <w:bCs/>
          <w:sz w:val="16"/>
          <w:szCs w:val="16"/>
          <w:lang w:val="en-US"/>
        </w:rPr>
        <w:lastRenderedPageBreak/>
        <w:t>Cautionary and Forward-Looking Statements</w:t>
      </w:r>
    </w:p>
    <w:p w:rsidR="009A64DB" w:rsidRDefault="009A64DB" w:rsidP="00AB2912">
      <w:pPr>
        <w:pStyle w:val="Body"/>
        <w:pBdr>
          <w:top w:val="none" w:sz="0" w:space="0" w:color="auto"/>
          <w:left w:val="none" w:sz="0" w:space="0" w:color="auto"/>
          <w:bottom w:val="none" w:sz="0" w:space="0" w:color="auto"/>
          <w:right w:val="none" w:sz="0" w:space="0" w:color="auto"/>
        </w:pBdr>
        <w:spacing w:after="120"/>
        <w:jc w:val="both"/>
        <w:outlineLvl w:val="0"/>
        <w:rPr>
          <w:rFonts w:ascii="Arial" w:hAnsi="Arial" w:cs="Arial"/>
          <w:i/>
          <w:iCs/>
          <w:sz w:val="16"/>
          <w:szCs w:val="16"/>
        </w:rPr>
      </w:pPr>
      <w:r>
        <w:rPr>
          <w:rFonts w:ascii="Arial" w:hAnsi="Arial"/>
          <w:i/>
          <w:iCs/>
          <w:sz w:val="16"/>
          <w:szCs w:val="16"/>
          <w:lang w:val="en-US"/>
        </w:rPr>
        <w:t>This news release contains forward</w:t>
      </w:r>
      <w:r>
        <w:rPr>
          <w:rFonts w:ascii="Cambria Math" w:hAnsi="Cambria Math" w:cs="Cambria Math"/>
          <w:i/>
          <w:iCs/>
          <w:sz w:val="16"/>
          <w:szCs w:val="16"/>
          <w:lang w:val="en-US"/>
        </w:rPr>
        <w:t>‐</w:t>
      </w:r>
      <w:r>
        <w:rPr>
          <w:rFonts w:ascii="Arial" w:hAnsi="Arial"/>
          <w:i/>
          <w:iCs/>
          <w:sz w:val="16"/>
          <w:szCs w:val="16"/>
          <w:lang w:val="en-US"/>
        </w:rPr>
        <w:t>looking statements and forward</w:t>
      </w:r>
      <w:r>
        <w:rPr>
          <w:rFonts w:ascii="Cambria Math" w:hAnsi="Cambria Math" w:cs="Cambria Math"/>
          <w:i/>
          <w:iCs/>
          <w:sz w:val="16"/>
          <w:szCs w:val="16"/>
          <w:lang w:val="en-US"/>
        </w:rPr>
        <w:t>‐</w:t>
      </w:r>
      <w:r>
        <w:rPr>
          <w:rFonts w:ascii="Arial" w:hAnsi="Arial"/>
          <w:i/>
          <w:iCs/>
          <w:sz w:val="16"/>
          <w:szCs w:val="16"/>
          <w:lang w:val="en-US"/>
        </w:rPr>
        <w:t>looking information within the meaning of applicable securities laws. These statements relate to future events or future performance. All statements other than statements of historical fact may be forward</w:t>
      </w:r>
      <w:r>
        <w:rPr>
          <w:rFonts w:ascii="Cambria Math" w:hAnsi="Cambria Math" w:cs="Cambria Math"/>
          <w:i/>
          <w:iCs/>
          <w:sz w:val="16"/>
          <w:szCs w:val="16"/>
          <w:lang w:val="en-US"/>
        </w:rPr>
        <w:t>‐</w:t>
      </w:r>
      <w:r>
        <w:rPr>
          <w:rFonts w:ascii="Arial" w:hAnsi="Arial"/>
          <w:i/>
          <w:iCs/>
          <w:sz w:val="16"/>
          <w:szCs w:val="16"/>
          <w:lang w:val="en-US"/>
        </w:rPr>
        <w:t>looking statements or information. More particularly and without limitation, this news release contains forward</w:t>
      </w:r>
      <w:r>
        <w:rPr>
          <w:rFonts w:ascii="Cambria Math" w:hAnsi="Cambria Math" w:cs="Cambria Math"/>
          <w:i/>
          <w:iCs/>
          <w:sz w:val="16"/>
          <w:szCs w:val="16"/>
          <w:lang w:val="en-US"/>
        </w:rPr>
        <w:t>‐</w:t>
      </w:r>
      <w:r>
        <w:rPr>
          <w:rFonts w:ascii="Arial" w:hAnsi="Arial"/>
          <w:i/>
          <w:iCs/>
          <w:sz w:val="16"/>
          <w:szCs w:val="16"/>
          <w:lang w:val="en-US"/>
        </w:rPr>
        <w:t>looking statements and information relating to third party research and analysis, and the Company's corporate strategy. Although management of the Company believes that the expectations and assumptions on which such forward looking statements and information are based are reasonable, undue reliance should not be placed on the forward</w:t>
      </w:r>
      <w:r>
        <w:rPr>
          <w:rFonts w:ascii="Cambria Math" w:hAnsi="Cambria Math" w:cs="Cambria Math"/>
          <w:i/>
          <w:iCs/>
          <w:sz w:val="16"/>
          <w:szCs w:val="16"/>
          <w:lang w:val="en-US"/>
        </w:rPr>
        <w:t>‐</w:t>
      </w:r>
      <w:r>
        <w:rPr>
          <w:rFonts w:ascii="Arial" w:hAnsi="Arial"/>
          <w:i/>
          <w:iCs/>
          <w:sz w:val="16"/>
          <w:szCs w:val="16"/>
          <w:lang w:val="en-US"/>
        </w:rPr>
        <w:t>looking statements and information since no assurance can be given that they will prove to be correct, and management can neither agree or disagree on specific conclusions contained in the research report.</w:t>
      </w:r>
    </w:p>
    <w:p w:rsidR="009A64DB" w:rsidRDefault="009A64DB" w:rsidP="00AB2912">
      <w:pPr>
        <w:pStyle w:val="Body"/>
        <w:pBdr>
          <w:top w:val="none" w:sz="0" w:space="0" w:color="auto"/>
          <w:left w:val="none" w:sz="0" w:space="0" w:color="auto"/>
          <w:bottom w:val="none" w:sz="0" w:space="0" w:color="auto"/>
          <w:right w:val="none" w:sz="0" w:space="0" w:color="auto"/>
        </w:pBdr>
        <w:spacing w:after="120"/>
        <w:jc w:val="both"/>
        <w:outlineLvl w:val="0"/>
        <w:rPr>
          <w:rFonts w:ascii="Arial" w:hAnsi="Arial" w:cs="Arial"/>
          <w:i/>
          <w:iCs/>
          <w:sz w:val="16"/>
          <w:szCs w:val="16"/>
        </w:rPr>
      </w:pPr>
      <w:r>
        <w:rPr>
          <w:rFonts w:ascii="Arial" w:hAnsi="Arial"/>
          <w:i/>
          <w:iCs/>
          <w:sz w:val="16"/>
          <w:szCs w:val="16"/>
          <w:lang w:val="en-US"/>
        </w:rPr>
        <w:t>Forward-looking statements and information are provided for the purpose of providing information about the current expectations and plans of management of the Company relating to the future. Readers are cautioned that reliance on such statements and information may not be appropriate for other purposes, such as making investment decisions. Since forward</w:t>
      </w:r>
      <w:r>
        <w:rPr>
          <w:rFonts w:ascii="Cambria Math" w:hAnsi="Cambria Math" w:cs="Cambria Math"/>
          <w:i/>
          <w:iCs/>
          <w:sz w:val="16"/>
          <w:szCs w:val="16"/>
          <w:lang w:val="en-US"/>
        </w:rPr>
        <w:t>‐</w:t>
      </w:r>
      <w:r>
        <w:rPr>
          <w:rFonts w:ascii="Arial" w:hAnsi="Arial"/>
          <w:i/>
          <w:iCs/>
          <w:sz w:val="16"/>
          <w:szCs w:val="16"/>
          <w:lang w:val="en-US"/>
        </w:rPr>
        <w:t>looking statements and information address future events and conditions, by their very nature they involve inherent risks and uncertainties. Actual results could differ materially from those currently anticipated due to a number of factors and risks. These include, but are not limited to, the Company's ability to identify and complete suitable acquisitions to further the Company's growth as well as risks associated with the Company's ability to commercialize the digital sports sectors in general such as operational risks in development, research and regulatory delays or changes in plans with respect to research projects or capital expenditures; the uncertainty of the market; the uncertainty of estimates and projections relating to costs and expenses; marketing and commercialization; loss of markets; competition; incorrect assessment of the value of any technologies acquired and failure to realize the anticipated benefits of such acquisitions; ability to access sufficient capital from internal and external sources; failure to obtain required regulatory and other approvals and changes in legislation, including but not limited to tax laws, and government regulations. Accordingly, readers should not place undue reliance on the forward</w:t>
      </w:r>
      <w:r>
        <w:rPr>
          <w:rFonts w:ascii="Cambria Math" w:hAnsi="Cambria Math" w:cs="Cambria Math"/>
          <w:i/>
          <w:iCs/>
          <w:sz w:val="16"/>
          <w:szCs w:val="16"/>
          <w:lang w:val="en-US"/>
        </w:rPr>
        <w:t>‐</w:t>
      </w:r>
      <w:r>
        <w:rPr>
          <w:rFonts w:ascii="Arial" w:hAnsi="Arial"/>
          <w:i/>
          <w:iCs/>
          <w:sz w:val="16"/>
          <w:szCs w:val="16"/>
          <w:lang w:val="en-US"/>
        </w:rPr>
        <w:t>looking statements, timelines and information contained in this news release. Readers are cautioned that the foregoing list of factors is not exhaustive.</w:t>
      </w:r>
    </w:p>
    <w:p w:rsidR="009A64DB" w:rsidRDefault="009A64DB" w:rsidP="00AB2912">
      <w:pPr>
        <w:pStyle w:val="Body"/>
        <w:pBdr>
          <w:top w:val="none" w:sz="0" w:space="0" w:color="auto"/>
          <w:left w:val="none" w:sz="0" w:space="0" w:color="auto"/>
          <w:bottom w:val="none" w:sz="0" w:space="0" w:color="auto"/>
          <w:right w:val="none" w:sz="0" w:space="0" w:color="auto"/>
        </w:pBdr>
        <w:spacing w:after="120"/>
        <w:jc w:val="both"/>
        <w:outlineLvl w:val="0"/>
      </w:pPr>
      <w:r>
        <w:rPr>
          <w:rFonts w:ascii="Arial" w:hAnsi="Arial"/>
          <w:i/>
          <w:iCs/>
          <w:sz w:val="16"/>
          <w:szCs w:val="16"/>
          <w:lang w:val="en-US"/>
        </w:rPr>
        <w:t>The forward</w:t>
      </w:r>
      <w:r>
        <w:rPr>
          <w:rFonts w:ascii="Cambria Math" w:hAnsi="Cambria Math" w:cs="Cambria Math"/>
          <w:i/>
          <w:iCs/>
          <w:sz w:val="16"/>
          <w:szCs w:val="16"/>
          <w:lang w:val="en-US"/>
        </w:rPr>
        <w:t>‐</w:t>
      </w:r>
      <w:r>
        <w:rPr>
          <w:rFonts w:ascii="Arial" w:hAnsi="Arial"/>
          <w:i/>
          <w:iCs/>
          <w:sz w:val="16"/>
          <w:szCs w:val="16"/>
          <w:lang w:val="en-US"/>
        </w:rPr>
        <w:t>looking statements and information contained in this news release are made as of the date hereof and no undertaking is given to update publicly or revise any forward</w:t>
      </w:r>
      <w:r>
        <w:rPr>
          <w:rFonts w:ascii="Cambria Math" w:hAnsi="Cambria Math" w:cs="Cambria Math"/>
          <w:i/>
          <w:iCs/>
          <w:sz w:val="16"/>
          <w:szCs w:val="16"/>
          <w:lang w:val="en-US"/>
        </w:rPr>
        <w:t>‐</w:t>
      </w:r>
      <w:r>
        <w:rPr>
          <w:rFonts w:ascii="Arial" w:hAnsi="Arial"/>
          <w:i/>
          <w:iCs/>
          <w:sz w:val="16"/>
          <w:szCs w:val="16"/>
          <w:lang w:val="en-US"/>
        </w:rPr>
        <w:t>looking statements or information, whether as a result of new information, future events or otherwise, unless so required by applicable securities laws or the Exchange. The forward-looking statements or information contained in this news release are expressly qualified by this cautionary statement.</w:t>
      </w:r>
    </w:p>
    <w:sectPr w:rsidR="009A64DB" w:rsidSect="00CB3C88">
      <w:pgSz w:w="12240" w:h="15840"/>
      <w:pgMar w:top="289" w:right="794" w:bottom="289" w:left="79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FA4" w:rsidRDefault="00B36FA4">
      <w:pPr>
        <w:pBdr>
          <w:top w:val="none" w:sz="0" w:space="0" w:color="auto"/>
          <w:left w:val="none" w:sz="0" w:space="0" w:color="auto"/>
          <w:bottom w:val="none" w:sz="0" w:space="0" w:color="auto"/>
          <w:right w:val="none" w:sz="0" w:space="0" w:color="auto"/>
        </w:pBdr>
      </w:pPr>
      <w:r>
        <w:separator/>
      </w:r>
    </w:p>
  </w:endnote>
  <w:endnote w:type="continuationSeparator" w:id="0">
    <w:p w:rsidR="00B36FA4" w:rsidRDefault="00B36FA4">
      <w:pPr>
        <w:pBdr>
          <w:top w:val="none" w:sz="0" w:space="0" w:color="auto"/>
          <w:left w:val="none" w:sz="0" w:space="0" w:color="auto"/>
          <w:bottom w:val="none" w:sz="0" w:space="0" w:color="auto"/>
          <w:right w:val="none" w:sz="0" w:space="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FA4" w:rsidRDefault="00B36FA4">
      <w:pPr>
        <w:pBdr>
          <w:top w:val="none" w:sz="0" w:space="0" w:color="auto"/>
          <w:left w:val="none" w:sz="0" w:space="0" w:color="auto"/>
          <w:bottom w:val="none" w:sz="0" w:space="0" w:color="auto"/>
          <w:right w:val="none" w:sz="0" w:space="0" w:color="auto"/>
        </w:pBdr>
      </w:pPr>
      <w:r>
        <w:separator/>
      </w:r>
    </w:p>
  </w:footnote>
  <w:footnote w:type="continuationSeparator" w:id="0">
    <w:p w:rsidR="00B36FA4" w:rsidRDefault="00B36FA4">
      <w:pPr>
        <w:pBdr>
          <w:top w:val="none" w:sz="0" w:space="0" w:color="auto"/>
          <w:left w:val="none" w:sz="0" w:space="0" w:color="auto"/>
          <w:bottom w:val="none" w:sz="0" w:space="0" w:color="auto"/>
          <w:right w:val="none" w:sz="0" w:space="0" w:color="auto"/>
        </w:pBdr>
      </w:pPr>
      <w:r>
        <w:continuationSeparator/>
      </w:r>
    </w:p>
  </w:footnote>
  <w:footnote w:type="continuationNotice" w:id="1">
    <w:p w:rsidR="00B36FA4" w:rsidRDefault="00B36FA4">
      <w:pPr>
        <w:pBdr>
          <w:top w:val="none" w:sz="0" w:space="0" w:color="auto"/>
          <w:left w:val="none" w:sz="0" w:space="0" w:color="auto"/>
          <w:bottom w:val="none" w:sz="0" w:space="0" w:color="auto"/>
          <w:right w:val="none" w:sz="0" w:space="0" w:color="auto"/>
        </w:pBd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7211F0"/>
    <w:multiLevelType w:val="multilevel"/>
    <w:tmpl w:val="BA2A622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8EA"/>
    <w:rsid w:val="00011782"/>
    <w:rsid w:val="0006540F"/>
    <w:rsid w:val="00104EF2"/>
    <w:rsid w:val="0011180B"/>
    <w:rsid w:val="00115970"/>
    <w:rsid w:val="00196619"/>
    <w:rsid w:val="001A7D94"/>
    <w:rsid w:val="001E122B"/>
    <w:rsid w:val="00203B0B"/>
    <w:rsid w:val="002E422A"/>
    <w:rsid w:val="003017F1"/>
    <w:rsid w:val="0032169B"/>
    <w:rsid w:val="00340616"/>
    <w:rsid w:val="003558EA"/>
    <w:rsid w:val="003A1576"/>
    <w:rsid w:val="003A5D0A"/>
    <w:rsid w:val="003D18DD"/>
    <w:rsid w:val="003D7DF3"/>
    <w:rsid w:val="003E0D44"/>
    <w:rsid w:val="004057FA"/>
    <w:rsid w:val="004B37CE"/>
    <w:rsid w:val="005C03A6"/>
    <w:rsid w:val="00623984"/>
    <w:rsid w:val="006827EB"/>
    <w:rsid w:val="006A5191"/>
    <w:rsid w:val="006E3A8E"/>
    <w:rsid w:val="00710A57"/>
    <w:rsid w:val="007A746A"/>
    <w:rsid w:val="007B4759"/>
    <w:rsid w:val="008406EC"/>
    <w:rsid w:val="008556D0"/>
    <w:rsid w:val="009147B6"/>
    <w:rsid w:val="009202DF"/>
    <w:rsid w:val="00947286"/>
    <w:rsid w:val="0095325C"/>
    <w:rsid w:val="00964620"/>
    <w:rsid w:val="009A64DB"/>
    <w:rsid w:val="009B0961"/>
    <w:rsid w:val="009B5F69"/>
    <w:rsid w:val="00A115DF"/>
    <w:rsid w:val="00A227F1"/>
    <w:rsid w:val="00A3467A"/>
    <w:rsid w:val="00AA4A64"/>
    <w:rsid w:val="00AB2912"/>
    <w:rsid w:val="00AB4F3D"/>
    <w:rsid w:val="00B36FA4"/>
    <w:rsid w:val="00B77247"/>
    <w:rsid w:val="00BD0644"/>
    <w:rsid w:val="00C6568E"/>
    <w:rsid w:val="00C9583F"/>
    <w:rsid w:val="00C97DFE"/>
    <w:rsid w:val="00CB3C88"/>
    <w:rsid w:val="00D27E1E"/>
    <w:rsid w:val="00D9703F"/>
    <w:rsid w:val="00E363A2"/>
    <w:rsid w:val="00EA4F6D"/>
    <w:rsid w:val="00F47230"/>
    <w:rsid w:val="00FF7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pBdr>
        <w:top w:val="none" w:sz="96" w:space="31" w:color="FFFFFF" w:frame="1"/>
        <w:left w:val="none" w:sz="96" w:space="31" w:color="FFFFFF" w:frame="1"/>
        <w:bottom w:val="none" w:sz="96" w:space="31" w:color="FFFFFF" w:frame="1"/>
        <w:right w:val="none" w:sz="96" w:space="31" w:color="FFFFFF" w:frame="1"/>
      </w:pBdr>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u w:val="single"/>
    </w:rPr>
  </w:style>
  <w:style w:type="paragraph" w:customStyle="1" w:styleId="HeaderFooter">
    <w:name w:val="Header &amp; Footer"/>
    <w:uiPriority w:val="99"/>
    <w:pPr>
      <w:pBdr>
        <w:top w:val="none" w:sz="96" w:space="31" w:color="FFFFFF" w:frame="1"/>
        <w:left w:val="none" w:sz="96" w:space="31" w:color="FFFFFF" w:frame="1"/>
        <w:bottom w:val="none" w:sz="96" w:space="31" w:color="FFFFFF" w:frame="1"/>
        <w:right w:val="none" w:sz="96" w:space="31" w:color="FFFFFF" w:frame="1"/>
      </w:pBdr>
      <w:tabs>
        <w:tab w:val="right" w:pos="9020"/>
      </w:tabs>
    </w:pPr>
    <w:rPr>
      <w:rFonts w:ascii="Helvetica" w:hAnsi="Helvetica" w:cs="Arial Unicode MS"/>
      <w:color w:val="000000"/>
      <w:sz w:val="24"/>
      <w:szCs w:val="24"/>
      <w:lang w:val="en-CA" w:eastAsia="en-CA"/>
    </w:rPr>
  </w:style>
  <w:style w:type="paragraph" w:customStyle="1" w:styleId="Default">
    <w:name w:val="Default"/>
    <w:uiPriority w:val="99"/>
    <w:pPr>
      <w:pBdr>
        <w:top w:val="none" w:sz="96" w:space="31" w:color="FFFFFF" w:frame="1"/>
        <w:left w:val="none" w:sz="96" w:space="31" w:color="FFFFFF" w:frame="1"/>
        <w:bottom w:val="none" w:sz="96" w:space="31" w:color="FFFFFF" w:frame="1"/>
        <w:right w:val="none" w:sz="96" w:space="31" w:color="FFFFFF" w:frame="1"/>
      </w:pBdr>
      <w:spacing w:after="160" w:line="259" w:lineRule="auto"/>
    </w:pPr>
    <w:rPr>
      <w:rFonts w:ascii="Arial" w:hAnsi="Arial" w:cs="Arial Unicode MS"/>
      <w:color w:val="000000"/>
      <w:sz w:val="24"/>
      <w:szCs w:val="24"/>
      <w:u w:color="000000"/>
      <w:lang w:eastAsia="en-CA"/>
    </w:rPr>
  </w:style>
  <w:style w:type="paragraph" w:customStyle="1" w:styleId="Body">
    <w:name w:val="Body"/>
    <w:uiPriority w:val="99"/>
    <w:pPr>
      <w:pBdr>
        <w:top w:val="none" w:sz="96" w:space="31" w:color="FFFFFF" w:frame="1"/>
        <w:left w:val="none" w:sz="96" w:space="31" w:color="FFFFFF" w:frame="1"/>
        <w:bottom w:val="none" w:sz="96" w:space="31" w:color="FFFFFF" w:frame="1"/>
        <w:right w:val="none" w:sz="96" w:space="31" w:color="FFFFFF" w:frame="1"/>
      </w:pBdr>
      <w:spacing w:after="160" w:line="259" w:lineRule="auto"/>
    </w:pPr>
    <w:rPr>
      <w:rFonts w:ascii="Calibri" w:hAnsi="Calibri" w:cs="Calibri"/>
      <w:color w:val="000000"/>
      <w:u w:color="000000"/>
      <w:lang w:val="en-CA" w:eastAsia="en-CA"/>
    </w:rPr>
  </w:style>
  <w:style w:type="paragraph" w:customStyle="1" w:styleId="Footnote">
    <w:name w:val="Footnote"/>
    <w:uiPriority w:val="99"/>
    <w:pPr>
      <w:pBdr>
        <w:top w:val="none" w:sz="96" w:space="31" w:color="FFFFFF" w:frame="1"/>
        <w:left w:val="none" w:sz="96" w:space="31" w:color="FFFFFF" w:frame="1"/>
        <w:bottom w:val="none" w:sz="96" w:space="31" w:color="FFFFFF" w:frame="1"/>
        <w:right w:val="none" w:sz="96" w:space="31" w:color="FFFFFF" w:frame="1"/>
      </w:pBdr>
    </w:pPr>
    <w:rPr>
      <w:rFonts w:ascii="Helvetica" w:hAnsi="Helvetica" w:cs="Helvetica"/>
      <w:color w:val="000000"/>
      <w:lang w:val="en-CA" w:eastAsia="en-CA"/>
    </w:rPr>
  </w:style>
  <w:style w:type="character" w:customStyle="1" w:styleId="Link">
    <w:name w:val="Link"/>
    <w:uiPriority w:val="99"/>
    <w:rPr>
      <w:color w:val="0563C1"/>
      <w:u w:val="single" w:color="0563C1"/>
    </w:rPr>
  </w:style>
  <w:style w:type="character" w:customStyle="1" w:styleId="Hyperlink0">
    <w:name w:val="Hyperlink.0"/>
    <w:uiPriority w:val="99"/>
    <w:rPr>
      <w:rFonts w:ascii="Arial" w:eastAsia="Times New Roman" w:hAnsi="Arial"/>
      <w:color w:val="0563C1"/>
      <w:sz w:val="20"/>
      <w:u w:val="single" w:color="0563C1"/>
    </w:rPr>
  </w:style>
  <w:style w:type="paragraph" w:styleId="BalloonText">
    <w:name w:val="Balloon Text"/>
    <w:basedOn w:val="Normal"/>
    <w:link w:val="BalloonTextChar"/>
    <w:uiPriority w:val="99"/>
    <w:semiHidden/>
    <w:rsid w:val="0062398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3984"/>
    <w:rPr>
      <w:rFonts w:ascii="Tahoma" w:hAnsi="Tahoma"/>
      <w:sz w:val="16"/>
      <w:lang w:val="en-US" w:eastAsia="en-US"/>
    </w:rPr>
  </w:style>
  <w:style w:type="table" w:styleId="TableGrid">
    <w:name w:val="Table Grid"/>
    <w:basedOn w:val="TableNormal"/>
    <w:uiPriority w:val="99"/>
    <w:rsid w:val="0095325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D0644"/>
    <w:pPr>
      <w:pBdr>
        <w:top w:val="none" w:sz="0" w:space="0" w:color="auto"/>
        <w:left w:val="none" w:sz="0" w:space="0" w:color="auto"/>
        <w:bottom w:val="none" w:sz="0" w:space="0" w:color="auto"/>
        <w:right w:val="none" w:sz="0" w:space="0" w:color="auto"/>
      </w:pBdr>
      <w:spacing w:before="100" w:beforeAutospacing="1" w:after="100" w:afterAutospacing="1"/>
    </w:pPr>
    <w:rPr>
      <w:lang w:val="en-CA" w:eastAsia="en-CA"/>
    </w:rPr>
  </w:style>
  <w:style w:type="character" w:styleId="FollowedHyperlink">
    <w:name w:val="FollowedHyperlink"/>
    <w:basedOn w:val="DefaultParagraphFont"/>
    <w:uiPriority w:val="99"/>
    <w:semiHidden/>
    <w:rsid w:val="00BD0644"/>
    <w:rPr>
      <w:rFonts w:cs="Times New Roman"/>
      <w:color w:val="FF00FF"/>
      <w:u w:val="single"/>
    </w:rPr>
  </w:style>
  <w:style w:type="character" w:styleId="Strong">
    <w:name w:val="Strong"/>
    <w:basedOn w:val="DefaultParagraphFont"/>
    <w:uiPriority w:val="99"/>
    <w:qFormat/>
    <w:locked/>
    <w:rsid w:val="006E3A8E"/>
    <w:rPr>
      <w:rFonts w:cs="Times New Roman"/>
      <w:b/>
      <w:color w:val="77777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pBdr>
        <w:top w:val="none" w:sz="96" w:space="31" w:color="FFFFFF" w:frame="1"/>
        <w:left w:val="none" w:sz="96" w:space="31" w:color="FFFFFF" w:frame="1"/>
        <w:bottom w:val="none" w:sz="96" w:space="31" w:color="FFFFFF" w:frame="1"/>
        <w:right w:val="none" w:sz="96" w:space="31" w:color="FFFFFF" w:frame="1"/>
      </w:pBdr>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u w:val="single"/>
    </w:rPr>
  </w:style>
  <w:style w:type="paragraph" w:customStyle="1" w:styleId="HeaderFooter">
    <w:name w:val="Header &amp; Footer"/>
    <w:uiPriority w:val="99"/>
    <w:pPr>
      <w:pBdr>
        <w:top w:val="none" w:sz="96" w:space="31" w:color="FFFFFF" w:frame="1"/>
        <w:left w:val="none" w:sz="96" w:space="31" w:color="FFFFFF" w:frame="1"/>
        <w:bottom w:val="none" w:sz="96" w:space="31" w:color="FFFFFF" w:frame="1"/>
        <w:right w:val="none" w:sz="96" w:space="31" w:color="FFFFFF" w:frame="1"/>
      </w:pBdr>
      <w:tabs>
        <w:tab w:val="right" w:pos="9020"/>
      </w:tabs>
    </w:pPr>
    <w:rPr>
      <w:rFonts w:ascii="Helvetica" w:hAnsi="Helvetica" w:cs="Arial Unicode MS"/>
      <w:color w:val="000000"/>
      <w:sz w:val="24"/>
      <w:szCs w:val="24"/>
      <w:lang w:val="en-CA" w:eastAsia="en-CA"/>
    </w:rPr>
  </w:style>
  <w:style w:type="paragraph" w:customStyle="1" w:styleId="Default">
    <w:name w:val="Default"/>
    <w:uiPriority w:val="99"/>
    <w:pPr>
      <w:pBdr>
        <w:top w:val="none" w:sz="96" w:space="31" w:color="FFFFFF" w:frame="1"/>
        <w:left w:val="none" w:sz="96" w:space="31" w:color="FFFFFF" w:frame="1"/>
        <w:bottom w:val="none" w:sz="96" w:space="31" w:color="FFFFFF" w:frame="1"/>
        <w:right w:val="none" w:sz="96" w:space="31" w:color="FFFFFF" w:frame="1"/>
      </w:pBdr>
      <w:spacing w:after="160" w:line="259" w:lineRule="auto"/>
    </w:pPr>
    <w:rPr>
      <w:rFonts w:ascii="Arial" w:hAnsi="Arial" w:cs="Arial Unicode MS"/>
      <w:color w:val="000000"/>
      <w:sz w:val="24"/>
      <w:szCs w:val="24"/>
      <w:u w:color="000000"/>
      <w:lang w:eastAsia="en-CA"/>
    </w:rPr>
  </w:style>
  <w:style w:type="paragraph" w:customStyle="1" w:styleId="Body">
    <w:name w:val="Body"/>
    <w:uiPriority w:val="99"/>
    <w:pPr>
      <w:pBdr>
        <w:top w:val="none" w:sz="96" w:space="31" w:color="FFFFFF" w:frame="1"/>
        <w:left w:val="none" w:sz="96" w:space="31" w:color="FFFFFF" w:frame="1"/>
        <w:bottom w:val="none" w:sz="96" w:space="31" w:color="FFFFFF" w:frame="1"/>
        <w:right w:val="none" w:sz="96" w:space="31" w:color="FFFFFF" w:frame="1"/>
      </w:pBdr>
      <w:spacing w:after="160" w:line="259" w:lineRule="auto"/>
    </w:pPr>
    <w:rPr>
      <w:rFonts w:ascii="Calibri" w:hAnsi="Calibri" w:cs="Calibri"/>
      <w:color w:val="000000"/>
      <w:u w:color="000000"/>
      <w:lang w:val="en-CA" w:eastAsia="en-CA"/>
    </w:rPr>
  </w:style>
  <w:style w:type="paragraph" w:customStyle="1" w:styleId="Footnote">
    <w:name w:val="Footnote"/>
    <w:uiPriority w:val="99"/>
    <w:pPr>
      <w:pBdr>
        <w:top w:val="none" w:sz="96" w:space="31" w:color="FFFFFF" w:frame="1"/>
        <w:left w:val="none" w:sz="96" w:space="31" w:color="FFFFFF" w:frame="1"/>
        <w:bottom w:val="none" w:sz="96" w:space="31" w:color="FFFFFF" w:frame="1"/>
        <w:right w:val="none" w:sz="96" w:space="31" w:color="FFFFFF" w:frame="1"/>
      </w:pBdr>
    </w:pPr>
    <w:rPr>
      <w:rFonts w:ascii="Helvetica" w:hAnsi="Helvetica" w:cs="Helvetica"/>
      <w:color w:val="000000"/>
      <w:lang w:val="en-CA" w:eastAsia="en-CA"/>
    </w:rPr>
  </w:style>
  <w:style w:type="character" w:customStyle="1" w:styleId="Link">
    <w:name w:val="Link"/>
    <w:uiPriority w:val="99"/>
    <w:rPr>
      <w:color w:val="0563C1"/>
      <w:u w:val="single" w:color="0563C1"/>
    </w:rPr>
  </w:style>
  <w:style w:type="character" w:customStyle="1" w:styleId="Hyperlink0">
    <w:name w:val="Hyperlink.0"/>
    <w:uiPriority w:val="99"/>
    <w:rPr>
      <w:rFonts w:ascii="Arial" w:eastAsia="Times New Roman" w:hAnsi="Arial"/>
      <w:color w:val="0563C1"/>
      <w:sz w:val="20"/>
      <w:u w:val="single" w:color="0563C1"/>
    </w:rPr>
  </w:style>
  <w:style w:type="paragraph" w:styleId="BalloonText">
    <w:name w:val="Balloon Text"/>
    <w:basedOn w:val="Normal"/>
    <w:link w:val="BalloonTextChar"/>
    <w:uiPriority w:val="99"/>
    <w:semiHidden/>
    <w:rsid w:val="0062398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3984"/>
    <w:rPr>
      <w:rFonts w:ascii="Tahoma" w:hAnsi="Tahoma"/>
      <w:sz w:val="16"/>
      <w:lang w:val="en-US" w:eastAsia="en-US"/>
    </w:rPr>
  </w:style>
  <w:style w:type="table" w:styleId="TableGrid">
    <w:name w:val="Table Grid"/>
    <w:basedOn w:val="TableNormal"/>
    <w:uiPriority w:val="99"/>
    <w:rsid w:val="0095325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D0644"/>
    <w:pPr>
      <w:pBdr>
        <w:top w:val="none" w:sz="0" w:space="0" w:color="auto"/>
        <w:left w:val="none" w:sz="0" w:space="0" w:color="auto"/>
        <w:bottom w:val="none" w:sz="0" w:space="0" w:color="auto"/>
        <w:right w:val="none" w:sz="0" w:space="0" w:color="auto"/>
      </w:pBdr>
      <w:spacing w:before="100" w:beforeAutospacing="1" w:after="100" w:afterAutospacing="1"/>
    </w:pPr>
    <w:rPr>
      <w:lang w:val="en-CA" w:eastAsia="en-CA"/>
    </w:rPr>
  </w:style>
  <w:style w:type="character" w:styleId="FollowedHyperlink">
    <w:name w:val="FollowedHyperlink"/>
    <w:basedOn w:val="DefaultParagraphFont"/>
    <w:uiPriority w:val="99"/>
    <w:semiHidden/>
    <w:rsid w:val="00BD0644"/>
    <w:rPr>
      <w:rFonts w:cs="Times New Roman"/>
      <w:color w:val="FF00FF"/>
      <w:u w:val="single"/>
    </w:rPr>
  </w:style>
  <w:style w:type="character" w:styleId="Strong">
    <w:name w:val="Strong"/>
    <w:basedOn w:val="DefaultParagraphFont"/>
    <w:uiPriority w:val="99"/>
    <w:qFormat/>
    <w:locked/>
    <w:rsid w:val="006E3A8E"/>
    <w:rPr>
      <w:rFonts w:cs="Times New Roman"/>
      <w:b/>
      <w:color w:val="77777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661536">
      <w:marLeft w:val="0"/>
      <w:marRight w:val="0"/>
      <w:marTop w:val="0"/>
      <w:marBottom w:val="0"/>
      <w:divBdr>
        <w:top w:val="none" w:sz="0" w:space="0" w:color="auto"/>
        <w:left w:val="none" w:sz="0" w:space="0" w:color="auto"/>
        <w:bottom w:val="none" w:sz="0" w:space="0" w:color="auto"/>
        <w:right w:val="none" w:sz="0" w:space="0" w:color="auto"/>
      </w:divBdr>
    </w:div>
    <w:div w:id="411661537">
      <w:marLeft w:val="0"/>
      <w:marRight w:val="0"/>
      <w:marTop w:val="0"/>
      <w:marBottom w:val="0"/>
      <w:divBdr>
        <w:top w:val="none" w:sz="0" w:space="0" w:color="auto"/>
        <w:left w:val="none" w:sz="0" w:space="0" w:color="auto"/>
        <w:bottom w:val="none" w:sz="0" w:space="0" w:color="auto"/>
        <w:right w:val="none" w:sz="0" w:space="0" w:color="auto"/>
      </w:divBdr>
    </w:div>
    <w:div w:id="411661538">
      <w:marLeft w:val="0"/>
      <w:marRight w:val="0"/>
      <w:marTop w:val="0"/>
      <w:marBottom w:val="0"/>
      <w:divBdr>
        <w:top w:val="none" w:sz="0" w:space="0" w:color="auto"/>
        <w:left w:val="none" w:sz="0" w:space="0" w:color="auto"/>
        <w:bottom w:val="none" w:sz="0" w:space="0" w:color="auto"/>
        <w:right w:val="none" w:sz="0" w:space="0" w:color="auto"/>
      </w:divBdr>
    </w:div>
    <w:div w:id="411661539">
      <w:marLeft w:val="0"/>
      <w:marRight w:val="0"/>
      <w:marTop w:val="0"/>
      <w:marBottom w:val="0"/>
      <w:divBdr>
        <w:top w:val="none" w:sz="0" w:space="0" w:color="auto"/>
        <w:left w:val="none" w:sz="0" w:space="0" w:color="auto"/>
        <w:bottom w:val="none" w:sz="0" w:space="0" w:color="auto"/>
        <w:right w:val="none" w:sz="0" w:space="0" w:color="auto"/>
      </w:divBdr>
    </w:div>
    <w:div w:id="411661540">
      <w:marLeft w:val="0"/>
      <w:marRight w:val="0"/>
      <w:marTop w:val="0"/>
      <w:marBottom w:val="0"/>
      <w:divBdr>
        <w:top w:val="none" w:sz="0" w:space="0" w:color="auto"/>
        <w:left w:val="none" w:sz="0" w:space="0" w:color="auto"/>
        <w:bottom w:val="none" w:sz="0" w:space="0" w:color="auto"/>
        <w:right w:val="none" w:sz="0" w:space="0" w:color="auto"/>
      </w:divBdr>
    </w:div>
    <w:div w:id="4116615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thecse.com/en/listings/technology/eplay-digital-in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playdigita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eplaydigita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thecse.com/en/listings/technology/eplay-digital-inc"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en.boerse-frankfurt.de/stock/ePlay_Digital-share/E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1116</Words>
  <Characters>6365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dc:creator>
  <cp:lastModifiedBy>Monita Faris</cp:lastModifiedBy>
  <cp:revision>2</cp:revision>
  <dcterms:created xsi:type="dcterms:W3CDTF">2017-03-03T04:39:00Z</dcterms:created>
  <dcterms:modified xsi:type="dcterms:W3CDTF">2017-03-03T04:39:00Z</dcterms:modified>
</cp:coreProperties>
</file>