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w:t>
      </w:r>
      <w:r w:rsidRPr="007568B3">
        <w:rPr>
          <w:sz w:val="28"/>
          <w:u w:val="single"/>
          <w:lang w:val="en-CA"/>
        </w:rPr>
        <w:t xml:space="preserve">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rsidTr="00840B45">
        <w:tc>
          <w:tcPr>
            <w:tcW w:w="6487" w:type="dxa"/>
          </w:tcPr>
          <w:p w:rsidR="00840B45" w:rsidRPr="00D5754E" w:rsidRDefault="00D5754E" w:rsidP="00FF53B6">
            <w:pPr>
              <w:pStyle w:val="BodyText"/>
              <w:rPr>
                <w:rFonts w:ascii="Arial" w:hAnsi="Arial"/>
                <w:b/>
                <w:lang w:val="en-CA"/>
              </w:rPr>
            </w:pPr>
            <w:r w:rsidRPr="00D5754E">
              <w:rPr>
                <w:rFonts w:ascii="Arial" w:hAnsi="Arial"/>
                <w:b/>
                <w:lang w:val="en-CA"/>
              </w:rPr>
              <w:t xml:space="preserve">Green River Gold Corp. </w:t>
            </w:r>
            <w:r w:rsidR="00840B45" w:rsidRPr="00D5754E">
              <w:rPr>
                <w:rFonts w:ascii="Arial" w:hAnsi="Arial"/>
                <w:b/>
                <w:lang w:val="en-CA"/>
              </w:rPr>
              <w:t xml:space="preserve">(the “Issuer”)  </w:t>
            </w:r>
          </w:p>
        </w:tc>
        <w:tc>
          <w:tcPr>
            <w:tcW w:w="3089" w:type="dxa"/>
          </w:tcPr>
          <w:p w:rsidR="00840B45" w:rsidRPr="00D5754E" w:rsidRDefault="00D5754E">
            <w:pPr>
              <w:pStyle w:val="BodyText"/>
              <w:rPr>
                <w:rFonts w:ascii="Arial" w:hAnsi="Arial"/>
                <w:b/>
                <w:lang w:val="en-CA"/>
              </w:rPr>
            </w:pPr>
            <w:proofErr w:type="spellStart"/>
            <w:r w:rsidRPr="00D5754E">
              <w:rPr>
                <w:rFonts w:ascii="Arial" w:hAnsi="Arial"/>
                <w:b/>
                <w:lang w:val="en-CA"/>
              </w:rPr>
              <w:t>CCR</w:t>
            </w:r>
            <w:proofErr w:type="spellEnd"/>
          </w:p>
        </w:tc>
      </w:tr>
    </w:tbl>
    <w:p w:rsidR="00D5754E" w:rsidRPr="001C5E90" w:rsidRDefault="00EA4133" w:rsidP="00FF53B6">
      <w:pPr>
        <w:pStyle w:val="BodyText"/>
        <w:spacing w:after="240"/>
        <w:jc w:val="both"/>
        <w:rPr>
          <w:rFonts w:ascii="Arial" w:hAnsi="Arial"/>
          <w:lang w:val="en-CA"/>
        </w:rPr>
      </w:pPr>
      <w:r>
        <w:rPr>
          <w:rFonts w:ascii="Arial" w:hAnsi="Arial"/>
          <w:lang w:val="en-CA"/>
        </w:rPr>
        <w:t xml:space="preserve">Date:  </w:t>
      </w:r>
      <w:r>
        <w:rPr>
          <w:rFonts w:ascii="Arial" w:hAnsi="Arial"/>
          <w:u w:val="single"/>
          <w:lang w:val="en-CA"/>
        </w:rPr>
        <w:tab/>
      </w:r>
      <w:bookmarkStart w:id="0" w:name="_GoBack"/>
      <w:r w:rsidR="007B0F49" w:rsidRPr="001C5E90">
        <w:rPr>
          <w:rFonts w:ascii="Arial" w:hAnsi="Arial"/>
          <w:b/>
          <w:lang w:val="en-CA"/>
        </w:rPr>
        <w:t xml:space="preserve">September </w:t>
      </w:r>
      <w:r w:rsidR="007807C8" w:rsidRPr="001C5E90">
        <w:rPr>
          <w:rFonts w:ascii="Arial" w:hAnsi="Arial"/>
          <w:b/>
          <w:lang w:val="en-CA"/>
        </w:rPr>
        <w:t>10</w:t>
      </w:r>
      <w:r w:rsidR="00D5754E" w:rsidRPr="001C5E90">
        <w:rPr>
          <w:rFonts w:ascii="Arial" w:hAnsi="Arial"/>
          <w:b/>
          <w:lang w:val="en-CA"/>
        </w:rPr>
        <w:t>, 2021</w:t>
      </w:r>
    </w:p>
    <w:bookmarkEnd w:id="0"/>
    <w:p w:rsidR="00EA4133" w:rsidRDefault="00EA4133" w:rsidP="00FF53B6">
      <w:pPr>
        <w:pStyle w:val="BodyText"/>
        <w:spacing w:after="240"/>
        <w:jc w:val="both"/>
        <w:rPr>
          <w:rFonts w:ascii="Arial" w:hAnsi="Arial"/>
          <w:sz w:val="32"/>
          <w:lang w:val="en-CA"/>
        </w:rPr>
      </w:pPr>
      <w:r>
        <w:rPr>
          <w:rFonts w:ascii="Arial" w:hAnsi="Arial"/>
          <w:lang w:val="en-CA"/>
        </w:rPr>
        <w:t xml:space="preserve">Is this </w:t>
      </w:r>
      <w:r w:rsidR="00D5754E">
        <w:rPr>
          <w:rFonts w:ascii="Arial" w:hAnsi="Arial"/>
          <w:lang w:val="en-CA"/>
        </w:rPr>
        <w:t xml:space="preserve">an updating or amending Notice: </w:t>
      </w:r>
      <w:proofErr w:type="gramStart"/>
      <w:r w:rsidR="00C22363">
        <w:rPr>
          <w:rFonts w:ascii="Arial" w:hAnsi="Arial"/>
          <w:b/>
          <w:lang w:val="en-CA"/>
        </w:rPr>
        <w:t>No</w:t>
      </w:r>
      <w:proofErr w:type="gramEnd"/>
    </w:p>
    <w:p w:rsidR="00EA4133" w:rsidRDefault="00EA4133" w:rsidP="00FF53B6">
      <w:pPr>
        <w:pStyle w:val="BodyText"/>
        <w:tabs>
          <w:tab w:val="left" w:pos="9180"/>
        </w:tabs>
        <w:spacing w:before="0" w:after="120"/>
        <w:jc w:val="both"/>
        <w:rPr>
          <w:rFonts w:ascii="Arial" w:hAnsi="Arial"/>
          <w:lang w:val="en-CA"/>
        </w:rPr>
      </w:pPr>
      <w:r>
        <w:rPr>
          <w:rFonts w:ascii="Arial" w:hAnsi="Arial"/>
          <w:lang w:val="en-CA"/>
        </w:rPr>
        <w:t xml:space="preserve">If yes provide date(s) of prior Notices:  </w:t>
      </w:r>
      <w:r w:rsidR="00C22363">
        <w:rPr>
          <w:rFonts w:ascii="Arial" w:hAnsi="Arial"/>
          <w:b/>
          <w:lang w:val="en-CA"/>
        </w:rPr>
        <w:t>N/A</w:t>
      </w:r>
    </w:p>
    <w:p w:rsidR="00EA4133" w:rsidRDefault="00EA4133" w:rsidP="00FF53B6">
      <w:pPr>
        <w:pStyle w:val="BodyText"/>
        <w:tabs>
          <w:tab w:val="left" w:pos="9180"/>
        </w:tabs>
        <w:spacing w:before="0" w:after="120"/>
        <w:jc w:val="both"/>
        <w:rPr>
          <w:rFonts w:ascii="Arial" w:hAnsi="Arial"/>
          <w:lang w:val="en-CA"/>
        </w:rPr>
      </w:pPr>
      <w:r>
        <w:rPr>
          <w:rFonts w:ascii="Arial" w:hAnsi="Arial"/>
          <w:lang w:val="en-CA"/>
        </w:rPr>
        <w:t>Issued and Outstanding Securities of Issuer Prior to Issuance</w:t>
      </w:r>
      <w:r w:rsidR="00D5754E">
        <w:rPr>
          <w:rFonts w:ascii="Arial" w:hAnsi="Arial"/>
          <w:lang w:val="en-CA"/>
        </w:rPr>
        <w:t xml:space="preserve">: </w:t>
      </w:r>
      <w:r w:rsidR="007B0F49">
        <w:rPr>
          <w:rFonts w:ascii="Arial" w:hAnsi="Arial"/>
          <w:b/>
          <w:lang w:val="en-CA"/>
        </w:rPr>
        <w:t xml:space="preserve">56,864,749 </w:t>
      </w:r>
      <w:r w:rsidR="00D5754E" w:rsidRPr="00D5754E">
        <w:rPr>
          <w:rFonts w:ascii="Arial" w:hAnsi="Arial"/>
          <w:b/>
          <w:lang w:val="en-CA"/>
        </w:rPr>
        <w:t>Common Shares</w:t>
      </w:r>
      <w:r w:rsidR="00200C9E">
        <w:rPr>
          <w:rFonts w:ascii="Arial" w:hAnsi="Arial"/>
          <w:b/>
          <w:lang w:val="en-CA"/>
        </w:rPr>
        <w:br/>
      </w:r>
    </w:p>
    <w:p w:rsidR="00840B45" w:rsidRPr="00840B45" w:rsidRDefault="00840B45" w:rsidP="00FF53B6">
      <w:pPr>
        <w:pStyle w:val="BodyText"/>
        <w:tabs>
          <w:tab w:val="left" w:pos="9180"/>
        </w:tabs>
        <w:spacing w:before="0" w:after="120"/>
        <w:jc w:val="both"/>
        <w:rPr>
          <w:rFonts w:ascii="Arial" w:hAnsi="Arial"/>
          <w:b/>
          <w:lang w:val="en-CA"/>
        </w:rPr>
      </w:pPr>
      <w:r>
        <w:rPr>
          <w:rFonts w:ascii="Arial" w:hAnsi="Arial"/>
          <w:b/>
          <w:lang w:val="en-CA"/>
        </w:rPr>
        <w:t>Pricing</w:t>
      </w:r>
    </w:p>
    <w:p w:rsidR="00840B45" w:rsidRPr="007407DC" w:rsidRDefault="00EA4133" w:rsidP="00FF53B6">
      <w:pPr>
        <w:pStyle w:val="BodyText"/>
        <w:tabs>
          <w:tab w:val="left" w:pos="9180"/>
        </w:tabs>
        <w:spacing w:before="0" w:after="120"/>
        <w:jc w:val="both"/>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issuance</w:t>
      </w:r>
      <w:r>
        <w:rPr>
          <w:rFonts w:ascii="Arial" w:hAnsi="Arial"/>
          <w:lang w:val="en-CA"/>
        </w:rPr>
        <w:t xml:space="preserve">:  </w:t>
      </w:r>
      <w:r w:rsidR="007B0F49">
        <w:rPr>
          <w:rStyle w:val="Prompt"/>
          <w:color w:val="auto"/>
        </w:rPr>
        <w:t>September 8</w:t>
      </w:r>
      <w:r w:rsidR="00BB1959" w:rsidRPr="007407DC">
        <w:rPr>
          <w:rStyle w:val="Prompt"/>
          <w:color w:val="auto"/>
        </w:rPr>
        <w:t>, 2021</w:t>
      </w:r>
    </w:p>
    <w:p w:rsidR="00840B45" w:rsidRDefault="00EA4133" w:rsidP="00FF53B6">
      <w:pPr>
        <w:pStyle w:val="BodyText"/>
        <w:tabs>
          <w:tab w:val="left" w:pos="9180"/>
        </w:tabs>
        <w:spacing w:before="0" w:after="120"/>
        <w:jc w:val="both"/>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w:t>
      </w:r>
      <w:r w:rsidR="00BB1959">
        <w:rPr>
          <w:rStyle w:val="Prompt"/>
        </w:rPr>
        <w:t xml:space="preserve"> </w:t>
      </w:r>
      <w:r w:rsidR="00BB1959" w:rsidRPr="007407DC">
        <w:rPr>
          <w:rStyle w:val="Prompt"/>
          <w:color w:val="auto"/>
        </w:rPr>
        <w:t>$0.</w:t>
      </w:r>
      <w:r w:rsidR="007B0F49">
        <w:rPr>
          <w:rStyle w:val="Prompt"/>
          <w:color w:val="auto"/>
        </w:rPr>
        <w:t>055</w:t>
      </w:r>
      <w:r w:rsidR="00200C9E" w:rsidRPr="007407DC">
        <w:rPr>
          <w:rFonts w:ascii="Arial" w:hAnsi="Arial"/>
          <w:lang w:val="en-CA"/>
        </w:rPr>
        <w:br/>
      </w:r>
    </w:p>
    <w:p w:rsidR="00840B45" w:rsidRDefault="00840B45" w:rsidP="00FF53B6">
      <w:pPr>
        <w:pStyle w:val="BodyText"/>
        <w:tabs>
          <w:tab w:val="left" w:pos="9180"/>
        </w:tabs>
        <w:spacing w:before="0" w:after="120"/>
        <w:jc w:val="both"/>
        <w:rPr>
          <w:rFonts w:ascii="Arial" w:hAnsi="Arial"/>
          <w:b/>
          <w:lang w:val="en-CA"/>
        </w:rPr>
      </w:pPr>
      <w:r>
        <w:rPr>
          <w:rFonts w:ascii="Arial" w:hAnsi="Arial"/>
          <w:b/>
          <w:lang w:val="en-CA"/>
        </w:rPr>
        <w:t>Closing</w:t>
      </w:r>
    </w:p>
    <w:p w:rsidR="00C22363" w:rsidRDefault="00840B45" w:rsidP="00FF53B6">
      <w:pPr>
        <w:pStyle w:val="BodyText"/>
        <w:tabs>
          <w:tab w:val="left" w:pos="9180"/>
        </w:tabs>
        <w:spacing w:before="0" w:after="120"/>
        <w:jc w:val="both"/>
        <w:rPr>
          <w:rFonts w:ascii="Arial" w:hAnsi="Arial"/>
          <w:b/>
          <w:lang w:val="en-CA"/>
        </w:rPr>
      </w:pPr>
      <w:r>
        <w:rPr>
          <w:rFonts w:ascii="Arial" w:hAnsi="Arial"/>
          <w:lang w:val="en-CA"/>
        </w:rPr>
        <w:t xml:space="preserve">Number of securities to be issued: </w:t>
      </w:r>
      <w:r w:rsidR="007B0F49">
        <w:rPr>
          <w:rStyle w:val="Prompt"/>
          <w:color w:val="auto"/>
        </w:rPr>
        <w:t>200</w:t>
      </w:r>
      <w:r w:rsidR="00C22363" w:rsidRPr="007407DC">
        <w:rPr>
          <w:rStyle w:val="Prompt"/>
          <w:color w:val="auto"/>
        </w:rPr>
        <w:t>,000</w:t>
      </w:r>
      <w:r w:rsidR="00D5754E" w:rsidRPr="007407DC">
        <w:t xml:space="preserve"> </w:t>
      </w:r>
      <w:r w:rsidR="00D5754E" w:rsidRPr="007407DC">
        <w:rPr>
          <w:rFonts w:ascii="Arial" w:hAnsi="Arial"/>
          <w:b/>
          <w:lang w:val="en-CA"/>
        </w:rPr>
        <w:t>Common</w:t>
      </w:r>
      <w:r w:rsidR="00D5754E" w:rsidRPr="0052364B">
        <w:rPr>
          <w:rFonts w:ascii="Arial" w:hAnsi="Arial"/>
          <w:b/>
          <w:lang w:val="en-CA"/>
        </w:rPr>
        <w:t xml:space="preserve"> Shares</w:t>
      </w:r>
      <w:r w:rsidR="00D5754E">
        <w:rPr>
          <w:rFonts w:ascii="Arial" w:hAnsi="Arial"/>
          <w:b/>
          <w:lang w:val="en-CA"/>
        </w:rPr>
        <w:t xml:space="preserve"> </w:t>
      </w:r>
    </w:p>
    <w:p w:rsidR="00840B45" w:rsidRDefault="00840B45" w:rsidP="00FF53B6">
      <w:pPr>
        <w:pStyle w:val="BodyText"/>
        <w:tabs>
          <w:tab w:val="left" w:pos="9180"/>
        </w:tabs>
        <w:spacing w:before="0" w:after="120"/>
        <w:jc w:val="both"/>
        <w:rPr>
          <w:rFonts w:ascii="Arial" w:hAnsi="Arial"/>
          <w:lang w:val="en-CA"/>
        </w:rPr>
      </w:pPr>
      <w:r>
        <w:rPr>
          <w:rFonts w:ascii="Arial" w:hAnsi="Arial"/>
          <w:lang w:val="en-CA"/>
        </w:rPr>
        <w:t xml:space="preserve">Issued and outstanding securities following issuance: </w:t>
      </w:r>
      <w:r w:rsidR="00DE0C97">
        <w:rPr>
          <w:rFonts w:ascii="Arial" w:hAnsi="Arial"/>
          <w:b/>
          <w:lang w:val="en-CA"/>
        </w:rPr>
        <w:t>5</w:t>
      </w:r>
      <w:r w:rsidR="007B0F49">
        <w:rPr>
          <w:rFonts w:ascii="Arial" w:hAnsi="Arial"/>
          <w:b/>
          <w:lang w:val="en-CA"/>
        </w:rPr>
        <w:t>7</w:t>
      </w:r>
      <w:r w:rsidR="00DE0C97">
        <w:rPr>
          <w:rFonts w:ascii="Arial" w:hAnsi="Arial"/>
          <w:b/>
          <w:lang w:val="en-CA"/>
        </w:rPr>
        <w:t>,</w:t>
      </w:r>
      <w:r w:rsidR="007B0F49">
        <w:rPr>
          <w:rFonts w:ascii="Arial" w:hAnsi="Arial"/>
          <w:b/>
          <w:lang w:val="en-CA"/>
        </w:rPr>
        <w:t>0</w:t>
      </w:r>
      <w:r w:rsidR="00C22363">
        <w:rPr>
          <w:rFonts w:ascii="Arial" w:hAnsi="Arial"/>
          <w:b/>
          <w:lang w:val="en-CA"/>
        </w:rPr>
        <w:t>64</w:t>
      </w:r>
      <w:r w:rsidR="00DE0C97">
        <w:rPr>
          <w:rFonts w:ascii="Arial" w:hAnsi="Arial"/>
          <w:b/>
          <w:lang w:val="en-CA"/>
        </w:rPr>
        <w:t xml:space="preserve">,749 </w:t>
      </w:r>
      <w:r w:rsidR="00D5754E" w:rsidRPr="00D5754E">
        <w:rPr>
          <w:rFonts w:ascii="Arial" w:hAnsi="Arial"/>
          <w:b/>
          <w:lang w:val="en-CA"/>
        </w:rPr>
        <w:t>Common Shares</w:t>
      </w:r>
    </w:p>
    <w:p w:rsidR="00840B45" w:rsidRDefault="00840B45" w:rsidP="00FF53B6">
      <w:pPr>
        <w:pStyle w:val="BodyText"/>
        <w:tabs>
          <w:tab w:val="left" w:pos="9180"/>
        </w:tabs>
        <w:spacing w:before="0" w:after="120"/>
        <w:jc w:val="both"/>
        <w:rPr>
          <w:rFonts w:ascii="Arial" w:hAnsi="Arial"/>
          <w:b/>
          <w:lang w:val="en-CA"/>
        </w:rPr>
      </w:pPr>
      <w:r>
        <w:rPr>
          <w:rFonts w:ascii="Arial" w:hAnsi="Arial"/>
          <w:b/>
          <w:lang w:val="en-CA"/>
        </w:rPr>
        <w:t>Instructions:</w:t>
      </w:r>
    </w:p>
    <w:p w:rsidR="00840B45" w:rsidRDefault="00840B45" w:rsidP="00FF53B6">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For private placements (including debt settlement), complete tables 1A and 1B in Part 1 of this form.</w:t>
      </w:r>
    </w:p>
    <w:p w:rsidR="00840B45" w:rsidRDefault="00840B45" w:rsidP="00FF53B6">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Complete Table 1A – Summary for all purchasers, excluding those identified in Item 8.</w:t>
      </w:r>
    </w:p>
    <w:p w:rsidR="00840B45" w:rsidRDefault="00840B45" w:rsidP="00FF53B6">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Complete Table 1B – Related Persons only for Related Persons</w:t>
      </w:r>
    </w:p>
    <w:p w:rsidR="00840B45" w:rsidRDefault="00840B45" w:rsidP="00FF53B6">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FF53B6">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FF53B6">
      <w:pPr>
        <w:pStyle w:val="BodyText"/>
        <w:numPr>
          <w:ilvl w:val="0"/>
          <w:numId w:val="18"/>
        </w:numPr>
        <w:tabs>
          <w:tab w:val="left" w:pos="9180"/>
        </w:tabs>
        <w:spacing w:before="0" w:after="120"/>
        <w:ind w:left="426"/>
        <w:jc w:val="both"/>
        <w:rPr>
          <w:rFonts w:ascii="Arial" w:hAnsi="Arial"/>
          <w:b/>
          <w:lang w:val="en-CA"/>
        </w:rPr>
      </w:pPr>
      <w:r w:rsidRPr="00BE2894">
        <w:rPr>
          <w:rFonts w:ascii="Arial" w:hAnsi="Arial"/>
          <w:lang w:val="en-CA"/>
        </w:rPr>
        <w:t xml:space="preserve">Post the completed Form 9 to the </w:t>
      </w:r>
      <w:proofErr w:type="spellStart"/>
      <w:r w:rsidRPr="00BE2894">
        <w:rPr>
          <w:rFonts w:ascii="Arial" w:hAnsi="Arial"/>
          <w:lang w:val="en-CA"/>
        </w:rPr>
        <w:t>CSE</w:t>
      </w:r>
      <w:proofErr w:type="spellEnd"/>
      <w:r w:rsidRPr="00BE2894">
        <w:rPr>
          <w:rFonts w:ascii="Arial" w:hAnsi="Arial"/>
          <w:lang w:val="en-CA"/>
        </w:rPr>
        <w:t xml:space="preserv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42B27" w:rsidRDefault="00C42B27">
      <w:pPr>
        <w:pStyle w:val="BodyText"/>
        <w:spacing w:before="0" w:after="240"/>
        <w:rPr>
          <w:rFonts w:ascii="Arial" w:hAnsi="Arial"/>
          <w:b/>
          <w:lang w:val="en-CA"/>
        </w:rPr>
      </w:pPr>
      <w:r w:rsidRPr="00D9006E">
        <w:rPr>
          <w:rFonts w:ascii="Arial" w:hAnsi="Arial"/>
          <w:b/>
          <w:color w:val="000000"/>
        </w:rPr>
        <w:t>This part is not applicable.</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w:t>
            </w:r>
            <w:proofErr w:type="spellStart"/>
            <w:r w:rsidRPr="00C536D3">
              <w:rPr>
                <w:rFonts w:ascii="Arial" w:hAnsi="Arial"/>
                <w:lang w:val="en-CA"/>
              </w:rPr>
              <w:t>CDN</w:t>
            </w:r>
            <w:proofErr w:type="spellEnd"/>
            <w:r w:rsidRPr="00C536D3">
              <w:rPr>
                <w:rFonts w:ascii="Arial" w:hAnsi="Arial"/>
                <w:lang w:val="en-CA"/>
              </w:rPr>
              <w:t>$) raised in the jurisdiction</w:t>
            </w:r>
          </w:p>
        </w:tc>
      </w:tr>
      <w:tr w:rsidR="00C536D3" w:rsidRPr="00C536D3" w:rsidTr="0064019D">
        <w:tc>
          <w:tcPr>
            <w:tcW w:w="3652" w:type="dxa"/>
          </w:tcPr>
          <w:p w:rsidR="00C536D3" w:rsidRPr="00595294" w:rsidRDefault="00C536D3" w:rsidP="00C536D3">
            <w:pPr>
              <w:pStyle w:val="BodyText"/>
              <w:rPr>
                <w:rFonts w:ascii="Arial" w:hAnsi="Arial"/>
                <w:b/>
                <w:lang w:val="en-CA"/>
              </w:rPr>
            </w:pPr>
          </w:p>
        </w:tc>
        <w:tc>
          <w:tcPr>
            <w:tcW w:w="1701" w:type="dxa"/>
          </w:tcPr>
          <w:p w:rsidR="00C536D3" w:rsidRPr="00595294" w:rsidRDefault="00C536D3" w:rsidP="00C536D3">
            <w:pPr>
              <w:pStyle w:val="BodyText"/>
              <w:rPr>
                <w:rFonts w:ascii="Arial" w:hAnsi="Arial"/>
                <w:b/>
                <w:lang w:val="en-CA"/>
              </w:rPr>
            </w:pPr>
          </w:p>
        </w:tc>
        <w:tc>
          <w:tcPr>
            <w:tcW w:w="1829" w:type="dxa"/>
          </w:tcPr>
          <w:p w:rsidR="00C536D3" w:rsidRPr="00595294" w:rsidRDefault="00C536D3" w:rsidP="00C536D3">
            <w:pPr>
              <w:pStyle w:val="BodyText"/>
              <w:rPr>
                <w:rFonts w:ascii="Arial" w:hAnsi="Arial"/>
                <w:b/>
                <w:lang w:val="en-CA"/>
              </w:rPr>
            </w:pPr>
          </w:p>
        </w:tc>
        <w:tc>
          <w:tcPr>
            <w:tcW w:w="2394" w:type="dxa"/>
          </w:tcPr>
          <w:p w:rsidR="00C536D3" w:rsidRPr="00595294" w:rsidRDefault="00C536D3" w:rsidP="00633A21">
            <w:pPr>
              <w:pStyle w:val="BodyText"/>
              <w:rPr>
                <w:rFonts w:ascii="Arial" w:hAnsi="Arial"/>
                <w:b/>
                <w:lang w:val="en-CA"/>
              </w:rPr>
            </w:pPr>
          </w:p>
        </w:tc>
      </w:tr>
      <w:tr w:rsidR="003A10D2" w:rsidRPr="00C536D3" w:rsidTr="0064019D">
        <w:tc>
          <w:tcPr>
            <w:tcW w:w="3652" w:type="dxa"/>
          </w:tcPr>
          <w:p w:rsidR="003A10D2" w:rsidRPr="00C536D3" w:rsidRDefault="003A10D2" w:rsidP="003A10D2">
            <w:pPr>
              <w:pStyle w:val="BodyText"/>
              <w:rPr>
                <w:rFonts w:ascii="Arial" w:hAnsi="Arial"/>
                <w:lang w:val="en-CA"/>
              </w:rPr>
            </w:pPr>
            <w:r w:rsidRPr="00C536D3">
              <w:rPr>
                <w:rFonts w:ascii="Arial" w:hAnsi="Arial"/>
                <w:lang w:val="en-CA"/>
              </w:rPr>
              <w:t>Total number of purchasers:</w:t>
            </w:r>
          </w:p>
        </w:tc>
        <w:tc>
          <w:tcPr>
            <w:tcW w:w="1701" w:type="dxa"/>
          </w:tcPr>
          <w:p w:rsidR="003A10D2" w:rsidRPr="00595294" w:rsidRDefault="003A10D2" w:rsidP="003A10D2">
            <w:pPr>
              <w:pStyle w:val="BodyText"/>
              <w:rPr>
                <w:rFonts w:ascii="Arial" w:hAnsi="Arial"/>
                <w:b/>
                <w:lang w:val="en-CA"/>
              </w:rPr>
            </w:pPr>
          </w:p>
        </w:tc>
        <w:tc>
          <w:tcPr>
            <w:tcW w:w="1829" w:type="dxa"/>
          </w:tcPr>
          <w:p w:rsidR="003A10D2" w:rsidRPr="00023BF1" w:rsidRDefault="003A10D2" w:rsidP="00023BF1">
            <w:pPr>
              <w:pStyle w:val="BodyText"/>
              <w:rPr>
                <w:rFonts w:ascii="Arial" w:hAnsi="Arial"/>
                <w:b/>
                <w:lang w:val="en-CA"/>
              </w:rPr>
            </w:pPr>
          </w:p>
        </w:tc>
        <w:tc>
          <w:tcPr>
            <w:tcW w:w="2394" w:type="dxa"/>
          </w:tcPr>
          <w:p w:rsidR="003A10D2" w:rsidRPr="00C536D3" w:rsidRDefault="003A10D2" w:rsidP="003A10D2">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595294" w:rsidRDefault="00C536D3" w:rsidP="00023BF1">
            <w:pPr>
              <w:pStyle w:val="BodyText"/>
              <w:rPr>
                <w:rFonts w:ascii="Arial" w:hAnsi="Arial"/>
                <w:b/>
                <w:lang w:val="en-CA"/>
              </w:rPr>
            </w:pPr>
          </w:p>
        </w:tc>
      </w:tr>
    </w:tbl>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FF53B6">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w:t>
            </w:r>
            <w:proofErr w:type="spellStart"/>
            <w:r>
              <w:rPr>
                <w:rFonts w:ascii="Arial" w:hAnsi="Arial"/>
                <w:b/>
                <w:sz w:val="20"/>
                <w:lang w:val="en-CA"/>
              </w:rPr>
              <w:t>CDN</w:t>
            </w:r>
            <w:proofErr w:type="spellEnd"/>
            <w:r>
              <w:rPr>
                <w:rFonts w:ascii="Arial" w:hAnsi="Arial"/>
                <w:b/>
                <w:sz w:val="20"/>
                <w:lang w:val="en-CA"/>
              </w:rPr>
              <w:t>$)</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w:t>
            </w:r>
            <w:proofErr w:type="spellStart"/>
            <w:r>
              <w:rPr>
                <w:rFonts w:ascii="Arial" w:hAnsi="Arial"/>
                <w:b/>
                <w:sz w:val="20"/>
                <w:lang w:val="en-CA"/>
              </w:rPr>
              <w:t>CDN</w:t>
            </w:r>
            <w:proofErr w:type="spellEnd"/>
            <w:r>
              <w:rPr>
                <w:rFonts w:ascii="Arial" w:hAnsi="Arial"/>
                <w:b/>
                <w:sz w:val="20"/>
                <w:lang w:val="en-CA"/>
              </w:rPr>
              <w:t>$)</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992F01">
              <w:rPr>
                <w:rFonts w:ascii="Arial" w:hAnsi="Arial"/>
                <w:b/>
                <w:sz w:val="20"/>
              </w:rPr>
              <w:t xml:space="preserve"> </w:t>
            </w:r>
            <w:r>
              <w:rPr>
                <w:rFonts w:ascii="Arial" w:hAnsi="Arial"/>
                <w:b/>
                <w:sz w:val="20"/>
              </w:rPr>
              <w:t>Securities</w:t>
            </w:r>
            <w:r w:rsidR="00992F01">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Tr="00FF53B6">
        <w:trPr>
          <w:trHeight w:val="864"/>
        </w:trPr>
        <w:tc>
          <w:tcPr>
            <w:tcW w:w="1394" w:type="dxa"/>
          </w:tcPr>
          <w:p w:rsidR="00A90670" w:rsidRPr="00A90670" w:rsidRDefault="00A90670">
            <w:pPr>
              <w:pStyle w:val="BodyText"/>
              <w:spacing w:before="0" w:line="280" w:lineRule="exact"/>
              <w:jc w:val="center"/>
              <w:rPr>
                <w:rFonts w:ascii="Arial" w:hAnsi="Arial"/>
                <w:sz w:val="20"/>
                <w:lang w:val="en-CA"/>
              </w:rPr>
            </w:pPr>
          </w:p>
        </w:tc>
        <w:tc>
          <w:tcPr>
            <w:tcW w:w="1376" w:type="dxa"/>
          </w:tcPr>
          <w:p w:rsidR="00A90670" w:rsidRDefault="00A90670">
            <w:pPr>
              <w:pStyle w:val="BodyText"/>
              <w:spacing w:before="0" w:line="280" w:lineRule="exact"/>
              <w:jc w:val="center"/>
              <w:rPr>
                <w:rFonts w:ascii="Arial" w:hAnsi="Arial"/>
                <w:b/>
                <w:sz w:val="20"/>
                <w:lang w:val="en-CA"/>
              </w:rPr>
            </w:pPr>
          </w:p>
        </w:tc>
        <w:tc>
          <w:tcPr>
            <w:tcW w:w="1192" w:type="dxa"/>
          </w:tcPr>
          <w:p w:rsidR="00A90670" w:rsidRDefault="00A90670">
            <w:pPr>
              <w:pStyle w:val="BodyText"/>
              <w:spacing w:before="0" w:line="280" w:lineRule="exact"/>
              <w:jc w:val="center"/>
              <w:rPr>
                <w:rFonts w:ascii="Arial" w:hAnsi="Arial"/>
                <w:b/>
                <w:sz w:val="20"/>
                <w:lang w:val="en-CA"/>
              </w:rPr>
            </w:pPr>
          </w:p>
        </w:tc>
        <w:tc>
          <w:tcPr>
            <w:tcW w:w="1376" w:type="dxa"/>
          </w:tcPr>
          <w:p w:rsidR="00A90670" w:rsidRDefault="00A90670">
            <w:pPr>
              <w:pStyle w:val="BodyText"/>
              <w:spacing w:before="0" w:line="280" w:lineRule="exact"/>
              <w:jc w:val="center"/>
              <w:rPr>
                <w:rFonts w:ascii="Arial" w:hAnsi="Arial"/>
                <w:b/>
                <w:sz w:val="20"/>
                <w:lang w:val="en-CA"/>
              </w:rPr>
            </w:pPr>
          </w:p>
        </w:tc>
        <w:tc>
          <w:tcPr>
            <w:tcW w:w="1376" w:type="dxa"/>
          </w:tcPr>
          <w:p w:rsidR="00A90670" w:rsidRDefault="00A90670">
            <w:pPr>
              <w:pStyle w:val="BodyText"/>
              <w:spacing w:before="0" w:line="280" w:lineRule="exact"/>
              <w:jc w:val="center"/>
              <w:rPr>
                <w:rFonts w:ascii="Arial" w:hAnsi="Arial"/>
                <w:b/>
                <w:sz w:val="20"/>
                <w:lang w:val="en-CA"/>
              </w:rPr>
            </w:pPr>
          </w:p>
        </w:tc>
        <w:tc>
          <w:tcPr>
            <w:tcW w:w="1742" w:type="dxa"/>
          </w:tcPr>
          <w:p w:rsidR="00A90670" w:rsidRDefault="00A90670">
            <w:pPr>
              <w:pStyle w:val="BodyText"/>
              <w:spacing w:before="0" w:line="280" w:lineRule="exact"/>
              <w:jc w:val="center"/>
              <w:rPr>
                <w:rFonts w:ascii="Arial" w:hAnsi="Arial"/>
                <w:b/>
                <w:sz w:val="20"/>
              </w:rPr>
            </w:pPr>
          </w:p>
        </w:tc>
        <w:tc>
          <w:tcPr>
            <w:tcW w:w="1100" w:type="dxa"/>
          </w:tcPr>
          <w:p w:rsidR="00A90670" w:rsidRDefault="00A90670">
            <w:pPr>
              <w:pStyle w:val="BodyText"/>
              <w:spacing w:before="0" w:line="280" w:lineRule="exact"/>
              <w:jc w:val="center"/>
              <w:rPr>
                <w:rFonts w:ascii="Arial" w:hAnsi="Arial"/>
                <w:b/>
                <w:sz w:val="20"/>
                <w:lang w:val="en-CA"/>
              </w:rPr>
            </w:pPr>
          </w:p>
        </w:tc>
        <w:tc>
          <w:tcPr>
            <w:tcW w:w="1100" w:type="dxa"/>
          </w:tcPr>
          <w:p w:rsidR="00A90670" w:rsidRDefault="00A90670">
            <w:pPr>
              <w:pStyle w:val="BodyText"/>
              <w:spacing w:before="0" w:line="280" w:lineRule="exact"/>
              <w:jc w:val="center"/>
              <w:rPr>
                <w:rFonts w:ascii="Arial" w:hAnsi="Arial"/>
                <w:b/>
                <w:color w:val="000000"/>
                <w:sz w:val="20"/>
                <w:lang w:val="en-CA"/>
              </w:rPr>
            </w:pPr>
          </w:p>
        </w:tc>
      </w:tr>
    </w:tbl>
    <w:p w:rsidR="00EA4133"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p>
    <w:p w:rsidR="004A77FA" w:rsidRPr="004A77FA" w:rsidRDefault="00EA4133" w:rsidP="00FF53B6">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rsidR="00EA4133" w:rsidRDefault="00EA4133">
      <w:pPr>
        <w:pStyle w:val="BodyText"/>
        <w:numPr>
          <w:ilvl w:val="0"/>
          <w:numId w:val="10"/>
        </w:numPr>
        <w:tabs>
          <w:tab w:val="left" w:pos="9180"/>
        </w:tabs>
        <w:rPr>
          <w:rFonts w:ascii="Arial" w:hAnsi="Arial"/>
        </w:rPr>
      </w:pPr>
      <w:r>
        <w:rPr>
          <w:rFonts w:ascii="Arial" w:hAnsi="Arial"/>
        </w:rPr>
        <w:t>Provide particulars of any proceeds which are to be paid to</w:t>
      </w:r>
      <w:r w:rsidR="004A77FA">
        <w:rPr>
          <w:rFonts w:ascii="Arial" w:hAnsi="Arial"/>
        </w:rPr>
        <w:t xml:space="preserve"> Related Persons of the Issuer:</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4A77FA" w:rsidRPr="004A77FA" w:rsidRDefault="004A77FA" w:rsidP="00FF53B6">
      <w:pPr>
        <w:pStyle w:val="BodyText"/>
        <w:keepNext/>
        <w:keepLines/>
        <w:tabs>
          <w:tab w:val="left" w:pos="1080"/>
          <w:tab w:val="left" w:pos="1440"/>
          <w:tab w:val="left" w:pos="2160"/>
          <w:tab w:val="left" w:pos="9180"/>
        </w:tabs>
        <w:ind w:left="2160" w:hanging="2160"/>
        <w:jc w:val="both"/>
        <w:rPr>
          <w:rFonts w:ascii="Arial" w:hAnsi="Arial"/>
        </w:rPr>
      </w:pPr>
      <w:r>
        <w:rPr>
          <w:rFonts w:ascii="Arial" w:hAnsi="Arial"/>
        </w:rPr>
        <w:tab/>
        <w:t>(a)</w:t>
      </w:r>
      <w:r>
        <w:rPr>
          <w:rFonts w:ascii="Arial" w:hAnsi="Arial"/>
        </w:rPr>
        <w:tab/>
      </w:r>
      <w:r>
        <w:rPr>
          <w:rFonts w:ascii="Arial" w:hAnsi="Arial"/>
        </w:rPr>
        <w:tab/>
        <w:t xml:space="preserve">Class: </w:t>
      </w:r>
    </w:p>
    <w:p w:rsidR="00EA4133" w:rsidRDefault="004A77FA">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r>
      <w:r w:rsidR="004A77FA">
        <w:rPr>
          <w:rFonts w:ascii="Arial" w:hAnsi="Arial"/>
        </w:rPr>
        <w:t xml:space="preserve">Price per security: </w:t>
      </w:r>
    </w:p>
    <w:p w:rsidR="00EA4133" w:rsidRDefault="004A77FA">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4A77FA">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p>
    <w:p w:rsidR="00EA4133" w:rsidRPr="004A77FA" w:rsidRDefault="00EA4133" w:rsidP="004A77FA">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sidR="004A77FA">
        <w:rPr>
          <w:rFonts w:ascii="Arial" w:hAnsi="Arial"/>
        </w:rPr>
        <w:t xml:space="preserve">arrants (or options):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4A77FA">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r>
      <w:r w:rsidR="004A77FA">
        <w:rPr>
          <w:rFonts w:ascii="Arial" w:hAnsi="Arial"/>
        </w:rPr>
        <w:t xml:space="preserve">(d) </w:t>
      </w:r>
      <w:r w:rsidR="004A77FA">
        <w:rPr>
          <w:rFonts w:ascii="Arial" w:hAnsi="Arial"/>
        </w:rPr>
        <w:tab/>
        <w:t xml:space="preserve">Expiry date: </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sidR="0014249D">
        <w:rPr>
          <w:b w:val="0"/>
          <w:sz w:val="24"/>
        </w:rPr>
        <w:t xml:space="preserve"> </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 xml:space="preserve">Provide the following information for any agent’s fee, commission, bonus or </w:t>
      </w:r>
      <w:r w:rsidRPr="00277085">
        <w:rPr>
          <w:rFonts w:ascii="Arial" w:hAnsi="Arial"/>
        </w:rPr>
        <w:t>finder’s fee,</w:t>
      </w:r>
      <w:r>
        <w:rPr>
          <w:rFonts w:ascii="Arial" w:hAnsi="Arial"/>
        </w:rPr>
        <w:t xml:space="preserv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rsidR="00EA4133" w:rsidRDefault="00EA4133" w:rsidP="00FF53B6">
      <w:pPr>
        <w:pStyle w:val="List"/>
        <w:tabs>
          <w:tab w:val="left" w:pos="2160"/>
          <w:tab w:val="left" w:pos="9180"/>
        </w:tabs>
        <w:ind w:left="2160"/>
        <w:jc w:val="both"/>
        <w:rPr>
          <w:rFonts w:ascii="Arial" w:hAnsi="Arial"/>
        </w:rPr>
      </w:pPr>
      <w:r>
        <w:rPr>
          <w:rFonts w:ascii="Arial" w:hAnsi="Arial"/>
        </w:rPr>
        <w:t>(b)</w:t>
      </w:r>
      <w:r>
        <w:rPr>
          <w:rFonts w:ascii="Arial" w:hAnsi="Arial"/>
        </w:rPr>
        <w:tab/>
        <w:t>Cash</w:t>
      </w:r>
      <w:r w:rsidR="00277085">
        <w:rPr>
          <w:rFonts w:ascii="Arial" w:hAnsi="Arial"/>
        </w:rPr>
        <w:t xml:space="preserve">: </w:t>
      </w:r>
    </w:p>
    <w:p w:rsidR="00EA4133" w:rsidRDefault="00DC2C15">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280E75">
        <w:rPr>
          <w:rFonts w:ascii="Arial" w:hAnsi="Arial"/>
          <w:b/>
        </w:rPr>
        <w:t>_________________________________________</w:t>
      </w:r>
      <w:proofErr w:type="gramStart"/>
      <w:r w:rsidR="00280E75">
        <w:rPr>
          <w:rFonts w:ascii="Arial" w:hAnsi="Arial"/>
          <w:b/>
        </w:rPr>
        <w:t xml:space="preserve">_ </w:t>
      </w:r>
      <w:r w:rsidR="00280E75">
        <w:rPr>
          <w:rFonts w:ascii="Arial" w:hAnsi="Arial"/>
        </w:rPr>
        <w:t>.</w:t>
      </w:r>
      <w:proofErr w:type="gramEnd"/>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rsidP="00277085">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w:t>
      </w:r>
      <w:r w:rsidR="00277085">
        <w:rPr>
          <w:rFonts w:ascii="Arial" w:hAnsi="Arial"/>
        </w:rPr>
        <w:t>id</w:t>
      </w:r>
      <w:r w:rsidR="00C22363">
        <w:rPr>
          <w:rFonts w:ascii="Arial" w:hAnsi="Arial"/>
        </w:rPr>
        <w:t xml:space="preserve">e details of the relationship: </w:t>
      </w:r>
    </w:p>
    <w:p w:rsidR="00EA4133" w:rsidRPr="00D9006E" w:rsidRDefault="00EA4133" w:rsidP="00D9006E">
      <w:pPr>
        <w:pStyle w:val="List"/>
        <w:numPr>
          <w:ilvl w:val="0"/>
          <w:numId w:val="10"/>
        </w:numPr>
        <w:rPr>
          <w:rFonts w:ascii="Arial" w:hAnsi="Arial"/>
        </w:rPr>
      </w:pPr>
      <w:r>
        <w:rPr>
          <w:rFonts w:ascii="Arial" w:hAnsi="Arial"/>
        </w:rPr>
        <w:t>Describe any unusual particulars of the transaction (i.e. tax “flow through” shares, etc.).</w:t>
      </w:r>
      <w:r w:rsidR="00D9006E">
        <w:rPr>
          <w:rFonts w:ascii="Arial" w:hAnsi="Arial"/>
        </w:rPr>
        <w:t xml:space="preserve"> </w:t>
      </w:r>
    </w:p>
    <w:p w:rsidR="00EA4133" w:rsidRPr="00D9006E" w:rsidRDefault="00EA4133" w:rsidP="00FF53B6">
      <w:pPr>
        <w:pStyle w:val="List"/>
        <w:numPr>
          <w:ilvl w:val="0"/>
          <w:numId w:val="10"/>
        </w:numPr>
        <w:jc w:val="both"/>
        <w:rPr>
          <w:rFonts w:ascii="Arial" w:hAnsi="Arial"/>
        </w:rPr>
      </w:pPr>
      <w:r>
        <w:rPr>
          <w:rFonts w:ascii="Arial" w:hAnsi="Arial"/>
        </w:rPr>
        <w:t>State whether the private placement will result in a change of control.</w:t>
      </w:r>
      <w:r w:rsidR="00D9006E">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rsidP="00D9006E">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rPr>
        <w:tab/>
      </w:r>
    </w:p>
    <w:p w:rsidR="003C6D7E" w:rsidRPr="00FF53B6" w:rsidRDefault="00EA4133" w:rsidP="006D1847">
      <w:pPr>
        <w:pStyle w:val="List"/>
        <w:numPr>
          <w:ilvl w:val="0"/>
          <w:numId w:val="10"/>
        </w:numPr>
        <w:jc w:val="both"/>
        <w:rPr>
          <w:rFonts w:ascii="Arial" w:hAnsi="Arial"/>
          <w:b/>
          <w:color w:val="000000"/>
        </w:rPr>
      </w:pPr>
      <w:r w:rsidRPr="00FF53B6">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sidRPr="00FF53B6">
        <w:rPr>
          <w:rFonts w:ascii="Arial" w:hAnsi="Arial"/>
        </w:rPr>
        <w:t xml:space="preserve">National </w:t>
      </w:r>
      <w:r w:rsidR="00C536D3" w:rsidRPr="00FF53B6">
        <w:rPr>
          <w:rFonts w:ascii="Arial" w:hAnsi="Arial"/>
        </w:rPr>
        <w:t>Instrument 45-102 Resale of Securities</w:t>
      </w:r>
      <w:r w:rsidRPr="00FF53B6">
        <w:rPr>
          <w:rFonts w:ascii="Arial" w:hAnsi="Arial"/>
        </w:rPr>
        <w:t>.</w:t>
      </w:r>
      <w:r w:rsidR="00D9006E" w:rsidRPr="00FF53B6">
        <w:rPr>
          <w:rFonts w:ascii="Arial" w:hAnsi="Arial"/>
        </w:rPr>
        <w:t xml:space="preserve"> </w:t>
      </w:r>
    </w:p>
    <w:p w:rsidR="00D9006E" w:rsidRPr="00C42B27" w:rsidRDefault="0035331C" w:rsidP="00C42B27">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rsidR="00D9006E" w:rsidRDefault="00D9006E" w:rsidP="00D9006E">
      <w:pPr>
        <w:pStyle w:val="List"/>
        <w:tabs>
          <w:tab w:val="left" w:pos="9180"/>
        </w:tabs>
        <w:spacing w:before="0"/>
        <w:ind w:left="0" w:firstLine="0"/>
        <w:rPr>
          <w:rFonts w:ascii="Arial" w:hAnsi="Arial"/>
          <w:color w:val="000000"/>
        </w:rPr>
      </w:pPr>
    </w:p>
    <w:p w:rsidR="00992F01" w:rsidRDefault="00EA4133" w:rsidP="00C42B27">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rsidR="00992F01" w:rsidRDefault="00992F01" w:rsidP="00992F01">
      <w:pPr>
        <w:pStyle w:val="List"/>
        <w:tabs>
          <w:tab w:val="left" w:pos="9180"/>
        </w:tabs>
        <w:spacing w:before="0"/>
        <w:ind w:firstLine="0"/>
        <w:jc w:val="both"/>
        <w:rPr>
          <w:rFonts w:ascii="Arial" w:hAnsi="Arial"/>
          <w:color w:val="000000"/>
        </w:rPr>
      </w:pPr>
    </w:p>
    <w:p w:rsidR="008F513C" w:rsidRPr="007807C8" w:rsidRDefault="00C42B27" w:rsidP="00992F01">
      <w:pPr>
        <w:pStyle w:val="List"/>
        <w:tabs>
          <w:tab w:val="left" w:pos="9180"/>
        </w:tabs>
        <w:spacing w:before="0"/>
        <w:ind w:firstLine="0"/>
        <w:jc w:val="both"/>
        <w:rPr>
          <w:rFonts w:ascii="Arial" w:hAnsi="Arial"/>
          <w:b/>
          <w:color w:val="000000"/>
        </w:rPr>
      </w:pPr>
      <w:r w:rsidRPr="007807C8">
        <w:rPr>
          <w:rFonts w:ascii="Arial" w:hAnsi="Arial"/>
          <w:b/>
          <w:color w:val="000000"/>
        </w:rPr>
        <w:t xml:space="preserve">The Issuer </w:t>
      </w:r>
      <w:r w:rsidR="00E30988" w:rsidRPr="007807C8">
        <w:rPr>
          <w:rFonts w:ascii="Arial" w:hAnsi="Arial"/>
          <w:b/>
          <w:color w:val="000000"/>
        </w:rPr>
        <w:t xml:space="preserve">has </w:t>
      </w:r>
      <w:r w:rsidRPr="007807C8">
        <w:rPr>
          <w:rFonts w:ascii="Arial" w:hAnsi="Arial" w:cs="Arial"/>
          <w:b/>
          <w:color w:val="000000"/>
          <w:szCs w:val="24"/>
        </w:rPr>
        <w:t xml:space="preserve">acquired </w:t>
      </w:r>
      <w:r w:rsidR="000D114E" w:rsidRPr="007807C8">
        <w:rPr>
          <w:rFonts w:ascii="Arial" w:hAnsi="Arial" w:cs="Arial"/>
          <w:b/>
          <w:color w:val="000000"/>
          <w:szCs w:val="24"/>
        </w:rPr>
        <w:t>from a</w:t>
      </w:r>
      <w:r w:rsidR="008F513C" w:rsidRPr="007807C8">
        <w:rPr>
          <w:rFonts w:ascii="Arial" w:hAnsi="Arial" w:cs="Arial"/>
          <w:b/>
          <w:color w:val="000000"/>
          <w:szCs w:val="24"/>
        </w:rPr>
        <w:t>n</w:t>
      </w:r>
      <w:r w:rsidR="000D114E" w:rsidRPr="007807C8">
        <w:rPr>
          <w:rFonts w:ascii="Arial" w:hAnsi="Arial" w:cs="Arial"/>
          <w:b/>
          <w:color w:val="000000"/>
          <w:szCs w:val="24"/>
        </w:rPr>
        <w:t xml:space="preserve"> </w:t>
      </w:r>
      <w:r w:rsidR="007807C8" w:rsidRPr="007807C8">
        <w:rPr>
          <w:rFonts w:ascii="Arial" w:hAnsi="Arial" w:cs="Arial"/>
          <w:b/>
          <w:szCs w:val="24"/>
        </w:rPr>
        <w:t>independent, arm’s</w:t>
      </w:r>
      <w:r w:rsidR="002467D9">
        <w:rPr>
          <w:rFonts w:ascii="Arial" w:hAnsi="Arial" w:cs="Arial"/>
          <w:b/>
          <w:szCs w:val="24"/>
        </w:rPr>
        <w:t>-</w:t>
      </w:r>
      <w:r w:rsidR="007807C8" w:rsidRPr="007807C8">
        <w:rPr>
          <w:rFonts w:ascii="Arial" w:hAnsi="Arial" w:cs="Arial"/>
          <w:b/>
          <w:szCs w:val="24"/>
        </w:rPr>
        <w:t>length third party</w:t>
      </w:r>
      <w:r w:rsidR="007807C8" w:rsidRPr="007807C8">
        <w:rPr>
          <w:rFonts w:ascii="Arial" w:hAnsi="Arial" w:cs="Arial"/>
          <w:b/>
          <w:color w:val="000000"/>
          <w:szCs w:val="24"/>
        </w:rPr>
        <w:t xml:space="preserve"> </w:t>
      </w:r>
      <w:r w:rsidR="008F513C" w:rsidRPr="007807C8">
        <w:rPr>
          <w:rFonts w:ascii="Arial" w:hAnsi="Arial" w:cs="Arial"/>
          <w:b/>
          <w:color w:val="000000"/>
          <w:szCs w:val="24"/>
        </w:rPr>
        <w:t>(the</w:t>
      </w:r>
      <w:r w:rsidR="008F513C" w:rsidRPr="007807C8">
        <w:rPr>
          <w:rFonts w:ascii="Arial" w:hAnsi="Arial"/>
          <w:b/>
          <w:color w:val="000000"/>
        </w:rPr>
        <w:t xml:space="preserve"> “Vendor”)</w:t>
      </w:r>
      <w:r w:rsidR="000D114E" w:rsidRPr="007807C8">
        <w:rPr>
          <w:rFonts w:ascii="Arial" w:hAnsi="Arial"/>
          <w:b/>
          <w:color w:val="000000"/>
        </w:rPr>
        <w:t xml:space="preserve"> </w:t>
      </w:r>
      <w:r w:rsidR="008F513C" w:rsidRPr="007807C8">
        <w:rPr>
          <w:rFonts w:ascii="Arial" w:hAnsi="Arial"/>
          <w:b/>
          <w:color w:val="000000"/>
        </w:rPr>
        <w:t xml:space="preserve">a 100% right, title and interest in and to </w:t>
      </w:r>
      <w:r w:rsidR="00765E65" w:rsidRPr="007807C8">
        <w:rPr>
          <w:rFonts w:ascii="Arial" w:hAnsi="Arial"/>
          <w:b/>
          <w:color w:val="000000"/>
        </w:rPr>
        <w:t>144.16</w:t>
      </w:r>
      <w:r w:rsidR="00BB1959" w:rsidRPr="007807C8">
        <w:rPr>
          <w:rFonts w:ascii="Arial" w:hAnsi="Arial"/>
          <w:b/>
          <w:color w:val="000000"/>
        </w:rPr>
        <w:t xml:space="preserve"> hectares of mineral rights </w:t>
      </w:r>
      <w:r w:rsidR="00E30988" w:rsidRPr="007807C8">
        <w:rPr>
          <w:rFonts w:ascii="Arial" w:hAnsi="Arial"/>
          <w:b/>
          <w:color w:val="000000"/>
        </w:rPr>
        <w:t xml:space="preserve">(the “Mineral Rights”) </w:t>
      </w:r>
      <w:r w:rsidR="00BB1959" w:rsidRPr="007807C8">
        <w:rPr>
          <w:rFonts w:ascii="Arial" w:hAnsi="Arial"/>
          <w:b/>
          <w:color w:val="000000"/>
        </w:rPr>
        <w:t xml:space="preserve">contiguous to the </w:t>
      </w:r>
      <w:r w:rsidR="00765E65" w:rsidRPr="007807C8">
        <w:rPr>
          <w:rFonts w:ascii="Arial" w:hAnsi="Arial"/>
          <w:b/>
          <w:color w:val="000000"/>
        </w:rPr>
        <w:t xml:space="preserve">Issuer’s </w:t>
      </w:r>
      <w:proofErr w:type="spellStart"/>
      <w:r w:rsidR="00765E65" w:rsidRPr="007807C8">
        <w:rPr>
          <w:rFonts w:ascii="Arial" w:hAnsi="Arial"/>
          <w:b/>
          <w:color w:val="000000"/>
        </w:rPr>
        <w:t>Kymar</w:t>
      </w:r>
      <w:proofErr w:type="spellEnd"/>
      <w:r w:rsidR="00765E65" w:rsidRPr="007807C8">
        <w:rPr>
          <w:rFonts w:ascii="Arial" w:hAnsi="Arial"/>
          <w:b/>
          <w:color w:val="000000"/>
        </w:rPr>
        <w:t xml:space="preserve"> Silver Project located 28 </w:t>
      </w:r>
      <w:r w:rsidR="004F5807" w:rsidRPr="007807C8">
        <w:rPr>
          <w:rFonts w:ascii="Arial" w:hAnsi="Arial"/>
          <w:b/>
          <w:color w:val="000000"/>
        </w:rPr>
        <w:t>kilometres</w:t>
      </w:r>
      <w:r w:rsidR="00765E65" w:rsidRPr="007807C8">
        <w:rPr>
          <w:rFonts w:ascii="Arial" w:hAnsi="Arial"/>
          <w:b/>
          <w:color w:val="000000"/>
        </w:rPr>
        <w:t xml:space="preserve"> west of Invermere, British Columbia, along the southeast flank of Mount Catherine in the Golden Mining Division</w:t>
      </w:r>
      <w:r w:rsidR="00BB1959" w:rsidRPr="007807C8">
        <w:rPr>
          <w:rFonts w:ascii="Arial" w:hAnsi="Arial"/>
          <w:b/>
          <w:color w:val="000000"/>
        </w:rPr>
        <w:t>.</w:t>
      </w:r>
      <w:r w:rsidR="00E30988" w:rsidRPr="007807C8">
        <w:rPr>
          <w:rFonts w:ascii="Arial" w:hAnsi="Arial"/>
          <w:b/>
          <w:color w:val="000000"/>
        </w:rPr>
        <w:t xml:space="preserve"> </w:t>
      </w:r>
    </w:p>
    <w:p w:rsidR="008F513C" w:rsidRPr="007807C8" w:rsidRDefault="008F513C" w:rsidP="00992F01">
      <w:pPr>
        <w:pStyle w:val="List"/>
        <w:tabs>
          <w:tab w:val="left" w:pos="9180"/>
        </w:tabs>
        <w:spacing w:before="0"/>
        <w:ind w:firstLine="0"/>
        <w:jc w:val="both"/>
        <w:rPr>
          <w:rFonts w:ascii="Arial" w:hAnsi="Arial"/>
          <w:b/>
          <w:color w:val="000000"/>
        </w:rPr>
      </w:pPr>
    </w:p>
    <w:p w:rsidR="00C42B27" w:rsidRPr="007807C8" w:rsidRDefault="00E30988" w:rsidP="00992F01">
      <w:pPr>
        <w:pStyle w:val="List"/>
        <w:tabs>
          <w:tab w:val="left" w:pos="9180"/>
        </w:tabs>
        <w:spacing w:before="0"/>
        <w:ind w:firstLine="0"/>
        <w:jc w:val="both"/>
        <w:rPr>
          <w:rFonts w:ascii="Arial" w:hAnsi="Arial"/>
          <w:b/>
          <w:color w:val="000000"/>
        </w:rPr>
      </w:pPr>
      <w:r w:rsidRPr="007807C8">
        <w:rPr>
          <w:rFonts w:ascii="Arial" w:hAnsi="Arial"/>
          <w:b/>
          <w:color w:val="000000"/>
        </w:rPr>
        <w:t xml:space="preserve">The Mineral Rights consists of two mineral claims being, (i) claim name HP on title number 536427 consisting of 61.776 hectares and (ii) </w:t>
      </w:r>
      <w:r w:rsidR="00BB1959" w:rsidRPr="007807C8">
        <w:rPr>
          <w:rFonts w:ascii="Arial" w:hAnsi="Arial"/>
          <w:b/>
          <w:color w:val="000000"/>
        </w:rPr>
        <w:t xml:space="preserve"> </w:t>
      </w:r>
      <w:r w:rsidRPr="007807C8">
        <w:rPr>
          <w:rFonts w:ascii="Arial" w:hAnsi="Arial"/>
          <w:b/>
          <w:color w:val="000000"/>
        </w:rPr>
        <w:t>claim name HOT PUNCH on title number 1077791 consisting of 82.379 hectares</w:t>
      </w:r>
      <w:r w:rsidR="008F513C" w:rsidRPr="007807C8">
        <w:rPr>
          <w:rFonts w:ascii="Arial" w:hAnsi="Arial"/>
          <w:b/>
          <w:color w:val="000000"/>
        </w:rPr>
        <w:t xml:space="preserve">. </w:t>
      </w:r>
    </w:p>
    <w:p w:rsidR="00992F01" w:rsidRDefault="00EA4133" w:rsidP="00C42B27">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 xml:space="preserve">Provide details of the acquisition including the date, parties to and type of </w:t>
      </w:r>
      <w:proofErr w:type="gramStart"/>
      <w:r>
        <w:rPr>
          <w:rFonts w:ascii="Arial" w:hAnsi="Arial"/>
          <w:color w:val="000000"/>
        </w:rPr>
        <w:t>agreement</w:t>
      </w:r>
      <w:proofErr w:type="gramEnd"/>
      <w:r>
        <w:rPr>
          <w:rFonts w:ascii="Arial" w:hAnsi="Arial"/>
          <w:color w:val="000000"/>
        </w:rPr>
        <w:t xml:space="preserve"> (</w:t>
      </w:r>
      <w:proofErr w:type="spellStart"/>
      <w:r>
        <w:rPr>
          <w:rFonts w:ascii="Arial" w:hAnsi="Arial"/>
          <w:color w:val="000000"/>
        </w:rPr>
        <w:t>eg</w:t>
      </w:r>
      <w:proofErr w:type="spellEnd"/>
      <w:r>
        <w:rPr>
          <w:rFonts w:ascii="Arial" w:hAnsi="Arial"/>
          <w:color w:val="000000"/>
        </w:rPr>
        <w:t>: sale, option, license etc.) and relationship to the Issuer.</w:t>
      </w:r>
      <w:r w:rsidR="00C42B27">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rsidR="000F0176" w:rsidRPr="002C3681" w:rsidRDefault="000F0176" w:rsidP="00F35B53">
      <w:pPr>
        <w:pStyle w:val="List"/>
        <w:tabs>
          <w:tab w:val="left" w:pos="9180"/>
        </w:tabs>
        <w:ind w:firstLine="0"/>
        <w:jc w:val="both"/>
        <w:rPr>
          <w:rFonts w:ascii="Arial" w:hAnsi="Arial"/>
          <w:b/>
          <w:color w:val="000000"/>
        </w:rPr>
      </w:pPr>
      <w:r w:rsidRPr="002C3681">
        <w:rPr>
          <w:rFonts w:ascii="Arial" w:hAnsi="Arial"/>
          <w:b/>
          <w:color w:val="000000"/>
        </w:rPr>
        <w:t>On August 30, 2021 t</w:t>
      </w:r>
      <w:r w:rsidR="00C42B27" w:rsidRPr="002C3681">
        <w:rPr>
          <w:rFonts w:ascii="Arial" w:hAnsi="Arial"/>
          <w:b/>
          <w:color w:val="000000"/>
        </w:rPr>
        <w:t xml:space="preserve">he Issuer entered into a </w:t>
      </w:r>
      <w:r w:rsidR="00F35B53" w:rsidRPr="002C3681">
        <w:rPr>
          <w:rFonts w:ascii="Arial" w:hAnsi="Arial"/>
          <w:b/>
          <w:color w:val="000000"/>
        </w:rPr>
        <w:t>purchase</w:t>
      </w:r>
      <w:r w:rsidR="00C42B27" w:rsidRPr="002C3681">
        <w:rPr>
          <w:rFonts w:ascii="Arial" w:hAnsi="Arial"/>
          <w:b/>
          <w:color w:val="000000"/>
        </w:rPr>
        <w:t xml:space="preserve"> agreement</w:t>
      </w:r>
      <w:r w:rsidR="00DC0D16" w:rsidRPr="002C3681">
        <w:rPr>
          <w:rFonts w:ascii="Arial" w:hAnsi="Arial"/>
          <w:b/>
          <w:color w:val="000000"/>
        </w:rPr>
        <w:t xml:space="preserve"> </w:t>
      </w:r>
      <w:r w:rsidR="00F35B53" w:rsidRPr="002C3681">
        <w:rPr>
          <w:rFonts w:ascii="Arial" w:hAnsi="Arial"/>
          <w:b/>
          <w:color w:val="000000"/>
        </w:rPr>
        <w:t>(the “Agreement”) to purchase the</w:t>
      </w:r>
      <w:r w:rsidR="00DC0D16" w:rsidRPr="002C3681">
        <w:rPr>
          <w:rFonts w:ascii="Arial" w:hAnsi="Arial"/>
          <w:b/>
          <w:color w:val="000000"/>
        </w:rPr>
        <w:t xml:space="preserve"> </w:t>
      </w:r>
      <w:r w:rsidR="00E30988" w:rsidRPr="002C3681">
        <w:rPr>
          <w:rFonts w:ascii="Arial" w:hAnsi="Arial"/>
          <w:b/>
          <w:color w:val="000000"/>
        </w:rPr>
        <w:t>Mineral Rights</w:t>
      </w:r>
      <w:r w:rsidR="000D114E" w:rsidRPr="002C3681">
        <w:rPr>
          <w:rFonts w:ascii="Arial" w:hAnsi="Arial"/>
          <w:b/>
          <w:color w:val="000000"/>
        </w:rPr>
        <w:t xml:space="preserve"> </w:t>
      </w:r>
      <w:r w:rsidR="00F35B53" w:rsidRPr="002C3681">
        <w:rPr>
          <w:rFonts w:ascii="Arial" w:hAnsi="Arial"/>
          <w:b/>
          <w:color w:val="000000"/>
        </w:rPr>
        <w:t>from</w:t>
      </w:r>
      <w:r w:rsidR="008F513C" w:rsidRPr="002C3681">
        <w:rPr>
          <w:rFonts w:ascii="Arial" w:hAnsi="Arial"/>
          <w:b/>
          <w:color w:val="000000"/>
        </w:rPr>
        <w:t xml:space="preserve"> the Vendor</w:t>
      </w:r>
      <w:r w:rsidR="00F35B53" w:rsidRPr="002C3681">
        <w:rPr>
          <w:rFonts w:ascii="Arial" w:hAnsi="Arial"/>
          <w:b/>
          <w:color w:val="000000"/>
        </w:rPr>
        <w:t>.</w:t>
      </w:r>
      <w:r w:rsidR="000D114E" w:rsidRPr="002C3681">
        <w:rPr>
          <w:rFonts w:ascii="Arial" w:hAnsi="Arial"/>
          <w:b/>
          <w:color w:val="000000"/>
        </w:rPr>
        <w:t xml:space="preserve"> </w:t>
      </w:r>
      <w:r w:rsidR="004F5807" w:rsidRPr="002C3681">
        <w:rPr>
          <w:rFonts w:ascii="Arial" w:hAnsi="Arial"/>
          <w:b/>
          <w:color w:val="000000"/>
        </w:rPr>
        <w:t xml:space="preserve">Pursuant to the Agreement </w:t>
      </w:r>
      <w:r w:rsidR="00E30988" w:rsidRPr="002C3681">
        <w:rPr>
          <w:rFonts w:ascii="Arial" w:hAnsi="Arial"/>
          <w:b/>
          <w:color w:val="000000"/>
        </w:rPr>
        <w:t>the purchase price</w:t>
      </w:r>
      <w:r w:rsidR="004F5807" w:rsidRPr="002C3681">
        <w:rPr>
          <w:rFonts w:ascii="Arial" w:hAnsi="Arial"/>
          <w:b/>
          <w:color w:val="000000"/>
        </w:rPr>
        <w:t xml:space="preserve"> for the </w:t>
      </w:r>
      <w:r w:rsidR="00E30988" w:rsidRPr="002C3681">
        <w:rPr>
          <w:rFonts w:ascii="Arial" w:hAnsi="Arial"/>
          <w:b/>
          <w:color w:val="000000"/>
        </w:rPr>
        <w:t xml:space="preserve">Mineral Rights </w:t>
      </w:r>
      <w:r w:rsidR="004F5807" w:rsidRPr="002C3681">
        <w:rPr>
          <w:rFonts w:ascii="Arial" w:hAnsi="Arial"/>
          <w:b/>
          <w:color w:val="000000"/>
        </w:rPr>
        <w:t>was made by the issuance of 200,000 common shares (“Shares”) in the Issuer to the Vendor at a deemed price of $0.06 per Share and a 2% Net Smelter Royalty (“</w:t>
      </w:r>
      <w:proofErr w:type="spellStart"/>
      <w:r w:rsidR="004F5807" w:rsidRPr="002C3681">
        <w:rPr>
          <w:rFonts w:ascii="Arial" w:hAnsi="Arial"/>
          <w:b/>
          <w:color w:val="000000"/>
        </w:rPr>
        <w:t>NSR</w:t>
      </w:r>
      <w:proofErr w:type="spellEnd"/>
      <w:r w:rsidR="004F5807" w:rsidRPr="002C3681">
        <w:rPr>
          <w:rFonts w:ascii="Arial" w:hAnsi="Arial"/>
          <w:b/>
          <w:color w:val="000000"/>
        </w:rPr>
        <w:t xml:space="preserve">”) </w:t>
      </w:r>
      <w:r w:rsidR="00F35B53" w:rsidRPr="002C3681">
        <w:rPr>
          <w:rFonts w:ascii="Arial" w:hAnsi="Arial"/>
          <w:b/>
          <w:color w:val="000000"/>
        </w:rPr>
        <w:t>return in favour of the Vendor</w:t>
      </w:r>
      <w:r w:rsidR="004F5807" w:rsidRPr="002C3681">
        <w:rPr>
          <w:rFonts w:ascii="Arial" w:hAnsi="Arial"/>
          <w:b/>
          <w:color w:val="000000"/>
        </w:rPr>
        <w:t xml:space="preserve">. </w:t>
      </w:r>
    </w:p>
    <w:p w:rsidR="000F0176" w:rsidRPr="002C3681" w:rsidRDefault="004F5807" w:rsidP="00F35B53">
      <w:pPr>
        <w:pStyle w:val="List"/>
        <w:tabs>
          <w:tab w:val="left" w:pos="9180"/>
        </w:tabs>
        <w:ind w:firstLine="0"/>
        <w:jc w:val="both"/>
        <w:rPr>
          <w:rFonts w:ascii="Arial" w:hAnsi="Arial"/>
          <w:b/>
          <w:color w:val="000000"/>
        </w:rPr>
      </w:pPr>
      <w:r w:rsidRPr="002C3681">
        <w:rPr>
          <w:rFonts w:ascii="Arial" w:hAnsi="Arial"/>
          <w:b/>
          <w:color w:val="000000"/>
        </w:rPr>
        <w:t xml:space="preserve">The Issuer has the exclusive and irrevocable option to purchase from the Vendor 50% of the </w:t>
      </w:r>
      <w:proofErr w:type="spellStart"/>
      <w:r w:rsidRPr="002C3681">
        <w:rPr>
          <w:rFonts w:ascii="Arial" w:hAnsi="Arial"/>
          <w:b/>
          <w:color w:val="000000"/>
        </w:rPr>
        <w:t>NSR</w:t>
      </w:r>
      <w:proofErr w:type="spellEnd"/>
      <w:r w:rsidRPr="002C3681">
        <w:rPr>
          <w:rFonts w:ascii="Arial" w:hAnsi="Arial"/>
          <w:b/>
          <w:color w:val="000000"/>
        </w:rPr>
        <w:t xml:space="preserve"> in exchange for an aggregate cash payment of $1,000,000.</w:t>
      </w:r>
      <w:r w:rsidR="008F513C" w:rsidRPr="002C3681">
        <w:rPr>
          <w:rFonts w:ascii="Arial" w:hAnsi="Arial"/>
          <w:b/>
          <w:color w:val="000000"/>
        </w:rPr>
        <w:t xml:space="preserve"> </w:t>
      </w:r>
    </w:p>
    <w:p w:rsidR="00F35B53" w:rsidRPr="002C3681" w:rsidRDefault="008F513C" w:rsidP="00F35B53">
      <w:pPr>
        <w:pStyle w:val="List"/>
        <w:tabs>
          <w:tab w:val="left" w:pos="9180"/>
        </w:tabs>
        <w:ind w:firstLine="0"/>
        <w:jc w:val="both"/>
        <w:rPr>
          <w:rFonts w:ascii="Arial" w:hAnsi="Arial"/>
          <w:b/>
          <w:color w:val="000000"/>
        </w:rPr>
      </w:pPr>
      <w:r w:rsidRPr="002C3681">
        <w:rPr>
          <w:rFonts w:ascii="Arial" w:hAnsi="Arial"/>
          <w:b/>
          <w:color w:val="000000"/>
        </w:rPr>
        <w:t xml:space="preserve">The Vendor is not related to the Issuer. </w:t>
      </w:r>
    </w:p>
    <w:p w:rsidR="00EA4133" w:rsidRDefault="00EA4133" w:rsidP="00F35B53">
      <w:pPr>
        <w:pStyle w:val="List"/>
        <w:tabs>
          <w:tab w:val="left" w:pos="9180"/>
        </w:tabs>
        <w:ind w:firstLine="0"/>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1D1026" w:rsidRPr="002467D9">
        <w:rPr>
          <w:rFonts w:ascii="Arial" w:hAnsi="Arial"/>
          <w:b/>
          <w:color w:val="000000"/>
        </w:rPr>
        <w:t>$</w:t>
      </w:r>
      <w:r w:rsidR="00213C84" w:rsidRPr="002467D9">
        <w:rPr>
          <w:rFonts w:ascii="Arial" w:hAnsi="Arial"/>
          <w:b/>
          <w:color w:val="000000"/>
        </w:rPr>
        <w:t>12</w:t>
      </w:r>
      <w:r w:rsidR="001D1026" w:rsidRPr="002467D9">
        <w:rPr>
          <w:rFonts w:ascii="Arial" w:hAnsi="Arial"/>
          <w:b/>
          <w:color w:val="000000"/>
        </w:rPr>
        <w:t>,000.00</w:t>
      </w:r>
      <w:r w:rsidRPr="000E6A13">
        <w:rPr>
          <w:rFonts w:ascii="Arial" w:hAnsi="Arial"/>
          <w:b/>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2467D9" w:rsidRPr="002467D9">
        <w:rPr>
          <w:rFonts w:ascii="Arial" w:hAnsi="Arial"/>
          <w:b/>
          <w:color w:val="000000"/>
        </w:rPr>
        <w:t>N/A.</w:t>
      </w:r>
    </w:p>
    <w:p w:rsidR="00EA4133" w:rsidRDefault="00EA4133" w:rsidP="000D114E">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Securities (including options, warrants etc.) and dollar value: </w:t>
      </w:r>
      <w:r w:rsidR="00BB1959">
        <w:rPr>
          <w:rFonts w:ascii="Arial" w:hAnsi="Arial"/>
          <w:color w:val="000000"/>
        </w:rPr>
        <w:br/>
      </w:r>
      <w:r w:rsidR="00BB1959">
        <w:rPr>
          <w:rFonts w:ascii="Arial" w:hAnsi="Arial"/>
          <w:color w:val="000000"/>
        </w:rPr>
        <w:br/>
      </w:r>
      <w:r w:rsidR="00213C84" w:rsidRPr="002467D9">
        <w:rPr>
          <w:rFonts w:ascii="Arial" w:hAnsi="Arial"/>
          <w:b/>
          <w:color w:val="000000"/>
        </w:rPr>
        <w:t>200</w:t>
      </w:r>
      <w:r w:rsidR="001D1026" w:rsidRPr="002467D9">
        <w:rPr>
          <w:rFonts w:ascii="Arial" w:hAnsi="Arial"/>
          <w:b/>
          <w:color w:val="000000"/>
        </w:rPr>
        <w:t xml:space="preserve">,000 </w:t>
      </w:r>
      <w:r w:rsidR="00213C84" w:rsidRPr="002467D9">
        <w:rPr>
          <w:rFonts w:ascii="Arial" w:hAnsi="Arial"/>
          <w:b/>
          <w:color w:val="000000"/>
        </w:rPr>
        <w:t>Shares</w:t>
      </w:r>
      <w:r w:rsidR="000D114E" w:rsidRPr="002467D9">
        <w:rPr>
          <w:rFonts w:ascii="Arial" w:hAnsi="Arial"/>
          <w:b/>
          <w:color w:val="000000"/>
        </w:rPr>
        <w:t xml:space="preserve"> of the I</w:t>
      </w:r>
      <w:r w:rsidR="001D1026" w:rsidRPr="002467D9">
        <w:rPr>
          <w:rFonts w:ascii="Arial" w:hAnsi="Arial"/>
          <w:b/>
          <w:color w:val="000000"/>
        </w:rPr>
        <w:t xml:space="preserve">ssuer at a deemed </w:t>
      </w:r>
      <w:r w:rsidR="000D114E" w:rsidRPr="002467D9">
        <w:rPr>
          <w:rFonts w:ascii="Arial" w:hAnsi="Arial"/>
          <w:b/>
          <w:color w:val="000000"/>
        </w:rPr>
        <w:t xml:space="preserve">issue price </w:t>
      </w:r>
      <w:r w:rsidR="001D1026" w:rsidRPr="002467D9">
        <w:rPr>
          <w:rFonts w:ascii="Arial" w:hAnsi="Arial"/>
          <w:b/>
          <w:color w:val="000000"/>
        </w:rPr>
        <w:t>of $0.06 per Share, being $</w:t>
      </w:r>
      <w:r w:rsidR="00213C84" w:rsidRPr="002467D9">
        <w:rPr>
          <w:rFonts w:ascii="Arial" w:hAnsi="Arial"/>
          <w:b/>
          <w:color w:val="000000"/>
        </w:rPr>
        <w:t>12</w:t>
      </w:r>
      <w:r w:rsidR="001D1026" w:rsidRPr="002467D9">
        <w:rPr>
          <w:rFonts w:ascii="Arial" w:hAnsi="Arial"/>
          <w:b/>
          <w:color w:val="000000"/>
        </w:rPr>
        <w:t>,000.00 in aggregate</w:t>
      </w:r>
      <w:r w:rsidRPr="000E6A13">
        <w:rPr>
          <w:rFonts w:ascii="Arial" w:hAnsi="Arial"/>
          <w:b/>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213C84" w:rsidRPr="002467D9">
        <w:rPr>
          <w:rFonts w:ascii="Arial" w:hAnsi="Arial"/>
          <w:b/>
          <w:color w:val="000000"/>
        </w:rPr>
        <w:t xml:space="preserve">The 2% </w:t>
      </w:r>
      <w:proofErr w:type="spellStart"/>
      <w:r w:rsidR="00213C84" w:rsidRPr="002467D9">
        <w:rPr>
          <w:rFonts w:ascii="Arial" w:hAnsi="Arial"/>
          <w:b/>
          <w:color w:val="000000"/>
        </w:rPr>
        <w:t>NSR</w:t>
      </w:r>
      <w:proofErr w:type="spellEnd"/>
      <w:r w:rsidR="00213C84" w:rsidRPr="002467D9">
        <w:rPr>
          <w:rFonts w:ascii="Arial" w:hAnsi="Arial"/>
          <w:b/>
          <w:color w:val="000000"/>
        </w:rPr>
        <w:t xml:space="preserve"> as discussed in section 2 above.</w:t>
      </w:r>
      <w:r w:rsidR="00213C84">
        <w:rPr>
          <w:rFonts w:ascii="Arial" w:hAnsi="Arial"/>
          <w:b/>
          <w:color w:val="000000"/>
          <w:u w:val="single"/>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1D1026" w:rsidRPr="002467D9">
        <w:rPr>
          <w:rFonts w:ascii="Arial" w:hAnsi="Arial"/>
          <w:b/>
          <w:color w:val="000000"/>
        </w:rPr>
        <w:t>N/A.</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1D1026" w:rsidRPr="002467D9">
        <w:rPr>
          <w:rFonts w:ascii="Arial" w:hAnsi="Arial"/>
          <w:b/>
          <w:color w:val="000000"/>
        </w:rPr>
        <w:t>N/A</w:t>
      </w:r>
      <w:r w:rsidR="001D1026" w:rsidRPr="000E6A13">
        <w:rPr>
          <w:rFonts w:ascii="Arial" w:hAnsi="Arial"/>
          <w:b/>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1D1026" w:rsidRPr="002467D9">
        <w:rPr>
          <w:rFonts w:ascii="Arial" w:hAnsi="Arial"/>
          <w:b/>
          <w:color w:val="000000"/>
        </w:rPr>
        <w:t>N/A</w:t>
      </w:r>
      <w:r w:rsidR="001D1026" w:rsidRPr="000E6A13">
        <w:rPr>
          <w:rFonts w:ascii="Arial" w:hAnsi="Arial"/>
          <w:b/>
          <w:color w:val="000000"/>
        </w:rPr>
        <w:t>.</w:t>
      </w:r>
    </w:p>
    <w:p w:rsidR="00EA4133" w:rsidRDefault="00EA4133" w:rsidP="000D114E">
      <w:pPr>
        <w:pStyle w:val="List"/>
        <w:numPr>
          <w:ilvl w:val="0"/>
          <w:numId w:val="16"/>
        </w:numPr>
        <w:tabs>
          <w:tab w:val="left" w:pos="9180"/>
        </w:tabs>
        <w:jc w:val="both"/>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r w:rsidR="001D1026">
        <w:rPr>
          <w:rFonts w:ascii="Arial" w:hAnsi="Arial"/>
          <w:color w:val="000000"/>
        </w:rPr>
        <w:t xml:space="preserve"> </w:t>
      </w:r>
      <w:r w:rsidR="00BB1959">
        <w:rPr>
          <w:rFonts w:ascii="Arial" w:hAnsi="Arial"/>
          <w:color w:val="000000"/>
        </w:rPr>
        <w:br/>
      </w:r>
      <w:r w:rsidR="00BB1959">
        <w:rPr>
          <w:rFonts w:ascii="Arial" w:hAnsi="Arial"/>
          <w:color w:val="000000"/>
        </w:rPr>
        <w:br/>
      </w:r>
      <w:r w:rsidR="001D1026" w:rsidRPr="002467D9">
        <w:rPr>
          <w:rFonts w:ascii="Arial" w:hAnsi="Arial"/>
          <w:b/>
          <w:color w:val="000000"/>
        </w:rPr>
        <w:t>The Agreement was reached by arm’s</w:t>
      </w:r>
      <w:r w:rsidR="002467D9">
        <w:rPr>
          <w:rFonts w:ascii="Arial" w:hAnsi="Arial"/>
          <w:b/>
          <w:color w:val="000000"/>
        </w:rPr>
        <w:t>-</w:t>
      </w:r>
      <w:r w:rsidR="001D1026" w:rsidRPr="002467D9">
        <w:rPr>
          <w:rFonts w:ascii="Arial" w:hAnsi="Arial"/>
          <w:b/>
          <w:color w:val="000000"/>
        </w:rPr>
        <w:t>length negotiation between the Issuer and the Vendor.</w:t>
      </w:r>
      <w:r w:rsidR="001D1026" w:rsidRPr="002467D9">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BB1959" w:rsidRPr="00BB1959">
        <w:rPr>
          <w:rFonts w:ascii="Arial" w:hAnsi="Arial"/>
          <w:b/>
          <w:color w:val="000000"/>
        </w:rPr>
        <w:t xml:space="preserve"> </w:t>
      </w:r>
      <w:r w:rsidR="005F2B9E" w:rsidRPr="002467D9">
        <w:rPr>
          <w:rFonts w:ascii="Arial" w:hAnsi="Arial"/>
          <w:b/>
          <w:color w:val="000000"/>
        </w:rPr>
        <w:t>N/A</w:t>
      </w:r>
      <w:r w:rsidR="00BB1959">
        <w:rPr>
          <w:rFonts w:ascii="Arial" w:hAnsi="Arial"/>
          <w:color w:val="000000"/>
          <w:u w:val="single"/>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w:t>
      </w:r>
      <w:r w:rsidR="004B2385">
        <w:rPr>
          <w:rFonts w:ascii="Arial" w:hAnsi="Arial"/>
          <w:color w:val="000000"/>
        </w:rPr>
        <w:t>ssued are described as follows:</w:t>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w:t>
            </w:r>
            <w:proofErr w:type="spellStart"/>
            <w:r>
              <w:rPr>
                <w:rFonts w:ascii="Arial" w:hAnsi="Arial"/>
                <w:b/>
                <w:sz w:val="20"/>
                <w:lang w:val="en-CA"/>
              </w:rPr>
              <w:t>CDN</w:t>
            </w:r>
            <w:proofErr w:type="spellEnd"/>
            <w:r>
              <w:rPr>
                <w:rFonts w:ascii="Arial" w:hAnsi="Arial"/>
                <w:b/>
                <w:sz w:val="20"/>
                <w:lang w:val="en-CA"/>
              </w:rPr>
              <w:t>$)</w:t>
            </w:r>
          </w:p>
        </w:tc>
        <w:tc>
          <w:tcPr>
            <w:tcW w:w="1440" w:type="dxa"/>
          </w:tcPr>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rsidTr="002467D9">
        <w:trPr>
          <w:trHeight w:hRule="exact" w:val="1531"/>
        </w:trPr>
        <w:tc>
          <w:tcPr>
            <w:tcW w:w="1440" w:type="dxa"/>
          </w:tcPr>
          <w:p w:rsidR="00EA4133" w:rsidRPr="004B2385" w:rsidRDefault="00693E65" w:rsidP="00B65ABA">
            <w:pPr>
              <w:pStyle w:val="BodyText"/>
              <w:keepNext/>
              <w:keepLines/>
              <w:rPr>
                <w:rFonts w:ascii="Arial" w:hAnsi="Arial" w:cs="Arial"/>
                <w:sz w:val="20"/>
                <w:lang w:val="en-CA"/>
              </w:rPr>
            </w:pPr>
            <w:r>
              <w:rPr>
                <w:rFonts w:ascii="Arial" w:hAnsi="Arial" w:cs="Arial"/>
                <w:sz w:val="20"/>
                <w:lang w:val="en-CA"/>
              </w:rPr>
              <w:t>Vendor</w:t>
            </w:r>
          </w:p>
        </w:tc>
        <w:tc>
          <w:tcPr>
            <w:tcW w:w="1260" w:type="dxa"/>
          </w:tcPr>
          <w:p w:rsidR="00EA4133" w:rsidRPr="004B2385" w:rsidRDefault="00F35B53">
            <w:pPr>
              <w:pStyle w:val="BodyText"/>
              <w:keepNext/>
              <w:keepLines/>
              <w:rPr>
                <w:rFonts w:ascii="Arial" w:hAnsi="Arial" w:cs="Arial"/>
                <w:sz w:val="20"/>
                <w:lang w:val="en-CA"/>
              </w:rPr>
            </w:pPr>
            <w:r>
              <w:rPr>
                <w:rFonts w:ascii="Arial" w:hAnsi="Arial" w:cs="Arial"/>
                <w:sz w:val="20"/>
                <w:lang w:val="en-CA"/>
              </w:rPr>
              <w:t>200</w:t>
            </w:r>
            <w:r w:rsidR="004B2385" w:rsidRPr="004B2385">
              <w:rPr>
                <w:rFonts w:ascii="Arial" w:hAnsi="Arial" w:cs="Arial"/>
                <w:sz w:val="20"/>
                <w:lang w:val="en-CA"/>
              </w:rPr>
              <w:t>,000 common shares</w:t>
            </w:r>
          </w:p>
        </w:tc>
        <w:tc>
          <w:tcPr>
            <w:tcW w:w="1260" w:type="dxa"/>
          </w:tcPr>
          <w:p w:rsidR="00EA4133" w:rsidRPr="004B2385" w:rsidRDefault="004B2385">
            <w:pPr>
              <w:pStyle w:val="BodyText"/>
              <w:keepNext/>
              <w:keepLines/>
              <w:rPr>
                <w:rFonts w:ascii="Arial" w:hAnsi="Arial" w:cs="Arial"/>
                <w:sz w:val="20"/>
                <w:lang w:val="en-CA"/>
              </w:rPr>
            </w:pPr>
            <w:r w:rsidRPr="004B2385">
              <w:rPr>
                <w:rFonts w:ascii="Arial" w:hAnsi="Arial" w:cs="Arial"/>
                <w:sz w:val="20"/>
                <w:lang w:val="en-CA"/>
              </w:rPr>
              <w:t>$0.06</w:t>
            </w:r>
          </w:p>
        </w:tc>
        <w:tc>
          <w:tcPr>
            <w:tcW w:w="1440" w:type="dxa"/>
          </w:tcPr>
          <w:p w:rsidR="00EA4133" w:rsidRPr="004B2385" w:rsidRDefault="00EA4133">
            <w:pPr>
              <w:pStyle w:val="BodyText"/>
              <w:keepNext/>
              <w:keepLines/>
              <w:rPr>
                <w:rFonts w:ascii="Arial" w:hAnsi="Arial" w:cs="Arial"/>
                <w:sz w:val="20"/>
                <w:lang w:val="en-CA"/>
              </w:rPr>
            </w:pPr>
          </w:p>
        </w:tc>
        <w:tc>
          <w:tcPr>
            <w:tcW w:w="1440" w:type="dxa"/>
          </w:tcPr>
          <w:p w:rsidR="00EA4133" w:rsidRPr="004B2385" w:rsidRDefault="000E6A13">
            <w:pPr>
              <w:pStyle w:val="BodyText"/>
              <w:keepNext/>
              <w:keepLines/>
              <w:rPr>
                <w:rFonts w:ascii="Arial" w:hAnsi="Arial" w:cs="Arial"/>
                <w:sz w:val="20"/>
                <w:lang w:val="en-CA"/>
              </w:rPr>
            </w:pPr>
            <w:r w:rsidRPr="000E6A13">
              <w:rPr>
                <w:rFonts w:ascii="Arial" w:hAnsi="Arial" w:cs="Arial"/>
                <w:sz w:val="20"/>
                <w:lang w:val="en-CA"/>
              </w:rPr>
              <w:t>s. 2.13 – Petroleum, Natural Gas and Mining Properties</w:t>
            </w:r>
          </w:p>
        </w:tc>
        <w:tc>
          <w:tcPr>
            <w:tcW w:w="1620" w:type="dxa"/>
          </w:tcPr>
          <w:p w:rsidR="00EA4133" w:rsidRPr="004B2385" w:rsidRDefault="000E6A13">
            <w:pPr>
              <w:pStyle w:val="BodyText"/>
              <w:keepNext/>
              <w:keepLines/>
              <w:rPr>
                <w:rFonts w:ascii="Arial" w:hAnsi="Arial" w:cs="Arial"/>
                <w:sz w:val="20"/>
                <w:lang w:val="en-CA"/>
              </w:rPr>
            </w:pPr>
            <w:r>
              <w:rPr>
                <w:rFonts w:ascii="Arial" w:hAnsi="Arial" w:cs="Arial"/>
                <w:sz w:val="20"/>
                <w:lang w:val="en-CA"/>
              </w:rPr>
              <w:t>Nil</w:t>
            </w:r>
          </w:p>
        </w:tc>
        <w:tc>
          <w:tcPr>
            <w:tcW w:w="1530" w:type="dxa"/>
          </w:tcPr>
          <w:p w:rsidR="00EA4133" w:rsidRPr="004B2385" w:rsidRDefault="000E6A13" w:rsidP="00693E65">
            <w:pPr>
              <w:pStyle w:val="BodyText"/>
              <w:keepNext/>
              <w:keepLines/>
              <w:rPr>
                <w:rFonts w:ascii="Arial" w:hAnsi="Arial" w:cs="Arial"/>
                <w:sz w:val="20"/>
                <w:lang w:val="en-CA"/>
              </w:rPr>
            </w:pPr>
            <w:r>
              <w:rPr>
                <w:rFonts w:ascii="Arial" w:hAnsi="Arial" w:cs="Arial"/>
                <w:sz w:val="20"/>
                <w:lang w:val="en-CA"/>
              </w:rPr>
              <w:t>Arm’s</w:t>
            </w:r>
            <w:r w:rsidR="00693E65">
              <w:rPr>
                <w:rFonts w:ascii="Arial" w:hAnsi="Arial" w:cs="Arial"/>
                <w:sz w:val="20"/>
                <w:lang w:val="en-CA"/>
              </w:rPr>
              <w:t>-</w:t>
            </w:r>
            <w:r>
              <w:rPr>
                <w:rFonts w:ascii="Arial" w:hAnsi="Arial" w:cs="Arial"/>
                <w:sz w:val="20"/>
                <w:lang w:val="en-CA"/>
              </w:rPr>
              <w:t>length</w:t>
            </w: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rsidP="000E6A13">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sidR="000E6A13" w:rsidRPr="00693E65">
        <w:rPr>
          <w:rFonts w:ascii="Arial" w:hAnsi="Arial"/>
          <w:b/>
          <w:color w:val="000000"/>
        </w:rPr>
        <w:t>Title Search</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r w:rsidR="00992F01">
        <w:rPr>
          <w:rFonts w:ascii="Arial" w:hAnsi="Arial"/>
        </w:rPr>
        <w:t xml:space="preserve"> </w:t>
      </w:r>
      <w:r w:rsidR="00992F01" w:rsidRPr="00693E65">
        <w:rPr>
          <w:rFonts w:ascii="Arial" w:hAnsi="Arial"/>
          <w:b/>
        </w:rPr>
        <w:t>Not applicable.</w:t>
      </w:r>
      <w:r w:rsidR="00992F01" w:rsidRPr="000E6A13">
        <w:rPr>
          <w:rFonts w:ascii="Arial" w:hAnsi="Arial"/>
          <w:b/>
          <w:u w:val="single"/>
        </w:rPr>
        <w:t xml:space="preserve"> </w:t>
      </w:r>
    </w:p>
    <w:p w:rsidR="00EA4133" w:rsidRDefault="00992F01">
      <w:pPr>
        <w:pStyle w:val="List"/>
        <w:tabs>
          <w:tab w:val="left" w:pos="2160"/>
          <w:tab w:val="left" w:pos="9180"/>
        </w:tabs>
        <w:ind w:left="2160"/>
        <w:jc w:val="both"/>
        <w:rPr>
          <w:rFonts w:ascii="Arial" w:hAnsi="Arial"/>
          <w:u w:val="single"/>
        </w:rPr>
      </w:pPr>
      <w:r>
        <w:rPr>
          <w:rFonts w:ascii="Arial" w:hAnsi="Arial"/>
        </w:rPr>
        <w:t xml:space="preserve"> </w:t>
      </w:r>
      <w:r w:rsidR="00EA4133">
        <w:rPr>
          <w:rFonts w:ascii="Arial" w:hAnsi="Arial"/>
        </w:rPr>
        <w:t>(a)</w:t>
      </w:r>
      <w:r w:rsidR="00EA4133">
        <w:rPr>
          <w:rFonts w:ascii="Arial" w:hAnsi="Arial"/>
        </w:rPr>
        <w:tab/>
        <w:t xml:space="preserve">Details of any dealer, agent, broker or other person receiving compensation in connection with the acquisition (name, </w:t>
      </w:r>
      <w:r w:rsidR="007C4F86">
        <w:rPr>
          <w:rFonts w:ascii="Arial" w:hAnsi="Arial"/>
        </w:rPr>
        <w:t>and</w:t>
      </w:r>
      <w:r w:rsidR="000D114E">
        <w:rPr>
          <w:rFonts w:ascii="Arial" w:hAnsi="Arial"/>
        </w:rPr>
        <w:t xml:space="preserve"> </w:t>
      </w:r>
      <w:r w:rsidR="007C4F86">
        <w:rPr>
          <w:rFonts w:ascii="Arial" w:hAnsi="Arial"/>
        </w:rPr>
        <w:t>i</w:t>
      </w:r>
      <w:r w:rsidR="00EA4133">
        <w:rPr>
          <w:rFonts w:ascii="Arial" w:hAnsi="Arial"/>
        </w:rPr>
        <w:t xml:space="preserve">f a corporation, identify persons owning or exercising voting control over 20% or more of the voting shares if known to the Issuer): </w:t>
      </w:r>
      <w:r w:rsidR="00EA4133">
        <w:rPr>
          <w:rFonts w:ascii="Arial" w:hAnsi="Arial"/>
          <w:u w:val="single"/>
        </w:rPr>
        <w:tab/>
      </w:r>
      <w:r w:rsidR="00EA4133">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Pr="00693E65" w:rsidRDefault="00EA4133" w:rsidP="000D114E">
      <w:pPr>
        <w:pStyle w:val="List"/>
        <w:numPr>
          <w:ilvl w:val="0"/>
          <w:numId w:val="16"/>
        </w:numPr>
        <w:tabs>
          <w:tab w:val="left" w:pos="9180"/>
        </w:tabs>
        <w:jc w:val="both"/>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ED1D94">
        <w:rPr>
          <w:rFonts w:ascii="Arial" w:hAnsi="Arial"/>
          <w:color w:val="000000"/>
        </w:rPr>
        <w:br/>
      </w:r>
      <w:r w:rsidR="00ED1D94">
        <w:rPr>
          <w:rFonts w:ascii="Arial" w:hAnsi="Arial"/>
          <w:color w:val="000000"/>
        </w:rPr>
        <w:br/>
      </w:r>
      <w:r w:rsidR="000E6A13" w:rsidRPr="00693E65">
        <w:rPr>
          <w:rFonts w:ascii="Arial" w:hAnsi="Arial"/>
          <w:b/>
          <w:color w:val="000000"/>
        </w:rPr>
        <w:t>No third party was compensated by the Issuer in respect to the Agreement and the related transaction.</w:t>
      </w:r>
      <w:r w:rsidR="000E6A13" w:rsidRPr="00693E65">
        <w:rPr>
          <w:rFonts w:ascii="Arial" w:hAnsi="Arial"/>
          <w:color w:val="000000"/>
        </w:rPr>
        <w:t xml:space="preserve"> </w:t>
      </w:r>
    </w:p>
    <w:p w:rsidR="00992F01" w:rsidRPr="00992F01" w:rsidRDefault="00EA4133" w:rsidP="000E6A13">
      <w:pPr>
        <w:pStyle w:val="List"/>
        <w:numPr>
          <w:ilvl w:val="0"/>
          <w:numId w:val="16"/>
        </w:numPr>
        <w:tabs>
          <w:tab w:val="left" w:pos="9180"/>
        </w:tabs>
        <w:jc w:val="both"/>
        <w:rPr>
          <w:rFonts w:ascii="Arial" w:hAnsi="Arial"/>
          <w:color w:val="000000"/>
          <w:u w:val="single"/>
        </w:rPr>
      </w:pPr>
      <w:r>
        <w:rPr>
          <w:rFonts w:ascii="Arial" w:hAnsi="Arial"/>
          <w:color w:val="000000"/>
        </w:rPr>
        <w:t xml:space="preserve">If applicable, indicate whether the acquisition is the acquisition of an interest in property contiguous to or otherwise related to any other asset acquired in </w:t>
      </w:r>
      <w:proofErr w:type="gramStart"/>
      <w:r>
        <w:rPr>
          <w:rFonts w:ascii="Arial" w:hAnsi="Arial"/>
          <w:color w:val="000000"/>
        </w:rPr>
        <w:t>the</w:t>
      </w:r>
      <w:proofErr w:type="gramEnd"/>
      <w:r>
        <w:rPr>
          <w:rFonts w:ascii="Arial" w:hAnsi="Arial"/>
          <w:color w:val="000000"/>
        </w:rPr>
        <w:t xml:space="preserve"> last 12 months.</w:t>
      </w:r>
    </w:p>
    <w:p w:rsidR="000E6A13" w:rsidRPr="00693E65" w:rsidRDefault="000E6A13" w:rsidP="00992F01">
      <w:pPr>
        <w:pStyle w:val="List"/>
        <w:tabs>
          <w:tab w:val="left" w:pos="9180"/>
        </w:tabs>
        <w:ind w:firstLine="0"/>
        <w:jc w:val="both"/>
        <w:rPr>
          <w:rFonts w:ascii="Arial" w:hAnsi="Arial"/>
          <w:color w:val="000000"/>
        </w:rPr>
      </w:pPr>
      <w:r w:rsidRPr="00693E65">
        <w:rPr>
          <w:rFonts w:ascii="Arial" w:hAnsi="Arial"/>
          <w:b/>
          <w:color w:val="000000"/>
        </w:rPr>
        <w:t xml:space="preserve">The Property is contiguous </w:t>
      </w:r>
      <w:r w:rsidR="00611294" w:rsidRPr="00693E65">
        <w:rPr>
          <w:rFonts w:ascii="Arial" w:hAnsi="Arial"/>
          <w:b/>
          <w:color w:val="000000"/>
        </w:rPr>
        <w:t xml:space="preserve">to the Issuer’s </w:t>
      </w:r>
      <w:proofErr w:type="spellStart"/>
      <w:r w:rsidR="00611294" w:rsidRPr="00693E65">
        <w:rPr>
          <w:rFonts w:ascii="Arial" w:hAnsi="Arial"/>
          <w:b/>
          <w:color w:val="000000"/>
        </w:rPr>
        <w:t>Kymar</w:t>
      </w:r>
      <w:proofErr w:type="spellEnd"/>
      <w:r w:rsidR="00611294" w:rsidRPr="00693E65">
        <w:rPr>
          <w:rFonts w:ascii="Arial" w:hAnsi="Arial"/>
          <w:b/>
          <w:color w:val="000000"/>
        </w:rPr>
        <w:t xml:space="preserve"> Silver Project acquired in February, 2021</w:t>
      </w:r>
      <w:r w:rsidR="000F0176" w:rsidRPr="00693E65">
        <w:rPr>
          <w:rFonts w:ascii="Arial" w:hAnsi="Arial"/>
          <w:b/>
          <w:color w:val="000000"/>
        </w:rPr>
        <w:t>,</w:t>
      </w:r>
      <w:r w:rsidR="00611294" w:rsidRPr="00693E65">
        <w:rPr>
          <w:rFonts w:ascii="Arial" w:hAnsi="Arial"/>
          <w:b/>
          <w:color w:val="000000"/>
        </w:rPr>
        <w:t xml:space="preserve"> located 28 kilometres west of Invermere, British Columbia, along the southeast flank of Mount Catherine in the Golden Mining Division.</w:t>
      </w:r>
    </w:p>
    <w:p w:rsidR="000D114E" w:rsidRDefault="000D114E">
      <w:pPr>
        <w:rPr>
          <w:rFonts w:ascii="Arial" w:hAnsi="Arial"/>
          <w:color w:val="000000"/>
          <w:sz w:val="24"/>
          <w:lang w:val="en-GB"/>
        </w:rPr>
      </w:pPr>
      <w:r>
        <w:rPr>
          <w:rFonts w:ascii="Arial" w:hAnsi="Arial"/>
          <w:color w:val="000000"/>
        </w:rPr>
        <w:br w:type="page"/>
      </w:r>
    </w:p>
    <w:p w:rsidR="00EA4133" w:rsidRDefault="00EA4133" w:rsidP="00FF53B6">
      <w:pPr>
        <w:pStyle w:val="List"/>
        <w:tabs>
          <w:tab w:val="left" w:pos="1080"/>
        </w:tabs>
        <w:ind w:left="0" w:firstLine="0"/>
        <w:jc w:val="both"/>
        <w:rPr>
          <w:rFonts w:ascii="Arial" w:hAnsi="Arial"/>
        </w:rPr>
      </w:pPr>
      <w:r>
        <w:rPr>
          <w:rFonts w:ascii="Arial" w:hAnsi="Arial"/>
          <w:b/>
        </w:rPr>
        <w:t>Certificate Of Compliance</w:t>
      </w:r>
    </w:p>
    <w:p w:rsidR="00EA4133" w:rsidRDefault="00EA4133" w:rsidP="00FF53B6">
      <w:pPr>
        <w:pStyle w:val="BodyText"/>
        <w:jc w:val="both"/>
        <w:rPr>
          <w:rFonts w:ascii="Arial" w:hAnsi="Arial"/>
        </w:rPr>
      </w:pPr>
      <w:r>
        <w:rPr>
          <w:rFonts w:ascii="Arial" w:hAnsi="Arial"/>
        </w:rPr>
        <w:t>The undersigned hereby certifies that:</w:t>
      </w:r>
    </w:p>
    <w:p w:rsidR="00EA4133" w:rsidRDefault="00EA4133" w:rsidP="00FF53B6">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rsidP="00FF53B6">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992F01" w:rsidRDefault="00992F01" w:rsidP="00992F01">
      <w:pPr>
        <w:pStyle w:val="ListParagraph"/>
        <w:ind w:left="1080"/>
        <w:jc w:val="both"/>
        <w:rPr>
          <w:rFonts w:ascii="Arial" w:hAnsi="Arial" w:cs="Arial"/>
          <w:sz w:val="24"/>
          <w:szCs w:val="24"/>
        </w:rPr>
      </w:pPr>
    </w:p>
    <w:p w:rsidR="00C500F0" w:rsidRDefault="00C500F0" w:rsidP="00FF53B6">
      <w:pPr>
        <w:pStyle w:val="ListParagraph"/>
        <w:numPr>
          <w:ilvl w:val="0"/>
          <w:numId w:val="7"/>
        </w:numPr>
        <w:jc w:val="both"/>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FF53B6">
      <w:pPr>
        <w:pStyle w:val="ListParagraph"/>
        <w:jc w:val="both"/>
        <w:rPr>
          <w:rFonts w:ascii="Arial" w:hAnsi="Arial" w:cs="Arial"/>
          <w:sz w:val="24"/>
          <w:szCs w:val="24"/>
        </w:rPr>
      </w:pPr>
    </w:p>
    <w:p w:rsidR="00C500F0" w:rsidRPr="00C500F0" w:rsidRDefault="00C500F0" w:rsidP="00FF53B6">
      <w:pPr>
        <w:pStyle w:val="ListParagraph"/>
        <w:ind w:left="1440" w:hanging="360"/>
        <w:jc w:val="both"/>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r>
      <w:proofErr w:type="gramStart"/>
      <w:r w:rsidRPr="00C500F0">
        <w:rPr>
          <w:rFonts w:ascii="Arial" w:hAnsi="Arial" w:cs="Arial"/>
          <w:sz w:val="24"/>
          <w:szCs w:val="24"/>
        </w:rPr>
        <w:t>the</w:t>
      </w:r>
      <w:proofErr w:type="gramEnd"/>
      <w:r w:rsidRPr="00C500F0">
        <w:rPr>
          <w:rFonts w:ascii="Arial" w:hAnsi="Arial" w:cs="Arial"/>
          <w:sz w:val="24"/>
          <w:szCs w:val="24"/>
        </w:rPr>
        <w:t xml:space="preserve"> disclosure of their information to the Exchange pursuant to this Form or otherwise pursuant to this filing; and</w:t>
      </w:r>
    </w:p>
    <w:p w:rsidR="00C500F0" w:rsidRDefault="00C500F0" w:rsidP="00FF53B6">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rsidP="00FF53B6">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proofErr w:type="spellStart"/>
      <w:r w:rsidR="008003B9">
        <w:rPr>
          <w:rFonts w:ascii="Arial" w:hAnsi="Arial"/>
        </w:rPr>
        <w:t>CS</w:t>
      </w:r>
      <w:r w:rsidR="00CF076A">
        <w:rPr>
          <w:rFonts w:ascii="Arial" w:hAnsi="Arial"/>
        </w:rPr>
        <w:t>E</w:t>
      </w:r>
      <w:proofErr w:type="spellEnd"/>
      <w:r>
        <w:rPr>
          <w:rFonts w:ascii="Arial" w:hAnsi="Arial"/>
        </w:rPr>
        <w:t xml:space="preserve"> Policy 1).</w:t>
      </w:r>
    </w:p>
    <w:p w:rsidR="00EA4133" w:rsidRDefault="00EA4133" w:rsidP="00FF53B6">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611294">
        <w:rPr>
          <w:rFonts w:ascii="Arial" w:hAnsi="Arial"/>
        </w:rPr>
        <w:t>September</w:t>
      </w:r>
      <w:r w:rsidR="00693E65">
        <w:rPr>
          <w:rFonts w:ascii="Arial" w:hAnsi="Arial"/>
        </w:rPr>
        <w:t xml:space="preserve"> 10</w:t>
      </w:r>
      <w:r w:rsidR="0041417E">
        <w:rPr>
          <w:rFonts w:ascii="Arial" w:hAnsi="Arial"/>
        </w:rPr>
        <w:t>,</w:t>
      </w:r>
      <w:r w:rsidR="0041417E" w:rsidRPr="0041417E">
        <w:rPr>
          <w:rFonts w:ascii="Arial" w:hAnsi="Arial"/>
        </w:rPr>
        <w:t xml:space="preserve"> 2021</w:t>
      </w:r>
      <w:r w:rsidRPr="0041417E">
        <w:rPr>
          <w:rFonts w:ascii="Arial" w:hAnsi="Arial"/>
        </w:rPr>
        <w:t>.</w:t>
      </w:r>
    </w:p>
    <w:p w:rsidR="00D9006E" w:rsidRDefault="00EA4133" w:rsidP="00D9006E">
      <w:pPr>
        <w:pStyle w:val="List"/>
        <w:tabs>
          <w:tab w:val="left" w:pos="9180"/>
        </w:tabs>
        <w:ind w:left="5760" w:hanging="5760"/>
        <w:rPr>
          <w:rFonts w:ascii="Arial" w:hAnsi="Arial"/>
        </w:rPr>
      </w:pPr>
      <w:r>
        <w:rPr>
          <w:rFonts w:ascii="Arial" w:hAnsi="Arial"/>
        </w:rPr>
        <w:tab/>
      </w:r>
      <w:r w:rsidR="00D9006E">
        <w:rPr>
          <w:rFonts w:ascii="Arial" w:hAnsi="Arial"/>
          <w:u w:val="single"/>
        </w:rPr>
        <w:t>Pearson John Little</w:t>
      </w:r>
      <w:r w:rsidR="00D9006E">
        <w:rPr>
          <w:rFonts w:ascii="Arial" w:hAnsi="Arial"/>
          <w:u w:val="single"/>
        </w:rPr>
        <w:tab/>
      </w:r>
      <w:r w:rsidR="00D9006E">
        <w:rPr>
          <w:rFonts w:ascii="Arial" w:hAnsi="Arial"/>
          <w:u w:val="single"/>
        </w:rPr>
        <w:br/>
      </w:r>
      <w:r w:rsidR="00D9006E">
        <w:rPr>
          <w:rFonts w:ascii="Arial" w:hAnsi="Arial"/>
        </w:rPr>
        <w:t>Name of Director or Senior Officer</w:t>
      </w:r>
    </w:p>
    <w:p w:rsidR="00D9006E" w:rsidRDefault="00D9006E" w:rsidP="00D9006E">
      <w:pPr>
        <w:pStyle w:val="List"/>
        <w:tabs>
          <w:tab w:val="left" w:pos="9180"/>
          <w:tab w:val="left" w:pos="9360"/>
        </w:tabs>
        <w:ind w:left="5760" w:hanging="5760"/>
        <w:rPr>
          <w:rFonts w:ascii="Arial" w:hAnsi="Arial"/>
        </w:rPr>
      </w:pPr>
      <w:r>
        <w:rPr>
          <w:rFonts w:ascii="Arial" w:hAnsi="Arial"/>
        </w:rPr>
        <w:tab/>
      </w:r>
      <w:r>
        <w:rPr>
          <w:rFonts w:ascii="Arial" w:hAnsi="Arial"/>
          <w:i/>
          <w:u w:val="single"/>
        </w:rPr>
        <w:t>“Pearson Little”</w:t>
      </w:r>
      <w:r>
        <w:rPr>
          <w:rFonts w:ascii="Arial" w:hAnsi="Arial"/>
          <w:u w:val="single"/>
        </w:rPr>
        <w:tab/>
      </w:r>
      <w:r>
        <w:rPr>
          <w:rFonts w:ascii="Arial" w:hAnsi="Arial"/>
        </w:rPr>
        <w:br/>
        <w:t>Signature</w:t>
      </w:r>
    </w:p>
    <w:p w:rsidR="00D9006E" w:rsidRDefault="00D9006E" w:rsidP="00D9006E">
      <w:pPr>
        <w:pStyle w:val="List"/>
        <w:tabs>
          <w:tab w:val="left" w:pos="9180"/>
          <w:tab w:val="left" w:pos="9360"/>
        </w:tabs>
        <w:ind w:left="5760" w:hanging="5760"/>
        <w:rPr>
          <w:rFonts w:ascii="Arial" w:hAnsi="Arial"/>
        </w:rPr>
      </w:pPr>
      <w:r>
        <w:rPr>
          <w:rFonts w:ascii="Arial" w:hAnsi="Arial"/>
        </w:rPr>
        <w:tab/>
      </w:r>
      <w:r>
        <w:rPr>
          <w:rFonts w:ascii="Arial" w:hAnsi="Arial"/>
          <w:u w:val="single"/>
        </w:rPr>
        <w:t>President, CEO and Director</w:t>
      </w:r>
      <w:r>
        <w:rPr>
          <w:rFonts w:ascii="Arial" w:hAnsi="Arial"/>
          <w:u w:val="single"/>
        </w:rPr>
        <w:tab/>
      </w:r>
      <w:r>
        <w:rPr>
          <w:rFonts w:ascii="Arial" w:hAnsi="Arial"/>
        </w:rPr>
        <w:br/>
        <w:t>Official Capacity</w:t>
      </w:r>
    </w:p>
    <w:p w:rsidR="00C500F0" w:rsidRDefault="00C500F0" w:rsidP="00D9006E">
      <w:pPr>
        <w:pStyle w:val="List"/>
        <w:tabs>
          <w:tab w:val="left" w:pos="9180"/>
        </w:tabs>
        <w:ind w:left="5760" w:hanging="5760"/>
        <w:rPr>
          <w:rFonts w:ascii="Arial" w:hAnsi="Arial"/>
        </w:rPr>
      </w:pPr>
    </w:p>
    <w:p w:rsidR="00FF53B6" w:rsidRDefault="00FF53B6">
      <w:pPr>
        <w:rPr>
          <w:rFonts w:ascii="Arial" w:hAnsi="Arial"/>
          <w:sz w:val="24"/>
          <w:lang w:val="en-GB"/>
        </w:rPr>
      </w:pPr>
      <w:r>
        <w:rPr>
          <w:rFonts w:ascii="Arial" w:hAnsi="Arial"/>
        </w:rPr>
        <w:br w:type="page"/>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D9006E">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w:t>
      </w:r>
      <w:proofErr w:type="spellStart"/>
      <w:r w:rsidRPr="00C500F0">
        <w:rPr>
          <w:rFonts w:ascii="Arial" w:eastAsia="Calibri" w:hAnsi="Arial" w:cs="Arial"/>
          <w:sz w:val="24"/>
          <w:szCs w:val="24"/>
        </w:rPr>
        <w:t>CSE</w:t>
      </w:r>
      <w:proofErr w:type="spellEnd"/>
      <w:r w:rsidRPr="00C500F0">
        <w:rPr>
          <w:rFonts w:ascii="Arial" w:eastAsia="Calibri" w:hAnsi="Arial" w:cs="Arial"/>
          <w:sz w:val="24"/>
          <w:szCs w:val="24"/>
        </w:rPr>
        <w:t xml:space="preserv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w:t>
      </w:r>
      <w:proofErr w:type="spellStart"/>
      <w:r w:rsidRPr="00C500F0">
        <w:rPr>
          <w:rFonts w:ascii="Arial" w:eastAsia="Calibri" w:hAnsi="Arial" w:cs="Arial"/>
          <w:sz w:val="24"/>
          <w:szCs w:val="24"/>
        </w:rPr>
        <w:t>CSE</w:t>
      </w:r>
      <w:proofErr w:type="spellEnd"/>
      <w:r w:rsidRPr="00C500F0">
        <w:rPr>
          <w:rFonts w:ascii="Arial" w:eastAsia="Calibri" w:hAnsi="Arial" w:cs="Arial"/>
          <w:sz w:val="24"/>
          <w:szCs w:val="24"/>
        </w:rPr>
        <w:t xml:space="preserv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headerReference w:type="default" r:id="rId9"/>
      <w:footerReference w:type="default" r:id="rId10"/>
      <w:footerReference w:type="first" r:id="rId11"/>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1C5E90" w:rsidP="008003B9">
    <w:pPr>
      <w:tabs>
        <w:tab w:val="center" w:pos="4674"/>
        <w:tab w:val="left" w:pos="8460"/>
      </w:tabs>
      <w:jc w:val="center"/>
      <w:rPr>
        <w:rStyle w:val="PageNumber"/>
        <w:rFonts w:ascii="Arial" w:hAnsi="Arial" w:cs="Arial"/>
        <w:b/>
      </w:rPr>
    </w:pPr>
    <w:r>
      <w:rPr>
        <w:noProof/>
      </w:rPr>
      <w:pict>
        <v:shapetype id="_x0000_t202" coordsize="21600,21600" o:spt="202" path="m,l,21600r21600,l21600,xe">
          <v:stroke joinstyle="miter"/>
          <v:path gradientshapeok="t" o:connecttype="rect"/>
        </v:shapetype>
        <v:shape id="DocsID_PF4426664171" o:spid="_x0000_s25602" type="#_x0000_t202" style="position:absolute;left:0;text-align:left;margin-left:0;margin-top:10.8pt;width:468pt;height:1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" o:allowincell="f" filled="f" stroked="f">
          <v:textbox inset="0,0,0,0">
            <w:txbxContent>
              <w:p w:rsidR="00A040F9" w:rsidRPr="00C55343" w:rsidRDefault="000F0176">
                <w:pPr>
                  <w:pStyle w:val="DocsID"/>
                </w:pPr>
                <w:fldSimple w:instr=" DOCPROPERTY &quot;DocsID&quot;  \* MERGEFORMAT ">
                  <w:r w:rsidR="007807C8">
                    <w:t>56887505.1</w:t>
                  </w:r>
                </w:fldSimple>
              </w:p>
            </w:txbxContent>
          </v:textbox>
          <w10:wrap anchorx="margin"/>
          <w10:anchorlock/>
        </v:shape>
      </w:pict>
    </w:r>
    <w:r>
      <w:rPr>
        <w:b/>
        <w:noProof/>
        <w:lang w:val="en-CA" w:eastAsia="en-CA"/>
      </w:rPr>
      <w:pict>
        <v:line id="Line 3" o:spid="_x0000_s25601"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1C5E90">
      <w:rPr>
        <w:rStyle w:val="PageNumber"/>
        <w:rFonts w:ascii="Arial" w:hAnsi="Arial" w:cs="Arial"/>
        <w:noProof/>
        <w:sz w:val="16"/>
        <w:szCs w:val="16"/>
      </w:rPr>
      <w:t>9</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1C5E90">
    <w:pPr>
      <w:pStyle w:val="Footer"/>
    </w:pPr>
    <w:r>
      <w:fldChar w:fldCharType="begin"/>
    </w:r>
    <w:r>
      <w:instrText xml:space="preserve"> DOCPROPERTY FOOTERPATH \* MERGEFORMAT </w:instrText>
    </w:r>
    <w:r>
      <w:fldChar w:fldCharType="separate"/>
    </w:r>
    <w:r w:rsidR="002164AF">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B6" w:rsidRDefault="00305EB6">
      <w:r>
        <w:separator/>
      </w:r>
    </w:p>
  </w:footnote>
  <w:footnote w:type="continuationSeparator" w:id="0">
    <w:p w:rsidR="00305EB6" w:rsidRDefault="00305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F9" w:rsidRDefault="00A040F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E4E4B4A4"/>
    <w:lvl w:ilvl="0">
      <w:start w:val="3"/>
      <w:numFmt w:val="decimal"/>
      <w:lvlText w:val="%1."/>
      <w:lvlJc w:val="left"/>
      <w:pPr>
        <w:tabs>
          <w:tab w:val="num" w:pos="1080"/>
        </w:tabs>
        <w:ind w:left="1080" w:hanging="1080"/>
      </w:pPr>
      <w:rPr>
        <w:rFonts w:hint="default"/>
        <w:b w:val="0"/>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4"/>
    <o:shapelayout v:ext="edit">
      <o:idmap v:ext="edit" data="25"/>
    </o:shapelayout>
  </w:hdrShapeDefaults>
  <w:footnotePr>
    <w:footnote w:id="-1"/>
    <w:footnote w:id="0"/>
  </w:footnotePr>
  <w:endnotePr>
    <w:endnote w:id="-1"/>
    <w:endnote w:id="0"/>
  </w:endnotePr>
  <w:compat>
    <w:compatSetting w:name="compatibilityMode" w:uri="http://schemas.microsoft.com/office/word" w:val="12"/>
  </w:compat>
  <w:rsids>
    <w:rsidRoot w:val="007568B3"/>
    <w:rsid w:val="00003125"/>
    <w:rsid w:val="0001060A"/>
    <w:rsid w:val="00023BF1"/>
    <w:rsid w:val="00046C8A"/>
    <w:rsid w:val="000853EA"/>
    <w:rsid w:val="000B64EF"/>
    <w:rsid w:val="000C7CEC"/>
    <w:rsid w:val="000D114E"/>
    <w:rsid w:val="000E6A13"/>
    <w:rsid w:val="000F0176"/>
    <w:rsid w:val="00116314"/>
    <w:rsid w:val="00122D6D"/>
    <w:rsid w:val="0014249D"/>
    <w:rsid w:val="00173F0B"/>
    <w:rsid w:val="00186DA5"/>
    <w:rsid w:val="001C5E90"/>
    <w:rsid w:val="001D1026"/>
    <w:rsid w:val="00200C9E"/>
    <w:rsid w:val="00213C84"/>
    <w:rsid w:val="002164AF"/>
    <w:rsid w:val="002467D9"/>
    <w:rsid w:val="002557FD"/>
    <w:rsid w:val="002560F1"/>
    <w:rsid w:val="00277085"/>
    <w:rsid w:val="00280E75"/>
    <w:rsid w:val="002B57A8"/>
    <w:rsid w:val="002C3681"/>
    <w:rsid w:val="002D4ECE"/>
    <w:rsid w:val="002E6B86"/>
    <w:rsid w:val="002F0416"/>
    <w:rsid w:val="00305EB6"/>
    <w:rsid w:val="00326D55"/>
    <w:rsid w:val="003431FD"/>
    <w:rsid w:val="0035331C"/>
    <w:rsid w:val="003A10D2"/>
    <w:rsid w:val="003A172D"/>
    <w:rsid w:val="003C6D7E"/>
    <w:rsid w:val="0041417E"/>
    <w:rsid w:val="00456624"/>
    <w:rsid w:val="004A1403"/>
    <w:rsid w:val="004A77FA"/>
    <w:rsid w:val="004B214D"/>
    <w:rsid w:val="004B2385"/>
    <w:rsid w:val="004F5807"/>
    <w:rsid w:val="00500783"/>
    <w:rsid w:val="00544BCF"/>
    <w:rsid w:val="00595294"/>
    <w:rsid w:val="005F2B9E"/>
    <w:rsid w:val="00611294"/>
    <w:rsid w:val="00617A0E"/>
    <w:rsid w:val="0062717F"/>
    <w:rsid w:val="00633A21"/>
    <w:rsid w:val="00682EAB"/>
    <w:rsid w:val="00693E65"/>
    <w:rsid w:val="00695DE3"/>
    <w:rsid w:val="007407DC"/>
    <w:rsid w:val="007568B3"/>
    <w:rsid w:val="00765E65"/>
    <w:rsid w:val="007807C8"/>
    <w:rsid w:val="00791B3F"/>
    <w:rsid w:val="007B0425"/>
    <w:rsid w:val="007B0F49"/>
    <w:rsid w:val="007C4F86"/>
    <w:rsid w:val="008003B9"/>
    <w:rsid w:val="00826D09"/>
    <w:rsid w:val="00840B45"/>
    <w:rsid w:val="00850F34"/>
    <w:rsid w:val="00855F4A"/>
    <w:rsid w:val="008B7333"/>
    <w:rsid w:val="008F27FF"/>
    <w:rsid w:val="008F513C"/>
    <w:rsid w:val="009136E7"/>
    <w:rsid w:val="0091373F"/>
    <w:rsid w:val="009466F0"/>
    <w:rsid w:val="009629D3"/>
    <w:rsid w:val="00973B58"/>
    <w:rsid w:val="00976CE6"/>
    <w:rsid w:val="0097763E"/>
    <w:rsid w:val="00992F01"/>
    <w:rsid w:val="009A7E2B"/>
    <w:rsid w:val="009C1EC2"/>
    <w:rsid w:val="009E0176"/>
    <w:rsid w:val="00A00C54"/>
    <w:rsid w:val="00A040F9"/>
    <w:rsid w:val="00A10285"/>
    <w:rsid w:val="00A30D2D"/>
    <w:rsid w:val="00A745C2"/>
    <w:rsid w:val="00A90670"/>
    <w:rsid w:val="00A93530"/>
    <w:rsid w:val="00A9392C"/>
    <w:rsid w:val="00AA7CE5"/>
    <w:rsid w:val="00B23F7A"/>
    <w:rsid w:val="00B51B34"/>
    <w:rsid w:val="00B65ABA"/>
    <w:rsid w:val="00B85225"/>
    <w:rsid w:val="00B923F6"/>
    <w:rsid w:val="00BB1959"/>
    <w:rsid w:val="00BE2894"/>
    <w:rsid w:val="00C10A32"/>
    <w:rsid w:val="00C22363"/>
    <w:rsid w:val="00C42B27"/>
    <w:rsid w:val="00C500F0"/>
    <w:rsid w:val="00C536D3"/>
    <w:rsid w:val="00CC2519"/>
    <w:rsid w:val="00CC6A54"/>
    <w:rsid w:val="00CF076A"/>
    <w:rsid w:val="00CF2A90"/>
    <w:rsid w:val="00CF5580"/>
    <w:rsid w:val="00CF72A4"/>
    <w:rsid w:val="00CF7878"/>
    <w:rsid w:val="00D1767D"/>
    <w:rsid w:val="00D5754E"/>
    <w:rsid w:val="00D9006E"/>
    <w:rsid w:val="00DA6830"/>
    <w:rsid w:val="00DB640C"/>
    <w:rsid w:val="00DC0D16"/>
    <w:rsid w:val="00DC2C15"/>
    <w:rsid w:val="00DE0C97"/>
    <w:rsid w:val="00DE1647"/>
    <w:rsid w:val="00E30988"/>
    <w:rsid w:val="00E55E58"/>
    <w:rsid w:val="00E83A64"/>
    <w:rsid w:val="00E97C13"/>
    <w:rsid w:val="00EA4133"/>
    <w:rsid w:val="00ED1D94"/>
    <w:rsid w:val="00F33BBE"/>
    <w:rsid w:val="00F35B53"/>
    <w:rsid w:val="00FA1838"/>
    <w:rsid w:val="00FF53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4"/>
    <o:shapelayout v:ext="edit">
      <o:idmap v:ext="edit" data="1"/>
    </o:shapelayout>
  </w:shapeDefaults>
  <w:decimalSymbol w:val="."/>
  <w:listSeparator w:val=","/>
  <w15:docId w15:val="{C2216662-8672-4A60-A6A9-EF16CCA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ocsID">
    <w:name w:val="DocsID"/>
    <w:basedOn w:val="Normal"/>
    <w:rsid w:val="00A040F9"/>
    <w:pPr>
      <w:spacing w:before="20"/>
    </w:pPr>
    <w:rPr>
      <w:rFonts w:ascii="Arial" w:hAnsi="Arial" w:cs="Arial"/>
      <w:color w:val="000080"/>
      <w:sz w:val="16"/>
      <w:lang w:val="en-CA"/>
    </w:rPr>
  </w:style>
  <w:style w:type="character" w:customStyle="1" w:styleId="Prompt">
    <w:name w:val="Prompt"/>
    <w:basedOn w:val="DefaultParagraphFont"/>
    <w:rsid w:val="00D5754E"/>
    <w:rPr>
      <w:rFonts w:ascii="Arial" w:hAnsi="Arial"/>
      <w:b/>
      <w:color w:val="0000FF"/>
    </w:rPr>
  </w:style>
  <w:style w:type="paragraph" w:customStyle="1" w:styleId="Default">
    <w:name w:val="Default"/>
    <w:rsid w:val="00DC0D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A4BCF-A4BD-4E18-97B6-5ADE019D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2115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Solis, Rhea</cp:lastModifiedBy>
  <cp:revision>13</cp:revision>
  <cp:lastPrinted>2021-06-07T16:23:00Z</cp:lastPrinted>
  <dcterms:created xsi:type="dcterms:W3CDTF">2021-09-09T16:03:00Z</dcterms:created>
  <dcterms:modified xsi:type="dcterms:W3CDTF">2021-09-12T02:34:00Z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DocIDAutoUpdate">
    <vt:lpwstr>ALL</vt:lpwstr>
  </property>
  <property fmtid="{D5CDD505-2E9C-101B-9397-08002B2CF9AE}" pid="5" name="DocsID">
    <vt:lpwstr>56887505.1</vt:lpwstr>
  </property>
</Properties>
</file>