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176A" w14:textId="44653420" w:rsidR="00DE144C" w:rsidRPr="003F3160" w:rsidRDefault="001F597F" w:rsidP="00F7500F">
      <w:pPr>
        <w:pStyle w:val="Subtitle"/>
        <w:rPr>
          <w:sz w:val="20"/>
        </w:rPr>
      </w:pPr>
      <w:r w:rsidRPr="003F3160">
        <w:rPr>
          <w:sz w:val="20"/>
        </w:rPr>
        <w:t>FORM 51-102F3</w:t>
      </w:r>
    </w:p>
    <w:p w14:paraId="47391254" w14:textId="77777777" w:rsidR="00EF51C4" w:rsidRPr="003F3160" w:rsidRDefault="001F597F" w:rsidP="00F7500F">
      <w:pPr>
        <w:pStyle w:val="Subtitle"/>
        <w:rPr>
          <w:sz w:val="20"/>
        </w:rPr>
      </w:pPr>
      <w:r w:rsidRPr="003F3160">
        <w:rPr>
          <w:sz w:val="20"/>
        </w:rPr>
        <w:t>MATERIAL CHANGE REPORT</w:t>
      </w:r>
    </w:p>
    <w:p w14:paraId="7380EBAA" w14:textId="77777777" w:rsidR="00EF51C4" w:rsidRPr="003F3160" w:rsidRDefault="00EF51C4" w:rsidP="00EF51C4">
      <w:pPr>
        <w:pStyle w:val="Heading6"/>
        <w:keepNext w:val="0"/>
        <w:jc w:val="both"/>
        <w:rPr>
          <w:b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8724"/>
      </w:tblGrid>
      <w:tr w:rsidR="00EF51C4" w:rsidRPr="003F3160" w14:paraId="685956A5" w14:textId="77777777" w:rsidTr="001A050F">
        <w:trPr>
          <w:trHeight w:val="1156"/>
        </w:trPr>
        <w:tc>
          <w:tcPr>
            <w:tcW w:w="648" w:type="dxa"/>
            <w:tcMar>
              <w:top w:w="144" w:type="dxa"/>
              <w:left w:w="115" w:type="dxa"/>
              <w:bottom w:w="144" w:type="dxa"/>
              <w:right w:w="115" w:type="dxa"/>
            </w:tcMar>
          </w:tcPr>
          <w:p w14:paraId="33DDE014" w14:textId="77777777" w:rsidR="00EF51C4" w:rsidRPr="003F3160" w:rsidRDefault="00EF51C4" w:rsidP="00C502CF">
            <w:pPr>
              <w:pStyle w:val="Heading6"/>
              <w:keepNext w:val="0"/>
              <w:numPr>
                <w:ilvl w:val="0"/>
                <w:numId w:val="1"/>
              </w:numPr>
              <w:ind w:left="540"/>
              <w:jc w:val="both"/>
              <w:rPr>
                <w:sz w:val="20"/>
              </w:rPr>
            </w:pPr>
          </w:p>
        </w:tc>
        <w:tc>
          <w:tcPr>
            <w:tcW w:w="8928" w:type="dxa"/>
            <w:tcMar>
              <w:top w:w="144" w:type="dxa"/>
              <w:left w:w="115" w:type="dxa"/>
              <w:bottom w:w="144" w:type="dxa"/>
              <w:right w:w="115" w:type="dxa"/>
            </w:tcMar>
          </w:tcPr>
          <w:p w14:paraId="61EA3AE7" w14:textId="77777777" w:rsidR="00EF51C4" w:rsidRPr="003F3160" w:rsidRDefault="00EF51C4" w:rsidP="00EF51C4">
            <w:pPr>
              <w:widowControl w:val="0"/>
              <w:tabs>
                <w:tab w:val="left" w:pos="252"/>
                <w:tab w:val="left" w:pos="1848"/>
                <w:tab w:val="left" w:pos="2568"/>
                <w:tab w:val="left" w:pos="3288"/>
                <w:tab w:val="left" w:pos="4008"/>
                <w:tab w:val="left" w:pos="4728"/>
                <w:tab w:val="left" w:pos="5448"/>
                <w:tab w:val="left" w:pos="6168"/>
                <w:tab w:val="left" w:pos="6888"/>
                <w:tab w:val="left" w:pos="7608"/>
                <w:tab w:val="left" w:pos="8328"/>
                <w:tab w:val="left" w:pos="9048"/>
                <w:tab w:val="left" w:pos="9768"/>
                <w:tab w:val="left" w:pos="10488"/>
              </w:tabs>
              <w:suppressAutoHyphens/>
              <w:ind w:left="252"/>
              <w:jc w:val="both"/>
              <w:rPr>
                <w:b/>
                <w:spacing w:val="-3"/>
                <w:sz w:val="20"/>
              </w:rPr>
            </w:pPr>
            <w:r w:rsidRPr="003F3160">
              <w:rPr>
                <w:b/>
                <w:spacing w:val="-3"/>
                <w:sz w:val="20"/>
                <w:u w:val="single"/>
              </w:rPr>
              <w:t>NAME AND ADDRESS OF COMPANY</w:t>
            </w:r>
          </w:p>
          <w:p w14:paraId="71E28F60" w14:textId="77777777" w:rsidR="00EF51C4" w:rsidRPr="003F3160" w:rsidRDefault="00EF51C4" w:rsidP="00EF51C4">
            <w:pPr>
              <w:widowControl w:val="0"/>
              <w:tabs>
                <w:tab w:val="left" w:pos="252"/>
                <w:tab w:val="left" w:pos="1848"/>
                <w:tab w:val="left" w:pos="2568"/>
                <w:tab w:val="left" w:pos="3288"/>
                <w:tab w:val="left" w:pos="4008"/>
                <w:tab w:val="left" w:pos="4728"/>
                <w:tab w:val="left" w:pos="5448"/>
                <w:tab w:val="left" w:pos="6168"/>
                <w:tab w:val="left" w:pos="6888"/>
                <w:tab w:val="left" w:pos="7608"/>
                <w:tab w:val="left" w:pos="8328"/>
                <w:tab w:val="left" w:pos="9048"/>
                <w:tab w:val="left" w:pos="9768"/>
                <w:tab w:val="left" w:pos="10488"/>
              </w:tabs>
              <w:suppressAutoHyphens/>
              <w:ind w:left="252"/>
              <w:jc w:val="both"/>
              <w:rPr>
                <w:spacing w:val="-3"/>
                <w:sz w:val="20"/>
              </w:rPr>
            </w:pPr>
          </w:p>
          <w:p w14:paraId="2660DB4B" w14:textId="5D428183" w:rsidR="005633D8" w:rsidRPr="003F3160" w:rsidRDefault="00772567" w:rsidP="000C6B06">
            <w:pPr>
              <w:ind w:left="252"/>
              <w:rPr>
                <w:bCs/>
                <w:spacing w:val="-3"/>
                <w:sz w:val="20"/>
                <w:lang w:val="en-US"/>
              </w:rPr>
            </w:pPr>
            <w:r w:rsidRPr="003F3160">
              <w:rPr>
                <w:bCs/>
                <w:spacing w:val="-3"/>
                <w:sz w:val="20"/>
                <w:lang w:val="en-US"/>
              </w:rPr>
              <w:t>Pampa Metals Corporation</w:t>
            </w:r>
            <w:r w:rsidR="005633D8" w:rsidRPr="003F3160">
              <w:rPr>
                <w:bCs/>
                <w:spacing w:val="-3"/>
                <w:sz w:val="20"/>
                <w:lang w:val="en-US"/>
              </w:rPr>
              <w:br/>
            </w:r>
            <w:r w:rsidRPr="003F3160">
              <w:rPr>
                <w:bCs/>
                <w:spacing w:val="-3"/>
                <w:sz w:val="20"/>
                <w:lang w:val="en-US"/>
              </w:rPr>
              <w:t>c/o Suite 1200 – 750 West Pender Street</w:t>
            </w:r>
          </w:p>
          <w:p w14:paraId="257DDB78" w14:textId="4BF44F0E" w:rsidR="00DF6EBB" w:rsidRPr="003F3160" w:rsidRDefault="005633D8" w:rsidP="000C6B06">
            <w:pPr>
              <w:ind w:left="252"/>
              <w:rPr>
                <w:sz w:val="20"/>
                <w:lang w:val="en-US"/>
              </w:rPr>
            </w:pPr>
            <w:r w:rsidRPr="003F3160">
              <w:rPr>
                <w:bCs/>
                <w:spacing w:val="-3"/>
                <w:sz w:val="20"/>
                <w:lang w:val="en-US"/>
              </w:rPr>
              <w:t xml:space="preserve">Vancouver, </w:t>
            </w:r>
            <w:proofErr w:type="gramStart"/>
            <w:r w:rsidRPr="003F3160">
              <w:rPr>
                <w:bCs/>
                <w:spacing w:val="-3"/>
                <w:sz w:val="20"/>
                <w:lang w:val="en-US"/>
              </w:rPr>
              <w:t>BC  V</w:t>
            </w:r>
            <w:proofErr w:type="gramEnd"/>
            <w:r w:rsidRPr="003F3160">
              <w:rPr>
                <w:bCs/>
                <w:spacing w:val="-3"/>
                <w:sz w:val="20"/>
                <w:lang w:val="en-US"/>
              </w:rPr>
              <w:t xml:space="preserve">6C </w:t>
            </w:r>
            <w:r w:rsidR="00772567" w:rsidRPr="003F3160">
              <w:rPr>
                <w:bCs/>
                <w:spacing w:val="-3"/>
                <w:sz w:val="20"/>
                <w:lang w:val="en-US"/>
              </w:rPr>
              <w:t>2T8</w:t>
            </w:r>
          </w:p>
        </w:tc>
      </w:tr>
      <w:tr w:rsidR="00EF51C4" w:rsidRPr="003F3160" w14:paraId="06D15CFC" w14:textId="77777777" w:rsidTr="00C502CF">
        <w:tc>
          <w:tcPr>
            <w:tcW w:w="648" w:type="dxa"/>
            <w:tcMar>
              <w:top w:w="144" w:type="dxa"/>
              <w:left w:w="115" w:type="dxa"/>
              <w:bottom w:w="144" w:type="dxa"/>
              <w:right w:w="115" w:type="dxa"/>
            </w:tcMar>
          </w:tcPr>
          <w:p w14:paraId="465DDFCB" w14:textId="77777777" w:rsidR="00EF51C4" w:rsidRPr="003F3160" w:rsidRDefault="00EF51C4" w:rsidP="00C502CF">
            <w:pPr>
              <w:pStyle w:val="Heading6"/>
              <w:keepNext w:val="0"/>
              <w:numPr>
                <w:ilvl w:val="0"/>
                <w:numId w:val="1"/>
              </w:numPr>
              <w:ind w:left="540"/>
              <w:jc w:val="both"/>
              <w:rPr>
                <w:sz w:val="20"/>
              </w:rPr>
            </w:pPr>
          </w:p>
        </w:tc>
        <w:tc>
          <w:tcPr>
            <w:tcW w:w="8928" w:type="dxa"/>
            <w:tcMar>
              <w:top w:w="144" w:type="dxa"/>
              <w:left w:w="115" w:type="dxa"/>
              <w:bottom w:w="144" w:type="dxa"/>
              <w:right w:w="115" w:type="dxa"/>
            </w:tcMar>
          </w:tcPr>
          <w:p w14:paraId="1A5F3F26" w14:textId="77777777" w:rsidR="00EF51C4" w:rsidRPr="003F3160" w:rsidRDefault="00EF51C4" w:rsidP="00EF51C4">
            <w:pPr>
              <w:widowControl w:val="0"/>
              <w:tabs>
                <w:tab w:val="left" w:pos="252"/>
                <w:tab w:val="left" w:pos="1848"/>
                <w:tab w:val="left" w:pos="2568"/>
                <w:tab w:val="left" w:pos="3288"/>
                <w:tab w:val="left" w:pos="4008"/>
                <w:tab w:val="left" w:pos="4728"/>
                <w:tab w:val="left" w:pos="5448"/>
                <w:tab w:val="left" w:pos="6168"/>
                <w:tab w:val="left" w:pos="6888"/>
                <w:tab w:val="left" w:pos="7608"/>
                <w:tab w:val="left" w:pos="8328"/>
                <w:tab w:val="left" w:pos="9048"/>
                <w:tab w:val="left" w:pos="9768"/>
                <w:tab w:val="left" w:pos="10488"/>
              </w:tabs>
              <w:suppressAutoHyphens/>
              <w:ind w:left="252"/>
              <w:jc w:val="both"/>
              <w:rPr>
                <w:b/>
                <w:spacing w:val="-3"/>
                <w:sz w:val="20"/>
              </w:rPr>
            </w:pPr>
            <w:r w:rsidRPr="003F3160">
              <w:rPr>
                <w:b/>
                <w:spacing w:val="-3"/>
                <w:sz w:val="20"/>
                <w:u w:val="single"/>
              </w:rPr>
              <w:t>DATE OF MATERIAL CHANGE</w:t>
            </w:r>
          </w:p>
          <w:p w14:paraId="53064475" w14:textId="77777777" w:rsidR="00EF51C4" w:rsidRPr="003F3160" w:rsidRDefault="00EF51C4" w:rsidP="00EF51C4">
            <w:pPr>
              <w:widowControl w:val="0"/>
              <w:tabs>
                <w:tab w:val="left" w:pos="252"/>
                <w:tab w:val="left" w:pos="1848"/>
                <w:tab w:val="left" w:pos="2568"/>
                <w:tab w:val="left" w:pos="3288"/>
                <w:tab w:val="left" w:pos="4008"/>
                <w:tab w:val="left" w:pos="4728"/>
                <w:tab w:val="left" w:pos="5448"/>
                <w:tab w:val="left" w:pos="6168"/>
                <w:tab w:val="left" w:pos="6888"/>
                <w:tab w:val="left" w:pos="7608"/>
                <w:tab w:val="left" w:pos="8328"/>
                <w:tab w:val="left" w:pos="9048"/>
                <w:tab w:val="left" w:pos="9768"/>
                <w:tab w:val="left" w:pos="10488"/>
              </w:tabs>
              <w:suppressAutoHyphens/>
              <w:ind w:left="252"/>
              <w:jc w:val="both"/>
              <w:rPr>
                <w:spacing w:val="-3"/>
                <w:sz w:val="20"/>
              </w:rPr>
            </w:pPr>
          </w:p>
          <w:p w14:paraId="327D2A6D" w14:textId="2317518F" w:rsidR="00EF51C4" w:rsidRPr="003F3160" w:rsidRDefault="005E3741" w:rsidP="0011792E">
            <w:pPr>
              <w:pStyle w:val="Heading6"/>
              <w:keepNext w:val="0"/>
              <w:tabs>
                <w:tab w:val="left" w:pos="252"/>
              </w:tabs>
              <w:ind w:left="252"/>
              <w:jc w:val="both"/>
              <w:rPr>
                <w:b w:val="0"/>
                <w:sz w:val="20"/>
              </w:rPr>
            </w:pPr>
            <w:r w:rsidRPr="003F3160">
              <w:rPr>
                <w:b w:val="0"/>
                <w:sz w:val="20"/>
              </w:rPr>
              <w:t xml:space="preserve">August </w:t>
            </w:r>
            <w:r w:rsidR="00772567" w:rsidRPr="003F3160">
              <w:rPr>
                <w:b w:val="0"/>
                <w:sz w:val="20"/>
              </w:rPr>
              <w:t>9</w:t>
            </w:r>
            <w:r w:rsidR="004F1836" w:rsidRPr="003F3160">
              <w:rPr>
                <w:b w:val="0"/>
                <w:sz w:val="20"/>
              </w:rPr>
              <w:t xml:space="preserve">, </w:t>
            </w:r>
            <w:proofErr w:type="gramStart"/>
            <w:r w:rsidR="006B4C78" w:rsidRPr="003F3160">
              <w:rPr>
                <w:b w:val="0"/>
                <w:sz w:val="20"/>
              </w:rPr>
              <w:t>2021</w:t>
            </w:r>
            <w:proofErr w:type="gramEnd"/>
            <w:r w:rsidR="000C6B06" w:rsidRPr="003F3160">
              <w:rPr>
                <w:b w:val="0"/>
                <w:sz w:val="20"/>
              </w:rPr>
              <w:t xml:space="preserve"> </w:t>
            </w:r>
            <w:r w:rsidR="0011792E" w:rsidRPr="003F3160">
              <w:rPr>
                <w:b w:val="0"/>
                <w:sz w:val="20"/>
              </w:rPr>
              <w:t xml:space="preserve"> </w:t>
            </w:r>
          </w:p>
        </w:tc>
      </w:tr>
      <w:tr w:rsidR="00EF51C4" w:rsidRPr="003F3160" w14:paraId="51A2E03C" w14:textId="77777777" w:rsidTr="00C502CF">
        <w:tc>
          <w:tcPr>
            <w:tcW w:w="648" w:type="dxa"/>
            <w:tcMar>
              <w:top w:w="144" w:type="dxa"/>
              <w:left w:w="115" w:type="dxa"/>
              <w:bottom w:w="144" w:type="dxa"/>
              <w:right w:w="115" w:type="dxa"/>
            </w:tcMar>
          </w:tcPr>
          <w:p w14:paraId="28E8EAAB" w14:textId="77777777" w:rsidR="00EF51C4" w:rsidRPr="003F3160" w:rsidRDefault="00EF51C4" w:rsidP="00C502CF">
            <w:pPr>
              <w:pStyle w:val="Heading6"/>
              <w:keepNext w:val="0"/>
              <w:numPr>
                <w:ilvl w:val="0"/>
                <w:numId w:val="1"/>
              </w:numPr>
              <w:ind w:left="540"/>
              <w:jc w:val="both"/>
              <w:rPr>
                <w:sz w:val="20"/>
              </w:rPr>
            </w:pPr>
          </w:p>
        </w:tc>
        <w:tc>
          <w:tcPr>
            <w:tcW w:w="8928" w:type="dxa"/>
            <w:tcMar>
              <w:top w:w="144" w:type="dxa"/>
              <w:left w:w="115" w:type="dxa"/>
              <w:bottom w:w="144" w:type="dxa"/>
              <w:right w:w="115" w:type="dxa"/>
            </w:tcMar>
          </w:tcPr>
          <w:p w14:paraId="0A7F61AA" w14:textId="77777777" w:rsidR="00EF51C4" w:rsidRPr="003F3160" w:rsidRDefault="00EF51C4" w:rsidP="00EF51C4">
            <w:pPr>
              <w:widowControl w:val="0"/>
              <w:tabs>
                <w:tab w:val="left" w:pos="252"/>
                <w:tab w:val="left" w:pos="1848"/>
                <w:tab w:val="left" w:pos="2568"/>
                <w:tab w:val="left" w:pos="3288"/>
                <w:tab w:val="left" w:pos="4008"/>
                <w:tab w:val="left" w:pos="4728"/>
                <w:tab w:val="left" w:pos="5448"/>
                <w:tab w:val="left" w:pos="6168"/>
                <w:tab w:val="left" w:pos="6888"/>
                <w:tab w:val="left" w:pos="7608"/>
                <w:tab w:val="left" w:pos="8328"/>
                <w:tab w:val="left" w:pos="9048"/>
                <w:tab w:val="left" w:pos="9768"/>
                <w:tab w:val="left" w:pos="10488"/>
              </w:tabs>
              <w:suppressAutoHyphens/>
              <w:ind w:left="252"/>
              <w:jc w:val="both"/>
              <w:rPr>
                <w:b/>
                <w:spacing w:val="-3"/>
                <w:sz w:val="20"/>
              </w:rPr>
            </w:pPr>
            <w:r w:rsidRPr="003F3160">
              <w:rPr>
                <w:b/>
                <w:spacing w:val="-3"/>
                <w:sz w:val="20"/>
                <w:u w:val="single"/>
              </w:rPr>
              <w:t>NEWS RELEASE</w:t>
            </w:r>
          </w:p>
          <w:p w14:paraId="53D26B6E" w14:textId="77777777" w:rsidR="00EF51C4" w:rsidRPr="003F3160" w:rsidRDefault="00EF51C4" w:rsidP="00EF51C4">
            <w:pPr>
              <w:widowControl w:val="0"/>
              <w:tabs>
                <w:tab w:val="left" w:pos="252"/>
                <w:tab w:val="left" w:pos="1848"/>
                <w:tab w:val="left" w:pos="2568"/>
                <w:tab w:val="left" w:pos="3288"/>
                <w:tab w:val="left" w:pos="4008"/>
                <w:tab w:val="left" w:pos="4728"/>
                <w:tab w:val="left" w:pos="5448"/>
                <w:tab w:val="left" w:pos="6168"/>
                <w:tab w:val="left" w:pos="6888"/>
                <w:tab w:val="left" w:pos="7608"/>
                <w:tab w:val="left" w:pos="8328"/>
                <w:tab w:val="left" w:pos="9048"/>
                <w:tab w:val="left" w:pos="9768"/>
                <w:tab w:val="left" w:pos="10488"/>
              </w:tabs>
              <w:suppressAutoHyphens/>
              <w:ind w:left="252"/>
              <w:jc w:val="both"/>
              <w:rPr>
                <w:spacing w:val="-3"/>
                <w:sz w:val="20"/>
              </w:rPr>
            </w:pPr>
          </w:p>
          <w:p w14:paraId="4A704F66" w14:textId="4E60B076" w:rsidR="00E83B71" w:rsidRPr="003F3160" w:rsidRDefault="00EF51C4" w:rsidP="004C5EDA">
            <w:pPr>
              <w:pStyle w:val="Heading6"/>
              <w:keepNext w:val="0"/>
              <w:tabs>
                <w:tab w:val="left" w:pos="252"/>
              </w:tabs>
              <w:ind w:left="252"/>
              <w:jc w:val="both"/>
              <w:rPr>
                <w:b w:val="0"/>
                <w:sz w:val="20"/>
              </w:rPr>
            </w:pPr>
            <w:r w:rsidRPr="003F3160">
              <w:rPr>
                <w:b w:val="0"/>
                <w:sz w:val="20"/>
              </w:rPr>
              <w:t xml:space="preserve">News release dated </w:t>
            </w:r>
            <w:r w:rsidR="00772567" w:rsidRPr="003F3160">
              <w:rPr>
                <w:b w:val="0"/>
                <w:sz w:val="20"/>
              </w:rPr>
              <w:t xml:space="preserve">July 28, </w:t>
            </w:r>
            <w:proofErr w:type="gramStart"/>
            <w:r w:rsidR="00772567" w:rsidRPr="003F3160">
              <w:rPr>
                <w:b w:val="0"/>
                <w:sz w:val="20"/>
              </w:rPr>
              <w:t>2021</w:t>
            </w:r>
            <w:proofErr w:type="gramEnd"/>
            <w:r w:rsidR="003A4497" w:rsidRPr="003F3160">
              <w:rPr>
                <w:b w:val="0"/>
                <w:sz w:val="20"/>
              </w:rPr>
              <w:t xml:space="preserve"> </w:t>
            </w:r>
            <w:r w:rsidR="00E20E31" w:rsidRPr="003F3160">
              <w:rPr>
                <w:b w:val="0"/>
                <w:sz w:val="20"/>
              </w:rPr>
              <w:t>was</w:t>
            </w:r>
            <w:r w:rsidRPr="003F3160">
              <w:rPr>
                <w:b w:val="0"/>
                <w:sz w:val="20"/>
              </w:rPr>
              <w:t xml:space="preserve"> disseminated via </w:t>
            </w:r>
            <w:r w:rsidR="003A4497" w:rsidRPr="003F3160">
              <w:rPr>
                <w:b w:val="0"/>
                <w:sz w:val="20"/>
              </w:rPr>
              <w:t>the facilities of</w:t>
            </w:r>
            <w:r w:rsidR="00AE1224" w:rsidRPr="003F3160">
              <w:rPr>
                <w:b w:val="0"/>
                <w:sz w:val="20"/>
              </w:rPr>
              <w:t xml:space="preserve"> </w:t>
            </w:r>
            <w:r w:rsidR="006F4F5B" w:rsidRPr="003F3160">
              <w:rPr>
                <w:b w:val="0"/>
                <w:sz w:val="20"/>
              </w:rPr>
              <w:t>news wire service</w:t>
            </w:r>
            <w:r w:rsidR="005633D8" w:rsidRPr="003F3160">
              <w:rPr>
                <w:b w:val="0"/>
                <w:sz w:val="20"/>
              </w:rPr>
              <w:t>.</w:t>
            </w:r>
          </w:p>
        </w:tc>
      </w:tr>
      <w:tr w:rsidR="00EF51C4" w:rsidRPr="003F3160" w14:paraId="023CA124" w14:textId="77777777" w:rsidTr="00C502CF">
        <w:tc>
          <w:tcPr>
            <w:tcW w:w="648" w:type="dxa"/>
            <w:tcMar>
              <w:top w:w="144" w:type="dxa"/>
              <w:left w:w="115" w:type="dxa"/>
              <w:bottom w:w="144" w:type="dxa"/>
              <w:right w:w="115" w:type="dxa"/>
            </w:tcMar>
          </w:tcPr>
          <w:p w14:paraId="70813203" w14:textId="77777777" w:rsidR="00EF51C4" w:rsidRPr="003F3160" w:rsidRDefault="00EF51C4" w:rsidP="00C502CF">
            <w:pPr>
              <w:pStyle w:val="Heading6"/>
              <w:keepNext w:val="0"/>
              <w:numPr>
                <w:ilvl w:val="0"/>
                <w:numId w:val="1"/>
              </w:numPr>
              <w:ind w:left="540"/>
              <w:jc w:val="both"/>
              <w:rPr>
                <w:sz w:val="20"/>
              </w:rPr>
            </w:pPr>
          </w:p>
        </w:tc>
        <w:tc>
          <w:tcPr>
            <w:tcW w:w="8928" w:type="dxa"/>
            <w:tcMar>
              <w:top w:w="144" w:type="dxa"/>
              <w:left w:w="115" w:type="dxa"/>
              <w:bottom w:w="144" w:type="dxa"/>
              <w:right w:w="115" w:type="dxa"/>
            </w:tcMar>
          </w:tcPr>
          <w:p w14:paraId="2768A397" w14:textId="77777777" w:rsidR="00EF51C4" w:rsidRPr="003F3160" w:rsidRDefault="00EF51C4" w:rsidP="00EF51C4">
            <w:pPr>
              <w:widowControl w:val="0"/>
              <w:tabs>
                <w:tab w:val="left" w:pos="252"/>
                <w:tab w:val="left" w:pos="1848"/>
                <w:tab w:val="left" w:pos="2568"/>
                <w:tab w:val="left" w:pos="3288"/>
                <w:tab w:val="left" w:pos="4008"/>
                <w:tab w:val="left" w:pos="4728"/>
                <w:tab w:val="left" w:pos="5448"/>
                <w:tab w:val="left" w:pos="6168"/>
                <w:tab w:val="left" w:pos="6888"/>
                <w:tab w:val="left" w:pos="7608"/>
                <w:tab w:val="left" w:pos="8328"/>
                <w:tab w:val="left" w:pos="9048"/>
                <w:tab w:val="left" w:pos="9768"/>
                <w:tab w:val="left" w:pos="10488"/>
              </w:tabs>
              <w:suppressAutoHyphens/>
              <w:ind w:left="252"/>
              <w:jc w:val="both"/>
              <w:rPr>
                <w:b/>
                <w:spacing w:val="-3"/>
                <w:sz w:val="20"/>
              </w:rPr>
            </w:pPr>
            <w:r w:rsidRPr="003F3160">
              <w:rPr>
                <w:b/>
                <w:spacing w:val="-3"/>
                <w:sz w:val="20"/>
                <w:u w:val="single"/>
              </w:rPr>
              <w:t>SUMMARY OF MATERIAL CHANGE</w:t>
            </w:r>
          </w:p>
          <w:p w14:paraId="74588D20" w14:textId="77777777" w:rsidR="00EF51C4" w:rsidRPr="003F3160" w:rsidRDefault="00EF51C4" w:rsidP="005633D8">
            <w:pPr>
              <w:widowControl w:val="0"/>
              <w:tabs>
                <w:tab w:val="left" w:pos="252"/>
                <w:tab w:val="left" w:pos="1848"/>
                <w:tab w:val="left" w:pos="2568"/>
                <w:tab w:val="left" w:pos="3288"/>
                <w:tab w:val="left" w:pos="4008"/>
                <w:tab w:val="left" w:pos="4728"/>
                <w:tab w:val="left" w:pos="5448"/>
                <w:tab w:val="left" w:pos="6168"/>
                <w:tab w:val="left" w:pos="6888"/>
                <w:tab w:val="left" w:pos="7608"/>
                <w:tab w:val="left" w:pos="8328"/>
                <w:tab w:val="left" w:pos="9048"/>
                <w:tab w:val="left" w:pos="9768"/>
                <w:tab w:val="left" w:pos="10488"/>
              </w:tabs>
              <w:suppressAutoHyphens/>
              <w:jc w:val="both"/>
              <w:rPr>
                <w:spacing w:val="-3"/>
                <w:sz w:val="20"/>
              </w:rPr>
            </w:pPr>
          </w:p>
          <w:p w14:paraId="042B0A73" w14:textId="42BF012D" w:rsidR="00EF51C4" w:rsidRPr="003F3160" w:rsidRDefault="00772567" w:rsidP="002D6BAC">
            <w:pPr>
              <w:pStyle w:val="Heading6"/>
              <w:tabs>
                <w:tab w:val="left" w:pos="252"/>
              </w:tabs>
              <w:ind w:left="252"/>
              <w:jc w:val="both"/>
              <w:rPr>
                <w:b w:val="0"/>
                <w:sz w:val="20"/>
              </w:rPr>
            </w:pPr>
            <w:r w:rsidRPr="003F3160">
              <w:rPr>
                <w:b w:val="0"/>
                <w:sz w:val="20"/>
              </w:rPr>
              <w:t>Pampa Metals</w:t>
            </w:r>
            <w:r w:rsidR="003F3160">
              <w:rPr>
                <w:b w:val="0"/>
                <w:sz w:val="20"/>
              </w:rPr>
              <w:t xml:space="preserve"> Corporation entered into a</w:t>
            </w:r>
            <w:r w:rsidRPr="003F3160">
              <w:rPr>
                <w:b w:val="0"/>
                <w:sz w:val="20"/>
              </w:rPr>
              <w:t xml:space="preserve"> definitive agreement with Austral Gold and returns 6% of issued and outstanding shares back to treasury</w:t>
            </w:r>
            <w:r w:rsidR="00D2095D" w:rsidRPr="003F3160">
              <w:rPr>
                <w:b w:val="0"/>
                <w:sz w:val="20"/>
              </w:rPr>
              <w:t>.</w:t>
            </w:r>
          </w:p>
        </w:tc>
      </w:tr>
      <w:tr w:rsidR="00EF51C4" w:rsidRPr="003F3160" w14:paraId="2F629D9F" w14:textId="77777777" w:rsidTr="00C502CF">
        <w:tc>
          <w:tcPr>
            <w:tcW w:w="648" w:type="dxa"/>
            <w:tcMar>
              <w:top w:w="144" w:type="dxa"/>
              <w:left w:w="115" w:type="dxa"/>
              <w:bottom w:w="144" w:type="dxa"/>
              <w:right w:w="115" w:type="dxa"/>
            </w:tcMar>
          </w:tcPr>
          <w:p w14:paraId="6AFEA0DE" w14:textId="77777777" w:rsidR="00EF51C4" w:rsidRPr="003F3160" w:rsidRDefault="00EF51C4" w:rsidP="00C502CF">
            <w:pPr>
              <w:pStyle w:val="Heading6"/>
              <w:keepNext w:val="0"/>
              <w:numPr>
                <w:ilvl w:val="0"/>
                <w:numId w:val="1"/>
              </w:numPr>
              <w:ind w:left="540"/>
              <w:jc w:val="both"/>
              <w:rPr>
                <w:sz w:val="20"/>
              </w:rPr>
            </w:pPr>
          </w:p>
        </w:tc>
        <w:tc>
          <w:tcPr>
            <w:tcW w:w="8928" w:type="dxa"/>
            <w:tcMar>
              <w:top w:w="144" w:type="dxa"/>
              <w:left w:w="115" w:type="dxa"/>
              <w:bottom w:w="144" w:type="dxa"/>
              <w:right w:w="115" w:type="dxa"/>
            </w:tcMar>
          </w:tcPr>
          <w:p w14:paraId="456E46BB" w14:textId="77777777" w:rsidR="00EF51C4" w:rsidRPr="003F3160" w:rsidRDefault="00EF51C4" w:rsidP="00394E92">
            <w:pPr>
              <w:widowControl w:val="0"/>
              <w:tabs>
                <w:tab w:val="left" w:pos="252"/>
                <w:tab w:val="left" w:pos="1080"/>
                <w:tab w:val="left" w:pos="1848"/>
                <w:tab w:val="left" w:pos="2568"/>
                <w:tab w:val="left" w:pos="3288"/>
                <w:tab w:val="left" w:pos="4008"/>
                <w:tab w:val="left" w:pos="4728"/>
                <w:tab w:val="left" w:pos="5448"/>
                <w:tab w:val="left" w:pos="6168"/>
                <w:tab w:val="left" w:pos="6888"/>
                <w:tab w:val="left" w:pos="7608"/>
                <w:tab w:val="left" w:pos="8328"/>
                <w:tab w:val="left" w:pos="9048"/>
                <w:tab w:val="left" w:pos="9768"/>
                <w:tab w:val="left" w:pos="10488"/>
              </w:tabs>
              <w:suppressAutoHyphens/>
              <w:ind w:left="252"/>
              <w:jc w:val="both"/>
              <w:rPr>
                <w:b/>
                <w:spacing w:val="-3"/>
                <w:sz w:val="20"/>
                <w:u w:val="single"/>
              </w:rPr>
            </w:pPr>
            <w:r w:rsidRPr="003F3160">
              <w:rPr>
                <w:b/>
                <w:spacing w:val="-3"/>
                <w:sz w:val="20"/>
                <w:u w:val="single"/>
              </w:rPr>
              <w:t>FULL DESCRIPTION OF MATERIAL CHANGE</w:t>
            </w:r>
          </w:p>
          <w:p w14:paraId="329C5BDC" w14:textId="77777777" w:rsidR="00EF51C4" w:rsidRPr="003F3160" w:rsidRDefault="00EF51C4" w:rsidP="00394E92">
            <w:pPr>
              <w:widowControl w:val="0"/>
              <w:tabs>
                <w:tab w:val="left" w:pos="252"/>
                <w:tab w:val="left" w:pos="1170"/>
                <w:tab w:val="left" w:pos="1848"/>
                <w:tab w:val="left" w:pos="2568"/>
                <w:tab w:val="left" w:pos="3288"/>
                <w:tab w:val="left" w:pos="4008"/>
                <w:tab w:val="left" w:pos="4728"/>
                <w:tab w:val="left" w:pos="5448"/>
                <w:tab w:val="left" w:pos="6168"/>
                <w:tab w:val="left" w:pos="6888"/>
                <w:tab w:val="left" w:pos="7608"/>
                <w:tab w:val="left" w:pos="8328"/>
                <w:tab w:val="left" w:pos="9048"/>
                <w:tab w:val="left" w:pos="9768"/>
                <w:tab w:val="left" w:pos="10488"/>
              </w:tabs>
              <w:suppressAutoHyphens/>
              <w:ind w:left="252"/>
              <w:jc w:val="both"/>
              <w:rPr>
                <w:spacing w:val="-3"/>
                <w:sz w:val="20"/>
              </w:rPr>
            </w:pPr>
          </w:p>
          <w:p w14:paraId="2394F78B" w14:textId="77777777" w:rsidR="00F66673" w:rsidRPr="003F3160" w:rsidRDefault="00F66673" w:rsidP="005E3741">
            <w:pPr>
              <w:ind w:left="237"/>
              <w:jc w:val="both"/>
              <w:rPr>
                <w:sz w:val="20"/>
              </w:rPr>
            </w:pPr>
            <w:r w:rsidRPr="003F3160">
              <w:rPr>
                <w:bCs/>
                <w:sz w:val="20"/>
              </w:rPr>
              <w:t>Pampa Metals Corporation</w:t>
            </w:r>
            <w:r w:rsidR="006970D3" w:rsidRPr="003F3160">
              <w:rPr>
                <w:bCs/>
                <w:sz w:val="20"/>
              </w:rPr>
              <w:t xml:space="preserve"> </w:t>
            </w:r>
            <w:r w:rsidR="005633D8" w:rsidRPr="003F3160">
              <w:rPr>
                <w:bCs/>
                <w:sz w:val="20"/>
              </w:rPr>
              <w:t>(</w:t>
            </w:r>
            <w:r w:rsidR="006970D3" w:rsidRPr="003F3160">
              <w:rPr>
                <w:bCs/>
                <w:sz w:val="20"/>
              </w:rPr>
              <w:t>the “Company”</w:t>
            </w:r>
            <w:r w:rsidR="006D6BCA" w:rsidRPr="003F3160">
              <w:rPr>
                <w:bCs/>
                <w:sz w:val="20"/>
              </w:rPr>
              <w:t xml:space="preserve"> or “</w:t>
            </w:r>
            <w:r w:rsidRPr="003F3160">
              <w:rPr>
                <w:bCs/>
                <w:sz w:val="20"/>
              </w:rPr>
              <w:t>Pampa Metals</w:t>
            </w:r>
            <w:r w:rsidR="006D6BCA" w:rsidRPr="003F3160">
              <w:rPr>
                <w:bCs/>
                <w:sz w:val="20"/>
              </w:rPr>
              <w:t>”</w:t>
            </w:r>
            <w:r w:rsidR="006970D3" w:rsidRPr="003F3160">
              <w:rPr>
                <w:bCs/>
                <w:sz w:val="20"/>
              </w:rPr>
              <w:t>)</w:t>
            </w:r>
            <w:r w:rsidR="005E3741" w:rsidRPr="003F3160">
              <w:rPr>
                <w:sz w:val="20"/>
              </w:rPr>
              <w:t xml:space="preserve"> </w:t>
            </w:r>
            <w:r w:rsidRPr="003F3160">
              <w:rPr>
                <w:sz w:val="20"/>
              </w:rPr>
              <w:t xml:space="preserve">is pleased to announce that further to the news release of April 14, 2021 it has completed the formal documentation with Austral Gold Ltd. (“Austral” – TSX-V: AGLD / ASX: AGD), whereby Austral has been granted an option to acquire in stages up to an 80% joint venture interest in Pampa Metals’ Cerro Blanco and Morros </w:t>
            </w:r>
            <w:proofErr w:type="spellStart"/>
            <w:r w:rsidRPr="003F3160">
              <w:rPr>
                <w:sz w:val="20"/>
              </w:rPr>
              <w:t>Blancos</w:t>
            </w:r>
            <w:proofErr w:type="spellEnd"/>
            <w:r w:rsidRPr="003F3160">
              <w:rPr>
                <w:sz w:val="20"/>
              </w:rPr>
              <w:t xml:space="preserve"> properties (the “Properties”) in exchange for certain cash payments, exploration expenditures and the cancellation of 2,963,132 shares of Pampa Metals held by </w:t>
            </w:r>
            <w:proofErr w:type="spellStart"/>
            <w:r w:rsidRPr="003F3160">
              <w:rPr>
                <w:sz w:val="20"/>
              </w:rPr>
              <w:t>Austral’s</w:t>
            </w:r>
            <w:proofErr w:type="spellEnd"/>
            <w:r w:rsidRPr="003F3160">
              <w:rPr>
                <w:sz w:val="20"/>
              </w:rPr>
              <w:t xml:space="preserve"> wholly-owned subsidiary, </w:t>
            </w:r>
            <w:proofErr w:type="spellStart"/>
            <w:r w:rsidRPr="003F3160">
              <w:rPr>
                <w:sz w:val="20"/>
              </w:rPr>
              <w:t>Revelo</w:t>
            </w:r>
            <w:proofErr w:type="spellEnd"/>
            <w:r w:rsidRPr="003F3160">
              <w:rPr>
                <w:sz w:val="20"/>
              </w:rPr>
              <w:t xml:space="preserve"> Resources Corp. The formal documentation (the “Agreement”) consists of the Definitive Option and Joint Venture Agreement, a Shareholders’ Agreement in the event the Option is exercised, and an Exploration Deed that enables enforcement of the Agreement in Chile. </w:t>
            </w:r>
          </w:p>
          <w:p w14:paraId="26F13725" w14:textId="77777777" w:rsidR="00F66673" w:rsidRPr="003F3160" w:rsidRDefault="00F66673" w:rsidP="005E3741">
            <w:pPr>
              <w:ind w:left="237"/>
              <w:jc w:val="both"/>
              <w:rPr>
                <w:sz w:val="20"/>
              </w:rPr>
            </w:pPr>
          </w:p>
          <w:p w14:paraId="598AAC74" w14:textId="77777777" w:rsidR="00F66673" w:rsidRPr="003F3160" w:rsidRDefault="00F66673" w:rsidP="005E3741">
            <w:pPr>
              <w:ind w:left="237"/>
              <w:jc w:val="both"/>
              <w:rPr>
                <w:sz w:val="20"/>
              </w:rPr>
            </w:pPr>
            <w:r w:rsidRPr="003F3160">
              <w:rPr>
                <w:sz w:val="20"/>
              </w:rPr>
              <w:t xml:space="preserve">Highlights of the Agreement are: </w:t>
            </w:r>
          </w:p>
          <w:p w14:paraId="76FA90C3" w14:textId="77777777" w:rsidR="00F66673" w:rsidRPr="003F3160" w:rsidRDefault="00F66673" w:rsidP="005E3741">
            <w:pPr>
              <w:ind w:left="237"/>
              <w:jc w:val="both"/>
              <w:rPr>
                <w:sz w:val="20"/>
              </w:rPr>
            </w:pPr>
          </w:p>
          <w:p w14:paraId="15C0B2EB" w14:textId="77777777" w:rsidR="00F66673" w:rsidRPr="003F3160" w:rsidRDefault="00F66673" w:rsidP="005E3741">
            <w:pPr>
              <w:ind w:left="237"/>
              <w:jc w:val="both"/>
              <w:rPr>
                <w:sz w:val="20"/>
              </w:rPr>
            </w:pPr>
            <w:r w:rsidRPr="003F3160">
              <w:rPr>
                <w:sz w:val="20"/>
              </w:rPr>
              <w:t xml:space="preserve">• Cancelation of 2,963,132 of the Company’s shares representing the return to treasury of more than 6% of the issued and outstanding share </w:t>
            </w:r>
            <w:proofErr w:type="gramStart"/>
            <w:r w:rsidRPr="003F3160">
              <w:rPr>
                <w:sz w:val="20"/>
              </w:rPr>
              <w:t>capital;</w:t>
            </w:r>
            <w:proofErr w:type="gramEnd"/>
            <w:r w:rsidRPr="003F3160">
              <w:rPr>
                <w:sz w:val="20"/>
              </w:rPr>
              <w:t xml:space="preserve"> </w:t>
            </w:r>
          </w:p>
          <w:p w14:paraId="3E0FBA1E" w14:textId="77777777" w:rsidR="00F66673" w:rsidRPr="003F3160" w:rsidRDefault="00F66673" w:rsidP="005E3741">
            <w:pPr>
              <w:ind w:left="237"/>
              <w:jc w:val="both"/>
              <w:rPr>
                <w:sz w:val="20"/>
              </w:rPr>
            </w:pPr>
            <w:r w:rsidRPr="003F3160">
              <w:rPr>
                <w:sz w:val="20"/>
              </w:rPr>
              <w:t xml:space="preserve">• Austral incurring Exploration Expenditures of at least $1 million in year 1 and $2 million in year </w:t>
            </w:r>
            <w:proofErr w:type="gramStart"/>
            <w:r w:rsidRPr="003F3160">
              <w:rPr>
                <w:sz w:val="20"/>
              </w:rPr>
              <w:t>2;</w:t>
            </w:r>
            <w:proofErr w:type="gramEnd"/>
            <w:r w:rsidRPr="003F3160">
              <w:rPr>
                <w:sz w:val="20"/>
              </w:rPr>
              <w:t xml:space="preserve"> </w:t>
            </w:r>
          </w:p>
          <w:p w14:paraId="1E459C73" w14:textId="77777777" w:rsidR="00F66673" w:rsidRPr="003F3160" w:rsidRDefault="00F66673" w:rsidP="005E3741">
            <w:pPr>
              <w:ind w:left="237"/>
              <w:jc w:val="both"/>
              <w:rPr>
                <w:sz w:val="20"/>
              </w:rPr>
            </w:pPr>
            <w:r w:rsidRPr="003F3160">
              <w:rPr>
                <w:sz w:val="20"/>
              </w:rPr>
              <w:t xml:space="preserve">• Austral being required to complete a bankable feasibility study to earn an 80% interest in either or both properties. If studies indicate that copper is the most valuable commodity instead of gold and silver, Pampa Metals can earn back an 80% interest under the same terms and conditions as those for Austral. </w:t>
            </w:r>
          </w:p>
          <w:p w14:paraId="7554C67C" w14:textId="77777777" w:rsidR="00F66673" w:rsidRPr="003F3160" w:rsidRDefault="00F66673" w:rsidP="005E3741">
            <w:pPr>
              <w:ind w:left="237"/>
              <w:jc w:val="both"/>
              <w:rPr>
                <w:sz w:val="20"/>
              </w:rPr>
            </w:pPr>
          </w:p>
          <w:p w14:paraId="4694F7DF" w14:textId="77777777" w:rsidR="00F66673" w:rsidRPr="003F3160" w:rsidRDefault="00F66673" w:rsidP="005E3741">
            <w:pPr>
              <w:ind w:left="237"/>
              <w:jc w:val="both"/>
              <w:rPr>
                <w:sz w:val="20"/>
              </w:rPr>
            </w:pPr>
            <w:r w:rsidRPr="003F3160">
              <w:rPr>
                <w:sz w:val="20"/>
              </w:rPr>
              <w:t xml:space="preserve">Austral Gold Ltd. is a growing gold and silver mining producer. Over the last few years, Austral Gold has successfully built a portfolio of assets in the Americas (Chile, Argentina, and United States) and is dual-listed on the Australian Securities Exchange (ASX: AGD) and the Toronto Venture Exchange (TSX-V: AGLD). The Group’s flagship asset is the Guanaco/Amancaya gold and silver mine complex in Chile. Other mining interests include the </w:t>
            </w:r>
            <w:proofErr w:type="spellStart"/>
            <w:r w:rsidRPr="003F3160">
              <w:rPr>
                <w:sz w:val="20"/>
              </w:rPr>
              <w:t>Casposo</w:t>
            </w:r>
            <w:proofErr w:type="spellEnd"/>
            <w:r w:rsidRPr="003F3160">
              <w:rPr>
                <w:sz w:val="20"/>
              </w:rPr>
              <w:t xml:space="preserve"> Mine in Argentina (100%), a non-controlling interest in the Rawhide Mine in the USA, and an attractive portfolio of exploration projects in Argentina and Chile. </w:t>
            </w:r>
          </w:p>
          <w:p w14:paraId="079BBD6A" w14:textId="0FE2DA32" w:rsidR="00F66673" w:rsidRDefault="00F66673" w:rsidP="005E3741">
            <w:pPr>
              <w:ind w:left="237"/>
              <w:jc w:val="both"/>
              <w:rPr>
                <w:sz w:val="20"/>
              </w:rPr>
            </w:pPr>
          </w:p>
          <w:p w14:paraId="0CD96152" w14:textId="0A774043" w:rsidR="008310CC" w:rsidRDefault="008310CC" w:rsidP="005E3741">
            <w:pPr>
              <w:ind w:left="237"/>
              <w:jc w:val="both"/>
              <w:rPr>
                <w:sz w:val="20"/>
              </w:rPr>
            </w:pPr>
          </w:p>
          <w:p w14:paraId="1BE90A08" w14:textId="56329784" w:rsidR="008310CC" w:rsidRDefault="008310CC" w:rsidP="005E3741">
            <w:pPr>
              <w:ind w:left="237"/>
              <w:jc w:val="both"/>
              <w:rPr>
                <w:sz w:val="20"/>
              </w:rPr>
            </w:pPr>
          </w:p>
          <w:p w14:paraId="6DEB8F26" w14:textId="77777777" w:rsidR="008310CC" w:rsidRPr="003F3160" w:rsidRDefault="008310CC" w:rsidP="005E3741">
            <w:pPr>
              <w:ind w:left="237"/>
              <w:jc w:val="both"/>
              <w:rPr>
                <w:sz w:val="20"/>
              </w:rPr>
            </w:pPr>
          </w:p>
          <w:p w14:paraId="29357EB6" w14:textId="77777777" w:rsidR="00F66673" w:rsidRPr="003F3160" w:rsidRDefault="00F66673" w:rsidP="005E3741">
            <w:pPr>
              <w:ind w:left="237"/>
              <w:jc w:val="both"/>
              <w:rPr>
                <w:b/>
                <w:bCs/>
                <w:sz w:val="20"/>
              </w:rPr>
            </w:pPr>
            <w:r w:rsidRPr="003F3160">
              <w:rPr>
                <w:b/>
                <w:bCs/>
                <w:sz w:val="20"/>
              </w:rPr>
              <w:lastRenderedPageBreak/>
              <w:t xml:space="preserve">About the Agreement </w:t>
            </w:r>
          </w:p>
          <w:p w14:paraId="47C3C0EB" w14:textId="77777777" w:rsidR="00F66673" w:rsidRPr="003F3160" w:rsidRDefault="00F66673" w:rsidP="005E3741">
            <w:pPr>
              <w:ind w:left="237"/>
              <w:jc w:val="both"/>
              <w:rPr>
                <w:sz w:val="20"/>
              </w:rPr>
            </w:pPr>
          </w:p>
          <w:p w14:paraId="3B889608" w14:textId="77777777" w:rsidR="00F66673" w:rsidRPr="003F3160" w:rsidRDefault="00F66673" w:rsidP="005E3741">
            <w:pPr>
              <w:ind w:left="237"/>
              <w:jc w:val="both"/>
              <w:rPr>
                <w:sz w:val="20"/>
              </w:rPr>
            </w:pPr>
            <w:r w:rsidRPr="003F3160">
              <w:rPr>
                <w:sz w:val="20"/>
              </w:rPr>
              <w:t xml:space="preserve">Pampa Metals’ Cerro Blanco and Morros </w:t>
            </w:r>
            <w:proofErr w:type="spellStart"/>
            <w:r w:rsidRPr="003F3160">
              <w:rPr>
                <w:sz w:val="20"/>
              </w:rPr>
              <w:t>Blancos</w:t>
            </w:r>
            <w:proofErr w:type="spellEnd"/>
            <w:r w:rsidRPr="003F3160">
              <w:rPr>
                <w:sz w:val="20"/>
              </w:rPr>
              <w:t xml:space="preserve"> projects are located within 50 Km to 60 Km from </w:t>
            </w:r>
            <w:proofErr w:type="spellStart"/>
            <w:r w:rsidRPr="003F3160">
              <w:rPr>
                <w:sz w:val="20"/>
              </w:rPr>
              <w:t>Austral’s</w:t>
            </w:r>
            <w:proofErr w:type="spellEnd"/>
            <w:r w:rsidRPr="003F3160">
              <w:rPr>
                <w:sz w:val="20"/>
              </w:rPr>
              <w:t xml:space="preserve"> flagship gold-silver mine and processing facilities at Guanaco in northern Chile, and Morros </w:t>
            </w:r>
            <w:proofErr w:type="spellStart"/>
            <w:r w:rsidRPr="003F3160">
              <w:rPr>
                <w:sz w:val="20"/>
              </w:rPr>
              <w:t>Blancos</w:t>
            </w:r>
            <w:proofErr w:type="spellEnd"/>
            <w:r w:rsidRPr="003F3160">
              <w:rPr>
                <w:sz w:val="20"/>
              </w:rPr>
              <w:t xml:space="preserve"> is additionally located adjacent to </w:t>
            </w:r>
            <w:proofErr w:type="spellStart"/>
            <w:r w:rsidRPr="003F3160">
              <w:rPr>
                <w:sz w:val="20"/>
              </w:rPr>
              <w:t>Austral’s</w:t>
            </w:r>
            <w:proofErr w:type="spellEnd"/>
            <w:r w:rsidRPr="003F3160">
              <w:rPr>
                <w:sz w:val="20"/>
              </w:rPr>
              <w:t xml:space="preserve"> Amancaya gold-silver mine, which provides additional feed to the Guanaco plant. </w:t>
            </w:r>
          </w:p>
          <w:p w14:paraId="02BA2210" w14:textId="77777777" w:rsidR="00F66673" w:rsidRPr="003F3160" w:rsidRDefault="00F66673" w:rsidP="005E3741">
            <w:pPr>
              <w:ind w:left="237"/>
              <w:jc w:val="both"/>
              <w:rPr>
                <w:sz w:val="20"/>
              </w:rPr>
            </w:pPr>
          </w:p>
          <w:p w14:paraId="1D1DE8CF" w14:textId="77777777" w:rsidR="00F66673" w:rsidRPr="003F3160" w:rsidRDefault="00F66673" w:rsidP="005E3741">
            <w:pPr>
              <w:ind w:left="237"/>
              <w:jc w:val="both"/>
              <w:rPr>
                <w:sz w:val="20"/>
              </w:rPr>
            </w:pPr>
            <w:r w:rsidRPr="003F3160">
              <w:rPr>
                <w:sz w:val="20"/>
              </w:rPr>
              <w:t xml:space="preserve">The 6,500-hectare Cerro Blanco and 7,300-hectare Morros </w:t>
            </w:r>
            <w:proofErr w:type="spellStart"/>
            <w:r w:rsidRPr="003F3160">
              <w:rPr>
                <w:sz w:val="20"/>
              </w:rPr>
              <w:t>Blancos</w:t>
            </w:r>
            <w:proofErr w:type="spellEnd"/>
            <w:r w:rsidRPr="003F3160">
              <w:rPr>
                <w:sz w:val="20"/>
              </w:rPr>
              <w:t xml:space="preserve"> projects are two of the three “</w:t>
            </w:r>
            <w:proofErr w:type="spellStart"/>
            <w:r w:rsidRPr="003F3160">
              <w:rPr>
                <w:sz w:val="20"/>
              </w:rPr>
              <w:t>lithocap</w:t>
            </w:r>
            <w:proofErr w:type="spellEnd"/>
            <w:r w:rsidRPr="003F3160">
              <w:rPr>
                <w:sz w:val="20"/>
              </w:rPr>
              <w:t xml:space="preserve">” projects within the Company’s 8 project exploration portfolio. </w:t>
            </w:r>
            <w:proofErr w:type="spellStart"/>
            <w:r w:rsidRPr="003F3160">
              <w:rPr>
                <w:sz w:val="20"/>
              </w:rPr>
              <w:t>Lithocap</w:t>
            </w:r>
            <w:proofErr w:type="spellEnd"/>
            <w:r w:rsidRPr="003F3160">
              <w:rPr>
                <w:sz w:val="20"/>
              </w:rPr>
              <w:t xml:space="preserve"> targets geologically represent the upper portions of potential porphyry copper systems, and often have significant precious metals potential. Historic results to date at both projects suggest good potential for near surface gold-silver mineralization possibly associated with deeper copper mineralization. </w:t>
            </w:r>
          </w:p>
          <w:p w14:paraId="04F86686" w14:textId="77777777" w:rsidR="00F66673" w:rsidRPr="003F3160" w:rsidRDefault="00F66673" w:rsidP="005E3741">
            <w:pPr>
              <w:ind w:left="237"/>
              <w:jc w:val="both"/>
              <w:rPr>
                <w:sz w:val="20"/>
              </w:rPr>
            </w:pPr>
          </w:p>
          <w:p w14:paraId="3ABC0EC7" w14:textId="77777777" w:rsidR="00F66673" w:rsidRPr="003F3160" w:rsidRDefault="00F66673" w:rsidP="005E3741">
            <w:pPr>
              <w:ind w:left="237"/>
              <w:jc w:val="both"/>
              <w:rPr>
                <w:sz w:val="20"/>
              </w:rPr>
            </w:pPr>
            <w:r w:rsidRPr="003F3160">
              <w:rPr>
                <w:sz w:val="20"/>
              </w:rPr>
              <w:t xml:space="preserve">As a result of the Company’s primary focus on copper and desire to advance its portfolio as rapidly and efficiently as possible, it is open to third party investment in some key projects, including this transaction with Austral. </w:t>
            </w:r>
          </w:p>
          <w:p w14:paraId="346DCBA8" w14:textId="77777777" w:rsidR="00F66673" w:rsidRPr="003F3160" w:rsidRDefault="00F66673" w:rsidP="005E3741">
            <w:pPr>
              <w:ind w:left="237"/>
              <w:jc w:val="both"/>
              <w:rPr>
                <w:sz w:val="20"/>
              </w:rPr>
            </w:pPr>
          </w:p>
          <w:p w14:paraId="47161A4D" w14:textId="349CEFCB" w:rsidR="00F66673" w:rsidRDefault="00F66673" w:rsidP="005E3741">
            <w:pPr>
              <w:ind w:left="237"/>
              <w:jc w:val="both"/>
              <w:rPr>
                <w:sz w:val="20"/>
              </w:rPr>
            </w:pPr>
            <w:r w:rsidRPr="003F3160">
              <w:rPr>
                <w:sz w:val="20"/>
              </w:rPr>
              <w:t xml:space="preserve">Key terms of the Agreement, originally announced on April 14, 2021, which will allow Austral to acquire an initial 60% interest in the Properties for certain considerations and commitments, are as follows: </w:t>
            </w:r>
          </w:p>
          <w:p w14:paraId="03A80D6D" w14:textId="77777777" w:rsidR="003F3160" w:rsidRPr="003F3160" w:rsidRDefault="003F3160" w:rsidP="005E3741">
            <w:pPr>
              <w:ind w:left="237"/>
              <w:jc w:val="both"/>
              <w:rPr>
                <w:sz w:val="20"/>
              </w:rPr>
            </w:pPr>
          </w:p>
          <w:p w14:paraId="19911AE0" w14:textId="6117B76F" w:rsidR="00F66673" w:rsidRDefault="00F66673" w:rsidP="005E3741">
            <w:pPr>
              <w:ind w:left="237"/>
              <w:jc w:val="both"/>
              <w:rPr>
                <w:sz w:val="20"/>
              </w:rPr>
            </w:pPr>
            <w:r w:rsidRPr="003F3160">
              <w:rPr>
                <w:sz w:val="20"/>
              </w:rPr>
              <w:t xml:space="preserve">• Austral incurring Exploration Expenditures on the Properties of at least $1 million in year 1 and $2 million in year 2. </w:t>
            </w:r>
          </w:p>
          <w:p w14:paraId="65E4F6F0" w14:textId="77777777" w:rsidR="003F3160" w:rsidRPr="003F3160" w:rsidRDefault="003F3160" w:rsidP="005E3741">
            <w:pPr>
              <w:ind w:left="237"/>
              <w:jc w:val="both"/>
              <w:rPr>
                <w:sz w:val="20"/>
              </w:rPr>
            </w:pPr>
          </w:p>
          <w:p w14:paraId="464E31F3" w14:textId="1BE23852" w:rsidR="00F66673" w:rsidRDefault="00F66673" w:rsidP="005E3741">
            <w:pPr>
              <w:ind w:left="237"/>
              <w:jc w:val="both"/>
              <w:rPr>
                <w:sz w:val="20"/>
              </w:rPr>
            </w:pPr>
            <w:r w:rsidRPr="003F3160">
              <w:rPr>
                <w:sz w:val="20"/>
              </w:rPr>
              <w:t xml:space="preserve">• Austral returning 2,963,132 Pampa Metals’ shares held by </w:t>
            </w:r>
            <w:proofErr w:type="spellStart"/>
            <w:r w:rsidRPr="003F3160">
              <w:rPr>
                <w:sz w:val="20"/>
              </w:rPr>
              <w:t>Revelo</w:t>
            </w:r>
            <w:proofErr w:type="spellEnd"/>
            <w:r w:rsidRPr="003F3160">
              <w:rPr>
                <w:sz w:val="20"/>
              </w:rPr>
              <w:t xml:space="preserve"> Resources Corp. for cancellation on the Effective Date of the grant of the Option. The share cancellation leaves </w:t>
            </w:r>
            <w:proofErr w:type="spellStart"/>
            <w:r w:rsidRPr="003F3160">
              <w:rPr>
                <w:sz w:val="20"/>
              </w:rPr>
              <w:t>Austral’s</w:t>
            </w:r>
            <w:proofErr w:type="spellEnd"/>
            <w:r w:rsidRPr="003F3160">
              <w:rPr>
                <w:sz w:val="20"/>
              </w:rPr>
              <w:t xml:space="preserve"> holding in Pampa Metals at </w:t>
            </w:r>
            <w:proofErr w:type="gramStart"/>
            <w:r w:rsidRPr="003F3160">
              <w:rPr>
                <w:sz w:val="20"/>
              </w:rPr>
              <w:t>13.6%, and</w:t>
            </w:r>
            <w:proofErr w:type="gramEnd"/>
            <w:r w:rsidRPr="003F3160">
              <w:rPr>
                <w:sz w:val="20"/>
              </w:rPr>
              <w:t xml:space="preserve"> represents one-third of </w:t>
            </w:r>
            <w:proofErr w:type="spellStart"/>
            <w:r w:rsidRPr="003F3160">
              <w:rPr>
                <w:sz w:val="20"/>
              </w:rPr>
              <w:t>Austral’s</w:t>
            </w:r>
            <w:proofErr w:type="spellEnd"/>
            <w:r w:rsidRPr="003F3160">
              <w:rPr>
                <w:sz w:val="20"/>
              </w:rPr>
              <w:t xml:space="preserve"> share holdings in Pampa Metals. This will reduce the total issued shares of Pampa Metals to 43,432,261 based on the current number of issued shares. </w:t>
            </w:r>
          </w:p>
          <w:p w14:paraId="5097612D" w14:textId="77777777" w:rsidR="003F3160" w:rsidRPr="003F3160" w:rsidRDefault="003F3160" w:rsidP="005E3741">
            <w:pPr>
              <w:ind w:left="237"/>
              <w:jc w:val="both"/>
              <w:rPr>
                <w:sz w:val="20"/>
              </w:rPr>
            </w:pPr>
          </w:p>
          <w:p w14:paraId="73530DEF" w14:textId="5A77EED0" w:rsidR="00F66673" w:rsidRDefault="00F66673" w:rsidP="005E3741">
            <w:pPr>
              <w:ind w:left="237"/>
              <w:jc w:val="both"/>
              <w:rPr>
                <w:sz w:val="20"/>
              </w:rPr>
            </w:pPr>
            <w:r w:rsidRPr="003F3160">
              <w:rPr>
                <w:sz w:val="20"/>
              </w:rPr>
              <w:t xml:space="preserve">• At the Effective Date Austral has also terminated </w:t>
            </w:r>
            <w:proofErr w:type="spellStart"/>
            <w:r w:rsidRPr="003F3160">
              <w:rPr>
                <w:sz w:val="20"/>
              </w:rPr>
              <w:t>Revelo</w:t>
            </w:r>
            <w:proofErr w:type="spellEnd"/>
            <w:r w:rsidRPr="003F3160">
              <w:rPr>
                <w:sz w:val="20"/>
              </w:rPr>
              <w:t xml:space="preserve"> Resources Corp.’s right to nominate a representative to the board of directors of Pampa Metals. </w:t>
            </w:r>
          </w:p>
          <w:p w14:paraId="461177E1" w14:textId="77777777" w:rsidR="003F3160" w:rsidRPr="003F3160" w:rsidRDefault="003F3160" w:rsidP="005E3741">
            <w:pPr>
              <w:ind w:left="237"/>
              <w:jc w:val="both"/>
              <w:rPr>
                <w:sz w:val="20"/>
              </w:rPr>
            </w:pPr>
          </w:p>
          <w:p w14:paraId="4B0A81C4" w14:textId="2730D62C" w:rsidR="00F66673" w:rsidRDefault="00F66673" w:rsidP="005E3741">
            <w:pPr>
              <w:ind w:left="237"/>
              <w:jc w:val="both"/>
              <w:rPr>
                <w:sz w:val="20"/>
              </w:rPr>
            </w:pPr>
            <w:r w:rsidRPr="003F3160">
              <w:rPr>
                <w:sz w:val="20"/>
              </w:rPr>
              <w:t xml:space="preserve">• Termination of rights to contingent payments in favour of Austral on the Cerro Blanco and Morros </w:t>
            </w:r>
            <w:proofErr w:type="spellStart"/>
            <w:r w:rsidRPr="003F3160">
              <w:rPr>
                <w:sz w:val="20"/>
              </w:rPr>
              <w:t>Blancos</w:t>
            </w:r>
            <w:proofErr w:type="spellEnd"/>
            <w:r w:rsidRPr="003F3160">
              <w:rPr>
                <w:sz w:val="20"/>
              </w:rPr>
              <w:t xml:space="preserve"> Properties, unless a </w:t>
            </w:r>
            <w:proofErr w:type="gramStart"/>
            <w:r w:rsidRPr="003F3160">
              <w:rPr>
                <w:sz w:val="20"/>
              </w:rPr>
              <w:t>Property</w:t>
            </w:r>
            <w:proofErr w:type="gramEnd"/>
            <w:r w:rsidRPr="003F3160">
              <w:rPr>
                <w:sz w:val="20"/>
              </w:rPr>
              <w:t xml:space="preserve"> reverts to Pampa Metals and exploration results determine that copper is the dominant metal rather than gold, silver, and other precious metals, in which case Austral would receive half of the contingent payment if its interest in that Property reduces to less than 20%. </w:t>
            </w:r>
          </w:p>
          <w:p w14:paraId="17950AE3" w14:textId="77777777" w:rsidR="003F3160" w:rsidRPr="003F3160" w:rsidRDefault="003F3160" w:rsidP="005E3741">
            <w:pPr>
              <w:ind w:left="237"/>
              <w:jc w:val="both"/>
              <w:rPr>
                <w:sz w:val="20"/>
              </w:rPr>
            </w:pPr>
          </w:p>
          <w:p w14:paraId="28B95CC8" w14:textId="4BCF6315" w:rsidR="00F66673" w:rsidRDefault="00F66673" w:rsidP="005E3741">
            <w:pPr>
              <w:ind w:left="237"/>
              <w:jc w:val="both"/>
              <w:rPr>
                <w:sz w:val="20"/>
              </w:rPr>
            </w:pPr>
            <w:r w:rsidRPr="003F3160">
              <w:rPr>
                <w:sz w:val="20"/>
              </w:rPr>
              <w:t xml:space="preserve">• If less than $ 1million is spent on either of the Properties by the end of year 2, the Property that fails to receive such expenditure will revert to the Company. </w:t>
            </w:r>
          </w:p>
          <w:p w14:paraId="4AB9E688" w14:textId="77777777" w:rsidR="00F66673" w:rsidRPr="003F3160" w:rsidRDefault="00F66673" w:rsidP="005E3741">
            <w:pPr>
              <w:ind w:left="237"/>
              <w:jc w:val="both"/>
              <w:rPr>
                <w:sz w:val="20"/>
              </w:rPr>
            </w:pPr>
          </w:p>
          <w:p w14:paraId="4F8465C5" w14:textId="77777777" w:rsidR="003F3160" w:rsidRPr="003F3160" w:rsidRDefault="00F66673" w:rsidP="005E3741">
            <w:pPr>
              <w:ind w:left="237"/>
              <w:jc w:val="both"/>
              <w:rPr>
                <w:sz w:val="20"/>
              </w:rPr>
            </w:pPr>
            <w:r w:rsidRPr="003F3160">
              <w:rPr>
                <w:sz w:val="20"/>
              </w:rPr>
              <w:t xml:space="preserve">If the initial 60% Earn-In is completed, Austral can increase its interest to 65% by producing a Preliminary Economic Assessment (“PEA”) on either or both Properties within 5 years based on a minimum of 15,000m of drilling and related engineering studies. Any Property that does not have a PEA completed within 5 years will be returned to the Company. </w:t>
            </w:r>
          </w:p>
          <w:p w14:paraId="4BBD7BDA" w14:textId="77777777" w:rsidR="003F3160" w:rsidRPr="003F3160" w:rsidRDefault="003F3160" w:rsidP="005E3741">
            <w:pPr>
              <w:ind w:left="237"/>
              <w:jc w:val="both"/>
              <w:rPr>
                <w:sz w:val="20"/>
              </w:rPr>
            </w:pPr>
          </w:p>
          <w:p w14:paraId="726E9BEB" w14:textId="25410DDC" w:rsidR="006D6BCA" w:rsidRPr="003F3160" w:rsidRDefault="00F66673" w:rsidP="005E3741">
            <w:pPr>
              <w:ind w:left="237"/>
              <w:jc w:val="both"/>
              <w:rPr>
                <w:sz w:val="20"/>
              </w:rPr>
            </w:pPr>
            <w:r w:rsidRPr="003F3160">
              <w:rPr>
                <w:sz w:val="20"/>
              </w:rPr>
              <w:t>Austral can further increase its interest to 80% by producing a Bankable Feasibility Study (“BFS”) to NI 43-101 standards with an additional 10,000m (minimum) of drilling on any one of the Properties. However, if the results of exploration or the BFS indicate that the value of mineralization is dominated by copper rather than gold, Pampa Metals can earn an 80% interest in any such discovery by diluting Austral to 20% using the same expenditure formula by which Austral has earned its interest.</w:t>
            </w:r>
          </w:p>
          <w:p w14:paraId="670298B8" w14:textId="69A9A6B4" w:rsidR="00F66673" w:rsidRPr="003F3160" w:rsidRDefault="00F66673" w:rsidP="005E3741">
            <w:pPr>
              <w:ind w:left="237"/>
              <w:jc w:val="both"/>
              <w:rPr>
                <w:sz w:val="20"/>
              </w:rPr>
            </w:pPr>
          </w:p>
          <w:p w14:paraId="5AD926BC" w14:textId="77777777" w:rsidR="003F3160" w:rsidRPr="003F3160" w:rsidRDefault="00F66673" w:rsidP="005E3741">
            <w:pPr>
              <w:ind w:left="237"/>
              <w:jc w:val="both"/>
              <w:rPr>
                <w:b/>
                <w:bCs/>
                <w:sz w:val="20"/>
              </w:rPr>
            </w:pPr>
            <w:r w:rsidRPr="003F3160">
              <w:rPr>
                <w:b/>
                <w:bCs/>
                <w:sz w:val="20"/>
              </w:rPr>
              <w:t xml:space="preserve">About Cerro Blanco &amp; Morros </w:t>
            </w:r>
            <w:proofErr w:type="spellStart"/>
            <w:r w:rsidRPr="003F3160">
              <w:rPr>
                <w:b/>
                <w:bCs/>
                <w:sz w:val="20"/>
              </w:rPr>
              <w:t>Blancos</w:t>
            </w:r>
            <w:proofErr w:type="spellEnd"/>
            <w:r w:rsidRPr="003F3160">
              <w:rPr>
                <w:b/>
                <w:bCs/>
                <w:sz w:val="20"/>
              </w:rPr>
              <w:t xml:space="preserve"> </w:t>
            </w:r>
          </w:p>
          <w:p w14:paraId="13BFA278" w14:textId="77777777" w:rsidR="003F3160" w:rsidRPr="003F3160" w:rsidRDefault="003F3160" w:rsidP="005E3741">
            <w:pPr>
              <w:ind w:left="237"/>
              <w:jc w:val="both"/>
              <w:rPr>
                <w:sz w:val="20"/>
              </w:rPr>
            </w:pPr>
          </w:p>
          <w:p w14:paraId="4EDA7FB8" w14:textId="69163656" w:rsidR="006D6BCA" w:rsidRPr="003F3160" w:rsidRDefault="00F66673" w:rsidP="003F3160">
            <w:pPr>
              <w:ind w:left="237"/>
              <w:jc w:val="both"/>
              <w:rPr>
                <w:sz w:val="20"/>
              </w:rPr>
            </w:pPr>
            <w:r w:rsidRPr="003F3160">
              <w:rPr>
                <w:sz w:val="20"/>
              </w:rPr>
              <w:t xml:space="preserve">Both the Cerro Blanco (6,500 Ha) and the Morros </w:t>
            </w:r>
            <w:proofErr w:type="spellStart"/>
            <w:r w:rsidRPr="003F3160">
              <w:rPr>
                <w:sz w:val="20"/>
              </w:rPr>
              <w:t>Blancos</w:t>
            </w:r>
            <w:proofErr w:type="spellEnd"/>
            <w:r w:rsidRPr="003F3160">
              <w:rPr>
                <w:sz w:val="20"/>
              </w:rPr>
              <w:t xml:space="preserve"> (7,300 Ha) Properties are prospective for </w:t>
            </w:r>
            <w:proofErr w:type="spellStart"/>
            <w:r w:rsidRPr="003F3160">
              <w:rPr>
                <w:sz w:val="20"/>
              </w:rPr>
              <w:t>highsulphidation</w:t>
            </w:r>
            <w:proofErr w:type="spellEnd"/>
            <w:r w:rsidRPr="003F3160">
              <w:rPr>
                <w:sz w:val="20"/>
              </w:rPr>
              <w:t xml:space="preserve"> epithermal gold-silver (+/- copper) and porphyry copper (+/- gold +/-moly) deposits </w:t>
            </w:r>
            <w:r w:rsidRPr="003F3160">
              <w:rPr>
                <w:sz w:val="20"/>
              </w:rPr>
              <w:lastRenderedPageBreak/>
              <w:t xml:space="preserve">and </w:t>
            </w:r>
            <w:proofErr w:type="gramStart"/>
            <w:r w:rsidRPr="003F3160">
              <w:rPr>
                <w:sz w:val="20"/>
              </w:rPr>
              <w:t>are located in</w:t>
            </w:r>
            <w:proofErr w:type="gramEnd"/>
            <w:r w:rsidRPr="003F3160">
              <w:rPr>
                <w:sz w:val="20"/>
              </w:rPr>
              <w:t xml:space="preserve"> the heart of the Paleocene Mineral Belt in northern Chile. The Paleocene Belt is host to important gold-silver and copper deposits and mines, and the Properties are located along a prolific segment of the prospective belt, along trend from important precious metals mines and projects. Cerro Blanco is located about 20 Km </w:t>
            </w:r>
            <w:proofErr w:type="spellStart"/>
            <w:r w:rsidRPr="003F3160">
              <w:rPr>
                <w:sz w:val="20"/>
              </w:rPr>
              <w:t>southsouthwest</w:t>
            </w:r>
            <w:proofErr w:type="spellEnd"/>
            <w:r w:rsidRPr="003F3160">
              <w:rPr>
                <w:sz w:val="20"/>
              </w:rPr>
              <w:t xml:space="preserve"> of the multi-million ounce El </w:t>
            </w:r>
            <w:proofErr w:type="spellStart"/>
            <w:r w:rsidRPr="003F3160">
              <w:rPr>
                <w:sz w:val="20"/>
              </w:rPr>
              <w:t>Peñon</w:t>
            </w:r>
            <w:proofErr w:type="spellEnd"/>
            <w:r w:rsidRPr="003F3160">
              <w:rPr>
                <w:sz w:val="20"/>
              </w:rPr>
              <w:t xml:space="preserve"> gold-silver mining district (</w:t>
            </w:r>
            <w:proofErr w:type="spellStart"/>
            <w:r w:rsidRPr="003F3160">
              <w:rPr>
                <w:sz w:val="20"/>
              </w:rPr>
              <w:t>Yamana</w:t>
            </w:r>
            <w:proofErr w:type="spellEnd"/>
            <w:r w:rsidRPr="003F3160">
              <w:rPr>
                <w:sz w:val="20"/>
              </w:rPr>
              <w:t xml:space="preserve"> Gold) and Morros </w:t>
            </w:r>
            <w:proofErr w:type="spellStart"/>
            <w:r w:rsidRPr="003F3160">
              <w:rPr>
                <w:sz w:val="20"/>
              </w:rPr>
              <w:t>Blancos</w:t>
            </w:r>
            <w:proofErr w:type="spellEnd"/>
            <w:r w:rsidRPr="003F3160">
              <w:rPr>
                <w:sz w:val="20"/>
              </w:rPr>
              <w:t xml:space="preserve"> is located adjacent and to the east of </w:t>
            </w:r>
            <w:proofErr w:type="spellStart"/>
            <w:r w:rsidRPr="003F3160">
              <w:rPr>
                <w:sz w:val="20"/>
              </w:rPr>
              <w:t>Austral’s</w:t>
            </w:r>
            <w:proofErr w:type="spellEnd"/>
            <w:r w:rsidRPr="003F3160">
              <w:rPr>
                <w:sz w:val="20"/>
              </w:rPr>
              <w:t xml:space="preserve"> Amancaya gold-silver mine. Access to both projects is easy, both being located less than 30 Km from the Pan American Highway, and altitudes are moderate. Both projects lie within potential operational distance of </w:t>
            </w:r>
            <w:proofErr w:type="spellStart"/>
            <w:r w:rsidRPr="003F3160">
              <w:rPr>
                <w:sz w:val="20"/>
              </w:rPr>
              <w:t>Austral’s</w:t>
            </w:r>
            <w:proofErr w:type="spellEnd"/>
            <w:r w:rsidRPr="003F3160">
              <w:rPr>
                <w:sz w:val="20"/>
              </w:rPr>
              <w:t xml:space="preserve"> Guanaco processing plant, which could allow for more efficient and cost-effective development and operation. </w:t>
            </w:r>
          </w:p>
        </w:tc>
      </w:tr>
      <w:tr w:rsidR="00EF51C4" w:rsidRPr="003F3160" w14:paraId="6B7C2D57" w14:textId="77777777" w:rsidTr="00C502CF">
        <w:tc>
          <w:tcPr>
            <w:tcW w:w="648" w:type="dxa"/>
            <w:tcMar>
              <w:top w:w="144" w:type="dxa"/>
              <w:left w:w="115" w:type="dxa"/>
              <w:bottom w:w="144" w:type="dxa"/>
              <w:right w:w="115" w:type="dxa"/>
            </w:tcMar>
          </w:tcPr>
          <w:p w14:paraId="7545A630" w14:textId="77777777" w:rsidR="00EF51C4" w:rsidRPr="003F3160" w:rsidRDefault="00EF51C4" w:rsidP="00C502CF">
            <w:pPr>
              <w:pStyle w:val="Heading6"/>
              <w:keepNext w:val="0"/>
              <w:numPr>
                <w:ilvl w:val="0"/>
                <w:numId w:val="1"/>
              </w:numPr>
              <w:ind w:left="540"/>
              <w:jc w:val="both"/>
              <w:rPr>
                <w:sz w:val="20"/>
              </w:rPr>
            </w:pPr>
          </w:p>
        </w:tc>
        <w:tc>
          <w:tcPr>
            <w:tcW w:w="8928" w:type="dxa"/>
            <w:tcMar>
              <w:top w:w="144" w:type="dxa"/>
              <w:left w:w="115" w:type="dxa"/>
              <w:bottom w:w="144" w:type="dxa"/>
              <w:right w:w="115" w:type="dxa"/>
            </w:tcMar>
          </w:tcPr>
          <w:p w14:paraId="0C057FF1" w14:textId="77777777" w:rsidR="00EF51C4" w:rsidRPr="003F3160" w:rsidRDefault="00EF51C4" w:rsidP="00EF51C4">
            <w:pPr>
              <w:widowControl w:val="0"/>
              <w:tabs>
                <w:tab w:val="left" w:pos="252"/>
                <w:tab w:val="left" w:pos="1260"/>
              </w:tabs>
              <w:ind w:left="252"/>
              <w:jc w:val="both"/>
              <w:rPr>
                <w:b/>
                <w:spacing w:val="-3"/>
                <w:sz w:val="20"/>
              </w:rPr>
            </w:pPr>
            <w:r w:rsidRPr="003F3160">
              <w:rPr>
                <w:b/>
                <w:caps/>
                <w:sz w:val="20"/>
                <w:u w:val="single"/>
              </w:rPr>
              <w:t>Reliance on subsection 7.1(2) of National Instrument 51-102</w:t>
            </w:r>
          </w:p>
          <w:p w14:paraId="4A0A07CF" w14:textId="77777777" w:rsidR="00EF51C4" w:rsidRPr="003F3160" w:rsidRDefault="00EF51C4" w:rsidP="00EF51C4">
            <w:pPr>
              <w:widowControl w:val="0"/>
              <w:tabs>
                <w:tab w:val="left" w:pos="252"/>
                <w:tab w:val="left" w:pos="1848"/>
                <w:tab w:val="left" w:pos="2568"/>
                <w:tab w:val="left" w:pos="3288"/>
                <w:tab w:val="left" w:pos="4008"/>
                <w:tab w:val="left" w:pos="4728"/>
                <w:tab w:val="left" w:pos="5448"/>
                <w:tab w:val="left" w:pos="6168"/>
                <w:tab w:val="left" w:pos="6888"/>
                <w:tab w:val="left" w:pos="7608"/>
                <w:tab w:val="left" w:pos="8328"/>
                <w:tab w:val="left" w:pos="9048"/>
                <w:tab w:val="left" w:pos="9768"/>
                <w:tab w:val="left" w:pos="10488"/>
              </w:tabs>
              <w:suppressAutoHyphens/>
              <w:ind w:left="252"/>
              <w:jc w:val="both"/>
              <w:rPr>
                <w:spacing w:val="-3"/>
                <w:sz w:val="20"/>
              </w:rPr>
            </w:pPr>
          </w:p>
          <w:p w14:paraId="3DA48481" w14:textId="4441BA66" w:rsidR="002D6BAC" w:rsidRPr="003F3160" w:rsidRDefault="00EF51C4" w:rsidP="00693B35">
            <w:pPr>
              <w:pStyle w:val="Heading6"/>
              <w:keepNext w:val="0"/>
              <w:tabs>
                <w:tab w:val="left" w:pos="252"/>
              </w:tabs>
              <w:ind w:left="252"/>
              <w:jc w:val="both"/>
              <w:rPr>
                <w:b w:val="0"/>
                <w:sz w:val="20"/>
              </w:rPr>
            </w:pPr>
            <w:r w:rsidRPr="003F3160">
              <w:rPr>
                <w:b w:val="0"/>
                <w:sz w:val="20"/>
              </w:rPr>
              <w:t>Not applicable.</w:t>
            </w:r>
          </w:p>
        </w:tc>
      </w:tr>
      <w:tr w:rsidR="00EF51C4" w:rsidRPr="003F3160" w14:paraId="7BDB2219" w14:textId="77777777" w:rsidTr="00693B35">
        <w:trPr>
          <w:trHeight w:val="767"/>
        </w:trPr>
        <w:tc>
          <w:tcPr>
            <w:tcW w:w="648" w:type="dxa"/>
            <w:tcMar>
              <w:top w:w="144" w:type="dxa"/>
              <w:left w:w="115" w:type="dxa"/>
              <w:bottom w:w="144" w:type="dxa"/>
              <w:right w:w="115" w:type="dxa"/>
            </w:tcMar>
          </w:tcPr>
          <w:p w14:paraId="15E452B3" w14:textId="77777777" w:rsidR="00EF51C4" w:rsidRPr="003F3160" w:rsidRDefault="00EF51C4" w:rsidP="00C502CF">
            <w:pPr>
              <w:pStyle w:val="Heading6"/>
              <w:keepNext w:val="0"/>
              <w:numPr>
                <w:ilvl w:val="0"/>
                <w:numId w:val="1"/>
              </w:numPr>
              <w:ind w:left="540"/>
              <w:jc w:val="both"/>
              <w:rPr>
                <w:sz w:val="20"/>
              </w:rPr>
            </w:pPr>
          </w:p>
        </w:tc>
        <w:tc>
          <w:tcPr>
            <w:tcW w:w="8928" w:type="dxa"/>
            <w:tcMar>
              <w:top w:w="144" w:type="dxa"/>
              <w:left w:w="115" w:type="dxa"/>
              <w:bottom w:w="144" w:type="dxa"/>
              <w:right w:w="115" w:type="dxa"/>
            </w:tcMar>
          </w:tcPr>
          <w:p w14:paraId="73456CAC" w14:textId="77777777" w:rsidR="00EF51C4" w:rsidRPr="003F3160" w:rsidRDefault="00EF51C4" w:rsidP="00EF51C4">
            <w:pPr>
              <w:widowControl w:val="0"/>
              <w:tabs>
                <w:tab w:val="left" w:pos="252"/>
                <w:tab w:val="left" w:pos="1848"/>
                <w:tab w:val="left" w:pos="2568"/>
                <w:tab w:val="left" w:pos="3288"/>
                <w:tab w:val="left" w:pos="4008"/>
                <w:tab w:val="left" w:pos="4728"/>
                <w:tab w:val="left" w:pos="5448"/>
                <w:tab w:val="left" w:pos="6168"/>
                <w:tab w:val="left" w:pos="6888"/>
                <w:tab w:val="left" w:pos="7608"/>
                <w:tab w:val="left" w:pos="8328"/>
                <w:tab w:val="left" w:pos="9048"/>
                <w:tab w:val="left" w:pos="9768"/>
                <w:tab w:val="left" w:pos="10488"/>
              </w:tabs>
              <w:suppressAutoHyphens/>
              <w:ind w:left="252"/>
              <w:jc w:val="both"/>
              <w:rPr>
                <w:b/>
                <w:spacing w:val="-3"/>
                <w:sz w:val="20"/>
              </w:rPr>
            </w:pPr>
            <w:r w:rsidRPr="003F3160">
              <w:rPr>
                <w:b/>
                <w:spacing w:val="-3"/>
                <w:sz w:val="20"/>
                <w:u w:val="single"/>
              </w:rPr>
              <w:t>OMITTED INFORMATION</w:t>
            </w:r>
          </w:p>
          <w:p w14:paraId="496705E9" w14:textId="77777777" w:rsidR="00EF51C4" w:rsidRPr="003F3160" w:rsidRDefault="00EF51C4" w:rsidP="00EF51C4">
            <w:pPr>
              <w:widowControl w:val="0"/>
              <w:tabs>
                <w:tab w:val="left" w:pos="252"/>
                <w:tab w:val="left" w:pos="1848"/>
                <w:tab w:val="left" w:pos="2568"/>
                <w:tab w:val="left" w:pos="3288"/>
                <w:tab w:val="left" w:pos="4008"/>
                <w:tab w:val="left" w:pos="4728"/>
                <w:tab w:val="left" w:pos="5448"/>
                <w:tab w:val="left" w:pos="6168"/>
                <w:tab w:val="left" w:pos="6888"/>
                <w:tab w:val="left" w:pos="7608"/>
                <w:tab w:val="left" w:pos="8328"/>
                <w:tab w:val="left" w:pos="9048"/>
                <w:tab w:val="left" w:pos="9768"/>
                <w:tab w:val="left" w:pos="10488"/>
              </w:tabs>
              <w:suppressAutoHyphens/>
              <w:ind w:left="252"/>
              <w:jc w:val="both"/>
              <w:rPr>
                <w:spacing w:val="-3"/>
                <w:sz w:val="20"/>
              </w:rPr>
            </w:pPr>
          </w:p>
          <w:p w14:paraId="105A8634" w14:textId="17A5873C" w:rsidR="00B13C40" w:rsidRPr="003F3160" w:rsidRDefault="00EF51C4" w:rsidP="00693B35">
            <w:pPr>
              <w:widowControl w:val="0"/>
              <w:tabs>
                <w:tab w:val="left" w:pos="252"/>
                <w:tab w:val="left" w:pos="1848"/>
                <w:tab w:val="left" w:pos="2568"/>
                <w:tab w:val="left" w:pos="3288"/>
                <w:tab w:val="left" w:pos="4008"/>
                <w:tab w:val="left" w:pos="4728"/>
                <w:tab w:val="left" w:pos="5448"/>
                <w:tab w:val="left" w:pos="6168"/>
                <w:tab w:val="left" w:pos="6888"/>
                <w:tab w:val="left" w:pos="7608"/>
                <w:tab w:val="left" w:pos="8328"/>
                <w:tab w:val="left" w:pos="9048"/>
                <w:tab w:val="left" w:pos="9768"/>
                <w:tab w:val="left" w:pos="10488"/>
              </w:tabs>
              <w:suppressAutoHyphens/>
              <w:ind w:left="252"/>
              <w:jc w:val="both"/>
              <w:rPr>
                <w:spacing w:val="-3"/>
                <w:sz w:val="20"/>
              </w:rPr>
            </w:pPr>
            <w:r w:rsidRPr="003F3160">
              <w:rPr>
                <w:spacing w:val="-3"/>
                <w:sz w:val="20"/>
              </w:rPr>
              <w:t>Not applicable.</w:t>
            </w:r>
          </w:p>
        </w:tc>
      </w:tr>
      <w:tr w:rsidR="00EF51C4" w:rsidRPr="003F3160" w14:paraId="75A2BFA1" w14:textId="77777777" w:rsidTr="00C502CF">
        <w:tc>
          <w:tcPr>
            <w:tcW w:w="648" w:type="dxa"/>
            <w:tcMar>
              <w:top w:w="144" w:type="dxa"/>
              <w:left w:w="115" w:type="dxa"/>
              <w:bottom w:w="144" w:type="dxa"/>
              <w:right w:w="115" w:type="dxa"/>
            </w:tcMar>
          </w:tcPr>
          <w:p w14:paraId="20B8158A" w14:textId="77777777" w:rsidR="00EF51C4" w:rsidRPr="003F3160" w:rsidRDefault="00EF51C4" w:rsidP="00C502CF">
            <w:pPr>
              <w:pStyle w:val="Heading6"/>
              <w:keepNext w:val="0"/>
              <w:numPr>
                <w:ilvl w:val="0"/>
                <w:numId w:val="1"/>
              </w:numPr>
              <w:ind w:left="540"/>
              <w:jc w:val="both"/>
              <w:rPr>
                <w:sz w:val="20"/>
              </w:rPr>
            </w:pPr>
          </w:p>
        </w:tc>
        <w:tc>
          <w:tcPr>
            <w:tcW w:w="8928" w:type="dxa"/>
            <w:tcMar>
              <w:top w:w="144" w:type="dxa"/>
              <w:left w:w="115" w:type="dxa"/>
              <w:bottom w:w="144" w:type="dxa"/>
              <w:right w:w="115" w:type="dxa"/>
            </w:tcMar>
          </w:tcPr>
          <w:p w14:paraId="511F1DBB" w14:textId="77777777" w:rsidR="00EF51C4" w:rsidRPr="003F3160" w:rsidRDefault="00EF51C4" w:rsidP="00EF51C4">
            <w:pPr>
              <w:widowControl w:val="0"/>
              <w:tabs>
                <w:tab w:val="left" w:pos="252"/>
                <w:tab w:val="left" w:pos="1848"/>
                <w:tab w:val="left" w:pos="2568"/>
                <w:tab w:val="left" w:pos="3288"/>
                <w:tab w:val="left" w:pos="4008"/>
                <w:tab w:val="left" w:pos="4728"/>
                <w:tab w:val="left" w:pos="5448"/>
                <w:tab w:val="left" w:pos="6168"/>
                <w:tab w:val="left" w:pos="6888"/>
                <w:tab w:val="left" w:pos="7608"/>
                <w:tab w:val="left" w:pos="8328"/>
                <w:tab w:val="left" w:pos="9048"/>
                <w:tab w:val="left" w:pos="9768"/>
                <w:tab w:val="left" w:pos="10488"/>
              </w:tabs>
              <w:suppressAutoHyphens/>
              <w:ind w:left="252"/>
              <w:jc w:val="both"/>
              <w:rPr>
                <w:b/>
                <w:spacing w:val="-3"/>
                <w:sz w:val="20"/>
              </w:rPr>
            </w:pPr>
            <w:r w:rsidRPr="003F3160">
              <w:rPr>
                <w:b/>
                <w:spacing w:val="-3"/>
                <w:sz w:val="20"/>
                <w:u w:val="single"/>
              </w:rPr>
              <w:t>EXECUTIVE OFFICER</w:t>
            </w:r>
          </w:p>
          <w:p w14:paraId="31C47D87" w14:textId="77777777" w:rsidR="00EF51C4" w:rsidRPr="003F3160" w:rsidRDefault="00EF51C4" w:rsidP="00EF51C4">
            <w:pPr>
              <w:widowControl w:val="0"/>
              <w:tabs>
                <w:tab w:val="left" w:pos="252"/>
                <w:tab w:val="left" w:pos="1848"/>
                <w:tab w:val="left" w:pos="2568"/>
                <w:tab w:val="left" w:pos="3288"/>
                <w:tab w:val="left" w:pos="4008"/>
                <w:tab w:val="left" w:pos="4728"/>
                <w:tab w:val="left" w:pos="5448"/>
                <w:tab w:val="left" w:pos="6168"/>
                <w:tab w:val="left" w:pos="6888"/>
                <w:tab w:val="left" w:pos="7608"/>
                <w:tab w:val="left" w:pos="8328"/>
                <w:tab w:val="left" w:pos="9048"/>
                <w:tab w:val="left" w:pos="9768"/>
                <w:tab w:val="left" w:pos="10488"/>
              </w:tabs>
              <w:suppressAutoHyphens/>
              <w:ind w:left="252"/>
              <w:jc w:val="both"/>
              <w:rPr>
                <w:spacing w:val="-3"/>
                <w:sz w:val="20"/>
              </w:rPr>
            </w:pPr>
          </w:p>
          <w:p w14:paraId="5A1081C7" w14:textId="260C79D7" w:rsidR="00EF51C4" w:rsidRPr="003F3160" w:rsidRDefault="00F66673" w:rsidP="00EF51C4">
            <w:pPr>
              <w:widowControl w:val="0"/>
              <w:tabs>
                <w:tab w:val="left" w:pos="252"/>
                <w:tab w:val="left" w:pos="1848"/>
                <w:tab w:val="left" w:pos="2568"/>
                <w:tab w:val="left" w:pos="3288"/>
                <w:tab w:val="left" w:pos="4008"/>
                <w:tab w:val="left" w:pos="4728"/>
                <w:tab w:val="left" w:pos="5448"/>
                <w:tab w:val="left" w:pos="6168"/>
                <w:tab w:val="left" w:pos="6888"/>
                <w:tab w:val="left" w:pos="7608"/>
                <w:tab w:val="left" w:pos="8328"/>
                <w:tab w:val="left" w:pos="9048"/>
                <w:tab w:val="left" w:pos="9768"/>
                <w:tab w:val="left" w:pos="10488"/>
              </w:tabs>
              <w:suppressAutoHyphens/>
              <w:ind w:left="252"/>
              <w:jc w:val="both"/>
              <w:rPr>
                <w:spacing w:val="-3"/>
                <w:sz w:val="20"/>
              </w:rPr>
            </w:pPr>
            <w:r w:rsidRPr="003F3160">
              <w:rPr>
                <w:spacing w:val="-3"/>
                <w:sz w:val="20"/>
              </w:rPr>
              <w:t>Gurdeep Bains, CFO</w:t>
            </w:r>
          </w:p>
          <w:p w14:paraId="464F920C" w14:textId="142F8199" w:rsidR="00EF51C4" w:rsidRPr="003F3160" w:rsidRDefault="001A050F" w:rsidP="003F3160">
            <w:pPr>
              <w:rPr>
                <w:bCs/>
                <w:sz w:val="20"/>
              </w:rPr>
            </w:pPr>
            <w:r w:rsidRPr="003F3160">
              <w:rPr>
                <w:spacing w:val="-3"/>
                <w:sz w:val="20"/>
              </w:rPr>
              <w:t xml:space="preserve">     </w:t>
            </w:r>
            <w:r w:rsidR="00EF51C4" w:rsidRPr="003F3160">
              <w:rPr>
                <w:spacing w:val="-3"/>
                <w:sz w:val="20"/>
              </w:rPr>
              <w:t>Telephone</w:t>
            </w:r>
            <w:r w:rsidRPr="003F3160">
              <w:rPr>
                <w:spacing w:val="-3"/>
                <w:sz w:val="20"/>
              </w:rPr>
              <w:t xml:space="preserve">: </w:t>
            </w:r>
            <w:r w:rsidR="00F66673" w:rsidRPr="003F3160">
              <w:rPr>
                <w:bCs/>
                <w:sz w:val="20"/>
              </w:rPr>
              <w:t>604-347-8777</w:t>
            </w:r>
          </w:p>
        </w:tc>
      </w:tr>
      <w:tr w:rsidR="00EF51C4" w:rsidRPr="003F3160" w14:paraId="2498D736" w14:textId="77777777" w:rsidTr="00C502CF">
        <w:tc>
          <w:tcPr>
            <w:tcW w:w="648" w:type="dxa"/>
            <w:tcMar>
              <w:top w:w="144" w:type="dxa"/>
              <w:left w:w="115" w:type="dxa"/>
              <w:bottom w:w="144" w:type="dxa"/>
              <w:right w:w="115" w:type="dxa"/>
            </w:tcMar>
          </w:tcPr>
          <w:p w14:paraId="7F9E8B8E" w14:textId="77777777" w:rsidR="00EF51C4" w:rsidRPr="003F3160" w:rsidRDefault="00EF51C4" w:rsidP="00C502CF">
            <w:pPr>
              <w:pStyle w:val="Heading6"/>
              <w:keepNext w:val="0"/>
              <w:numPr>
                <w:ilvl w:val="0"/>
                <w:numId w:val="1"/>
              </w:numPr>
              <w:ind w:left="540"/>
              <w:jc w:val="both"/>
              <w:rPr>
                <w:sz w:val="20"/>
              </w:rPr>
            </w:pPr>
          </w:p>
        </w:tc>
        <w:tc>
          <w:tcPr>
            <w:tcW w:w="8928" w:type="dxa"/>
            <w:tcMar>
              <w:top w:w="144" w:type="dxa"/>
              <w:left w:w="115" w:type="dxa"/>
              <w:bottom w:w="144" w:type="dxa"/>
              <w:right w:w="115" w:type="dxa"/>
            </w:tcMar>
          </w:tcPr>
          <w:p w14:paraId="005CC166" w14:textId="77777777" w:rsidR="00EF51C4" w:rsidRPr="003F3160" w:rsidRDefault="00EF51C4" w:rsidP="00EF51C4">
            <w:pPr>
              <w:widowControl w:val="0"/>
              <w:tabs>
                <w:tab w:val="left" w:pos="252"/>
                <w:tab w:val="left" w:pos="1848"/>
                <w:tab w:val="left" w:pos="2568"/>
                <w:tab w:val="left" w:pos="3288"/>
                <w:tab w:val="left" w:pos="4008"/>
                <w:tab w:val="left" w:pos="4728"/>
                <w:tab w:val="left" w:pos="5448"/>
                <w:tab w:val="left" w:pos="6168"/>
                <w:tab w:val="left" w:pos="6888"/>
                <w:tab w:val="left" w:pos="7608"/>
                <w:tab w:val="left" w:pos="8328"/>
                <w:tab w:val="left" w:pos="9048"/>
                <w:tab w:val="left" w:pos="9768"/>
                <w:tab w:val="left" w:pos="10488"/>
              </w:tabs>
              <w:suppressAutoHyphens/>
              <w:ind w:left="252"/>
              <w:jc w:val="both"/>
              <w:rPr>
                <w:b/>
                <w:spacing w:val="-3"/>
                <w:sz w:val="20"/>
              </w:rPr>
            </w:pPr>
            <w:r w:rsidRPr="003F3160">
              <w:rPr>
                <w:b/>
                <w:spacing w:val="-3"/>
                <w:sz w:val="20"/>
                <w:u w:val="single"/>
              </w:rPr>
              <w:t>DATE OF REPORT</w:t>
            </w:r>
          </w:p>
          <w:p w14:paraId="01740E72" w14:textId="77777777" w:rsidR="00EF51C4" w:rsidRPr="003F3160" w:rsidRDefault="00EF51C4" w:rsidP="00EF51C4">
            <w:pPr>
              <w:widowControl w:val="0"/>
              <w:tabs>
                <w:tab w:val="left" w:pos="252"/>
                <w:tab w:val="left" w:pos="1848"/>
                <w:tab w:val="left" w:pos="2568"/>
                <w:tab w:val="left" w:pos="3288"/>
                <w:tab w:val="left" w:pos="4008"/>
                <w:tab w:val="left" w:pos="4728"/>
                <w:tab w:val="left" w:pos="5448"/>
                <w:tab w:val="left" w:pos="6168"/>
                <w:tab w:val="left" w:pos="6888"/>
                <w:tab w:val="left" w:pos="7608"/>
                <w:tab w:val="left" w:pos="8328"/>
                <w:tab w:val="left" w:pos="9048"/>
                <w:tab w:val="left" w:pos="9768"/>
                <w:tab w:val="left" w:pos="10488"/>
              </w:tabs>
              <w:suppressAutoHyphens/>
              <w:ind w:left="252"/>
              <w:jc w:val="both"/>
              <w:rPr>
                <w:spacing w:val="-3"/>
                <w:sz w:val="20"/>
              </w:rPr>
            </w:pPr>
          </w:p>
          <w:p w14:paraId="5C5ADB38" w14:textId="2E4A6BEC" w:rsidR="00EF51C4" w:rsidRPr="003F3160" w:rsidRDefault="00F66673" w:rsidP="00697513">
            <w:pPr>
              <w:widowControl w:val="0"/>
              <w:tabs>
                <w:tab w:val="left" w:pos="252"/>
                <w:tab w:val="left" w:pos="1848"/>
                <w:tab w:val="left" w:pos="2568"/>
                <w:tab w:val="left" w:pos="3288"/>
                <w:tab w:val="left" w:pos="4008"/>
                <w:tab w:val="left" w:pos="4728"/>
                <w:tab w:val="left" w:pos="5448"/>
                <w:tab w:val="left" w:pos="6168"/>
                <w:tab w:val="left" w:pos="6888"/>
                <w:tab w:val="left" w:pos="7608"/>
                <w:tab w:val="left" w:pos="8328"/>
                <w:tab w:val="left" w:pos="9048"/>
                <w:tab w:val="left" w:pos="9768"/>
                <w:tab w:val="left" w:pos="10488"/>
              </w:tabs>
              <w:suppressAutoHyphens/>
              <w:ind w:left="252"/>
              <w:jc w:val="both"/>
              <w:rPr>
                <w:sz w:val="20"/>
              </w:rPr>
            </w:pPr>
            <w:r w:rsidRPr="003F3160">
              <w:rPr>
                <w:spacing w:val="-3"/>
                <w:sz w:val="20"/>
              </w:rPr>
              <w:t xml:space="preserve">September </w:t>
            </w:r>
            <w:r w:rsidR="00F821ED">
              <w:rPr>
                <w:spacing w:val="-3"/>
                <w:sz w:val="20"/>
              </w:rPr>
              <w:t>7</w:t>
            </w:r>
            <w:r w:rsidR="006B4C78" w:rsidRPr="003F3160">
              <w:rPr>
                <w:spacing w:val="-3"/>
                <w:sz w:val="20"/>
              </w:rPr>
              <w:t>, 2021</w:t>
            </w:r>
          </w:p>
        </w:tc>
      </w:tr>
    </w:tbl>
    <w:p w14:paraId="168505F1" w14:textId="77777777" w:rsidR="00EF51C4" w:rsidRPr="003F3160" w:rsidRDefault="00EF51C4" w:rsidP="00EF51C4">
      <w:pPr>
        <w:widowControl w:val="0"/>
        <w:tabs>
          <w:tab w:val="left" w:pos="1128"/>
          <w:tab w:val="left" w:pos="1848"/>
          <w:tab w:val="left" w:pos="2568"/>
          <w:tab w:val="left" w:pos="3288"/>
          <w:tab w:val="left" w:pos="4008"/>
          <w:tab w:val="left" w:pos="4728"/>
          <w:tab w:val="left" w:pos="5448"/>
          <w:tab w:val="left" w:pos="6168"/>
          <w:tab w:val="left" w:pos="6888"/>
          <w:tab w:val="left" w:pos="7608"/>
          <w:tab w:val="left" w:pos="8328"/>
          <w:tab w:val="left" w:pos="9048"/>
          <w:tab w:val="left" w:pos="9768"/>
          <w:tab w:val="left" w:pos="10488"/>
        </w:tabs>
        <w:suppressAutoHyphens/>
        <w:jc w:val="both"/>
        <w:rPr>
          <w:spacing w:val="-3"/>
          <w:sz w:val="20"/>
        </w:rPr>
      </w:pPr>
    </w:p>
    <w:sectPr w:rsidR="00EF51C4" w:rsidRPr="003F3160" w:rsidSect="00AE12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AC75" w14:textId="77777777" w:rsidR="009E35E4" w:rsidRDefault="009E35E4">
      <w:r>
        <w:separator/>
      </w:r>
    </w:p>
  </w:endnote>
  <w:endnote w:type="continuationSeparator" w:id="0">
    <w:p w14:paraId="36DE89D8" w14:textId="77777777" w:rsidR="009E35E4" w:rsidRDefault="009E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CC5" w14:textId="0966E482" w:rsidR="00103B07" w:rsidRPr="00103B07" w:rsidRDefault="00103B07" w:rsidP="00103B07">
    <w:pPr>
      <w:pStyle w:val="Footer"/>
    </w:pPr>
    <w:r>
      <w:fldChar w:fldCharType="begin"/>
    </w:r>
    <w:r w:rsidRPr="00103B07">
      <w:rPr>
        <w:sz w:val="16"/>
      </w:rPr>
      <w:instrText xml:space="preserve"> FileName \* MERGEFORMAT </w:instrText>
    </w:r>
    <w:r>
      <w:fldChar w:fldCharType="separate"/>
    </w:r>
    <w:r w:rsidR="00772567" w:rsidRPr="00772567">
      <w:rPr>
        <w:noProof/>
      </w:rPr>
      <w:t>4657110.jv030.docx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27E6" w14:textId="2933860F" w:rsidR="00EB5F51" w:rsidRPr="00103B07" w:rsidRDefault="00AE7B89">
    <w:pPr>
      <w:pStyle w:val="Footer"/>
      <w:rPr>
        <w:sz w:val="16"/>
        <w:szCs w:val="16"/>
      </w:rPr>
    </w:pP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8045" w14:textId="77777777" w:rsidR="00772567" w:rsidRDefault="00772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1A16E" w14:textId="77777777" w:rsidR="009E35E4" w:rsidRDefault="009E35E4">
      <w:r>
        <w:separator/>
      </w:r>
    </w:p>
  </w:footnote>
  <w:footnote w:type="continuationSeparator" w:id="0">
    <w:p w14:paraId="5A01A03E" w14:textId="77777777" w:rsidR="009E35E4" w:rsidRDefault="009E3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F5D2" w14:textId="77777777" w:rsidR="00772567" w:rsidRDefault="00772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185186"/>
      <w:docPartObj>
        <w:docPartGallery w:val="Page Numbers (Top of Page)"/>
        <w:docPartUnique/>
      </w:docPartObj>
    </w:sdtPr>
    <w:sdtEndPr>
      <w:rPr>
        <w:noProof/>
      </w:rPr>
    </w:sdtEndPr>
    <w:sdtContent>
      <w:p w14:paraId="152A4B66" w14:textId="77777777" w:rsidR="00AE1224" w:rsidRDefault="00AE1224">
        <w:pPr>
          <w:pStyle w:val="Header"/>
          <w:jc w:val="center"/>
        </w:pPr>
        <w:r w:rsidRPr="00AE1224">
          <w:rPr>
            <w:sz w:val="20"/>
          </w:rPr>
          <w:fldChar w:fldCharType="begin"/>
        </w:r>
        <w:r w:rsidRPr="00AE1224">
          <w:rPr>
            <w:sz w:val="20"/>
          </w:rPr>
          <w:instrText xml:space="preserve"> PAGE   \* MERGEFORMAT </w:instrText>
        </w:r>
        <w:r w:rsidRPr="00AE1224">
          <w:rPr>
            <w:sz w:val="20"/>
          </w:rPr>
          <w:fldChar w:fldCharType="separate"/>
        </w:r>
        <w:r w:rsidR="004C5EDA">
          <w:rPr>
            <w:noProof/>
            <w:sz w:val="20"/>
          </w:rPr>
          <w:t>2</w:t>
        </w:r>
        <w:r w:rsidRPr="00AE1224">
          <w:rPr>
            <w:noProof/>
            <w:sz w:val="20"/>
          </w:rPr>
          <w:fldChar w:fldCharType="end"/>
        </w:r>
      </w:p>
    </w:sdtContent>
  </w:sdt>
  <w:p w14:paraId="129B4EA4" w14:textId="77777777" w:rsidR="00364CF7" w:rsidRDefault="00364C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75B7" w14:textId="77777777" w:rsidR="00772567" w:rsidRDefault="00772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40021"/>
    <w:multiLevelType w:val="hybridMultilevel"/>
    <w:tmpl w:val="251E69B6"/>
    <w:lvl w:ilvl="0" w:tplc="A2A893FA">
      <w:start w:val="1"/>
      <w:numFmt w:val="decimal"/>
      <w:lvlText w:val="%1."/>
      <w:lvlJc w:val="left"/>
      <w:pPr>
        <w:ind w:left="720" w:hanging="360"/>
      </w:pPr>
      <w:rPr>
        <w:rFonts w:cs="Wingdings 3"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97F"/>
    <w:rsid w:val="00025564"/>
    <w:rsid w:val="00057CDD"/>
    <w:rsid w:val="0007322C"/>
    <w:rsid w:val="00076CB1"/>
    <w:rsid w:val="000A058D"/>
    <w:rsid w:val="000A6432"/>
    <w:rsid w:val="000B157C"/>
    <w:rsid w:val="000B6EB5"/>
    <w:rsid w:val="000C6B06"/>
    <w:rsid w:val="00103B07"/>
    <w:rsid w:val="00106774"/>
    <w:rsid w:val="001169DA"/>
    <w:rsid w:val="0011792E"/>
    <w:rsid w:val="001416C9"/>
    <w:rsid w:val="001461B5"/>
    <w:rsid w:val="00154F4A"/>
    <w:rsid w:val="001861AE"/>
    <w:rsid w:val="00193867"/>
    <w:rsid w:val="001A050F"/>
    <w:rsid w:val="001D62C9"/>
    <w:rsid w:val="001F597F"/>
    <w:rsid w:val="0020420E"/>
    <w:rsid w:val="002254B4"/>
    <w:rsid w:val="00240E18"/>
    <w:rsid w:val="002A2896"/>
    <w:rsid w:val="002C2388"/>
    <w:rsid w:val="002C7E53"/>
    <w:rsid w:val="002D2626"/>
    <w:rsid w:val="002D6BAC"/>
    <w:rsid w:val="002E0A31"/>
    <w:rsid w:val="002E469D"/>
    <w:rsid w:val="002F24C4"/>
    <w:rsid w:val="002F5064"/>
    <w:rsid w:val="003038DB"/>
    <w:rsid w:val="00333914"/>
    <w:rsid w:val="003617CE"/>
    <w:rsid w:val="00364CF7"/>
    <w:rsid w:val="00372002"/>
    <w:rsid w:val="00386D07"/>
    <w:rsid w:val="00394E92"/>
    <w:rsid w:val="003A40EA"/>
    <w:rsid w:val="003A4497"/>
    <w:rsid w:val="003E01C0"/>
    <w:rsid w:val="003E7116"/>
    <w:rsid w:val="003F1587"/>
    <w:rsid w:val="003F3160"/>
    <w:rsid w:val="00407719"/>
    <w:rsid w:val="00416891"/>
    <w:rsid w:val="004602D8"/>
    <w:rsid w:val="00475DFE"/>
    <w:rsid w:val="00490365"/>
    <w:rsid w:val="00494C36"/>
    <w:rsid w:val="004B46E8"/>
    <w:rsid w:val="004C233E"/>
    <w:rsid w:val="004C5EDA"/>
    <w:rsid w:val="004E1273"/>
    <w:rsid w:val="004F1836"/>
    <w:rsid w:val="0051414E"/>
    <w:rsid w:val="00523D43"/>
    <w:rsid w:val="005633D8"/>
    <w:rsid w:val="00576786"/>
    <w:rsid w:val="00580762"/>
    <w:rsid w:val="005B1A05"/>
    <w:rsid w:val="005D4D3E"/>
    <w:rsid w:val="005E2F50"/>
    <w:rsid w:val="005E3741"/>
    <w:rsid w:val="005F2E68"/>
    <w:rsid w:val="00610795"/>
    <w:rsid w:val="0064412E"/>
    <w:rsid w:val="00651819"/>
    <w:rsid w:val="00651F06"/>
    <w:rsid w:val="006540D1"/>
    <w:rsid w:val="00661FCF"/>
    <w:rsid w:val="00683432"/>
    <w:rsid w:val="00693B35"/>
    <w:rsid w:val="006970D3"/>
    <w:rsid w:val="00697513"/>
    <w:rsid w:val="006B4C78"/>
    <w:rsid w:val="006D6BCA"/>
    <w:rsid w:val="006F4F5B"/>
    <w:rsid w:val="00700850"/>
    <w:rsid w:val="0072197B"/>
    <w:rsid w:val="0072677E"/>
    <w:rsid w:val="0075662A"/>
    <w:rsid w:val="0076047F"/>
    <w:rsid w:val="007644B6"/>
    <w:rsid w:val="00765AE2"/>
    <w:rsid w:val="00772567"/>
    <w:rsid w:val="0078240A"/>
    <w:rsid w:val="007F29E1"/>
    <w:rsid w:val="008310CC"/>
    <w:rsid w:val="00873D69"/>
    <w:rsid w:val="008B6EA3"/>
    <w:rsid w:val="008C19BC"/>
    <w:rsid w:val="008C7058"/>
    <w:rsid w:val="008F3A34"/>
    <w:rsid w:val="009013B1"/>
    <w:rsid w:val="00932981"/>
    <w:rsid w:val="00965156"/>
    <w:rsid w:val="0097190B"/>
    <w:rsid w:val="00975789"/>
    <w:rsid w:val="009809E0"/>
    <w:rsid w:val="0098513D"/>
    <w:rsid w:val="009D1D7A"/>
    <w:rsid w:val="009E35E4"/>
    <w:rsid w:val="009F30DB"/>
    <w:rsid w:val="00A0360F"/>
    <w:rsid w:val="00A12CE6"/>
    <w:rsid w:val="00A13B68"/>
    <w:rsid w:val="00A21B71"/>
    <w:rsid w:val="00A24E2A"/>
    <w:rsid w:val="00A77512"/>
    <w:rsid w:val="00A8657F"/>
    <w:rsid w:val="00AA3249"/>
    <w:rsid w:val="00AB3BE9"/>
    <w:rsid w:val="00AE1224"/>
    <w:rsid w:val="00AE3025"/>
    <w:rsid w:val="00AE5CC9"/>
    <w:rsid w:val="00AE628E"/>
    <w:rsid w:val="00AE7B89"/>
    <w:rsid w:val="00B13C40"/>
    <w:rsid w:val="00B3442F"/>
    <w:rsid w:val="00B57365"/>
    <w:rsid w:val="00B64DEC"/>
    <w:rsid w:val="00B97F85"/>
    <w:rsid w:val="00BA11E1"/>
    <w:rsid w:val="00BA5E8E"/>
    <w:rsid w:val="00BB6974"/>
    <w:rsid w:val="00BC15F0"/>
    <w:rsid w:val="00BD2000"/>
    <w:rsid w:val="00BE27D3"/>
    <w:rsid w:val="00C05154"/>
    <w:rsid w:val="00C058CC"/>
    <w:rsid w:val="00C07D5A"/>
    <w:rsid w:val="00C2041A"/>
    <w:rsid w:val="00C25E52"/>
    <w:rsid w:val="00C456E6"/>
    <w:rsid w:val="00C502CF"/>
    <w:rsid w:val="00C71ED0"/>
    <w:rsid w:val="00C723B4"/>
    <w:rsid w:val="00C772A5"/>
    <w:rsid w:val="00C86789"/>
    <w:rsid w:val="00CA45A3"/>
    <w:rsid w:val="00CA5550"/>
    <w:rsid w:val="00CB25F7"/>
    <w:rsid w:val="00D0096A"/>
    <w:rsid w:val="00D0150A"/>
    <w:rsid w:val="00D051DC"/>
    <w:rsid w:val="00D2095D"/>
    <w:rsid w:val="00D22761"/>
    <w:rsid w:val="00D463FC"/>
    <w:rsid w:val="00D5450D"/>
    <w:rsid w:val="00D603C6"/>
    <w:rsid w:val="00D76D15"/>
    <w:rsid w:val="00D94803"/>
    <w:rsid w:val="00D9658E"/>
    <w:rsid w:val="00DA4E13"/>
    <w:rsid w:val="00DC252D"/>
    <w:rsid w:val="00DE144C"/>
    <w:rsid w:val="00DF3BBA"/>
    <w:rsid w:val="00DF4DA8"/>
    <w:rsid w:val="00DF6EBB"/>
    <w:rsid w:val="00DF7AEA"/>
    <w:rsid w:val="00E147D1"/>
    <w:rsid w:val="00E16ACF"/>
    <w:rsid w:val="00E20E31"/>
    <w:rsid w:val="00E504DC"/>
    <w:rsid w:val="00E570B3"/>
    <w:rsid w:val="00E636A6"/>
    <w:rsid w:val="00E75B38"/>
    <w:rsid w:val="00E83B71"/>
    <w:rsid w:val="00EA3F31"/>
    <w:rsid w:val="00EB5F51"/>
    <w:rsid w:val="00EC30D4"/>
    <w:rsid w:val="00EE2AD0"/>
    <w:rsid w:val="00EF51C4"/>
    <w:rsid w:val="00F27C2B"/>
    <w:rsid w:val="00F66673"/>
    <w:rsid w:val="00F7500F"/>
    <w:rsid w:val="00F821ED"/>
    <w:rsid w:val="00FC29ED"/>
    <w:rsid w:val="00FC3899"/>
    <w:rsid w:val="00FD20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51D40"/>
  <w15:docId w15:val="{38237280-A84A-4A27-82FD-8DEEFF20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widowControl w:val="0"/>
      <w:tabs>
        <w:tab w:val="left" w:pos="-720"/>
      </w:tabs>
      <w:suppressAutoHyphens/>
      <w:jc w:val="both"/>
      <w:outlineLvl w:val="0"/>
    </w:pPr>
    <w:rPr>
      <w:rFonts w:ascii="Arial" w:hAnsi="Arial"/>
      <w:b/>
      <w:spacing w:val="-3"/>
      <w:sz w:val="22"/>
      <w:u w:val="single"/>
      <w:lang w:val="en-GB"/>
    </w:rPr>
  </w:style>
  <w:style w:type="paragraph" w:styleId="Heading6">
    <w:name w:val="heading 6"/>
    <w:basedOn w:val="Normal"/>
    <w:next w:val="Normal"/>
    <w:qFormat/>
    <w:pPr>
      <w:keepNext/>
      <w:widowControl w:val="0"/>
      <w:tabs>
        <w:tab w:val="center" w:pos="4380"/>
      </w:tabs>
      <w:suppressAutoHyphens/>
      <w:jc w:val="center"/>
      <w:outlineLvl w:val="5"/>
    </w:pPr>
    <w:rPr>
      <w:b/>
      <w:bCs/>
      <w:spacing w:val="-3"/>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Letterhead">
    <w:name w:val="Letterhead"/>
    <w:basedOn w:val="DefaultParagraphFont"/>
  </w:style>
  <w:style w:type="paragraph" w:styleId="Subtitle">
    <w:name w:val="Subtitle"/>
    <w:basedOn w:val="Normal"/>
    <w:qFormat/>
    <w:pPr>
      <w:widowControl w:val="0"/>
      <w:tabs>
        <w:tab w:val="center" w:pos="4380"/>
      </w:tabs>
      <w:suppressAutoHyphens/>
      <w:jc w:val="center"/>
    </w:pPr>
    <w:rPr>
      <w:b/>
      <w:bCs/>
      <w:spacing w:val="-3"/>
      <w:sz w:val="22"/>
      <w:lang w:val="en-US"/>
    </w:rPr>
  </w:style>
  <w:style w:type="paragraph" w:styleId="BodyText">
    <w:name w:val="Body Text"/>
    <w:aliases w:val="bt,Body Text Char,Body Text Char1 Char,Body Text Char Char Char,Body Text Char2 Char,Body Text Char Char1 Char,Body Text Char1 Char Char Char,Body Text Char Char Char Char Char,Body Text Char1 Char1 Char,Body Text Char Char Char1 Char"/>
    <w:basedOn w:val="Normal"/>
    <w:pPr>
      <w:widowControl w:val="0"/>
      <w:tabs>
        <w:tab w:val="left" w:pos="1128"/>
        <w:tab w:val="left" w:pos="1848"/>
        <w:tab w:val="left" w:pos="2568"/>
        <w:tab w:val="left" w:pos="3288"/>
        <w:tab w:val="left" w:pos="4008"/>
        <w:tab w:val="left" w:pos="4728"/>
        <w:tab w:val="left" w:pos="5448"/>
        <w:tab w:val="left" w:pos="6168"/>
        <w:tab w:val="left" w:pos="6888"/>
        <w:tab w:val="left" w:pos="7608"/>
        <w:tab w:val="left" w:pos="8328"/>
        <w:tab w:val="left" w:pos="9048"/>
        <w:tab w:val="left" w:pos="9768"/>
        <w:tab w:val="left" w:pos="10488"/>
      </w:tabs>
      <w:suppressAutoHyphens/>
      <w:jc w:val="both"/>
    </w:pPr>
    <w:rPr>
      <w:spacing w:val="-3"/>
      <w:sz w:val="22"/>
      <w:lang w:val="en-US"/>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170"/>
      <w:jc w:val="both"/>
    </w:pPr>
    <w:rPr>
      <w:spacing w:val="-2"/>
      <w:sz w:val="22"/>
    </w:rPr>
  </w:style>
  <w:style w:type="character" w:customStyle="1" w:styleId="01-heading">
    <w:name w:val="01-heading"/>
    <w:basedOn w:val="DefaultParagraphFont"/>
    <w:rsid w:val="00494C36"/>
    <w:rPr>
      <w:rFonts w:ascii="CG Times" w:hAnsi="CG Times"/>
      <w:noProof w:val="0"/>
      <w:sz w:val="24"/>
      <w:lang w:val="en-US"/>
    </w:rPr>
  </w:style>
  <w:style w:type="paragraph" w:styleId="BodyText3">
    <w:name w:val="Body Text 3"/>
    <w:basedOn w:val="Normal"/>
    <w:rsid w:val="00580762"/>
    <w:pPr>
      <w:spacing w:after="120"/>
    </w:pPr>
    <w:rPr>
      <w:sz w:val="16"/>
      <w:szCs w:val="16"/>
    </w:rPr>
  </w:style>
  <w:style w:type="paragraph" w:styleId="BodyText2">
    <w:name w:val="Body Text 2"/>
    <w:basedOn w:val="Normal"/>
    <w:rsid w:val="005E2F50"/>
    <w:pPr>
      <w:spacing w:after="120" w:line="480" w:lineRule="auto"/>
    </w:pPr>
  </w:style>
  <w:style w:type="paragraph" w:styleId="NormalWeb">
    <w:name w:val="Normal (Web)"/>
    <w:basedOn w:val="Normal"/>
    <w:rsid w:val="005E2F50"/>
    <w:pPr>
      <w:spacing w:before="100" w:beforeAutospacing="1" w:after="100" w:afterAutospacing="1"/>
    </w:pPr>
    <w:rPr>
      <w:szCs w:val="24"/>
      <w:lang w:val="en-US"/>
    </w:rPr>
  </w:style>
  <w:style w:type="character" w:styleId="Hyperlink">
    <w:name w:val="Hyperlink"/>
    <w:basedOn w:val="DefaultParagraphFont"/>
    <w:rsid w:val="00EF51C4"/>
    <w:rPr>
      <w:color w:val="0000FF" w:themeColor="hyperlink"/>
      <w:u w:val="single"/>
    </w:rPr>
  </w:style>
  <w:style w:type="table" w:styleId="TableGrid">
    <w:name w:val="Table Grid"/>
    <w:basedOn w:val="TableNormal"/>
    <w:rsid w:val="00EF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D4D3E"/>
    <w:rPr>
      <w:sz w:val="24"/>
      <w:lang w:eastAsia="en-US"/>
    </w:rPr>
  </w:style>
  <w:style w:type="character" w:customStyle="1" w:styleId="HeaderChar">
    <w:name w:val="Header Char"/>
    <w:basedOn w:val="DefaultParagraphFont"/>
    <w:link w:val="Header"/>
    <w:uiPriority w:val="99"/>
    <w:rsid w:val="00AE1224"/>
    <w:rPr>
      <w:sz w:val="24"/>
      <w:lang w:eastAsia="en-US"/>
    </w:rPr>
  </w:style>
  <w:style w:type="character" w:styleId="UnresolvedMention">
    <w:name w:val="Unresolved Mention"/>
    <w:basedOn w:val="DefaultParagraphFont"/>
    <w:uiPriority w:val="99"/>
    <w:semiHidden/>
    <w:unhideWhenUsed/>
    <w:rsid w:val="006D6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Material Change Report</vt:lpstr>
    </vt:vector>
  </TitlesOfParts>
  <Manager/>
  <Company>Morton Law LLP</Company>
  <LinksUpToDate>false</LinksUpToDate>
  <CharactersWithSpaces>7275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Change Report</dc:title>
  <dc:subject>Closing</dc:subject>
  <dc:creator>Sandy Fong</dc:creator>
  <cp:keywords/>
  <dc:description>4657.110.jv</dc:description>
  <cp:lastModifiedBy>Gurdeep Bains</cp:lastModifiedBy>
  <cp:revision>4</cp:revision>
  <cp:lastPrinted>2019-06-27T18:19:00Z</cp:lastPrinted>
  <dcterms:created xsi:type="dcterms:W3CDTF">2021-09-03T17:55:00Z</dcterms:created>
  <dcterms:modified xsi:type="dcterms:W3CDTF">2021-09-07T19:19:00Z</dcterms:modified>
  <cp:category/>
</cp:coreProperties>
</file>