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092488FC"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0F66C3">
        <w:rPr>
          <w:rFonts w:ascii="Calibri" w:eastAsia="Calibri" w:hAnsi="Calibri" w:cs="Calibri"/>
          <w:u w:val="single" w:color="000000"/>
        </w:rPr>
        <w:t>5</w:t>
      </w:r>
      <w:r w:rsidR="006B14B4">
        <w:rPr>
          <w:rFonts w:ascii="Calibri" w:eastAsia="Calibri" w:hAnsi="Calibri" w:cs="Calibri"/>
          <w:u w:val="single" w:color="000000"/>
        </w:rPr>
        <w:t>6,</w:t>
      </w:r>
      <w:r w:rsidR="00895C91">
        <w:rPr>
          <w:rFonts w:ascii="Calibri" w:eastAsia="Calibri" w:hAnsi="Calibri" w:cs="Calibri"/>
          <w:u w:val="single" w:color="000000"/>
        </w:rPr>
        <w:t>864,749</w:t>
      </w:r>
      <w:r>
        <w:rPr>
          <w:u w:val="single" w:color="000000"/>
        </w:rPr>
        <w:tab/>
      </w:r>
      <w:r>
        <w:t xml:space="preserve"> </w:t>
      </w:r>
    </w:p>
    <w:p w14:paraId="3ADE7B98" w14:textId="55634A7D" w:rsidR="00EE165C" w:rsidRDefault="000F1915">
      <w:pPr>
        <w:tabs>
          <w:tab w:val="center" w:pos="9180"/>
        </w:tabs>
        <w:spacing w:after="243"/>
        <w:ind w:left="-15" w:firstLine="0"/>
        <w:jc w:val="left"/>
      </w:pPr>
      <w:r>
        <w:t xml:space="preserve">Date: </w:t>
      </w:r>
      <w:r w:rsidR="00895C91">
        <w:t>August 8</w:t>
      </w:r>
      <w:r w:rsidR="00E955C1">
        <w:t>, 2021</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lastRenderedPageBreak/>
        <w:t>R</w:t>
      </w:r>
      <w:r w:rsidR="00EA65EA">
        <w:rPr>
          <w:b/>
        </w:rPr>
        <w:t xml:space="preserve">eport on Business </w:t>
      </w:r>
    </w:p>
    <w:p w14:paraId="71C1D51A" w14:textId="5BB4345A" w:rsidR="009C1A09" w:rsidRDefault="009C1A09">
      <w:pPr>
        <w:spacing w:after="118" w:line="258" w:lineRule="auto"/>
      </w:pPr>
    </w:p>
    <w:p w14:paraId="2B4942A1" w14:textId="77777777" w:rsidR="009C1A09" w:rsidRDefault="009C1A09">
      <w:pPr>
        <w:spacing w:after="118" w:line="258" w:lineRule="auto"/>
      </w:pPr>
    </w:p>
    <w:p w14:paraId="307EFC8E" w14:textId="57941C1F"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452E737" w14:textId="21AFBA13" w:rsidR="00871BD8" w:rsidRDefault="00EA65EA" w:rsidP="00895C91">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sidR="002F01F0">
        <w:rPr>
          <w:b/>
        </w:rPr>
        <w:t xml:space="preserve"> The Issuer has staked and/or acquired approximately</w:t>
      </w:r>
      <w:r w:rsidR="00DE41DC">
        <w:rPr>
          <w:b/>
        </w:rPr>
        <w:t xml:space="preserve"> 2,600 hectares of placer mining claims in the Cariboo Mining District of British Columbia. Several of those claims are permitted for the testing </w:t>
      </w:r>
      <w:r w:rsidR="00E955C1">
        <w:rPr>
          <w:b/>
        </w:rPr>
        <w:t>and/</w:t>
      </w:r>
      <w:r w:rsidR="00DE41DC">
        <w:rPr>
          <w:b/>
        </w:rPr>
        <w:t xml:space="preserve">or production of placer gold. The Issuer rents some of the placer claims to other miners for cash rent.  The Issuer has also staked and/or purchased approximately 9,000 hectares of mineral claims located near Wells, British Columbia. Exploration for lode gold on those claims has started.  The Company also operates a retail store in Quesnel, British Columbia that sells mining supplies and equipment to miners. The store shares space with the Issuer’s office. </w:t>
      </w:r>
    </w:p>
    <w:p w14:paraId="1FE65B8F" w14:textId="77777777" w:rsidR="00EE165C" w:rsidRDefault="00EA65EA">
      <w:pPr>
        <w:numPr>
          <w:ilvl w:val="0"/>
          <w:numId w:val="2"/>
        </w:numPr>
        <w:ind w:hanging="720"/>
      </w:pPr>
      <w:r>
        <w:t xml:space="preserve">Provide a general overview and discussion of the activities of management. </w:t>
      </w:r>
    </w:p>
    <w:p w14:paraId="11F9EF5D" w14:textId="161D170A" w:rsidR="007A16D9" w:rsidRDefault="000F1915" w:rsidP="00871BD8">
      <w:pPr>
        <w:spacing w:after="118" w:line="258" w:lineRule="auto"/>
        <w:ind w:left="715"/>
        <w:rPr>
          <w:b/>
        </w:rPr>
      </w:pPr>
      <w:r>
        <w:rPr>
          <w:b/>
        </w:rPr>
        <w:t>In</w:t>
      </w:r>
      <w:r w:rsidR="00871BD8">
        <w:rPr>
          <w:b/>
        </w:rPr>
        <w:t xml:space="preserve"> </w:t>
      </w:r>
      <w:r w:rsidR="006B14B4">
        <w:rPr>
          <w:b/>
        </w:rPr>
        <w:t>Ju</w:t>
      </w:r>
      <w:r w:rsidR="00895C91">
        <w:rPr>
          <w:b/>
        </w:rPr>
        <w:t>ly</w:t>
      </w:r>
      <w:r w:rsidR="00871BD8">
        <w:rPr>
          <w:b/>
        </w:rPr>
        <w:t xml:space="preserve"> </w:t>
      </w:r>
      <w:r w:rsidR="00D079E7">
        <w:rPr>
          <w:b/>
        </w:rPr>
        <w:t xml:space="preserve">2021, management continued to search for other suitable precious metals properties and concentrated on managing its </w:t>
      </w:r>
      <w:r w:rsidR="00E955C1">
        <w:rPr>
          <w:b/>
        </w:rPr>
        <w:t>operating</w:t>
      </w:r>
      <w:r w:rsidR="00D079E7">
        <w:rPr>
          <w:b/>
        </w:rPr>
        <w:t xml:space="preserve"> business divisions.</w:t>
      </w:r>
      <w:r w:rsidR="00381F49">
        <w:rPr>
          <w:b/>
        </w:rPr>
        <w:t xml:space="preserve">  </w:t>
      </w:r>
    </w:p>
    <w:p w14:paraId="15242512" w14:textId="77777777" w:rsidR="000573CB" w:rsidRPr="000573CB"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p>
    <w:p w14:paraId="0E216179" w14:textId="5CBDB6A5" w:rsidR="00EE165C" w:rsidRDefault="00A2548E" w:rsidP="00A2548E">
      <w:pPr>
        <w:ind w:left="720" w:firstLine="0"/>
      </w:pPr>
      <w:r>
        <w:rPr>
          <w:b/>
          <w:bCs/>
        </w:rPr>
        <w:t>On July</w:t>
      </w:r>
      <w:r w:rsidR="007F0D1B">
        <w:rPr>
          <w:b/>
          <w:bCs/>
        </w:rPr>
        <w:t xml:space="preserve"> </w:t>
      </w:r>
      <w:r>
        <w:rPr>
          <w:b/>
          <w:bCs/>
        </w:rPr>
        <w:t xml:space="preserve">29, 2021, the Issuer announced the acquisition of an additional 38.92 hectares of mineral rights contiguous to its Fontaine Lode Gold Project.  </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5094185C" w14:textId="1663113E" w:rsidR="005B4752" w:rsidRDefault="007A16D9" w:rsidP="007A16D9">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28E512BD" w14:textId="719CFF61" w:rsidR="000122E6" w:rsidRPr="000122E6" w:rsidRDefault="000122E6" w:rsidP="000122E6">
      <w:pPr>
        <w:ind w:left="720" w:firstLine="0"/>
        <w:rPr>
          <w:b/>
        </w:rPr>
      </w:pPr>
      <w:r w:rsidRPr="000122E6">
        <w:rPr>
          <w:b/>
        </w:rPr>
        <w:t xml:space="preserve">As mentioned in </w:t>
      </w:r>
      <w:r>
        <w:rPr>
          <w:b/>
        </w:rPr>
        <w:t>Point 3. above, the Issuer acquired 38.92 hectares of additional mineral rights in the month of July, 2021.  The consideration was determined through negotiations with an unrelated third party.</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52386572"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Ju</w:t>
      </w:r>
      <w:r w:rsidR="000122E6">
        <w:rPr>
          <w:b/>
        </w:rPr>
        <w:t>ly</w:t>
      </w:r>
      <w:r w:rsidR="00487FF3">
        <w:rPr>
          <w:b/>
        </w:rPr>
        <w:t xml:space="preserve"> 2021.</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3FF23928" w:rsidR="00353F44"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6B14B4">
        <w:rPr>
          <w:b/>
        </w:rPr>
        <w:t>Ju</w:t>
      </w:r>
      <w:r w:rsidR="000122E6">
        <w:rPr>
          <w:b/>
        </w:rPr>
        <w:t>ly</w:t>
      </w:r>
      <w:r w:rsidR="00AA1AD6">
        <w:rPr>
          <w:b/>
        </w:rPr>
        <w:t xml:space="preserve"> </w:t>
      </w:r>
      <w:r w:rsidR="00487FF3">
        <w:rPr>
          <w:b/>
        </w:rPr>
        <w:t>2021</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5A384F28" w14:textId="173B78FA" w:rsidR="00192A04" w:rsidRDefault="004514FE">
      <w:pPr>
        <w:spacing w:after="118" w:line="258" w:lineRule="auto"/>
        <w:ind w:left="715"/>
        <w:rPr>
          <w:b/>
        </w:rPr>
      </w:pPr>
      <w:r>
        <w:rPr>
          <w:b/>
        </w:rPr>
        <w:t>None</w:t>
      </w:r>
      <w:r w:rsidR="00FE7414">
        <w:rPr>
          <w:b/>
        </w:rPr>
        <w:t>.</w:t>
      </w:r>
    </w:p>
    <w:p w14:paraId="5F9CCEF5" w14:textId="1DBC796D" w:rsidR="00B93D8D" w:rsidRDefault="00B93D8D">
      <w:pPr>
        <w:spacing w:after="118" w:line="258" w:lineRule="auto"/>
        <w:ind w:left="715"/>
        <w:rPr>
          <w:b/>
        </w:rPr>
      </w:pPr>
    </w:p>
    <w:p w14:paraId="628B1E11" w14:textId="0E0D595B" w:rsidR="00B93D8D" w:rsidRDefault="00B93D8D">
      <w:pPr>
        <w:spacing w:after="118" w:line="258" w:lineRule="auto"/>
        <w:ind w:left="715"/>
        <w:rPr>
          <w:b/>
        </w:rPr>
      </w:pPr>
    </w:p>
    <w:p w14:paraId="3129B01B" w14:textId="77777777" w:rsidR="00B93D8D" w:rsidRDefault="00B93D8D">
      <w:pPr>
        <w:spacing w:after="118" w:line="258" w:lineRule="auto"/>
        <w:ind w:left="715"/>
        <w:rPr>
          <w:b/>
        </w:rPr>
      </w:pPr>
    </w:p>
    <w:p w14:paraId="3D332F56" w14:textId="6FABBC86" w:rsidR="00B93D8D" w:rsidRDefault="00B93D8D">
      <w:pPr>
        <w:spacing w:after="118" w:line="258" w:lineRule="auto"/>
        <w:ind w:left="715"/>
        <w:rPr>
          <w:b/>
        </w:rPr>
      </w:pPr>
    </w:p>
    <w:p w14:paraId="2A6C490E" w14:textId="77777777" w:rsidR="00B93D8D" w:rsidRDefault="00B93D8D">
      <w:pPr>
        <w:spacing w:after="118" w:line="258" w:lineRule="auto"/>
        <w:ind w:left="715"/>
        <w:rPr>
          <w:b/>
        </w:rPr>
      </w:pPr>
    </w:p>
    <w:p w14:paraId="7B78E171" w14:textId="676DA210" w:rsidR="00B93D8D" w:rsidRDefault="00B93D8D">
      <w:pPr>
        <w:spacing w:after="118" w:line="258" w:lineRule="auto"/>
        <w:ind w:left="715"/>
        <w:rPr>
          <w:b/>
        </w:rPr>
      </w:pPr>
    </w:p>
    <w:p w14:paraId="73EF1CF2" w14:textId="77777777" w:rsidR="00B93D8D" w:rsidRDefault="00B93D8D">
      <w:pPr>
        <w:spacing w:after="118" w:line="258" w:lineRule="auto"/>
        <w:ind w:left="715"/>
        <w:rPr>
          <w:b/>
        </w:rPr>
      </w:pPr>
    </w:p>
    <w:p w14:paraId="55D2BC37" w14:textId="54A2CC13" w:rsidR="00EE165C" w:rsidRPr="006B3A8F" w:rsidRDefault="00EA65EA" w:rsidP="00B93D8D">
      <w:pPr>
        <w:numPr>
          <w:ilvl w:val="0"/>
          <w:numId w:val="2"/>
        </w:numPr>
        <w:ind w:hanging="720"/>
      </w:pPr>
      <w:r>
        <w:lastRenderedPageBreak/>
        <w:t xml:space="preserve">Provide details of any securities issued and options or warrants granted. </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F73703B" w14:textId="77777777" w:rsidR="00EE165C" w:rsidRDefault="00FE7414">
            <w:pPr>
              <w:spacing w:after="0" w:line="259" w:lineRule="auto"/>
              <w:ind w:left="0" w:firstLine="0"/>
              <w:jc w:val="left"/>
            </w:pPr>
            <w:r>
              <w:t>Common Shares of</w:t>
            </w:r>
          </w:p>
          <w:p w14:paraId="7508C8D0" w14:textId="3398DB8F" w:rsidR="00FE7414" w:rsidRDefault="00FE7414">
            <w:pPr>
              <w:spacing w:after="0" w:line="259" w:lineRule="auto"/>
              <w:ind w:left="0" w:firstLine="0"/>
              <w:jc w:val="left"/>
            </w:pPr>
            <w:r>
              <w:t>Green River Gold Corp.</w:t>
            </w:r>
          </w:p>
        </w:tc>
        <w:tc>
          <w:tcPr>
            <w:tcW w:w="2400" w:type="dxa"/>
            <w:tcBorders>
              <w:top w:val="single" w:sz="6" w:space="0" w:color="000000"/>
              <w:left w:val="single" w:sz="6" w:space="0" w:color="000000"/>
              <w:bottom w:val="single" w:sz="6" w:space="0" w:color="000000"/>
              <w:right w:val="single" w:sz="6" w:space="0" w:color="000000"/>
            </w:tcBorders>
          </w:tcPr>
          <w:p w14:paraId="6D0CCD52" w14:textId="707961ED" w:rsidR="00EE165C" w:rsidRDefault="00EA65EA">
            <w:pPr>
              <w:spacing w:after="0" w:line="259" w:lineRule="auto"/>
              <w:ind w:left="0" w:firstLine="0"/>
              <w:jc w:val="left"/>
            </w:pPr>
            <w:r>
              <w:t xml:space="preserve"> </w:t>
            </w:r>
            <w:r w:rsidR="00FE7414">
              <w:t>350,000</w:t>
            </w:r>
          </w:p>
        </w:tc>
        <w:tc>
          <w:tcPr>
            <w:tcW w:w="2400" w:type="dxa"/>
            <w:tcBorders>
              <w:top w:val="single" w:sz="6" w:space="0" w:color="000000"/>
              <w:left w:val="single" w:sz="6" w:space="0" w:color="000000"/>
              <w:bottom w:val="single" w:sz="6" w:space="0" w:color="000000"/>
              <w:right w:val="single" w:sz="6" w:space="0" w:color="000000"/>
            </w:tcBorders>
          </w:tcPr>
          <w:p w14:paraId="1F2DA313" w14:textId="2F09F321" w:rsidR="00EE165C" w:rsidRDefault="00FE7414">
            <w:pPr>
              <w:spacing w:after="0" w:line="259" w:lineRule="auto"/>
              <w:ind w:left="0" w:firstLine="0"/>
              <w:jc w:val="left"/>
            </w:pPr>
            <w:r>
              <w:t>Issued at a deemed price of $0.06 for a total of $21,000.00</w:t>
            </w:r>
          </w:p>
          <w:p w14:paraId="34D5D31D" w14:textId="77777777" w:rsidR="00A26297" w:rsidRDefault="00A26297">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0A10D6C1" w14:textId="02E11C47" w:rsidR="00A26297" w:rsidRDefault="00FE7414">
            <w:pPr>
              <w:spacing w:after="0" w:line="259" w:lineRule="auto"/>
              <w:ind w:left="0" w:firstLine="0"/>
              <w:jc w:val="left"/>
            </w:pPr>
            <w:r>
              <w:t>Acquisition of 38.92 hectares of mineral rights</w:t>
            </w:r>
          </w:p>
          <w:p w14:paraId="430B6E13" w14:textId="77777777" w:rsidR="00A26297" w:rsidRDefault="00A26297">
            <w:pPr>
              <w:spacing w:after="0" w:line="259" w:lineRule="auto"/>
              <w:ind w:left="0" w:firstLine="0"/>
              <w:jc w:val="left"/>
            </w:pP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2950CA0E" w14:textId="77777777" w:rsidR="00146CB6" w:rsidRDefault="00146CB6" w:rsidP="00146CB6">
            <w:pPr>
              <w:spacing w:after="0" w:line="259" w:lineRule="auto"/>
              <w:ind w:left="0" w:firstLine="0"/>
              <w:jc w:val="left"/>
            </w:pPr>
          </w:p>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339D3406" w:rsidR="00BD10E6" w:rsidRDefault="00BD10E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0509438D"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5A2A41C6"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7B7E4D5D" w14:textId="524924E3" w:rsidR="00A26297" w:rsidRDefault="00F65C8C">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Green River Gold Corp. has also paid certain start-up costs for Green River Gold Trading Limited Partnershi</w:t>
      </w:r>
      <w:r w:rsidR="00A84267">
        <w:rPr>
          <w:b/>
        </w:rPr>
        <w:t>p. These amounts are due on demand and bear no interest.</w:t>
      </w:r>
      <w:r w:rsidR="003E46A1">
        <w:rPr>
          <w:b/>
        </w:rPr>
        <w:t xml:space="preserve"> </w:t>
      </w:r>
    </w:p>
    <w:p w14:paraId="5B18F6F3" w14:textId="77777777" w:rsidR="008943C5" w:rsidRDefault="008943C5">
      <w:pPr>
        <w:spacing w:after="118" w:line="258" w:lineRule="auto"/>
        <w:ind w:left="715"/>
      </w:pPr>
    </w:p>
    <w:p w14:paraId="376AEA0A" w14:textId="77777777" w:rsidR="00EE165C" w:rsidRDefault="00EA65EA">
      <w:pPr>
        <w:numPr>
          <w:ilvl w:val="0"/>
          <w:numId w:val="3"/>
        </w:numPr>
        <w:ind w:hanging="720"/>
      </w:pPr>
      <w:r>
        <w:t xml:space="preserve">Provide details of any changes in directors, officers or committee members. </w:t>
      </w:r>
    </w:p>
    <w:p w14:paraId="1467EEDC" w14:textId="1858568B" w:rsidR="00EE165C" w:rsidRDefault="002F7574" w:rsidP="00146CB6">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1892679F" w14:textId="1B645022" w:rsidR="00A26297"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 xml:space="preserve">The Issuer’s newer revenue generating businesses, selling mining equipment and supplies, renting placer mining claims and purchasing placer gold for resale, all have limited operating histories and are not yet profitable. </w:t>
      </w:r>
      <w:r w:rsidR="009B6038">
        <w:rPr>
          <w:b/>
        </w:rPr>
        <w:t>T</w:t>
      </w:r>
      <w:r w:rsidR="00620B07">
        <w:rPr>
          <w:b/>
        </w:rPr>
        <w:t xml:space="preserve">he Issuer </w:t>
      </w:r>
      <w:r w:rsidR="00D25B20">
        <w:rPr>
          <w:b/>
        </w:rPr>
        <w:t xml:space="preserve">is involved in the exploration and development of precious metals properties in </w:t>
      </w:r>
      <w:r w:rsidR="00620B07">
        <w:rPr>
          <w:b/>
        </w:rPr>
        <w:t>British Columbia.</w:t>
      </w:r>
      <w:r w:rsidR="005D4D6A">
        <w:rPr>
          <w:b/>
        </w:rPr>
        <w:t xml:space="preserve"> </w:t>
      </w:r>
      <w:r>
        <w:rPr>
          <w:b/>
        </w:rPr>
        <w:t xml:space="preserve">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w:t>
      </w:r>
      <w:r w:rsidR="005D4D6A">
        <w:rPr>
          <w:b/>
        </w:rPr>
        <w:t>precious</w:t>
      </w:r>
      <w:r>
        <w:rPr>
          <w:b/>
        </w:rPr>
        <w:t xml:space="preserve"> metal prices and publicly traded securities prices have fluctuated widely.</w:t>
      </w:r>
    </w:p>
    <w:p w14:paraId="7262E20B" w14:textId="77777777" w:rsidR="00B93D8D" w:rsidRDefault="00B93D8D">
      <w:pPr>
        <w:spacing w:after="201" w:line="258" w:lineRule="auto"/>
        <w:ind w:left="715"/>
        <w:rPr>
          <w:b/>
        </w:rPr>
      </w:pPr>
    </w:p>
    <w:p w14:paraId="1D90DDC4" w14:textId="77777777" w:rsidR="00EE165C" w:rsidRDefault="00EA65EA">
      <w:pPr>
        <w:spacing w:after="201" w:line="258" w:lineRule="auto"/>
        <w:ind w:left="715"/>
      </w:pPr>
      <w:r>
        <w:rPr>
          <w:b/>
        </w:rPr>
        <w:lastRenderedPageBreak/>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16AA3B89"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B93D8D">
        <w:rPr>
          <w:sz w:val="24"/>
        </w:rPr>
        <w:t>August 8</w:t>
      </w:r>
      <w:r w:rsidR="000C0A75">
        <w:rPr>
          <w:sz w:val="24"/>
        </w:rPr>
        <w:t>, 2021</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08C6CEFB" w:rsidR="00EE165C" w:rsidRDefault="00101D85">
            <w:pPr>
              <w:spacing w:after="0" w:line="259" w:lineRule="auto"/>
              <w:ind w:left="0" w:firstLine="0"/>
              <w:jc w:val="left"/>
            </w:pPr>
            <w:r>
              <w:t>Ju</w:t>
            </w:r>
            <w:r w:rsidR="00B93D8D">
              <w:t>ly</w:t>
            </w:r>
            <w:r>
              <w:t xml:space="preserve"> 30</w:t>
            </w:r>
            <w:r w:rsidR="00373314">
              <w:t>,</w:t>
            </w:r>
            <w:r w:rsidR="00146CB6">
              <w:t xml:space="preserve"> </w:t>
            </w:r>
            <w:r w:rsidR="00C57DA4">
              <w:t>2021</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0601F4C2" w:rsidR="00EE165C" w:rsidRDefault="00C57DA4">
            <w:pPr>
              <w:spacing w:after="0" w:line="259" w:lineRule="auto"/>
              <w:ind w:left="0" w:firstLine="0"/>
              <w:jc w:val="left"/>
            </w:pPr>
            <w:r>
              <w:t>21/0</w:t>
            </w:r>
            <w:r w:rsidR="00B93D8D">
              <w:t>8</w:t>
            </w:r>
            <w:r>
              <w:t>/</w:t>
            </w:r>
            <w:r w:rsidR="00513995">
              <w:t>0</w:t>
            </w:r>
            <w:r w:rsidR="00B93D8D">
              <w:t>8</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lastRenderedPageBreak/>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25BB" w14:textId="77777777" w:rsidR="00F10A2F" w:rsidRDefault="00F10A2F">
      <w:pPr>
        <w:spacing w:after="0" w:line="240" w:lineRule="auto"/>
      </w:pPr>
      <w:r>
        <w:separator/>
      </w:r>
    </w:p>
  </w:endnote>
  <w:endnote w:type="continuationSeparator" w:id="0">
    <w:p w14:paraId="725DF790" w14:textId="77777777" w:rsidR="00F10A2F" w:rsidRDefault="00F1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9A4F" w14:textId="77777777" w:rsidR="00F10A2F" w:rsidRDefault="00F10A2F">
      <w:pPr>
        <w:spacing w:after="0" w:line="240" w:lineRule="auto"/>
      </w:pPr>
      <w:r>
        <w:separator/>
      </w:r>
    </w:p>
  </w:footnote>
  <w:footnote w:type="continuationSeparator" w:id="0">
    <w:p w14:paraId="32B8529F" w14:textId="77777777" w:rsidR="00F10A2F" w:rsidRDefault="00F10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97BE0"/>
    <w:rsid w:val="000B23C9"/>
    <w:rsid w:val="000C0A75"/>
    <w:rsid w:val="000F1915"/>
    <w:rsid w:val="000F66C3"/>
    <w:rsid w:val="00101D85"/>
    <w:rsid w:val="00146CB6"/>
    <w:rsid w:val="00173BB2"/>
    <w:rsid w:val="00192A04"/>
    <w:rsid w:val="00203D95"/>
    <w:rsid w:val="00231EA6"/>
    <w:rsid w:val="002A54ED"/>
    <w:rsid w:val="002B3895"/>
    <w:rsid w:val="002B38B9"/>
    <w:rsid w:val="002D762D"/>
    <w:rsid w:val="002E0D81"/>
    <w:rsid w:val="002F01F0"/>
    <w:rsid w:val="002F7574"/>
    <w:rsid w:val="00353F44"/>
    <w:rsid w:val="00371816"/>
    <w:rsid w:val="00373314"/>
    <w:rsid w:val="00381F49"/>
    <w:rsid w:val="003E2786"/>
    <w:rsid w:val="003E46A1"/>
    <w:rsid w:val="00412C61"/>
    <w:rsid w:val="004132EE"/>
    <w:rsid w:val="0042259A"/>
    <w:rsid w:val="00450714"/>
    <w:rsid w:val="004514FE"/>
    <w:rsid w:val="004727D2"/>
    <w:rsid w:val="00475006"/>
    <w:rsid w:val="00487FF3"/>
    <w:rsid w:val="005073A2"/>
    <w:rsid w:val="00513995"/>
    <w:rsid w:val="00562AE5"/>
    <w:rsid w:val="00577BD3"/>
    <w:rsid w:val="00594D27"/>
    <w:rsid w:val="005B4752"/>
    <w:rsid w:val="005D4D6A"/>
    <w:rsid w:val="005E192A"/>
    <w:rsid w:val="006156E4"/>
    <w:rsid w:val="00620B07"/>
    <w:rsid w:val="00640784"/>
    <w:rsid w:val="006976B1"/>
    <w:rsid w:val="006A55F5"/>
    <w:rsid w:val="006B14B4"/>
    <w:rsid w:val="006B3A8F"/>
    <w:rsid w:val="006E6811"/>
    <w:rsid w:val="007070DE"/>
    <w:rsid w:val="00726D10"/>
    <w:rsid w:val="00731791"/>
    <w:rsid w:val="007A16D9"/>
    <w:rsid w:val="007C7EC1"/>
    <w:rsid w:val="007F0D1B"/>
    <w:rsid w:val="008120B8"/>
    <w:rsid w:val="008245AC"/>
    <w:rsid w:val="00836AAC"/>
    <w:rsid w:val="00843676"/>
    <w:rsid w:val="00855DB0"/>
    <w:rsid w:val="008708EF"/>
    <w:rsid w:val="00871BD8"/>
    <w:rsid w:val="008943C5"/>
    <w:rsid w:val="00895C91"/>
    <w:rsid w:val="008C07CA"/>
    <w:rsid w:val="00914710"/>
    <w:rsid w:val="009430FB"/>
    <w:rsid w:val="00955F1E"/>
    <w:rsid w:val="0097354A"/>
    <w:rsid w:val="009846CB"/>
    <w:rsid w:val="009B6038"/>
    <w:rsid w:val="009C1A09"/>
    <w:rsid w:val="009C4C37"/>
    <w:rsid w:val="00A061AD"/>
    <w:rsid w:val="00A2548E"/>
    <w:rsid w:val="00A26297"/>
    <w:rsid w:val="00A323F7"/>
    <w:rsid w:val="00A51D09"/>
    <w:rsid w:val="00A56611"/>
    <w:rsid w:val="00A7470E"/>
    <w:rsid w:val="00A84267"/>
    <w:rsid w:val="00AA1AD6"/>
    <w:rsid w:val="00AD0426"/>
    <w:rsid w:val="00AE7AC7"/>
    <w:rsid w:val="00B46D01"/>
    <w:rsid w:val="00B47F47"/>
    <w:rsid w:val="00B830E7"/>
    <w:rsid w:val="00B93D8D"/>
    <w:rsid w:val="00BA222E"/>
    <w:rsid w:val="00BA7ABE"/>
    <w:rsid w:val="00BD10E6"/>
    <w:rsid w:val="00BF10B9"/>
    <w:rsid w:val="00C57DA4"/>
    <w:rsid w:val="00C9133C"/>
    <w:rsid w:val="00C93E1E"/>
    <w:rsid w:val="00CC2362"/>
    <w:rsid w:val="00D01C3B"/>
    <w:rsid w:val="00D06BC8"/>
    <w:rsid w:val="00D079E7"/>
    <w:rsid w:val="00D21212"/>
    <w:rsid w:val="00D25B20"/>
    <w:rsid w:val="00D346B5"/>
    <w:rsid w:val="00D40C35"/>
    <w:rsid w:val="00D44422"/>
    <w:rsid w:val="00D64A3B"/>
    <w:rsid w:val="00D65F2B"/>
    <w:rsid w:val="00DB3D95"/>
    <w:rsid w:val="00DB3E11"/>
    <w:rsid w:val="00DD58FA"/>
    <w:rsid w:val="00DE41DC"/>
    <w:rsid w:val="00E3575A"/>
    <w:rsid w:val="00E5099C"/>
    <w:rsid w:val="00E55A54"/>
    <w:rsid w:val="00E90141"/>
    <w:rsid w:val="00E955C1"/>
    <w:rsid w:val="00EA5C0D"/>
    <w:rsid w:val="00EA65EA"/>
    <w:rsid w:val="00EB2400"/>
    <w:rsid w:val="00ED78DC"/>
    <w:rsid w:val="00EE165C"/>
    <w:rsid w:val="00F10A2F"/>
    <w:rsid w:val="00F4644E"/>
    <w:rsid w:val="00F65C8C"/>
    <w:rsid w:val="00F6769D"/>
    <w:rsid w:val="00FC101A"/>
    <w:rsid w:val="00FE7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10</cp:revision>
  <cp:lastPrinted>2021-07-08T01:12:00Z</cp:lastPrinted>
  <dcterms:created xsi:type="dcterms:W3CDTF">2021-08-08T17:20:00Z</dcterms:created>
  <dcterms:modified xsi:type="dcterms:W3CDTF">2021-08-08T17:43:00Z</dcterms:modified>
  <cp:contentStatus/>
</cp:coreProperties>
</file>