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613152D5"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69725B">
        <w:rPr>
          <w:rFonts w:ascii="Arial" w:hAnsi="Arial"/>
          <w:b/>
          <w:bCs/>
          <w:color w:val="1F497D" w:themeColor="text2"/>
          <w:u w:val="single"/>
        </w:rPr>
        <w:t>April 5</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396145">
        <w:rPr>
          <w:rFonts w:ascii="Arial" w:hAnsi="Arial"/>
          <w:b/>
          <w:bCs/>
          <w:color w:val="1F497D" w:themeColor="text2"/>
          <w:u w:val="single"/>
        </w:rPr>
        <w:t>3</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00075F6C">
        <w:rPr>
          <w:rFonts w:ascii="Arial" w:hAnsi="Arial"/>
          <w:color w:val="000000"/>
        </w:rPr>
        <w:t>future</w:t>
      </w:r>
      <w:r>
        <w:rPr>
          <w:rFonts w:ascii="Arial" w:hAnsi="Arial"/>
          <w:color w:val="000000"/>
        </w:rPr>
        <w:t xml:space="preserve"> </w:t>
      </w:r>
      <w:r w:rsidR="00075F6C">
        <w:rPr>
          <w:rFonts w:ascii="Arial" w:hAnsi="Arial"/>
          <w:color w:val="000000"/>
        </w:rPr>
        <w:t>plans</w:t>
      </w:r>
      <w:proofErr w:type="gramEnd"/>
      <w:r w:rsidR="00075F6C">
        <w:rPr>
          <w:rFonts w:ascii="Arial" w:hAnsi="Arial"/>
          <w:color w:val="000000"/>
        </w:rPr>
        <w:t xml:space="preserve">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4E105A" w14:textId="04CD0519" w:rsidR="00A46593" w:rsidRPr="00A46593" w:rsidRDefault="00A46593" w:rsidP="00DF3CD7">
      <w:pPr>
        <w:pStyle w:val="BodyText"/>
        <w:spacing w:before="0" w:line="259" w:lineRule="auto"/>
        <w:ind w:left="720" w:right="386"/>
        <w:contextualSpacing/>
        <w:jc w:val="both"/>
        <w:rPr>
          <w:rFonts w:ascii="Arial" w:hAnsi="Arial" w:cs="Arial"/>
          <w:color w:val="1F497D" w:themeColor="text2"/>
          <w:lang w:val="en-US"/>
        </w:rPr>
      </w:pPr>
      <w:r w:rsidRPr="00A46593">
        <w:rPr>
          <w:rFonts w:ascii="Arial" w:hAnsi="Arial" w:cs="Arial"/>
          <w:color w:val="1F497D" w:themeColor="text2"/>
          <w:lang w:val="en-US"/>
        </w:rPr>
        <w:t xml:space="preserve">On October 29, 2021, the </w:t>
      </w:r>
      <w:r w:rsidR="008F76E5">
        <w:rPr>
          <w:rFonts w:ascii="Arial" w:hAnsi="Arial" w:cs="Arial"/>
          <w:color w:val="1F497D" w:themeColor="text2"/>
          <w:lang w:val="en-US"/>
        </w:rPr>
        <w:t xml:space="preserve">Issuer </w:t>
      </w:r>
      <w:r w:rsidRPr="00A46593">
        <w:rPr>
          <w:rFonts w:ascii="Arial" w:hAnsi="Arial" w:cs="Arial"/>
          <w:color w:val="1F497D" w:themeColor="text2"/>
          <w:lang w:val="en-US"/>
        </w:rPr>
        <w:t xml:space="preserve">announced a name and symbol change to Cashbox Ventures Ltd. (CBOX). The Canadian Security Exchange (CSE) determined that the </w:t>
      </w:r>
      <w:r w:rsidR="00345868">
        <w:rPr>
          <w:rFonts w:ascii="Arial" w:hAnsi="Arial" w:cs="Arial"/>
          <w:color w:val="1F497D" w:themeColor="text2"/>
          <w:lang w:val="en-US"/>
        </w:rPr>
        <w:t>Issuer</w:t>
      </w:r>
      <w:r w:rsidRPr="00A46593">
        <w:rPr>
          <w:rFonts w:ascii="Arial" w:hAnsi="Arial" w:cs="Arial"/>
          <w:color w:val="1F497D" w:themeColor="text2"/>
          <w:lang w:val="en-US"/>
        </w:rPr>
        <w:t xml:space="preserve"> had not met the continued listing requirements as set out in CSE Policy 2, Appendix A, section 2.9. Pursuant to Policy 6 section 2.4,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may not rely on confidential price protection, nor may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complete a financing without prior CSE approval. In accordance with Policy 3, section 5.1, the .X extension is added to the listed securities of Issuers that the CSE has deemed to be inactive.</w:t>
      </w:r>
    </w:p>
    <w:p w14:paraId="4AD607F7" w14:textId="77777777" w:rsidR="00A46593" w:rsidRPr="000E5BEA" w:rsidRDefault="00A46593" w:rsidP="00DF3CD7">
      <w:pPr>
        <w:pStyle w:val="BodyText"/>
        <w:spacing w:before="0" w:line="259" w:lineRule="auto"/>
        <w:ind w:left="164" w:right="386"/>
        <w:contextualSpacing/>
        <w:jc w:val="both"/>
        <w:rPr>
          <w:rFonts w:asciiTheme="minorHAnsi" w:hAnsiTheme="minorHAnsi" w:cstheme="minorHAnsi"/>
        </w:rPr>
      </w:pPr>
    </w:p>
    <w:p w14:paraId="3341FDDA" w14:textId="33952EA2" w:rsidR="00A46593" w:rsidRDefault="00A46593" w:rsidP="00DF3CD7">
      <w:pPr>
        <w:pStyle w:val="List"/>
        <w:spacing w:before="0"/>
        <w:ind w:left="720" w:firstLine="0"/>
        <w:jc w:val="both"/>
        <w:rPr>
          <w:rFonts w:ascii="Arial" w:hAnsi="Arial" w:cs="Arial"/>
          <w:color w:val="1F497D" w:themeColor="text2"/>
          <w:lang w:val="en-US"/>
        </w:rPr>
      </w:pPr>
      <w:r w:rsidRPr="00F55BEA">
        <w:rPr>
          <w:rFonts w:ascii="Arial" w:hAnsi="Arial" w:cs="Arial"/>
          <w:color w:val="1F497D" w:themeColor="text2"/>
          <w:lang w:val="en-US"/>
        </w:rPr>
        <w:t>Shares began trading under the new name, symbol and with a new CUSIP number on November 3, 2021.</w:t>
      </w:r>
    </w:p>
    <w:p w14:paraId="295B08CB" w14:textId="77777777" w:rsidR="00DF3CD7" w:rsidRDefault="00DF3CD7" w:rsidP="00DF3CD7">
      <w:pPr>
        <w:pStyle w:val="List"/>
        <w:spacing w:before="0"/>
        <w:ind w:left="720" w:firstLine="0"/>
        <w:jc w:val="both"/>
        <w:rPr>
          <w:rFonts w:ascii="Arial" w:hAnsi="Arial" w:cs="Arial"/>
          <w:color w:val="1F497D" w:themeColor="text2"/>
          <w:lang w:val="en-US"/>
        </w:rPr>
      </w:pPr>
    </w:p>
    <w:p w14:paraId="7D2AB93E" w14:textId="7D5BFDE8" w:rsidR="00DF3CD7" w:rsidRDefault="00DF3CD7" w:rsidP="00DF3CD7">
      <w:pPr>
        <w:pStyle w:val="List"/>
        <w:spacing w:before="0"/>
        <w:ind w:left="720" w:firstLine="0"/>
        <w:jc w:val="both"/>
        <w:rPr>
          <w:rFonts w:ascii="Arial" w:hAnsi="Arial" w:cs="Arial"/>
          <w:color w:val="1F497D" w:themeColor="text2"/>
          <w:lang w:val="en-US"/>
        </w:rPr>
      </w:pPr>
      <w:r>
        <w:rPr>
          <w:rFonts w:ascii="Arial" w:hAnsi="Arial" w:cs="Arial"/>
          <w:color w:val="1F497D" w:themeColor="text2"/>
          <w:lang w:val="en-US"/>
        </w:rPr>
        <w:t xml:space="preserve">On </w:t>
      </w:r>
      <w:r w:rsidR="00870B95">
        <w:rPr>
          <w:rFonts w:ascii="Arial" w:hAnsi="Arial" w:cs="Arial"/>
          <w:color w:val="1F497D" w:themeColor="text2"/>
          <w:lang w:val="en-US"/>
        </w:rPr>
        <w:t>March 29</w:t>
      </w:r>
      <w:r>
        <w:rPr>
          <w:rFonts w:ascii="Arial" w:hAnsi="Arial" w:cs="Arial"/>
          <w:color w:val="1F497D" w:themeColor="text2"/>
          <w:lang w:val="en-US"/>
        </w:rPr>
        <w:t xml:space="preserve">, 2023, </w:t>
      </w:r>
      <w:r w:rsidR="00870B95" w:rsidRPr="00870B95">
        <w:rPr>
          <w:rFonts w:ascii="Arial" w:hAnsi="Arial" w:cs="Arial"/>
          <w:color w:val="1F497D" w:themeColor="text2"/>
          <w:lang w:val="en-US"/>
        </w:rPr>
        <w:t xml:space="preserve">is pleased to announce that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 LICAN Exploration Inc. ("LICAN") and the shareholders of LICAN have entered into a definitive share exchange agreement (the "Definitive Agreement") in respect of their previously </w:t>
      </w:r>
      <w:r w:rsidR="00870B95" w:rsidRPr="00870B95">
        <w:rPr>
          <w:rFonts w:ascii="Arial" w:hAnsi="Arial" w:cs="Arial"/>
          <w:color w:val="1F497D" w:themeColor="text2"/>
          <w:lang w:val="en-US"/>
        </w:rPr>
        <w:lastRenderedPageBreak/>
        <w:t xml:space="preserve">announced business combination (see January 18, </w:t>
      </w:r>
      <w:proofErr w:type="gramStart"/>
      <w:r w:rsidR="00870B95" w:rsidRPr="00870B95">
        <w:rPr>
          <w:rFonts w:ascii="Arial" w:hAnsi="Arial" w:cs="Arial"/>
          <w:color w:val="1F497D" w:themeColor="text2"/>
          <w:lang w:val="en-US"/>
        </w:rPr>
        <w:t>2023</w:t>
      </w:r>
      <w:proofErr w:type="gramEnd"/>
      <w:r w:rsidR="00870B95" w:rsidRPr="00870B95">
        <w:rPr>
          <w:rFonts w:ascii="Arial" w:hAnsi="Arial" w:cs="Arial"/>
          <w:color w:val="1F497D" w:themeColor="text2"/>
          <w:lang w:val="en-US"/>
        </w:rPr>
        <w:t xml:space="preserve"> news release). Under the terms of the Definitive Agreement,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 will acquire LICAN, and will continue as a mining issuer focused on the exploration and development of mineral properties in</w:t>
      </w:r>
      <w:r w:rsidR="00870B95">
        <w:rPr>
          <w:rFonts w:ascii="Arial" w:hAnsi="Arial" w:cs="Arial"/>
          <w:color w:val="1F497D" w:themeColor="text2"/>
          <w:lang w:val="en-US"/>
        </w:rPr>
        <w:t xml:space="preserve"> </w:t>
      </w:r>
      <w:r w:rsidR="00870B95" w:rsidRPr="00870B95">
        <w:rPr>
          <w:rFonts w:ascii="Arial" w:hAnsi="Arial" w:cs="Arial"/>
          <w:color w:val="1F497D" w:themeColor="text2"/>
          <w:lang w:val="en-US"/>
        </w:rPr>
        <w:t>Ontario (the "Transaction"). LICAN is a private Ontario company which has a portfolio of lithium exploration properties under option in Northern</w:t>
      </w:r>
      <w:r w:rsidR="00870B95">
        <w:rPr>
          <w:rFonts w:ascii="Arial" w:hAnsi="Arial" w:cs="Arial"/>
          <w:color w:val="1F497D" w:themeColor="text2"/>
          <w:lang w:val="en-US"/>
        </w:rPr>
        <w:t xml:space="preserve"> </w:t>
      </w:r>
      <w:r w:rsidR="00870B95" w:rsidRPr="00870B95">
        <w:rPr>
          <w:rFonts w:ascii="Arial" w:hAnsi="Arial" w:cs="Arial"/>
          <w:color w:val="1F497D" w:themeColor="text2"/>
          <w:lang w:val="en-US"/>
        </w:rPr>
        <w:t xml:space="preserve">Ontario (the "Optioned Properties"). Pursuant to the Definitive Agreement,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 has agreed to acquire </w:t>
      </w:r>
      <w:proofErr w:type="gramStart"/>
      <w:r w:rsidR="00870B95" w:rsidRPr="00870B95">
        <w:rPr>
          <w:rFonts w:ascii="Arial" w:hAnsi="Arial" w:cs="Arial"/>
          <w:color w:val="1F497D" w:themeColor="text2"/>
          <w:lang w:val="en-US"/>
        </w:rPr>
        <w:t>all of</w:t>
      </w:r>
      <w:proofErr w:type="gramEnd"/>
      <w:r w:rsidR="00870B95" w:rsidRPr="00870B95">
        <w:rPr>
          <w:rFonts w:ascii="Arial" w:hAnsi="Arial" w:cs="Arial"/>
          <w:color w:val="1F497D" w:themeColor="text2"/>
          <w:lang w:val="en-US"/>
        </w:rPr>
        <w:t xml:space="preserve"> the issued and outstanding shares of LICAN. Each LICAN shareholder will receive, in exchange for each LICAN share it holds, 0.4078 of a common share in the capital of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 at a deemed issuance price of $0.10 per share, resulting in the issuance of 4,975,160 </w:t>
      </w:r>
      <w:r w:rsidR="00870B95">
        <w:rPr>
          <w:rFonts w:ascii="Arial" w:hAnsi="Arial" w:cs="Arial"/>
          <w:color w:val="1F497D" w:themeColor="text2"/>
          <w:lang w:val="en-US"/>
        </w:rPr>
        <w:t>Issuer</w:t>
      </w:r>
      <w:r w:rsidR="00870B95" w:rsidRPr="00870B95">
        <w:rPr>
          <w:rFonts w:ascii="Arial" w:hAnsi="Arial" w:cs="Arial"/>
          <w:color w:val="1F497D" w:themeColor="text2"/>
          <w:lang w:val="en-US"/>
        </w:rPr>
        <w:t xml:space="preserve"> shares after giving effect to a 10:1 share consolidation of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's existing shares. At closing, and prior to giving effect to </w:t>
      </w:r>
      <w:r w:rsidR="00870B95">
        <w:rPr>
          <w:rFonts w:ascii="Arial" w:hAnsi="Arial" w:cs="Arial"/>
          <w:color w:val="1F497D" w:themeColor="text2"/>
          <w:lang w:val="en-US"/>
        </w:rPr>
        <w:t>the Issuer</w:t>
      </w:r>
      <w:r w:rsidR="00870B95" w:rsidRPr="00870B95">
        <w:rPr>
          <w:rFonts w:ascii="Arial" w:hAnsi="Arial" w:cs="Arial"/>
          <w:color w:val="1F497D" w:themeColor="text2"/>
          <w:lang w:val="en-US"/>
        </w:rPr>
        <w:t xml:space="preserve">'s $1,750,000 subscription receipt offering (see March 2, </w:t>
      </w:r>
      <w:proofErr w:type="gramStart"/>
      <w:r w:rsidR="00870B95" w:rsidRPr="00870B95">
        <w:rPr>
          <w:rFonts w:ascii="Arial" w:hAnsi="Arial" w:cs="Arial"/>
          <w:color w:val="1F497D" w:themeColor="text2"/>
          <w:lang w:val="en-US"/>
        </w:rPr>
        <w:t>2023</w:t>
      </w:r>
      <w:proofErr w:type="gramEnd"/>
      <w:r w:rsidR="00870B95" w:rsidRPr="00870B95">
        <w:rPr>
          <w:rFonts w:ascii="Arial" w:hAnsi="Arial" w:cs="Arial"/>
          <w:color w:val="1F497D" w:themeColor="text2"/>
          <w:lang w:val="en-US"/>
        </w:rPr>
        <w:t xml:space="preserve"> news release), existing </w:t>
      </w:r>
      <w:r w:rsidR="00870B95">
        <w:rPr>
          <w:rFonts w:ascii="Arial" w:hAnsi="Arial" w:cs="Arial"/>
          <w:color w:val="1F497D" w:themeColor="text2"/>
          <w:lang w:val="en-US"/>
        </w:rPr>
        <w:t>Issuer</w:t>
      </w:r>
      <w:r w:rsidR="00870B95" w:rsidRPr="00870B95">
        <w:rPr>
          <w:rFonts w:ascii="Arial" w:hAnsi="Arial" w:cs="Arial"/>
          <w:color w:val="1F497D" w:themeColor="text2"/>
          <w:lang w:val="en-US"/>
        </w:rPr>
        <w:t xml:space="preserve"> shareholders will hold approximately 75% of the combined entity (the "Resulting Issuer") and the former shareholders of LICAN will hold the remaining 25% interest. At closing, the Resulting Issuer will change its corporate name from "Cashbox Ventures Ltd." to "Volta Metals Ltd." and subject to the approval of the Canadian Securities Exchange (the "CSE"), trade on the CSE under a new trading symbol</w:t>
      </w:r>
      <w:r w:rsidRPr="00DF3CD7">
        <w:rPr>
          <w:rFonts w:ascii="Arial" w:hAnsi="Arial" w:cs="Arial"/>
          <w:color w:val="1F497D" w:themeColor="text2"/>
          <w:lang w:val="en-US"/>
        </w:rPr>
        <w:t>.</w:t>
      </w:r>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D71C1B" w14:textId="1C5821B4" w:rsidR="00516E4E" w:rsidRDefault="00DF3CD7" w:rsidP="00516E4E">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See Section 1 for discussion on the Proposed Transaction. </w:t>
      </w: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67ACCD7" w14:textId="4C1EC1C9" w:rsidR="00125159" w:rsidRPr="001064D1" w:rsidRDefault="00DC7B70" w:rsidP="001064D1">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2D0B0934" w14:textId="65D680D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5"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5"/>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6"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6"/>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6B2214C5"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69725B">
        <w:rPr>
          <w:rFonts w:ascii="Arial" w:hAnsi="Arial"/>
          <w:b/>
          <w:bCs/>
          <w:color w:val="1F497D" w:themeColor="text2"/>
          <w:u w:val="single"/>
        </w:rPr>
        <w:t>April 5</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96145">
        <w:rPr>
          <w:rFonts w:ascii="Arial" w:hAnsi="Arial"/>
          <w:b/>
          <w:bCs/>
          <w:color w:val="1F497D" w:themeColor="text2"/>
          <w:u w:val="single"/>
        </w:rPr>
        <w:t>3</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2C6C7E46" w:rsidR="005E49B0" w:rsidRPr="005140E0" w:rsidRDefault="004E286A" w:rsidP="005E49B0">
            <w:pPr>
              <w:rPr>
                <w:bCs/>
                <w:lang w:val="en-GB"/>
              </w:rPr>
            </w:pPr>
            <w:r>
              <w:rPr>
                <w:rFonts w:ascii="Arial" w:hAnsi="Arial"/>
                <w:bCs/>
                <w:sz w:val="24"/>
                <w:lang w:val="en-GB"/>
              </w:rPr>
              <w:t>March</w:t>
            </w:r>
            <w:r w:rsidR="00EE338F">
              <w:rPr>
                <w:rFonts w:ascii="Arial" w:hAnsi="Arial"/>
                <w:bCs/>
                <w:sz w:val="24"/>
                <w:lang w:val="en-GB"/>
              </w:rPr>
              <w:t xml:space="preserve"> 2023</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74EC1E71" w:rsidR="00C62644" w:rsidRPr="005140E0" w:rsidRDefault="00C62644" w:rsidP="00C62644">
            <w:pPr>
              <w:rPr>
                <w:bCs/>
                <w:lang w:val="en-GB"/>
              </w:rPr>
            </w:pPr>
            <w:r w:rsidRPr="005140E0">
              <w:rPr>
                <w:rFonts w:ascii="Arial" w:hAnsi="Arial"/>
                <w:bCs/>
                <w:sz w:val="24"/>
                <w:lang w:val="en-GB"/>
              </w:rPr>
              <w:t>2</w:t>
            </w:r>
            <w:r w:rsidR="00396145">
              <w:rPr>
                <w:rFonts w:ascii="Arial" w:hAnsi="Arial"/>
                <w:bCs/>
                <w:sz w:val="24"/>
                <w:lang w:val="en-GB"/>
              </w:rPr>
              <w:t>3</w:t>
            </w:r>
            <w:r w:rsidR="00FA3F5B" w:rsidRPr="005140E0">
              <w:rPr>
                <w:rFonts w:ascii="Arial" w:hAnsi="Arial"/>
                <w:bCs/>
                <w:sz w:val="24"/>
                <w:lang w:val="en-GB"/>
              </w:rPr>
              <w:t>/</w:t>
            </w:r>
            <w:r w:rsidR="00396145">
              <w:rPr>
                <w:rFonts w:ascii="Arial" w:hAnsi="Arial"/>
                <w:bCs/>
                <w:sz w:val="24"/>
                <w:lang w:val="en-GB"/>
              </w:rPr>
              <w:t>0</w:t>
            </w:r>
            <w:r w:rsidR="004E286A">
              <w:rPr>
                <w:rFonts w:ascii="Arial" w:hAnsi="Arial"/>
                <w:bCs/>
                <w:sz w:val="24"/>
                <w:lang w:val="en-GB"/>
              </w:rPr>
              <w:t>4</w:t>
            </w:r>
            <w:r w:rsidRPr="005140E0">
              <w:rPr>
                <w:rFonts w:ascii="Arial" w:hAnsi="Arial"/>
                <w:bCs/>
                <w:sz w:val="24"/>
                <w:lang w:val="en-GB"/>
              </w:rPr>
              <w:t>/</w:t>
            </w:r>
            <w:r w:rsidR="007A638F">
              <w:rPr>
                <w:rFonts w:ascii="Arial" w:hAnsi="Arial"/>
                <w:bCs/>
                <w:sz w:val="24"/>
                <w:lang w:val="en-GB"/>
              </w:rPr>
              <w:t>0</w:t>
            </w:r>
            <w:r w:rsidR="004E286A">
              <w:rPr>
                <w:rFonts w:ascii="Arial" w:hAnsi="Arial"/>
                <w:bCs/>
                <w:sz w:val="24"/>
                <w:lang w:val="en-GB"/>
              </w:rPr>
              <w:t>5</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EFF4" w14:textId="77777777" w:rsidR="00525362" w:rsidRDefault="00525362">
      <w:r>
        <w:separator/>
      </w:r>
    </w:p>
  </w:endnote>
  <w:endnote w:type="continuationSeparator" w:id="0">
    <w:p w14:paraId="5C1FC14C" w14:textId="77777777" w:rsidR="00525362" w:rsidRDefault="0052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B621" w14:textId="77777777" w:rsidR="00525362" w:rsidRDefault="00525362">
      <w:r>
        <w:separator/>
      </w:r>
    </w:p>
  </w:footnote>
  <w:footnote w:type="continuationSeparator" w:id="0">
    <w:p w14:paraId="1B1E0E0E" w14:textId="77777777" w:rsidR="00525362" w:rsidRDefault="0052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38CD"/>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479C"/>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145"/>
    <w:rsid w:val="00396C61"/>
    <w:rsid w:val="003A0C37"/>
    <w:rsid w:val="003A4006"/>
    <w:rsid w:val="003A5313"/>
    <w:rsid w:val="003A7FE6"/>
    <w:rsid w:val="003B5E98"/>
    <w:rsid w:val="003C0725"/>
    <w:rsid w:val="003C36AE"/>
    <w:rsid w:val="003C3E5C"/>
    <w:rsid w:val="003D0223"/>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E286A"/>
    <w:rsid w:val="004F288E"/>
    <w:rsid w:val="004F35E9"/>
    <w:rsid w:val="00501596"/>
    <w:rsid w:val="005140E0"/>
    <w:rsid w:val="0051540D"/>
    <w:rsid w:val="00516E4E"/>
    <w:rsid w:val="00520910"/>
    <w:rsid w:val="0052145B"/>
    <w:rsid w:val="005224B0"/>
    <w:rsid w:val="00525362"/>
    <w:rsid w:val="00526462"/>
    <w:rsid w:val="0053788A"/>
    <w:rsid w:val="00540F12"/>
    <w:rsid w:val="005453C8"/>
    <w:rsid w:val="005465FE"/>
    <w:rsid w:val="00551EEF"/>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0B3E"/>
    <w:rsid w:val="006639F5"/>
    <w:rsid w:val="00664DA3"/>
    <w:rsid w:val="00671C0F"/>
    <w:rsid w:val="006756AA"/>
    <w:rsid w:val="0069012C"/>
    <w:rsid w:val="006953BD"/>
    <w:rsid w:val="0069725B"/>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172C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0B95"/>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4115"/>
    <w:rsid w:val="0091456D"/>
    <w:rsid w:val="00922A46"/>
    <w:rsid w:val="00923717"/>
    <w:rsid w:val="00933A55"/>
    <w:rsid w:val="009348FC"/>
    <w:rsid w:val="00950AC4"/>
    <w:rsid w:val="0095352C"/>
    <w:rsid w:val="0095651A"/>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962D6"/>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B1D55"/>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DF3CD7"/>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E338F"/>
    <w:rsid w:val="00EF49BA"/>
    <w:rsid w:val="00EF5608"/>
    <w:rsid w:val="00F16141"/>
    <w:rsid w:val="00F24B44"/>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30</cp:revision>
  <cp:lastPrinted>2021-07-09T01:10:00Z</cp:lastPrinted>
  <dcterms:created xsi:type="dcterms:W3CDTF">2022-04-21T14:57:00Z</dcterms:created>
  <dcterms:modified xsi:type="dcterms:W3CDTF">2023-04-05T16:42:00Z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