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855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DA99C0" w14:textId="6E9F99D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8E1351">
        <w:rPr>
          <w:rFonts w:ascii="Arial" w:hAnsi="Arial"/>
          <w:b/>
          <w:bCs/>
          <w:color w:val="1F497D" w:themeColor="text2"/>
          <w:u w:val="single"/>
        </w:rPr>
        <w:t>CASHBOX VENTURES LTD.</w:t>
      </w:r>
      <w:r>
        <w:rPr>
          <w:rFonts w:ascii="Arial" w:hAnsi="Arial"/>
          <w:color w:val="000000"/>
          <w:u w:val="single"/>
        </w:rPr>
        <w:tab/>
      </w:r>
      <w:r>
        <w:rPr>
          <w:rFonts w:ascii="Arial" w:hAnsi="Arial"/>
          <w:color w:val="000000"/>
        </w:rPr>
        <w:t>(the “Issuer”).</w:t>
      </w:r>
    </w:p>
    <w:p w14:paraId="7E491C3C" w14:textId="1804F92F" w:rsidR="00640E94" w:rsidRDefault="00640E94" w:rsidP="00660593">
      <w:pPr>
        <w:pStyle w:val="BodyText"/>
        <w:tabs>
          <w:tab w:val="left" w:pos="235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8E1351">
        <w:rPr>
          <w:rFonts w:ascii="Arial" w:hAnsi="Arial"/>
          <w:b/>
          <w:bCs/>
          <w:color w:val="1F497D" w:themeColor="text2"/>
          <w:u w:val="single"/>
        </w:rPr>
        <w:t>CBOX.X</w:t>
      </w:r>
      <w:r w:rsidR="00660593">
        <w:rPr>
          <w:rFonts w:ascii="Arial" w:hAnsi="Arial"/>
          <w:color w:val="000000"/>
          <w:u w:val="single"/>
        </w:rPr>
        <w:tab/>
      </w:r>
      <w:r>
        <w:rPr>
          <w:rFonts w:ascii="Arial" w:hAnsi="Arial"/>
          <w:color w:val="000000"/>
          <w:u w:val="single"/>
        </w:rPr>
        <w:tab/>
      </w:r>
    </w:p>
    <w:p w14:paraId="79C68BD9" w14:textId="060EB4F3" w:rsidR="00A95D6F" w:rsidRPr="007E5D4E" w:rsidRDefault="00640E94" w:rsidP="001227B0">
      <w:pPr>
        <w:pStyle w:val="BodyText"/>
        <w:tabs>
          <w:tab w:val="left" w:pos="4860"/>
          <w:tab w:val="left" w:pos="7920"/>
          <w:tab w:val="left" w:pos="9180"/>
        </w:tabs>
        <w:rPr>
          <w:rFonts w:ascii="Arial" w:hAnsi="Arial"/>
          <w:b/>
          <w:bCs/>
          <w:color w:val="1F497D" w:themeColor="text2"/>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B25E8">
        <w:rPr>
          <w:rFonts w:ascii="Arial" w:hAnsi="Arial"/>
          <w:color w:val="000000"/>
        </w:rPr>
        <w:t xml:space="preserve">  </w:t>
      </w:r>
      <w:r>
        <w:rPr>
          <w:rFonts w:ascii="Arial" w:hAnsi="Arial"/>
          <w:color w:val="000000"/>
        </w:rPr>
        <w:t xml:space="preserve"> </w:t>
      </w:r>
      <w:r w:rsidR="00284AD8" w:rsidRPr="007E5D4E">
        <w:rPr>
          <w:rFonts w:ascii="Arial" w:hAnsi="Arial"/>
          <w:b/>
          <w:bCs/>
          <w:color w:val="1F497D" w:themeColor="text2"/>
          <w:u w:val="single"/>
        </w:rPr>
        <w:t>14</w:t>
      </w:r>
      <w:r w:rsidR="00AC1AB9">
        <w:rPr>
          <w:rFonts w:ascii="Arial" w:hAnsi="Arial"/>
          <w:b/>
          <w:bCs/>
          <w:color w:val="1F497D" w:themeColor="text2"/>
          <w:u w:val="single"/>
        </w:rPr>
        <w:t>8</w:t>
      </w:r>
      <w:r w:rsidR="00284AD8" w:rsidRPr="007E5D4E">
        <w:rPr>
          <w:rFonts w:ascii="Arial" w:hAnsi="Arial"/>
          <w:b/>
          <w:bCs/>
          <w:color w:val="1F497D" w:themeColor="text2"/>
          <w:u w:val="single"/>
        </w:rPr>
        <w:t>,</w:t>
      </w:r>
      <w:r w:rsidR="00853DA1">
        <w:rPr>
          <w:rFonts w:ascii="Arial" w:hAnsi="Arial"/>
          <w:b/>
          <w:bCs/>
          <w:color w:val="1F497D" w:themeColor="text2"/>
          <w:u w:val="single"/>
        </w:rPr>
        <w:t>752</w:t>
      </w:r>
      <w:r w:rsidR="00E021A2">
        <w:rPr>
          <w:rFonts w:ascii="Arial" w:hAnsi="Arial"/>
          <w:b/>
          <w:bCs/>
          <w:color w:val="1F497D" w:themeColor="text2"/>
          <w:u w:val="single"/>
        </w:rPr>
        <w:t>,477</w:t>
      </w:r>
      <w:r w:rsidR="00754A51" w:rsidRPr="007E5D4E">
        <w:rPr>
          <w:rFonts w:ascii="Arial" w:hAnsi="Arial"/>
          <w:b/>
          <w:bCs/>
          <w:color w:val="1F497D" w:themeColor="text2"/>
          <w:u w:val="single"/>
        </w:rPr>
        <w:t xml:space="preserve"> Comm</w:t>
      </w:r>
      <w:r w:rsidR="00933A55" w:rsidRPr="007E5D4E">
        <w:rPr>
          <w:rFonts w:ascii="Arial" w:hAnsi="Arial"/>
          <w:b/>
          <w:bCs/>
          <w:color w:val="1F497D" w:themeColor="text2"/>
          <w:u w:val="single"/>
        </w:rPr>
        <w:t>on Shares</w:t>
      </w:r>
      <w:r w:rsidR="0021227D" w:rsidRPr="007E5D4E">
        <w:rPr>
          <w:rFonts w:ascii="Arial" w:hAnsi="Arial"/>
          <w:b/>
          <w:bCs/>
          <w:color w:val="1F497D" w:themeColor="text2"/>
          <w:u w:val="single"/>
        </w:rPr>
        <w:t xml:space="preserve">   </w:t>
      </w:r>
    </w:p>
    <w:p w14:paraId="3966E40B" w14:textId="5280D36F" w:rsidR="00640E94" w:rsidRDefault="00640E94" w:rsidP="005D1F37">
      <w:pPr>
        <w:pStyle w:val="BodyText"/>
        <w:tabs>
          <w:tab w:val="left" w:pos="4515"/>
          <w:tab w:val="left" w:pos="4860"/>
          <w:tab w:val="left" w:pos="7920"/>
          <w:tab w:val="left" w:pos="9180"/>
        </w:tabs>
        <w:rPr>
          <w:rFonts w:ascii="Arial" w:hAnsi="Arial"/>
          <w:color w:val="000000"/>
        </w:rPr>
      </w:pPr>
      <w:r>
        <w:rPr>
          <w:rFonts w:ascii="Arial" w:hAnsi="Arial"/>
          <w:color w:val="000000"/>
        </w:rPr>
        <w:t xml:space="preserve">Date: </w:t>
      </w:r>
      <w:r w:rsidR="007172C8">
        <w:rPr>
          <w:rFonts w:ascii="Arial" w:hAnsi="Arial"/>
          <w:b/>
          <w:bCs/>
          <w:color w:val="1F497D" w:themeColor="text2"/>
          <w:u w:val="single"/>
        </w:rPr>
        <w:t>March 6</w:t>
      </w:r>
      <w:r w:rsidR="001E5ED0">
        <w:rPr>
          <w:rFonts w:ascii="Arial" w:hAnsi="Arial"/>
          <w:b/>
          <w:bCs/>
          <w:color w:val="1F497D" w:themeColor="text2"/>
          <w:u w:val="single"/>
        </w:rPr>
        <w:t>,</w:t>
      </w:r>
      <w:r w:rsidR="006639F5" w:rsidRPr="0023521A">
        <w:rPr>
          <w:rFonts w:ascii="Arial" w:hAnsi="Arial"/>
          <w:b/>
          <w:bCs/>
          <w:color w:val="1F497D" w:themeColor="text2"/>
          <w:u w:val="single"/>
        </w:rPr>
        <w:t xml:space="preserve"> 202</w:t>
      </w:r>
      <w:r w:rsidR="00396145">
        <w:rPr>
          <w:rFonts w:ascii="Arial" w:hAnsi="Arial"/>
          <w:b/>
          <w:bCs/>
          <w:color w:val="1F497D" w:themeColor="text2"/>
          <w:u w:val="single"/>
        </w:rPr>
        <w:t>3</w:t>
      </w:r>
    </w:p>
    <w:p w14:paraId="3B474886" w14:textId="269CCFCC"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r w:rsidR="00075F6C">
        <w:rPr>
          <w:rFonts w:ascii="Arial" w:hAnsi="Arial"/>
          <w:color w:val="000000"/>
        </w:rPr>
        <w:t>date,</w:t>
      </w:r>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8B5FDF1" w14:textId="6F742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r w:rsidR="00075F6C">
        <w:rPr>
          <w:rFonts w:ascii="Arial" w:hAnsi="Arial"/>
          <w:color w:val="000000"/>
        </w:rPr>
        <w:t>future</w:t>
      </w:r>
      <w:r>
        <w:rPr>
          <w:rFonts w:ascii="Arial" w:hAnsi="Arial"/>
          <w:color w:val="000000"/>
        </w:rPr>
        <w:t xml:space="preserve"> </w:t>
      </w:r>
      <w:r w:rsidR="00075F6C">
        <w:rPr>
          <w:rFonts w:ascii="Arial" w:hAnsi="Arial"/>
          <w:color w:val="000000"/>
        </w:rPr>
        <w:t xml:space="preserve">plans </w:t>
      </w:r>
      <w:r>
        <w:rPr>
          <w:rFonts w:ascii="Arial" w:hAnsi="Arial"/>
          <w:color w:val="000000"/>
        </w:rPr>
        <w:t xml:space="preserve">unless they have crystallized to the point that they are "material information" as defined in the Policies. The discussion in this report must be factual, </w:t>
      </w:r>
      <w:r w:rsidR="00075F6C">
        <w:rPr>
          <w:rFonts w:ascii="Arial" w:hAnsi="Arial"/>
          <w:color w:val="000000"/>
        </w:rPr>
        <w:t>balanced,</w:t>
      </w:r>
      <w:r>
        <w:rPr>
          <w:rFonts w:ascii="Arial" w:hAnsi="Arial"/>
          <w:color w:val="000000"/>
        </w:rPr>
        <w:t xml:space="preserve"> and non-promotional.</w:t>
      </w:r>
    </w:p>
    <w:p w14:paraId="3232B6EC" w14:textId="77777777" w:rsidR="004F288E" w:rsidRDefault="004F288E">
      <w:pPr>
        <w:pStyle w:val="List"/>
        <w:keepLines/>
        <w:spacing w:before="120"/>
        <w:ind w:left="0" w:firstLine="0"/>
        <w:rPr>
          <w:rFonts w:ascii="Arial" w:hAnsi="Arial"/>
          <w:b/>
        </w:rPr>
      </w:pPr>
    </w:p>
    <w:p w14:paraId="66D8C0D2" w14:textId="1BCA1274" w:rsidR="00640E94" w:rsidRDefault="00640E94">
      <w:pPr>
        <w:pStyle w:val="List"/>
        <w:keepLines/>
        <w:spacing w:before="120"/>
        <w:ind w:left="0" w:firstLine="0"/>
        <w:rPr>
          <w:rFonts w:ascii="Arial" w:hAnsi="Arial"/>
          <w:b/>
        </w:rPr>
      </w:pPr>
      <w:r>
        <w:rPr>
          <w:rFonts w:ascii="Arial" w:hAnsi="Arial"/>
          <w:b/>
        </w:rPr>
        <w:t>Report on Business</w:t>
      </w:r>
    </w:p>
    <w:p w14:paraId="45788A28" w14:textId="77777777" w:rsidR="000F2C49" w:rsidRDefault="00640E94" w:rsidP="000F2C49">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14E105A" w14:textId="04CD0519" w:rsidR="00A46593" w:rsidRPr="00A46593" w:rsidRDefault="00A46593" w:rsidP="00DF3CD7">
      <w:pPr>
        <w:pStyle w:val="BodyText"/>
        <w:spacing w:before="0" w:line="259" w:lineRule="auto"/>
        <w:ind w:left="720" w:right="386"/>
        <w:contextualSpacing/>
        <w:jc w:val="both"/>
        <w:rPr>
          <w:rFonts w:ascii="Arial" w:hAnsi="Arial" w:cs="Arial"/>
          <w:color w:val="1F497D" w:themeColor="text2"/>
          <w:lang w:val="en-US"/>
        </w:rPr>
      </w:pPr>
      <w:r w:rsidRPr="00A46593">
        <w:rPr>
          <w:rFonts w:ascii="Arial" w:hAnsi="Arial" w:cs="Arial"/>
          <w:color w:val="1F497D" w:themeColor="text2"/>
          <w:lang w:val="en-US"/>
        </w:rPr>
        <w:t xml:space="preserve">On October 29, 2021, the </w:t>
      </w:r>
      <w:r w:rsidR="008F76E5">
        <w:rPr>
          <w:rFonts w:ascii="Arial" w:hAnsi="Arial" w:cs="Arial"/>
          <w:color w:val="1F497D" w:themeColor="text2"/>
          <w:lang w:val="en-US"/>
        </w:rPr>
        <w:t xml:space="preserve">Issuer </w:t>
      </w:r>
      <w:r w:rsidRPr="00A46593">
        <w:rPr>
          <w:rFonts w:ascii="Arial" w:hAnsi="Arial" w:cs="Arial"/>
          <w:color w:val="1F497D" w:themeColor="text2"/>
          <w:lang w:val="en-US"/>
        </w:rPr>
        <w:t xml:space="preserve">announced a name and symbol change to Cashbox Ventures Ltd. (CBOX). The Canadian Security Exchange (CSE) determined that the </w:t>
      </w:r>
      <w:r w:rsidR="00345868">
        <w:rPr>
          <w:rFonts w:ascii="Arial" w:hAnsi="Arial" w:cs="Arial"/>
          <w:color w:val="1F497D" w:themeColor="text2"/>
          <w:lang w:val="en-US"/>
        </w:rPr>
        <w:t>Issuer</w:t>
      </w:r>
      <w:r w:rsidRPr="00A46593">
        <w:rPr>
          <w:rFonts w:ascii="Arial" w:hAnsi="Arial" w:cs="Arial"/>
          <w:color w:val="1F497D" w:themeColor="text2"/>
          <w:lang w:val="en-US"/>
        </w:rPr>
        <w:t xml:space="preserve"> had not met the continued listing requirements as set out in CSE Policy 2, Appendix A, section 2.9. Pursuant to Policy 6 section 2.4,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may not rely on confidential price protection, nor may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complete a financing without prior CSE approval. In accordance with Policy 3, section 5.1, the .X extension is added to the listed securities of Issuers that the CSE has deemed to be inactive.</w:t>
      </w:r>
    </w:p>
    <w:p w14:paraId="4AD607F7" w14:textId="77777777" w:rsidR="00A46593" w:rsidRPr="000E5BEA" w:rsidRDefault="00A46593" w:rsidP="00DF3CD7">
      <w:pPr>
        <w:pStyle w:val="BodyText"/>
        <w:spacing w:before="0" w:line="259" w:lineRule="auto"/>
        <w:ind w:left="164" w:right="386"/>
        <w:contextualSpacing/>
        <w:jc w:val="both"/>
        <w:rPr>
          <w:rFonts w:asciiTheme="minorHAnsi" w:hAnsiTheme="minorHAnsi" w:cstheme="minorHAnsi"/>
        </w:rPr>
      </w:pPr>
    </w:p>
    <w:p w14:paraId="3341FDDA" w14:textId="33952EA2" w:rsidR="00A46593" w:rsidRDefault="00A46593" w:rsidP="00DF3CD7">
      <w:pPr>
        <w:pStyle w:val="List"/>
        <w:spacing w:before="0"/>
        <w:ind w:left="720" w:firstLine="0"/>
        <w:jc w:val="both"/>
        <w:rPr>
          <w:rFonts w:ascii="Arial" w:hAnsi="Arial" w:cs="Arial"/>
          <w:color w:val="1F497D" w:themeColor="text2"/>
          <w:lang w:val="en-US"/>
        </w:rPr>
      </w:pPr>
      <w:r w:rsidRPr="00F55BEA">
        <w:rPr>
          <w:rFonts w:ascii="Arial" w:hAnsi="Arial" w:cs="Arial"/>
          <w:color w:val="1F497D" w:themeColor="text2"/>
          <w:lang w:val="en-US"/>
        </w:rPr>
        <w:t>Shares began trading under the new name, symbol and with a new CUSIP number on November 3, 2021.</w:t>
      </w:r>
    </w:p>
    <w:p w14:paraId="295B08CB" w14:textId="77777777" w:rsidR="00DF3CD7" w:rsidRDefault="00DF3CD7" w:rsidP="00DF3CD7">
      <w:pPr>
        <w:pStyle w:val="List"/>
        <w:spacing w:before="0"/>
        <w:ind w:left="720" w:firstLine="0"/>
        <w:jc w:val="both"/>
        <w:rPr>
          <w:rFonts w:ascii="Arial" w:hAnsi="Arial" w:cs="Arial"/>
          <w:color w:val="1F497D" w:themeColor="text2"/>
          <w:lang w:val="en-US"/>
        </w:rPr>
      </w:pPr>
    </w:p>
    <w:p w14:paraId="7D2AB93E" w14:textId="44A6E13A" w:rsidR="00DF3CD7" w:rsidRDefault="00DF3CD7" w:rsidP="00DF3CD7">
      <w:pPr>
        <w:pStyle w:val="List"/>
        <w:spacing w:before="0"/>
        <w:ind w:left="720" w:firstLine="0"/>
        <w:jc w:val="both"/>
        <w:rPr>
          <w:rFonts w:ascii="Arial" w:hAnsi="Arial" w:cs="Arial"/>
          <w:color w:val="1F497D" w:themeColor="text2"/>
          <w:lang w:val="en-US"/>
        </w:rPr>
      </w:pPr>
      <w:r>
        <w:rPr>
          <w:rFonts w:ascii="Arial" w:hAnsi="Arial" w:cs="Arial"/>
          <w:color w:val="1F497D" w:themeColor="text2"/>
          <w:lang w:val="en-US"/>
        </w:rPr>
        <w:t xml:space="preserve">On January 18, 2023, the Issuer announced </w:t>
      </w:r>
      <w:r w:rsidRPr="00DF3CD7">
        <w:rPr>
          <w:rFonts w:ascii="Arial" w:hAnsi="Arial" w:cs="Arial"/>
          <w:color w:val="1F497D" w:themeColor="text2"/>
          <w:lang w:val="en-US"/>
        </w:rPr>
        <w:t>it ha</w:t>
      </w:r>
      <w:r>
        <w:rPr>
          <w:rFonts w:ascii="Arial" w:hAnsi="Arial" w:cs="Arial"/>
          <w:color w:val="1F497D" w:themeColor="text2"/>
          <w:lang w:val="en-US"/>
        </w:rPr>
        <w:t>d</w:t>
      </w:r>
      <w:r w:rsidRPr="00DF3CD7">
        <w:rPr>
          <w:rFonts w:ascii="Arial" w:hAnsi="Arial" w:cs="Arial"/>
          <w:color w:val="1F497D" w:themeColor="text2"/>
          <w:lang w:val="en-US"/>
        </w:rPr>
        <w:t xml:space="preserve"> entered into a letter of intent with a privately-held lithium exploration company, LiCAN Exploration Inc. ("LiCAN"), dated January 13, 2023 (the "Letter of Intent") in respect of a proposed </w:t>
      </w:r>
      <w:r w:rsidRPr="00DF3CD7">
        <w:rPr>
          <w:rFonts w:ascii="Arial" w:hAnsi="Arial" w:cs="Arial"/>
          <w:color w:val="1F497D" w:themeColor="text2"/>
          <w:lang w:val="en-US"/>
        </w:rPr>
        <w:lastRenderedPageBreak/>
        <w:t>transaction whereby CashBox and LiCAN would combine their respective businesses by way of share exchange or asset acquisition (the "Proposed Transaction"). Pursuant to the Letter of Intent, CashBox and LiCAN have a 60 day period of exclusivity to complete their respective due diligence investigations, settle the structure of the Proposed Transaction and negotiate and enter into a definitive agreement (the "Definitive Agreement").</w:t>
      </w:r>
      <w:r>
        <w:rPr>
          <w:rFonts w:ascii="Arial" w:hAnsi="Arial" w:cs="Arial"/>
          <w:color w:val="1F497D" w:themeColor="text2"/>
          <w:lang w:val="en-US"/>
        </w:rPr>
        <w:t xml:space="preserve">  Concurrent with the Proposed Transaction, the Issuer intends to complete a financing </w:t>
      </w:r>
      <w:r w:rsidRPr="00DF3CD7">
        <w:rPr>
          <w:rFonts w:ascii="Arial" w:hAnsi="Arial" w:cs="Arial"/>
          <w:color w:val="1F497D" w:themeColor="text2"/>
          <w:lang w:val="en-US"/>
        </w:rPr>
        <w:t>to offer f</w:t>
      </w:r>
      <w:r>
        <w:rPr>
          <w:rFonts w:ascii="Arial" w:hAnsi="Arial" w:cs="Arial"/>
          <w:color w:val="1F497D" w:themeColor="text2"/>
          <w:lang w:val="en-US"/>
        </w:rPr>
        <w:t>Issuer</w:t>
      </w:r>
      <w:r w:rsidRPr="00DF3CD7">
        <w:rPr>
          <w:rFonts w:ascii="Arial" w:hAnsi="Arial" w:cs="Arial"/>
          <w:color w:val="1F497D" w:themeColor="text2"/>
          <w:lang w:val="en-US"/>
        </w:rPr>
        <w:t xml:space="preserve"> (each, a "Subscription Receipt") at a price of $0.10 per Subscription Receipt (the "Offering Price") for gross proceeds of up to $1,500,000. Upon the satisfaction of certain escrow release conditions customary for this type of transaction, including the closing of the Proposed Transaction (the "Escrow Release Conditions"), each Subscription Receipt will, pursuant to its terms and pursuant to the Proposed Transaction, result in the holder thereof being issued, for no additional consideration and without any further action by its holder, one common share in the capital of the </w:t>
      </w:r>
      <w:r>
        <w:rPr>
          <w:rFonts w:ascii="Arial" w:hAnsi="Arial" w:cs="Arial"/>
          <w:color w:val="1F497D" w:themeColor="text2"/>
          <w:lang w:val="en-US"/>
        </w:rPr>
        <w:t>Issuer</w:t>
      </w:r>
      <w:r w:rsidRPr="00DF3CD7">
        <w:rPr>
          <w:rFonts w:ascii="Arial" w:hAnsi="Arial" w:cs="Arial"/>
          <w:color w:val="1F497D" w:themeColor="text2"/>
          <w:lang w:val="en-US"/>
        </w:rPr>
        <w:t xml:space="preserve"> (as it will exist following the completion of the Proposed Transaction and after giving effect to a 10:1 consolidation of the </w:t>
      </w:r>
      <w:r>
        <w:rPr>
          <w:rFonts w:ascii="Arial" w:hAnsi="Arial" w:cs="Arial"/>
          <w:color w:val="1F497D" w:themeColor="text2"/>
          <w:lang w:val="en-US"/>
        </w:rPr>
        <w:t>Issuer</w:t>
      </w:r>
      <w:r w:rsidRPr="00DF3CD7">
        <w:rPr>
          <w:rFonts w:ascii="Arial" w:hAnsi="Arial" w:cs="Arial"/>
          <w:color w:val="1F497D" w:themeColor="text2"/>
          <w:lang w:val="en-US"/>
        </w:rPr>
        <w:t>'s common shares).</w:t>
      </w:r>
    </w:p>
    <w:p w14:paraId="153D828B" w14:textId="2490CD1B"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596775D" w14:textId="74AB04D1" w:rsidR="00744BD7" w:rsidRDefault="00267EBB" w:rsidP="00516E4E">
      <w:pPr>
        <w:pStyle w:val="List"/>
        <w:spacing w:before="120"/>
        <w:ind w:left="720" w:firstLine="0"/>
        <w:jc w:val="both"/>
        <w:rPr>
          <w:rFonts w:ascii="Arial" w:hAnsi="Arial" w:cs="Arial"/>
          <w:color w:val="1F497D" w:themeColor="text2"/>
        </w:rPr>
      </w:pPr>
      <w:r w:rsidRPr="00267EBB">
        <w:rPr>
          <w:rFonts w:ascii="Arial" w:hAnsi="Arial" w:cs="Arial"/>
          <w:color w:val="1F497D" w:themeColor="text2"/>
        </w:rPr>
        <w:t xml:space="preserve">With the </w:t>
      </w:r>
      <w:r w:rsidR="00FF4280">
        <w:rPr>
          <w:rFonts w:ascii="Arial" w:hAnsi="Arial" w:cs="Arial"/>
          <w:color w:val="1F497D" w:themeColor="text2"/>
        </w:rPr>
        <w:t xml:space="preserve">previously </w:t>
      </w:r>
      <w:r w:rsidR="00025C21">
        <w:rPr>
          <w:rFonts w:ascii="Arial" w:hAnsi="Arial" w:cs="Arial"/>
          <w:color w:val="1F497D" w:themeColor="text2"/>
        </w:rPr>
        <w:t xml:space="preserve">announced </w:t>
      </w:r>
      <w:r w:rsidR="00480B98">
        <w:rPr>
          <w:rFonts w:ascii="Arial" w:hAnsi="Arial" w:cs="Arial"/>
          <w:color w:val="1F497D" w:themeColor="text2"/>
        </w:rPr>
        <w:t>September 15</w:t>
      </w:r>
      <w:r w:rsidR="00480B98" w:rsidRPr="00480B98">
        <w:rPr>
          <w:rFonts w:ascii="Arial" w:hAnsi="Arial" w:cs="Arial"/>
          <w:color w:val="1F497D" w:themeColor="text2"/>
          <w:vertAlign w:val="superscript"/>
        </w:rPr>
        <w:t>th</w:t>
      </w:r>
      <w:r w:rsidR="00480B98">
        <w:rPr>
          <w:rFonts w:ascii="Arial" w:hAnsi="Arial" w:cs="Arial"/>
          <w:color w:val="1F497D" w:themeColor="text2"/>
        </w:rPr>
        <w:t>, 2021</w:t>
      </w:r>
      <w:r w:rsidR="00610D4B">
        <w:rPr>
          <w:rFonts w:ascii="Arial" w:hAnsi="Arial" w:cs="Arial"/>
          <w:color w:val="1F497D" w:themeColor="text2"/>
        </w:rPr>
        <w:t>,</w:t>
      </w:r>
      <w:r w:rsidR="00480B98">
        <w:rPr>
          <w:rFonts w:ascii="Arial" w:hAnsi="Arial" w:cs="Arial"/>
          <w:color w:val="1F497D" w:themeColor="text2"/>
        </w:rPr>
        <w:t xml:space="preserve"> </w:t>
      </w:r>
      <w:r w:rsidRPr="00267EBB">
        <w:rPr>
          <w:rFonts w:ascii="Arial" w:hAnsi="Arial" w:cs="Arial"/>
          <w:color w:val="1F497D" w:themeColor="text2"/>
        </w:rPr>
        <w:t xml:space="preserve">sale of </w:t>
      </w:r>
      <w:r w:rsidR="009658D3">
        <w:rPr>
          <w:rFonts w:ascii="Arial" w:hAnsi="Arial" w:cs="Arial"/>
          <w:color w:val="1F497D" w:themeColor="text2"/>
        </w:rPr>
        <w:t xml:space="preserve">substantially all of its </w:t>
      </w:r>
      <w:r w:rsidRPr="00267EBB">
        <w:rPr>
          <w:rFonts w:ascii="Arial" w:hAnsi="Arial" w:cs="Arial"/>
          <w:color w:val="1F497D" w:themeColor="text2"/>
        </w:rPr>
        <w:t xml:space="preserve">assets, the </w:t>
      </w:r>
      <w:r w:rsidR="00E23B7D">
        <w:rPr>
          <w:rFonts w:ascii="Arial" w:hAnsi="Arial" w:cs="Arial"/>
          <w:color w:val="1F497D" w:themeColor="text2"/>
        </w:rPr>
        <w:t>Issuer</w:t>
      </w:r>
      <w:r w:rsidRPr="00267EBB">
        <w:rPr>
          <w:rFonts w:ascii="Arial" w:hAnsi="Arial" w:cs="Arial"/>
          <w:color w:val="1F497D" w:themeColor="text2"/>
        </w:rPr>
        <w:t xml:space="preserve"> is no longer involved in any of its previous business operations. The business activities of the </w:t>
      </w:r>
      <w:r w:rsidR="00E23B7D">
        <w:rPr>
          <w:rFonts w:ascii="Arial" w:hAnsi="Arial" w:cs="Arial"/>
          <w:color w:val="1F497D" w:themeColor="text2"/>
        </w:rPr>
        <w:t>Issuer</w:t>
      </w:r>
      <w:r w:rsidRPr="00267EBB">
        <w:rPr>
          <w:rFonts w:ascii="Arial" w:hAnsi="Arial" w:cs="Arial"/>
          <w:color w:val="1F497D" w:themeColor="text2"/>
        </w:rPr>
        <w:t xml:space="preserve"> are expected to include the search and evaluation of new investment opportunities along with consideration of other strategic alternatives such as the distribution of assets to shareholders.</w:t>
      </w:r>
    </w:p>
    <w:p w14:paraId="7DD71C1B" w14:textId="1C5821B4" w:rsidR="00516E4E" w:rsidRDefault="00DF3CD7" w:rsidP="00516E4E">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See Section 1 for discussion on the Proposed Transaction. </w:t>
      </w:r>
    </w:p>
    <w:p w14:paraId="73C5B861" w14:textId="561BBE26"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F0FB424" w14:textId="78732D67" w:rsidR="009D06E1" w:rsidRDefault="00C57325" w:rsidP="008E7886">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381CB4">
        <w:rPr>
          <w:rFonts w:ascii="Arial" w:hAnsi="Arial" w:cs="Arial"/>
          <w:color w:val="1F497D" w:themeColor="text2"/>
        </w:rPr>
        <w:t xml:space="preserve">one </w:t>
      </w:r>
      <w:r w:rsidR="00063476">
        <w:rPr>
          <w:rFonts w:ascii="Arial" w:hAnsi="Arial" w:cs="Arial"/>
          <w:color w:val="1F497D" w:themeColor="text2"/>
        </w:rPr>
        <w:t>n</w:t>
      </w:r>
      <w:r w:rsidR="00381CB4">
        <w:rPr>
          <w:rFonts w:ascii="Arial" w:hAnsi="Arial" w:cs="Arial"/>
          <w:color w:val="1F497D" w:themeColor="text2"/>
        </w:rPr>
        <w:t>oted</w:t>
      </w:r>
      <w:r w:rsidR="00063476">
        <w:rPr>
          <w:rFonts w:ascii="Arial" w:hAnsi="Arial" w:cs="Arial"/>
          <w:color w:val="1F497D" w:themeColor="text2"/>
        </w:rPr>
        <w:t>.</w:t>
      </w:r>
    </w:p>
    <w:p w14:paraId="00DC527B" w14:textId="77777777" w:rsidR="00744BD7" w:rsidRPr="001F0F2B" w:rsidRDefault="00744BD7" w:rsidP="008E7886">
      <w:pPr>
        <w:pStyle w:val="List"/>
        <w:spacing w:before="120"/>
        <w:ind w:left="720" w:firstLine="0"/>
        <w:jc w:val="both"/>
        <w:rPr>
          <w:rFonts w:ascii="Arial" w:hAnsi="Arial" w:cs="Arial"/>
          <w:color w:val="1F497D" w:themeColor="text2"/>
        </w:rPr>
      </w:pPr>
    </w:p>
    <w:p w14:paraId="033F4FB0" w14:textId="70F90FDC"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C8F5F4A" w14:textId="41C71FF0" w:rsidR="00AC3585" w:rsidRDefault="00063476" w:rsidP="00AC358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784979D" w14:textId="77777777" w:rsidR="00744BD7" w:rsidRPr="00362901" w:rsidRDefault="00744BD7" w:rsidP="00AC3585">
      <w:pPr>
        <w:pStyle w:val="List"/>
        <w:spacing w:before="120"/>
        <w:ind w:left="720" w:firstLine="0"/>
        <w:jc w:val="both"/>
        <w:rPr>
          <w:rFonts w:ascii="Arial" w:hAnsi="Arial" w:cs="Arial"/>
          <w:color w:val="1F497D" w:themeColor="text2"/>
        </w:rPr>
      </w:pPr>
    </w:p>
    <w:p w14:paraId="2EE0BC86" w14:textId="4AA41D5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E39E4A4" w14:textId="57BD901D" w:rsidR="00744BD7" w:rsidRDefault="00063476" w:rsidP="009C6C69">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None noted.</w:t>
      </w:r>
    </w:p>
    <w:p w14:paraId="02A8654A" w14:textId="77777777" w:rsidR="004142D8" w:rsidRPr="00362901" w:rsidRDefault="004142D8" w:rsidP="009C6C69">
      <w:pPr>
        <w:pStyle w:val="List"/>
        <w:spacing w:before="120"/>
        <w:ind w:left="720" w:firstLine="0"/>
        <w:jc w:val="both"/>
        <w:rPr>
          <w:rFonts w:ascii="Arial" w:hAnsi="Arial" w:cs="Arial"/>
          <w:color w:val="1F497D" w:themeColor="text2"/>
        </w:rPr>
      </w:pPr>
    </w:p>
    <w:p w14:paraId="7EAD3340" w14:textId="5660EEDB"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5BF608AB" w14:textId="33643FB4" w:rsidR="00744BD7" w:rsidRDefault="004275C9" w:rsidP="00C6358E">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D1683F7" w14:textId="77777777" w:rsidR="00966D95" w:rsidRPr="00362901" w:rsidRDefault="00966D95" w:rsidP="00C6358E">
      <w:pPr>
        <w:pStyle w:val="List"/>
        <w:spacing w:before="120"/>
        <w:ind w:left="720" w:firstLine="0"/>
        <w:jc w:val="both"/>
        <w:rPr>
          <w:rFonts w:ascii="Arial" w:hAnsi="Arial" w:cs="Arial"/>
          <w:color w:val="1F497D" w:themeColor="text2"/>
        </w:rPr>
      </w:pPr>
    </w:p>
    <w:p w14:paraId="55941589" w14:textId="3AD2E629"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w:t>
      </w:r>
      <w:r w:rsidR="00843896">
        <w:rPr>
          <w:rFonts w:ascii="Arial" w:hAnsi="Arial"/>
        </w:rPr>
        <w:t xml:space="preserve"> </w:t>
      </w:r>
      <w:r>
        <w:rPr>
          <w:rFonts w:ascii="Arial" w:hAnsi="Arial"/>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30A3FB3" w14:textId="77777777" w:rsidR="00236F85" w:rsidRDefault="00236F85" w:rsidP="005D1F37">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67ACCD7" w14:textId="4C1EC1C9" w:rsidR="00125159" w:rsidRPr="001064D1" w:rsidRDefault="00DC7B70" w:rsidP="001064D1">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 </w:t>
      </w:r>
    </w:p>
    <w:p w14:paraId="2D0B0934" w14:textId="65D680D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11AD57B" w14:textId="5CDC43B2" w:rsidR="005C0571" w:rsidRDefault="00664DA3" w:rsidP="005C0571">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063476">
        <w:rPr>
          <w:rFonts w:ascii="Arial" w:hAnsi="Arial" w:cs="Arial"/>
          <w:color w:val="1F497D" w:themeColor="text2"/>
        </w:rPr>
        <w:t>one noted.</w:t>
      </w:r>
    </w:p>
    <w:p w14:paraId="3F3A7782" w14:textId="77777777" w:rsidR="00744BD7" w:rsidRPr="00362901" w:rsidRDefault="00744BD7" w:rsidP="005C0571">
      <w:pPr>
        <w:pStyle w:val="List"/>
        <w:spacing w:before="120"/>
        <w:ind w:left="720" w:firstLine="0"/>
        <w:jc w:val="both"/>
        <w:rPr>
          <w:rFonts w:ascii="Arial" w:hAnsi="Arial" w:cs="Arial"/>
          <w:color w:val="1F497D" w:themeColor="text2"/>
        </w:rPr>
      </w:pPr>
    </w:p>
    <w:p w14:paraId="1B6CE0F7" w14:textId="3A7EAD2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BF1F98B" w14:textId="0AAC8A3B" w:rsidR="00744BD7" w:rsidRDefault="00FB2CA0" w:rsidP="00557062">
      <w:pPr>
        <w:pStyle w:val="List"/>
        <w:spacing w:before="120"/>
        <w:ind w:left="720" w:firstLine="0"/>
        <w:jc w:val="both"/>
        <w:rPr>
          <w:rFonts w:ascii="Arial" w:hAnsi="Arial" w:cs="Arial"/>
          <w:color w:val="1F497D" w:themeColor="text2"/>
        </w:rPr>
      </w:pPr>
      <w:r w:rsidRPr="00FB2CA0">
        <w:rPr>
          <w:rFonts w:ascii="Arial" w:hAnsi="Arial" w:cs="Arial"/>
          <w:color w:val="1F497D" w:themeColor="text2"/>
        </w:rPr>
        <w:t>N</w:t>
      </w:r>
      <w:r w:rsidR="00063476">
        <w:rPr>
          <w:rFonts w:ascii="Arial" w:hAnsi="Arial" w:cs="Arial"/>
          <w:color w:val="1F497D" w:themeColor="text2"/>
        </w:rPr>
        <w:t>one noted.</w:t>
      </w:r>
    </w:p>
    <w:p w14:paraId="6E0F7B02" w14:textId="77777777" w:rsidR="00F85045" w:rsidRPr="00362901" w:rsidRDefault="00F85045" w:rsidP="00557062">
      <w:pPr>
        <w:pStyle w:val="List"/>
        <w:spacing w:before="120"/>
        <w:ind w:left="720" w:firstLine="0"/>
        <w:jc w:val="both"/>
        <w:rPr>
          <w:rFonts w:ascii="Arial" w:hAnsi="Arial" w:cs="Arial"/>
          <w:color w:val="1F497D" w:themeColor="text2"/>
        </w:rPr>
      </w:pPr>
    </w:p>
    <w:p w14:paraId="3AFF2BBD" w14:textId="3A41519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270B8ED" w14:textId="0D1CDF5C" w:rsidR="00744BD7" w:rsidRDefault="00063476" w:rsidP="005F3642">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w:t>
      </w:r>
      <w:r w:rsidR="008C0CD4">
        <w:rPr>
          <w:rFonts w:ascii="Arial" w:hAnsi="Arial" w:cs="Arial"/>
          <w:color w:val="1F497D" w:themeColor="text2"/>
        </w:rPr>
        <w:t>one noted.</w:t>
      </w:r>
    </w:p>
    <w:p w14:paraId="03219AB6" w14:textId="77777777" w:rsidR="00F85045" w:rsidRPr="00362901" w:rsidRDefault="00F85045" w:rsidP="005F3642">
      <w:pPr>
        <w:pStyle w:val="List"/>
        <w:spacing w:before="120"/>
        <w:ind w:left="720" w:firstLine="0"/>
        <w:jc w:val="both"/>
        <w:rPr>
          <w:rFonts w:ascii="Arial" w:hAnsi="Arial" w:cs="Arial"/>
          <w:color w:val="1F497D" w:themeColor="text2"/>
        </w:rPr>
      </w:pPr>
    </w:p>
    <w:p w14:paraId="6A3DBA7D" w14:textId="669DDF1A"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184E3B4" w14:textId="363BB663" w:rsidR="00B202BB" w:rsidRDefault="00B01ACF" w:rsidP="00B202BB">
      <w:pPr>
        <w:pStyle w:val="List"/>
        <w:spacing w:before="120"/>
        <w:ind w:left="720" w:firstLine="0"/>
        <w:jc w:val="both"/>
        <w:rPr>
          <w:rFonts w:ascii="Arial" w:hAnsi="Arial" w:cs="Arial"/>
          <w:color w:val="1F497D" w:themeColor="text2"/>
        </w:rPr>
      </w:pPr>
      <w:bookmarkStart w:id="5" w:name="_Hlk70896150"/>
      <w:r>
        <w:rPr>
          <w:rFonts w:ascii="Arial" w:hAnsi="Arial" w:cs="Arial"/>
          <w:color w:val="1F497D" w:themeColor="text2"/>
        </w:rPr>
        <w:t>N</w:t>
      </w:r>
      <w:r w:rsidR="008C0CD4">
        <w:rPr>
          <w:rFonts w:ascii="Arial" w:hAnsi="Arial" w:cs="Arial"/>
          <w:color w:val="1F497D" w:themeColor="text2"/>
        </w:rPr>
        <w:t>one noted.</w:t>
      </w:r>
    </w:p>
    <w:p w14:paraId="526D9AEE" w14:textId="77777777" w:rsidR="00744BD7" w:rsidRPr="00B202BB" w:rsidRDefault="00744BD7" w:rsidP="00B202BB">
      <w:pPr>
        <w:pStyle w:val="List"/>
        <w:spacing w:before="120"/>
        <w:ind w:left="720" w:firstLine="0"/>
        <w:jc w:val="both"/>
        <w:rPr>
          <w:rFonts w:ascii="Arial" w:hAnsi="Arial" w:cs="Arial"/>
          <w:color w:val="1F497D" w:themeColor="text2"/>
        </w:rPr>
      </w:pPr>
    </w:p>
    <w:bookmarkEnd w:id="5"/>
    <w:p w14:paraId="5D283C87" w14:textId="06229163"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3D5BF5A" w14:textId="478662BC" w:rsidR="009E701B" w:rsidRDefault="003F06D8" w:rsidP="003F06D8">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None </w:t>
      </w:r>
      <w:r w:rsidR="008C0CD4">
        <w:rPr>
          <w:rFonts w:ascii="Arial" w:hAnsi="Arial" w:cs="Arial"/>
          <w:color w:val="1F497D" w:themeColor="text2"/>
        </w:rPr>
        <w:t>noted.</w:t>
      </w:r>
    </w:p>
    <w:p w14:paraId="7F25586A" w14:textId="77777777" w:rsidR="009A6047" w:rsidRPr="00B202BB" w:rsidRDefault="009A6047" w:rsidP="003F06D8">
      <w:pPr>
        <w:pStyle w:val="List"/>
        <w:spacing w:before="120"/>
        <w:ind w:left="720" w:firstLine="0"/>
        <w:jc w:val="both"/>
        <w:rPr>
          <w:rFonts w:ascii="Arial" w:hAnsi="Arial" w:cs="Arial"/>
          <w:color w:val="1F497D" w:themeColor="text2"/>
        </w:rPr>
      </w:pPr>
    </w:p>
    <w:p w14:paraId="3C0F2CB7" w14:textId="77777777" w:rsidR="00F35D1B" w:rsidRPr="00791909" w:rsidRDefault="00640E94" w:rsidP="006B1FBF">
      <w:pPr>
        <w:pStyle w:val="List"/>
        <w:numPr>
          <w:ilvl w:val="0"/>
          <w:numId w:val="28"/>
        </w:numPr>
        <w:spacing w:before="120" w:line="259" w:lineRule="auto"/>
        <w:ind w:right="386"/>
        <w:contextualSpacing/>
        <w:jc w:val="both"/>
        <w:rPr>
          <w:rFonts w:asciiTheme="minorHAnsi" w:hAnsiTheme="minorHAnsi" w:cstheme="minorHAnsi"/>
        </w:rPr>
      </w:pPr>
      <w:r w:rsidRPr="00F35D1B">
        <w:rPr>
          <w:rFonts w:ascii="Arial" w:hAnsi="Arial"/>
        </w:rPr>
        <w:t>Provide details of any indebtedness incurred or repaid by the Issuer together with the terms of such indebtedness.</w:t>
      </w:r>
    </w:p>
    <w:p w14:paraId="62760DA7" w14:textId="1100D8B6" w:rsidR="00BA34DB" w:rsidRDefault="003A7FE6" w:rsidP="00FA3779">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21898385" w14:textId="77777777" w:rsidR="00C44417" w:rsidRDefault="00C44417" w:rsidP="00FA3779">
      <w:pPr>
        <w:pStyle w:val="List"/>
        <w:spacing w:before="120"/>
        <w:ind w:left="720" w:firstLine="0"/>
        <w:jc w:val="both"/>
        <w:rPr>
          <w:rFonts w:ascii="Arial" w:hAnsi="Arial" w:cs="Arial"/>
          <w:color w:val="1F497D" w:themeColor="text2"/>
        </w:rPr>
      </w:pPr>
    </w:p>
    <w:p w14:paraId="33874455" w14:textId="6CB0A8A9" w:rsidR="00C44417" w:rsidRDefault="00C44417" w:rsidP="00F24B44">
      <w:pPr>
        <w:pStyle w:val="List"/>
        <w:numPr>
          <w:ilvl w:val="0"/>
          <w:numId w:val="28"/>
        </w:numPr>
        <w:spacing w:before="120"/>
        <w:jc w:val="both"/>
        <w:rPr>
          <w:rFonts w:ascii="Arial" w:hAnsi="Arial"/>
        </w:rPr>
      </w:pPr>
      <w:r w:rsidRPr="00FA3779">
        <w:rPr>
          <w:rFonts w:ascii="Arial" w:hAnsi="Arial"/>
        </w:rPr>
        <w:t>Provide details of any securities issued and options or warrants granted.</w:t>
      </w:r>
    </w:p>
    <w:p w14:paraId="22CC952E" w14:textId="5CB09A24" w:rsidR="00AA5C97" w:rsidRDefault="00C57B43" w:rsidP="0005534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r w:rsidR="00A652B5">
        <w:rPr>
          <w:rFonts w:ascii="Arial" w:hAnsi="Arial" w:cs="Arial"/>
          <w:color w:val="1F497D" w:themeColor="text2"/>
        </w:rPr>
        <w:t xml:space="preserve">  </w:t>
      </w:r>
    </w:p>
    <w:p w14:paraId="17BD2CD5" w14:textId="77777777" w:rsidR="00AA5C97" w:rsidRDefault="00AA5C97" w:rsidP="00AA5C97">
      <w:pPr>
        <w:pStyle w:val="List"/>
        <w:spacing w:before="120"/>
        <w:ind w:left="1440" w:hanging="720"/>
        <w:jc w:val="both"/>
        <w:rPr>
          <w:rFonts w:ascii="Arial" w:hAnsi="Arial" w:cs="Arial"/>
          <w:color w:val="1F497D" w:themeColor="text2"/>
        </w:rPr>
      </w:pPr>
    </w:p>
    <w:p w14:paraId="176B28C3" w14:textId="41ECA29C"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E26FF88" w14:textId="77FCDC0D" w:rsidR="00E73B9D" w:rsidRDefault="003A7FE6" w:rsidP="00E73B9D">
      <w:pPr>
        <w:pStyle w:val="List"/>
        <w:keepNext/>
        <w:keepLines/>
        <w:spacing w:before="120"/>
        <w:ind w:left="720" w:firstLine="0"/>
        <w:jc w:val="both"/>
        <w:rPr>
          <w:rFonts w:ascii="Arial" w:hAnsi="Arial"/>
          <w:color w:val="1F497D" w:themeColor="text2"/>
        </w:rPr>
      </w:pPr>
      <w:bookmarkStart w:id="6" w:name="_Hlk89163356"/>
      <w:r>
        <w:rPr>
          <w:rFonts w:ascii="Arial" w:hAnsi="Arial"/>
          <w:color w:val="1F497D" w:themeColor="text2"/>
        </w:rPr>
        <w:t>None noted</w:t>
      </w:r>
      <w:r w:rsidR="00B278F9">
        <w:rPr>
          <w:rFonts w:ascii="Arial" w:hAnsi="Arial"/>
          <w:color w:val="1F497D" w:themeColor="text2"/>
        </w:rPr>
        <w:t>.</w:t>
      </w:r>
    </w:p>
    <w:p w14:paraId="12A18D29" w14:textId="77777777" w:rsidR="00F85045" w:rsidRDefault="00F85045" w:rsidP="00E73B9D">
      <w:pPr>
        <w:pStyle w:val="List"/>
        <w:keepNext/>
        <w:keepLines/>
        <w:spacing w:before="120"/>
        <w:ind w:left="720" w:firstLine="0"/>
        <w:jc w:val="both"/>
        <w:rPr>
          <w:rFonts w:ascii="Arial" w:hAnsi="Arial"/>
          <w:color w:val="1F497D" w:themeColor="text2"/>
        </w:rPr>
      </w:pPr>
    </w:p>
    <w:bookmarkEnd w:id="6"/>
    <w:p w14:paraId="050774B2" w14:textId="30FE3DD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4962AA8" w14:textId="222E2CB5" w:rsidR="000616D5" w:rsidRDefault="00196D76" w:rsidP="000616D5">
      <w:pPr>
        <w:pStyle w:val="List"/>
        <w:keepNext/>
        <w:keepLines/>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26E5EAB4" w14:textId="77777777" w:rsidR="00F85045" w:rsidRPr="00AB0378" w:rsidRDefault="00F85045" w:rsidP="000616D5">
      <w:pPr>
        <w:pStyle w:val="List"/>
        <w:keepNext/>
        <w:keepLines/>
        <w:spacing w:before="120"/>
        <w:ind w:left="720" w:firstLine="0"/>
        <w:jc w:val="both"/>
        <w:rPr>
          <w:rFonts w:ascii="Arial" w:hAnsi="Arial"/>
          <w:color w:val="1F497D" w:themeColor="text2"/>
        </w:rPr>
      </w:pPr>
    </w:p>
    <w:p w14:paraId="132B96E1" w14:textId="43121B9A" w:rsidR="0041532F"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83B46">
        <w:rPr>
          <w:rFonts w:ascii="Arial" w:hAnsi="Arial"/>
        </w:rPr>
        <w:t>.</w:t>
      </w:r>
    </w:p>
    <w:p w14:paraId="4E555C81" w14:textId="4D8C7614" w:rsidR="0038027C" w:rsidRDefault="00006422" w:rsidP="0038027C">
      <w:pPr>
        <w:pStyle w:val="List"/>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6CFBDB1F" w14:textId="77777777" w:rsidR="00F85045" w:rsidRDefault="00F85045" w:rsidP="0038027C">
      <w:pPr>
        <w:pStyle w:val="List"/>
        <w:spacing w:before="120"/>
        <w:ind w:left="720" w:firstLine="0"/>
        <w:jc w:val="both"/>
        <w:rPr>
          <w:rFonts w:ascii="Arial" w:hAnsi="Arial"/>
          <w:color w:val="1F497D" w:themeColor="text2"/>
        </w:rPr>
      </w:pPr>
    </w:p>
    <w:p w14:paraId="4E5DBEED" w14:textId="0DA0A5DC" w:rsidR="00640E94" w:rsidRDefault="00640E94">
      <w:pPr>
        <w:pStyle w:val="List"/>
        <w:keepNext/>
        <w:spacing w:before="120"/>
        <w:ind w:left="0" w:firstLine="0"/>
        <w:rPr>
          <w:rFonts w:ascii="Arial" w:hAnsi="Arial"/>
          <w:b/>
        </w:rPr>
      </w:pPr>
      <w:r>
        <w:rPr>
          <w:rFonts w:ascii="Arial" w:hAnsi="Arial"/>
          <w:b/>
        </w:rPr>
        <w:t>Certificate Of Compliance</w:t>
      </w:r>
    </w:p>
    <w:p w14:paraId="7D725A31" w14:textId="77777777" w:rsidR="00640E94" w:rsidRDefault="00640E94">
      <w:pPr>
        <w:pStyle w:val="BodyText"/>
        <w:keepNext/>
        <w:rPr>
          <w:rFonts w:ascii="Arial" w:hAnsi="Arial"/>
        </w:rPr>
      </w:pPr>
      <w:r>
        <w:rPr>
          <w:rFonts w:ascii="Arial" w:hAnsi="Arial"/>
        </w:rPr>
        <w:t>The undersigned hereby certifies that:</w:t>
      </w:r>
    </w:p>
    <w:p w14:paraId="26FB10A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BB6E87" w14:textId="5584ABAC"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98BF4E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4017AB" w14:textId="40ADF0EC"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0E5811B" w14:textId="77777777" w:rsidR="00396C61" w:rsidRDefault="00396C61" w:rsidP="00FA3D1B">
      <w:pPr>
        <w:pStyle w:val="BodyText"/>
        <w:tabs>
          <w:tab w:val="left" w:pos="4680"/>
          <w:tab w:val="left" w:pos="7200"/>
        </w:tabs>
        <w:spacing w:before="480"/>
        <w:jc w:val="both"/>
        <w:rPr>
          <w:rFonts w:ascii="Arial" w:hAnsi="Arial"/>
        </w:rPr>
      </w:pPr>
    </w:p>
    <w:p w14:paraId="108FE0BD" w14:textId="2AC8EBB2" w:rsidR="00FA3D1B" w:rsidRDefault="00640E94" w:rsidP="00FA3D1B">
      <w:pPr>
        <w:pStyle w:val="BodyText"/>
        <w:tabs>
          <w:tab w:val="left" w:pos="4680"/>
          <w:tab w:val="left" w:pos="7200"/>
        </w:tabs>
        <w:spacing w:before="480"/>
        <w:jc w:val="both"/>
        <w:rPr>
          <w:rFonts w:ascii="Arial" w:hAnsi="Arial"/>
        </w:rPr>
      </w:pPr>
      <w:r>
        <w:rPr>
          <w:rFonts w:ascii="Arial" w:hAnsi="Arial"/>
        </w:rPr>
        <w:t xml:space="preserve">Dated </w:t>
      </w:r>
      <w:r w:rsidR="007172C8">
        <w:rPr>
          <w:rFonts w:ascii="Arial" w:hAnsi="Arial"/>
          <w:b/>
          <w:bCs/>
          <w:color w:val="1F497D" w:themeColor="text2"/>
          <w:u w:val="single"/>
        </w:rPr>
        <w:t>March 6</w:t>
      </w:r>
      <w:r w:rsidR="001B6924">
        <w:rPr>
          <w:rFonts w:ascii="Arial" w:hAnsi="Arial"/>
          <w:b/>
          <w:bCs/>
          <w:color w:val="1F497D" w:themeColor="text2"/>
          <w:u w:val="single"/>
        </w:rPr>
        <w:t>,</w:t>
      </w:r>
      <w:r w:rsidR="00FA3D1B" w:rsidRPr="00336D42">
        <w:rPr>
          <w:rFonts w:ascii="Arial" w:hAnsi="Arial"/>
          <w:b/>
          <w:bCs/>
          <w:color w:val="1F497D" w:themeColor="text2"/>
          <w:u w:val="single"/>
        </w:rPr>
        <w:t xml:space="preserve"> 202</w:t>
      </w:r>
      <w:r w:rsidR="00396145">
        <w:rPr>
          <w:rFonts w:ascii="Arial" w:hAnsi="Arial"/>
          <w:b/>
          <w:bCs/>
          <w:color w:val="1F497D" w:themeColor="text2"/>
          <w:u w:val="single"/>
        </w:rPr>
        <w:t>3</w:t>
      </w:r>
    </w:p>
    <w:p w14:paraId="0C9DB4CC" w14:textId="0E7CE509" w:rsidR="00A02F89" w:rsidRDefault="00A02F89" w:rsidP="00A02F89">
      <w:pPr>
        <w:pStyle w:val="List"/>
        <w:tabs>
          <w:tab w:val="left" w:pos="9180"/>
        </w:tabs>
        <w:ind w:left="5760" w:hanging="5760"/>
        <w:rPr>
          <w:rFonts w:ascii="Arial" w:hAnsi="Arial"/>
        </w:rPr>
      </w:pPr>
      <w:r>
        <w:rPr>
          <w:rFonts w:ascii="Arial" w:hAnsi="Arial"/>
        </w:rPr>
        <w:tab/>
      </w:r>
      <w:r w:rsidRPr="00A02F89">
        <w:rPr>
          <w:bCs/>
          <w:color w:val="1F497D" w:themeColor="text2"/>
          <w:u w:val="single"/>
        </w:rPr>
        <w:t xml:space="preserve"> </w:t>
      </w:r>
      <w:r w:rsidR="00396C61">
        <w:rPr>
          <w:rFonts w:ascii="Arial" w:hAnsi="Arial"/>
          <w:b/>
          <w:bCs/>
          <w:color w:val="1F497D" w:themeColor="text2"/>
          <w:u w:val="single"/>
        </w:rPr>
        <w:t>Mathew Lee</w:t>
      </w:r>
      <w:r w:rsidR="00396C61">
        <w:rPr>
          <w:rFonts w:ascii="Arial" w:hAnsi="Arial"/>
          <w:b/>
          <w:bCs/>
          <w:color w:val="1F497D" w:themeColor="text2"/>
          <w:u w:val="single"/>
        </w:rPr>
        <w:tab/>
      </w:r>
      <w:r>
        <w:rPr>
          <w:rFonts w:ascii="Arial" w:hAnsi="Arial"/>
          <w:u w:val="single"/>
        </w:rPr>
        <w:br/>
      </w:r>
      <w:r>
        <w:rPr>
          <w:rFonts w:ascii="Arial" w:hAnsi="Arial"/>
        </w:rPr>
        <w:t>Name of Director or Senior Officer</w:t>
      </w:r>
    </w:p>
    <w:p w14:paraId="192DB487" w14:textId="032890F8" w:rsidR="00A02F89" w:rsidRDefault="00A02F89" w:rsidP="00A02F89">
      <w:pPr>
        <w:pStyle w:val="List"/>
        <w:tabs>
          <w:tab w:val="left" w:pos="9180"/>
          <w:tab w:val="left" w:pos="9360"/>
        </w:tabs>
        <w:ind w:left="5760" w:hanging="5760"/>
        <w:rPr>
          <w:rFonts w:ascii="Arial" w:hAnsi="Arial"/>
        </w:rPr>
      </w:pPr>
      <w:r>
        <w:rPr>
          <w:rFonts w:ascii="Arial" w:hAnsi="Arial"/>
        </w:rPr>
        <w:lastRenderedPageBreak/>
        <w:tab/>
      </w:r>
      <w:r w:rsidR="00396C61" w:rsidRPr="00396C61">
        <w:rPr>
          <w:rFonts w:ascii="Arial" w:hAnsi="Arial"/>
          <w:b/>
          <w:bCs/>
          <w:color w:val="1F497D" w:themeColor="text2"/>
          <w:u w:val="single"/>
        </w:rPr>
        <w:t>“</w:t>
      </w:r>
      <w:r w:rsidR="00396C61" w:rsidRPr="00396C61">
        <w:rPr>
          <w:rFonts w:ascii="Arial" w:hAnsi="Arial"/>
          <w:b/>
          <w:bCs/>
          <w:i/>
          <w:iCs/>
          <w:color w:val="1F497D" w:themeColor="text2"/>
          <w:u w:val="single"/>
        </w:rPr>
        <w:t>Mathew Lee”</w:t>
      </w:r>
      <w:r w:rsidRPr="00396C61">
        <w:rPr>
          <w:rFonts w:ascii="Arial" w:hAnsi="Arial"/>
          <w:color w:val="1F497D" w:themeColor="text2"/>
          <w:u w:val="single"/>
        </w:rPr>
        <w:tab/>
      </w:r>
      <w:r>
        <w:rPr>
          <w:rFonts w:ascii="Arial" w:hAnsi="Arial"/>
        </w:rPr>
        <w:br/>
        <w:t>Signature</w:t>
      </w:r>
    </w:p>
    <w:p w14:paraId="57F90908" w14:textId="77777777" w:rsidR="00396C61" w:rsidRDefault="00396C61" w:rsidP="00A02F89">
      <w:pPr>
        <w:pStyle w:val="BodyText"/>
        <w:tabs>
          <w:tab w:val="left" w:pos="9180"/>
        </w:tabs>
        <w:spacing w:before="0"/>
        <w:ind w:left="5760"/>
        <w:rPr>
          <w:rFonts w:ascii="Arial" w:hAnsi="Arial"/>
          <w:b/>
          <w:bCs/>
          <w:color w:val="1F497D" w:themeColor="text2"/>
          <w:u w:val="single"/>
        </w:rPr>
      </w:pPr>
    </w:p>
    <w:p w14:paraId="09735E49" w14:textId="43BA2A64" w:rsidR="00A02F89" w:rsidRDefault="00A02F89" w:rsidP="00A02F89">
      <w:pPr>
        <w:pStyle w:val="BodyText"/>
        <w:tabs>
          <w:tab w:val="left" w:pos="9180"/>
        </w:tabs>
        <w:spacing w:before="0"/>
        <w:ind w:left="5760"/>
        <w:rPr>
          <w:rFonts w:ascii="Arial" w:hAnsi="Arial"/>
        </w:rPr>
      </w:pPr>
      <w:r w:rsidRPr="00002DB2">
        <w:rPr>
          <w:rFonts w:ascii="Arial" w:hAnsi="Arial"/>
          <w:b/>
          <w:bCs/>
          <w:color w:val="1F497D" w:themeColor="text2"/>
          <w:u w:val="single"/>
        </w:rPr>
        <w:t>Chief Financial Officer</w:t>
      </w:r>
      <w:r>
        <w:rPr>
          <w:rFonts w:ascii="Arial" w:hAnsi="Arial"/>
          <w:u w:val="single"/>
        </w:rPr>
        <w:tab/>
      </w:r>
      <w:r>
        <w:rPr>
          <w:rFonts w:ascii="Arial" w:hAnsi="Arial"/>
        </w:rPr>
        <w:br/>
        <w:t>Official Capacity</w:t>
      </w:r>
    </w:p>
    <w:bookmarkEnd w:id="4"/>
    <w:p w14:paraId="5401CB0F" w14:textId="77777777" w:rsidR="00640E94" w:rsidRDefault="00640E94">
      <w:pPr>
        <w:pStyle w:val="BodyText"/>
        <w:tabs>
          <w:tab w:val="left" w:pos="9180"/>
        </w:tabs>
        <w:spacing w:before="0"/>
        <w:ind w:left="5760"/>
        <w:rPr>
          <w:rFonts w:ascii="Arial" w:hAnsi="Arial"/>
        </w:rPr>
      </w:pPr>
    </w:p>
    <w:tbl>
      <w:tblPr>
        <w:tblW w:w="94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552"/>
      </w:tblGrid>
      <w:tr w:rsidR="00640E94" w14:paraId="43A5B2DC" w14:textId="77777777" w:rsidTr="00227149">
        <w:tc>
          <w:tcPr>
            <w:tcW w:w="4878" w:type="dxa"/>
            <w:tcBorders>
              <w:top w:val="single" w:sz="18" w:space="0" w:color="auto"/>
              <w:bottom w:val="nil"/>
              <w:right w:val="single" w:sz="18" w:space="0" w:color="auto"/>
            </w:tcBorders>
          </w:tcPr>
          <w:p w14:paraId="63D7E579" w14:textId="77777777" w:rsidR="00640E94" w:rsidRPr="005140E0" w:rsidRDefault="00640E94">
            <w:pPr>
              <w:pStyle w:val="BodyText"/>
              <w:spacing w:before="0"/>
              <w:rPr>
                <w:rFonts w:ascii="Arial" w:hAnsi="Arial"/>
                <w:bCs/>
                <w:i/>
              </w:rPr>
            </w:pPr>
            <w:r w:rsidRPr="005140E0">
              <w:rPr>
                <w:rFonts w:ascii="Arial" w:hAnsi="Arial"/>
                <w:bCs/>
                <w:i/>
              </w:rPr>
              <w:t>Issuer Details</w:t>
            </w:r>
          </w:p>
          <w:p w14:paraId="6C8B49CA" w14:textId="77777777" w:rsidR="00640E94" w:rsidRPr="005140E0" w:rsidRDefault="00640E94">
            <w:pPr>
              <w:pStyle w:val="BodyText"/>
              <w:spacing w:before="0"/>
              <w:rPr>
                <w:rFonts w:ascii="Arial" w:hAnsi="Arial"/>
                <w:bCs/>
              </w:rPr>
            </w:pPr>
            <w:r w:rsidRPr="005140E0">
              <w:rPr>
                <w:rFonts w:ascii="Arial" w:hAnsi="Arial"/>
                <w:bCs/>
              </w:rPr>
              <w:t>Name of Issuer</w:t>
            </w:r>
          </w:p>
          <w:p w14:paraId="369ACDBC" w14:textId="5C522C17" w:rsidR="00640E94" w:rsidRPr="005140E0" w:rsidRDefault="004F35E9" w:rsidP="009C5AA3">
            <w:pPr>
              <w:pStyle w:val="BodyText"/>
              <w:spacing w:before="0"/>
              <w:rPr>
                <w:rFonts w:ascii="Arial" w:hAnsi="Arial"/>
                <w:bCs/>
              </w:rPr>
            </w:pPr>
            <w:r w:rsidRPr="005140E0">
              <w:rPr>
                <w:rFonts w:ascii="Arial" w:hAnsi="Arial"/>
                <w:bCs/>
              </w:rPr>
              <w:t>Cashbox Ventures Ltd.</w:t>
            </w:r>
          </w:p>
        </w:tc>
        <w:tc>
          <w:tcPr>
            <w:tcW w:w="2045" w:type="dxa"/>
            <w:tcBorders>
              <w:top w:val="single" w:sz="18" w:space="0" w:color="auto"/>
              <w:left w:val="single" w:sz="18" w:space="0" w:color="auto"/>
              <w:bottom w:val="nil"/>
              <w:right w:val="single" w:sz="18" w:space="0" w:color="auto"/>
            </w:tcBorders>
          </w:tcPr>
          <w:p w14:paraId="712E1AA5" w14:textId="3A313722" w:rsidR="00640E94" w:rsidRPr="005140E0" w:rsidRDefault="00640E94">
            <w:pPr>
              <w:pStyle w:val="BodyText"/>
              <w:spacing w:before="0"/>
              <w:rPr>
                <w:rFonts w:ascii="Arial" w:hAnsi="Arial"/>
                <w:bCs/>
              </w:rPr>
            </w:pPr>
            <w:r w:rsidRPr="005140E0">
              <w:rPr>
                <w:rFonts w:ascii="Arial" w:hAnsi="Arial"/>
                <w:bCs/>
              </w:rPr>
              <w:t xml:space="preserve">For </w:t>
            </w:r>
            <w:r w:rsidR="005140E0" w:rsidRPr="005140E0">
              <w:rPr>
                <w:rFonts w:ascii="Arial" w:hAnsi="Arial"/>
                <w:bCs/>
              </w:rPr>
              <w:t>the</w:t>
            </w:r>
            <w:r w:rsidRPr="005140E0">
              <w:rPr>
                <w:rFonts w:ascii="Arial" w:hAnsi="Arial"/>
                <w:bCs/>
              </w:rPr>
              <w:t xml:space="preserve"> Month End</w:t>
            </w:r>
          </w:p>
          <w:p w14:paraId="673891DD" w14:textId="77777777" w:rsidR="00396C61" w:rsidRPr="005140E0" w:rsidRDefault="00396C61" w:rsidP="005E49B0">
            <w:pPr>
              <w:rPr>
                <w:rFonts w:ascii="Arial" w:hAnsi="Arial"/>
                <w:bCs/>
                <w:sz w:val="24"/>
                <w:lang w:val="en-GB"/>
              </w:rPr>
            </w:pPr>
          </w:p>
          <w:p w14:paraId="6BD368CE" w14:textId="19C8CC5F" w:rsidR="005E49B0" w:rsidRPr="005140E0" w:rsidRDefault="007172C8" w:rsidP="005E49B0">
            <w:pPr>
              <w:rPr>
                <w:bCs/>
                <w:lang w:val="en-GB"/>
              </w:rPr>
            </w:pPr>
            <w:r>
              <w:rPr>
                <w:rFonts w:ascii="Arial" w:hAnsi="Arial"/>
                <w:bCs/>
                <w:sz w:val="24"/>
                <w:lang w:val="en-GB"/>
              </w:rPr>
              <w:t>February</w:t>
            </w:r>
            <w:r w:rsidR="00EE338F">
              <w:rPr>
                <w:rFonts w:ascii="Arial" w:hAnsi="Arial"/>
                <w:bCs/>
                <w:sz w:val="24"/>
                <w:lang w:val="en-GB"/>
              </w:rPr>
              <w:t xml:space="preserve"> 2023</w:t>
            </w:r>
          </w:p>
        </w:tc>
        <w:tc>
          <w:tcPr>
            <w:tcW w:w="2552" w:type="dxa"/>
            <w:tcBorders>
              <w:top w:val="single" w:sz="18" w:space="0" w:color="auto"/>
              <w:left w:val="single" w:sz="18" w:space="0" w:color="auto"/>
              <w:bottom w:val="nil"/>
            </w:tcBorders>
          </w:tcPr>
          <w:p w14:paraId="286899ED" w14:textId="77777777" w:rsidR="00640E94" w:rsidRPr="005140E0" w:rsidRDefault="00640E94">
            <w:pPr>
              <w:pStyle w:val="BodyText"/>
              <w:spacing w:before="0"/>
              <w:rPr>
                <w:rFonts w:ascii="Arial" w:hAnsi="Arial"/>
                <w:bCs/>
              </w:rPr>
            </w:pPr>
            <w:r w:rsidRPr="005140E0">
              <w:rPr>
                <w:rFonts w:ascii="Arial" w:hAnsi="Arial"/>
                <w:bCs/>
              </w:rPr>
              <w:t>Date of Report</w:t>
            </w:r>
          </w:p>
          <w:p w14:paraId="46476809" w14:textId="77777777" w:rsidR="00640E94" w:rsidRPr="005140E0" w:rsidRDefault="00640E94">
            <w:pPr>
              <w:pStyle w:val="BodyText"/>
              <w:spacing w:before="0"/>
              <w:rPr>
                <w:rFonts w:ascii="Arial" w:hAnsi="Arial"/>
                <w:bCs/>
              </w:rPr>
            </w:pPr>
            <w:r w:rsidRPr="005140E0">
              <w:rPr>
                <w:rFonts w:ascii="Arial" w:hAnsi="Arial"/>
                <w:bCs/>
              </w:rPr>
              <w:t>YY/MM/D</w:t>
            </w:r>
          </w:p>
          <w:p w14:paraId="492A64EF" w14:textId="77777777" w:rsidR="00141FB1" w:rsidRDefault="00141FB1" w:rsidP="00C62644">
            <w:pPr>
              <w:rPr>
                <w:rFonts w:ascii="Arial" w:hAnsi="Arial"/>
                <w:bCs/>
                <w:sz w:val="24"/>
                <w:lang w:val="en-GB"/>
              </w:rPr>
            </w:pPr>
          </w:p>
          <w:p w14:paraId="4FE5F2F0" w14:textId="2A45BB1F" w:rsidR="00C62644" w:rsidRPr="005140E0" w:rsidRDefault="00C62644" w:rsidP="00C62644">
            <w:pPr>
              <w:rPr>
                <w:bCs/>
                <w:lang w:val="en-GB"/>
              </w:rPr>
            </w:pPr>
            <w:r w:rsidRPr="005140E0">
              <w:rPr>
                <w:rFonts w:ascii="Arial" w:hAnsi="Arial"/>
                <w:bCs/>
                <w:sz w:val="24"/>
                <w:lang w:val="en-GB"/>
              </w:rPr>
              <w:t>2</w:t>
            </w:r>
            <w:r w:rsidR="00396145">
              <w:rPr>
                <w:rFonts w:ascii="Arial" w:hAnsi="Arial"/>
                <w:bCs/>
                <w:sz w:val="24"/>
                <w:lang w:val="en-GB"/>
              </w:rPr>
              <w:t>3</w:t>
            </w:r>
            <w:r w:rsidR="00FA3F5B" w:rsidRPr="005140E0">
              <w:rPr>
                <w:rFonts w:ascii="Arial" w:hAnsi="Arial"/>
                <w:bCs/>
                <w:sz w:val="24"/>
                <w:lang w:val="en-GB"/>
              </w:rPr>
              <w:t>/</w:t>
            </w:r>
            <w:r w:rsidR="00396145">
              <w:rPr>
                <w:rFonts w:ascii="Arial" w:hAnsi="Arial"/>
                <w:bCs/>
                <w:sz w:val="24"/>
                <w:lang w:val="en-GB"/>
              </w:rPr>
              <w:t>0</w:t>
            </w:r>
            <w:r w:rsidR="007172C8">
              <w:rPr>
                <w:rFonts w:ascii="Arial" w:hAnsi="Arial"/>
                <w:bCs/>
                <w:sz w:val="24"/>
                <w:lang w:val="en-GB"/>
              </w:rPr>
              <w:t>3</w:t>
            </w:r>
            <w:r w:rsidRPr="005140E0">
              <w:rPr>
                <w:rFonts w:ascii="Arial" w:hAnsi="Arial"/>
                <w:bCs/>
                <w:sz w:val="24"/>
                <w:lang w:val="en-GB"/>
              </w:rPr>
              <w:t>/</w:t>
            </w:r>
            <w:r w:rsidR="007A638F">
              <w:rPr>
                <w:rFonts w:ascii="Arial" w:hAnsi="Arial"/>
                <w:bCs/>
                <w:sz w:val="24"/>
                <w:lang w:val="en-GB"/>
              </w:rPr>
              <w:t>0</w:t>
            </w:r>
            <w:r w:rsidR="007172C8">
              <w:rPr>
                <w:rFonts w:ascii="Arial" w:hAnsi="Arial"/>
                <w:bCs/>
                <w:sz w:val="24"/>
                <w:lang w:val="en-GB"/>
              </w:rPr>
              <w:t>6</w:t>
            </w:r>
          </w:p>
        </w:tc>
      </w:tr>
      <w:tr w:rsidR="00640E94" w14:paraId="42C61D31" w14:textId="77777777" w:rsidTr="00227149">
        <w:trPr>
          <w:cantSplit/>
        </w:trPr>
        <w:tc>
          <w:tcPr>
            <w:tcW w:w="9475" w:type="dxa"/>
            <w:gridSpan w:val="3"/>
            <w:tcBorders>
              <w:top w:val="single" w:sz="18" w:space="0" w:color="auto"/>
              <w:bottom w:val="single" w:sz="18" w:space="0" w:color="auto"/>
            </w:tcBorders>
          </w:tcPr>
          <w:p w14:paraId="46CB7B50" w14:textId="77777777" w:rsidR="00640E94" w:rsidRPr="005140E0" w:rsidRDefault="00640E94">
            <w:pPr>
              <w:pStyle w:val="BodyText"/>
              <w:spacing w:before="0"/>
              <w:rPr>
                <w:rFonts w:ascii="Arial" w:hAnsi="Arial"/>
                <w:bCs/>
              </w:rPr>
            </w:pPr>
            <w:r w:rsidRPr="005140E0">
              <w:rPr>
                <w:rFonts w:ascii="Arial" w:hAnsi="Arial"/>
                <w:bCs/>
              </w:rPr>
              <w:t>Issuer Address</w:t>
            </w:r>
          </w:p>
          <w:p w14:paraId="07467A4B" w14:textId="77777777" w:rsidR="00640E94" w:rsidRPr="005140E0" w:rsidRDefault="00640E94">
            <w:pPr>
              <w:pStyle w:val="BodyText"/>
              <w:spacing w:before="0"/>
              <w:rPr>
                <w:rFonts w:ascii="Arial" w:hAnsi="Arial"/>
                <w:bCs/>
              </w:rPr>
            </w:pPr>
          </w:p>
          <w:p w14:paraId="35CE34A3" w14:textId="04E9C7EF" w:rsidR="00640E94" w:rsidRPr="005140E0" w:rsidRDefault="00561CB5">
            <w:pPr>
              <w:pStyle w:val="BodyText"/>
              <w:spacing w:before="0"/>
              <w:rPr>
                <w:rFonts w:ascii="Arial" w:hAnsi="Arial"/>
                <w:bCs/>
              </w:rPr>
            </w:pPr>
            <w:r w:rsidRPr="005140E0">
              <w:rPr>
                <w:rFonts w:ascii="Arial" w:hAnsi="Arial"/>
                <w:bCs/>
              </w:rPr>
              <w:t>666 Burrard Street</w:t>
            </w:r>
          </w:p>
        </w:tc>
      </w:tr>
      <w:tr w:rsidR="00640E94" w14:paraId="2FBB97A2" w14:textId="77777777" w:rsidTr="00227149">
        <w:tc>
          <w:tcPr>
            <w:tcW w:w="4878" w:type="dxa"/>
            <w:tcBorders>
              <w:top w:val="single" w:sz="18" w:space="0" w:color="auto"/>
              <w:bottom w:val="single" w:sz="18" w:space="0" w:color="auto"/>
              <w:right w:val="single" w:sz="18" w:space="0" w:color="auto"/>
            </w:tcBorders>
          </w:tcPr>
          <w:p w14:paraId="455AC1AF" w14:textId="77777777" w:rsidR="00640E94" w:rsidRPr="005140E0" w:rsidRDefault="00640E94">
            <w:pPr>
              <w:pStyle w:val="BodyText"/>
              <w:spacing w:before="0"/>
              <w:rPr>
                <w:rFonts w:ascii="Arial" w:hAnsi="Arial"/>
                <w:bCs/>
                <w:lang w:val="fr-FR"/>
              </w:rPr>
            </w:pPr>
            <w:r w:rsidRPr="005140E0">
              <w:rPr>
                <w:rFonts w:ascii="Arial" w:hAnsi="Arial"/>
                <w:bCs/>
                <w:lang w:val="fr-FR"/>
              </w:rPr>
              <w:t>City/Province/Postal Code</w:t>
            </w:r>
          </w:p>
          <w:p w14:paraId="45C52B18" w14:textId="77777777" w:rsidR="00640E94" w:rsidRPr="005140E0" w:rsidRDefault="00640E94">
            <w:pPr>
              <w:pStyle w:val="BodyText"/>
              <w:spacing w:before="0"/>
              <w:rPr>
                <w:rFonts w:ascii="Arial" w:hAnsi="Arial"/>
                <w:bCs/>
                <w:lang w:val="fr-FR"/>
              </w:rPr>
            </w:pPr>
          </w:p>
          <w:p w14:paraId="38130D5D" w14:textId="20022312" w:rsidR="00640E94" w:rsidRPr="005140E0" w:rsidRDefault="00B7653C">
            <w:pPr>
              <w:pStyle w:val="BodyText"/>
              <w:spacing w:before="0"/>
              <w:rPr>
                <w:rFonts w:ascii="Arial" w:hAnsi="Arial"/>
                <w:bCs/>
                <w:lang w:val="fr-FR"/>
              </w:rPr>
            </w:pPr>
            <w:r w:rsidRPr="005140E0">
              <w:rPr>
                <w:rFonts w:ascii="Arial" w:hAnsi="Arial"/>
                <w:bCs/>
                <w:lang w:val="fr-FR"/>
              </w:rPr>
              <w:t>Vancouver, BC  V6C 2Z7</w:t>
            </w:r>
          </w:p>
        </w:tc>
        <w:tc>
          <w:tcPr>
            <w:tcW w:w="2045" w:type="dxa"/>
            <w:tcBorders>
              <w:top w:val="single" w:sz="18" w:space="0" w:color="auto"/>
              <w:left w:val="single" w:sz="18" w:space="0" w:color="auto"/>
              <w:bottom w:val="single" w:sz="18" w:space="0" w:color="auto"/>
              <w:right w:val="single" w:sz="18" w:space="0" w:color="auto"/>
            </w:tcBorders>
          </w:tcPr>
          <w:p w14:paraId="4DF473DD" w14:textId="77777777" w:rsidR="00640E94" w:rsidRPr="005140E0" w:rsidRDefault="00640E94">
            <w:pPr>
              <w:pStyle w:val="BodyText"/>
              <w:spacing w:before="0"/>
              <w:rPr>
                <w:rFonts w:ascii="Arial" w:hAnsi="Arial"/>
                <w:bCs/>
              </w:rPr>
            </w:pPr>
            <w:r w:rsidRPr="005140E0">
              <w:rPr>
                <w:rFonts w:ascii="Arial" w:hAnsi="Arial"/>
                <w:bCs/>
              </w:rPr>
              <w:t>Issuer Fax No.</w:t>
            </w:r>
          </w:p>
          <w:p w14:paraId="360DBF46" w14:textId="77777777" w:rsidR="00640E94" w:rsidRPr="005140E0" w:rsidRDefault="00640E94">
            <w:pPr>
              <w:pStyle w:val="BodyText"/>
              <w:spacing w:before="0"/>
              <w:rPr>
                <w:rFonts w:ascii="Arial" w:hAnsi="Arial"/>
                <w:bCs/>
              </w:rPr>
            </w:pPr>
            <w:r w:rsidRPr="005140E0">
              <w:rPr>
                <w:rFonts w:ascii="Arial" w:hAnsi="Arial"/>
                <w:bCs/>
              </w:rPr>
              <w:t>(     )</w:t>
            </w:r>
          </w:p>
        </w:tc>
        <w:tc>
          <w:tcPr>
            <w:tcW w:w="2552" w:type="dxa"/>
            <w:tcBorders>
              <w:top w:val="single" w:sz="18" w:space="0" w:color="auto"/>
              <w:left w:val="single" w:sz="18" w:space="0" w:color="auto"/>
              <w:bottom w:val="single" w:sz="18" w:space="0" w:color="auto"/>
            </w:tcBorders>
          </w:tcPr>
          <w:p w14:paraId="486FC00A" w14:textId="77777777" w:rsidR="00640E94" w:rsidRPr="005140E0" w:rsidRDefault="00640E94">
            <w:pPr>
              <w:pStyle w:val="BodyText"/>
              <w:spacing w:before="0"/>
              <w:rPr>
                <w:rFonts w:ascii="Arial" w:hAnsi="Arial"/>
                <w:bCs/>
              </w:rPr>
            </w:pPr>
            <w:r w:rsidRPr="005140E0">
              <w:rPr>
                <w:rFonts w:ascii="Arial" w:hAnsi="Arial"/>
                <w:bCs/>
              </w:rPr>
              <w:t>Issuer Telephone No.</w:t>
            </w:r>
          </w:p>
          <w:p w14:paraId="022710C9" w14:textId="4675E7EF" w:rsidR="00640E94" w:rsidRPr="005140E0" w:rsidRDefault="005140E0">
            <w:pPr>
              <w:pStyle w:val="BodyText"/>
              <w:spacing w:before="0"/>
              <w:rPr>
                <w:rFonts w:ascii="Arial" w:hAnsi="Arial"/>
                <w:bCs/>
              </w:rPr>
            </w:pPr>
            <w:r w:rsidRPr="005140E0">
              <w:rPr>
                <w:rFonts w:ascii="Arial" w:hAnsi="Arial"/>
                <w:bCs/>
              </w:rPr>
              <w:t>604-862-7953</w:t>
            </w:r>
          </w:p>
        </w:tc>
      </w:tr>
      <w:tr w:rsidR="00640E94" w14:paraId="25498689" w14:textId="77777777" w:rsidTr="00227149">
        <w:tc>
          <w:tcPr>
            <w:tcW w:w="4878" w:type="dxa"/>
            <w:tcBorders>
              <w:top w:val="single" w:sz="18" w:space="0" w:color="auto"/>
              <w:bottom w:val="single" w:sz="18" w:space="0" w:color="auto"/>
              <w:right w:val="single" w:sz="18" w:space="0" w:color="auto"/>
            </w:tcBorders>
          </w:tcPr>
          <w:p w14:paraId="4AB4E690" w14:textId="77777777" w:rsidR="00640E94" w:rsidRPr="005140E0" w:rsidRDefault="00640E94">
            <w:pPr>
              <w:pStyle w:val="BodyText"/>
              <w:spacing w:before="0"/>
              <w:rPr>
                <w:rFonts w:ascii="Arial" w:hAnsi="Arial"/>
                <w:bCs/>
              </w:rPr>
            </w:pPr>
            <w:r w:rsidRPr="005140E0">
              <w:rPr>
                <w:rFonts w:ascii="Arial" w:hAnsi="Arial"/>
                <w:bCs/>
              </w:rPr>
              <w:t>Contact Name</w:t>
            </w:r>
          </w:p>
          <w:p w14:paraId="18FE0273" w14:textId="5B885314" w:rsidR="00640E94" w:rsidRPr="005140E0" w:rsidRDefault="00640E94">
            <w:pPr>
              <w:pStyle w:val="BodyText"/>
              <w:spacing w:before="0"/>
              <w:rPr>
                <w:rFonts w:ascii="Arial" w:hAnsi="Arial"/>
                <w:bCs/>
              </w:rPr>
            </w:pPr>
          </w:p>
          <w:p w14:paraId="63B0AAF9" w14:textId="6FD4E232" w:rsidR="00640E94" w:rsidRPr="005140E0" w:rsidRDefault="005140E0">
            <w:pPr>
              <w:pStyle w:val="BodyText"/>
              <w:spacing w:before="0"/>
              <w:rPr>
                <w:rFonts w:ascii="Arial" w:hAnsi="Arial"/>
                <w:bCs/>
              </w:rPr>
            </w:pPr>
            <w:r w:rsidRPr="005140E0">
              <w:rPr>
                <w:rFonts w:ascii="Arial" w:hAnsi="Arial"/>
                <w:bCs/>
              </w:rPr>
              <w:t>Mathew Lee</w:t>
            </w:r>
          </w:p>
        </w:tc>
        <w:tc>
          <w:tcPr>
            <w:tcW w:w="2045" w:type="dxa"/>
            <w:tcBorders>
              <w:top w:val="single" w:sz="18" w:space="0" w:color="auto"/>
              <w:left w:val="single" w:sz="18" w:space="0" w:color="auto"/>
              <w:bottom w:val="single" w:sz="18" w:space="0" w:color="auto"/>
              <w:right w:val="single" w:sz="18" w:space="0" w:color="auto"/>
            </w:tcBorders>
          </w:tcPr>
          <w:p w14:paraId="12E703D5" w14:textId="77777777" w:rsidR="005140E0" w:rsidRPr="005140E0" w:rsidRDefault="00640E94">
            <w:pPr>
              <w:pStyle w:val="BodyText"/>
              <w:spacing w:before="0"/>
              <w:rPr>
                <w:rFonts w:ascii="Arial" w:hAnsi="Arial"/>
                <w:bCs/>
              </w:rPr>
            </w:pPr>
            <w:r w:rsidRPr="005140E0">
              <w:rPr>
                <w:rFonts w:ascii="Arial" w:hAnsi="Arial"/>
                <w:bCs/>
              </w:rPr>
              <w:t>Contact Position</w:t>
            </w:r>
            <w:r w:rsidR="006A4A3A" w:rsidRPr="005140E0">
              <w:rPr>
                <w:rFonts w:ascii="Arial" w:hAnsi="Arial"/>
                <w:bCs/>
              </w:rPr>
              <w:t xml:space="preserve"> </w:t>
            </w:r>
          </w:p>
          <w:p w14:paraId="3D43EF27" w14:textId="77777777" w:rsidR="005140E0" w:rsidRPr="005140E0" w:rsidRDefault="005140E0">
            <w:pPr>
              <w:pStyle w:val="BodyText"/>
              <w:spacing w:before="0"/>
              <w:rPr>
                <w:rFonts w:ascii="Arial" w:hAnsi="Arial"/>
                <w:bCs/>
              </w:rPr>
            </w:pPr>
          </w:p>
          <w:p w14:paraId="0B9C1150" w14:textId="013CD7C9" w:rsidR="00640E94" w:rsidRPr="005140E0" w:rsidRDefault="005140E0">
            <w:pPr>
              <w:pStyle w:val="BodyText"/>
              <w:spacing w:before="0"/>
              <w:rPr>
                <w:rFonts w:ascii="Arial" w:hAnsi="Arial"/>
                <w:bCs/>
              </w:rPr>
            </w:pPr>
            <w:r w:rsidRPr="005140E0">
              <w:rPr>
                <w:rFonts w:ascii="Arial" w:hAnsi="Arial"/>
                <w:bCs/>
              </w:rPr>
              <w:t>CFO</w:t>
            </w:r>
          </w:p>
        </w:tc>
        <w:tc>
          <w:tcPr>
            <w:tcW w:w="2552" w:type="dxa"/>
            <w:tcBorders>
              <w:top w:val="single" w:sz="18" w:space="0" w:color="auto"/>
              <w:left w:val="single" w:sz="18" w:space="0" w:color="auto"/>
              <w:bottom w:val="single" w:sz="18" w:space="0" w:color="auto"/>
            </w:tcBorders>
          </w:tcPr>
          <w:p w14:paraId="08042BB5" w14:textId="77777777" w:rsidR="00640E94" w:rsidRPr="005140E0" w:rsidRDefault="00640E94">
            <w:pPr>
              <w:pStyle w:val="BodyText"/>
              <w:spacing w:before="0"/>
              <w:rPr>
                <w:rFonts w:ascii="Arial" w:hAnsi="Arial"/>
                <w:bCs/>
              </w:rPr>
            </w:pPr>
            <w:r w:rsidRPr="005140E0">
              <w:rPr>
                <w:rFonts w:ascii="Arial" w:hAnsi="Arial"/>
                <w:bCs/>
              </w:rPr>
              <w:t>Contact Telephone No.</w:t>
            </w:r>
          </w:p>
          <w:p w14:paraId="7D50F164" w14:textId="5B15002D" w:rsidR="006A4A3A" w:rsidRPr="005140E0" w:rsidRDefault="005140E0" w:rsidP="006A4A3A">
            <w:pPr>
              <w:pStyle w:val="BodyText"/>
              <w:spacing w:before="0"/>
              <w:rPr>
                <w:bCs/>
              </w:rPr>
            </w:pPr>
            <w:r w:rsidRPr="005140E0">
              <w:rPr>
                <w:rFonts w:ascii="Arial" w:hAnsi="Arial"/>
                <w:bCs/>
              </w:rPr>
              <w:t>604-862-7953</w:t>
            </w:r>
          </w:p>
        </w:tc>
      </w:tr>
      <w:tr w:rsidR="00640E94" w14:paraId="1C896AE5" w14:textId="77777777" w:rsidTr="00227149">
        <w:trPr>
          <w:cantSplit/>
        </w:trPr>
        <w:tc>
          <w:tcPr>
            <w:tcW w:w="4878" w:type="dxa"/>
            <w:tcBorders>
              <w:top w:val="single" w:sz="18" w:space="0" w:color="auto"/>
              <w:bottom w:val="single" w:sz="18" w:space="0" w:color="auto"/>
              <w:right w:val="single" w:sz="18" w:space="0" w:color="auto"/>
            </w:tcBorders>
          </w:tcPr>
          <w:p w14:paraId="10BAFD54" w14:textId="77777777" w:rsidR="00640E94" w:rsidRPr="005140E0" w:rsidRDefault="00640E94">
            <w:pPr>
              <w:pStyle w:val="BodyText"/>
              <w:spacing w:before="0"/>
              <w:rPr>
                <w:rFonts w:ascii="Arial" w:hAnsi="Arial"/>
                <w:bCs/>
              </w:rPr>
            </w:pPr>
            <w:r w:rsidRPr="005140E0">
              <w:rPr>
                <w:rFonts w:ascii="Arial" w:hAnsi="Arial"/>
                <w:bCs/>
              </w:rPr>
              <w:t>Contact Email Address</w:t>
            </w:r>
          </w:p>
          <w:p w14:paraId="709544E6" w14:textId="21384571" w:rsidR="00640E94" w:rsidRPr="005140E0" w:rsidRDefault="005140E0">
            <w:pPr>
              <w:pStyle w:val="BodyText"/>
              <w:spacing w:before="0"/>
              <w:rPr>
                <w:rFonts w:ascii="Arial" w:hAnsi="Arial"/>
                <w:bCs/>
              </w:rPr>
            </w:pPr>
            <w:r w:rsidRPr="005140E0">
              <w:rPr>
                <w:rFonts w:ascii="Arial" w:hAnsi="Arial"/>
                <w:bCs/>
              </w:rPr>
              <w:t>Mathew@manningleemanagement.ca</w:t>
            </w:r>
          </w:p>
        </w:tc>
        <w:tc>
          <w:tcPr>
            <w:tcW w:w="4597" w:type="dxa"/>
            <w:gridSpan w:val="2"/>
            <w:tcBorders>
              <w:top w:val="single" w:sz="18" w:space="0" w:color="auto"/>
              <w:left w:val="single" w:sz="18" w:space="0" w:color="auto"/>
              <w:bottom w:val="single" w:sz="18" w:space="0" w:color="auto"/>
            </w:tcBorders>
          </w:tcPr>
          <w:p w14:paraId="29810D0A" w14:textId="77777777" w:rsidR="00640E94" w:rsidRPr="005140E0" w:rsidRDefault="00640E94">
            <w:pPr>
              <w:pStyle w:val="BodyText"/>
              <w:spacing w:before="0"/>
              <w:rPr>
                <w:rFonts w:ascii="Arial" w:hAnsi="Arial"/>
                <w:bCs/>
              </w:rPr>
            </w:pPr>
            <w:r w:rsidRPr="005140E0">
              <w:rPr>
                <w:rFonts w:ascii="Arial" w:hAnsi="Arial"/>
                <w:bCs/>
              </w:rPr>
              <w:t>Web Site Address</w:t>
            </w:r>
          </w:p>
          <w:p w14:paraId="56DDF83F" w14:textId="51A66CD9" w:rsidR="00640E94" w:rsidRPr="005140E0" w:rsidRDefault="004D4293">
            <w:pPr>
              <w:pStyle w:val="BodyText"/>
              <w:spacing w:before="0"/>
              <w:rPr>
                <w:rFonts w:ascii="Arial" w:hAnsi="Arial"/>
                <w:bCs/>
              </w:rPr>
            </w:pPr>
            <w:r w:rsidRPr="005140E0">
              <w:rPr>
                <w:rFonts w:ascii="Arial" w:hAnsi="Arial"/>
                <w:bCs/>
              </w:rPr>
              <w:t>N/A</w:t>
            </w:r>
          </w:p>
        </w:tc>
      </w:tr>
    </w:tbl>
    <w:p w14:paraId="5ED69D25" w14:textId="77777777" w:rsidR="00640E94" w:rsidRDefault="00640E94" w:rsidP="00277D00">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4DE1" w14:textId="77777777" w:rsidR="000B38CD" w:rsidRDefault="000B38CD">
      <w:r>
        <w:separator/>
      </w:r>
    </w:p>
  </w:endnote>
  <w:endnote w:type="continuationSeparator" w:id="0">
    <w:p w14:paraId="4BCD8D78" w14:textId="77777777" w:rsidR="000B38CD" w:rsidRDefault="000B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D6B6" w14:textId="77777777" w:rsidR="00640E94" w:rsidRDefault="00640E94">
    <w:pPr>
      <w:pStyle w:val="Footer"/>
      <w:tabs>
        <w:tab w:val="clear" w:pos="4320"/>
        <w:tab w:val="clear" w:pos="8640"/>
        <w:tab w:val="center" w:pos="4680"/>
        <w:tab w:val="right" w:pos="9360"/>
      </w:tabs>
      <w:rPr>
        <w:b/>
      </w:rPr>
    </w:pPr>
  </w:p>
  <w:p w14:paraId="2576DB6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7456" behindDoc="0" locked="0" layoutInCell="1" allowOverlap="1" wp14:anchorId="0F205407" wp14:editId="66443A2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FB9C" id="Line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BCC1612" w14:textId="32453372" w:rsidR="00640E94" w:rsidRPr="006D1A06" w:rsidRDefault="0033388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380C6B">
      <w:rPr>
        <w:rStyle w:val="PageNumber"/>
        <w:rFonts w:ascii="Arial" w:hAnsi="Arial" w:cs="Arial"/>
        <w:sz w:val="16"/>
        <w:szCs w:val="16"/>
      </w:rPr>
      <w:t xml:space="preserve"> 2022</w:t>
    </w:r>
  </w:p>
  <w:p w14:paraId="3F77A2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7C2C" w14:textId="77777777" w:rsidR="00640E94" w:rsidRDefault="00640E94">
    <w:pPr>
      <w:pStyle w:val="Footer"/>
      <w:tabs>
        <w:tab w:val="clear" w:pos="4320"/>
        <w:tab w:val="clear" w:pos="8640"/>
        <w:tab w:val="center" w:pos="4680"/>
        <w:tab w:val="right" w:pos="9360"/>
      </w:tabs>
      <w:rPr>
        <w:b/>
      </w:rPr>
    </w:pPr>
  </w:p>
  <w:p w14:paraId="4B587A1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276D68F" wp14:editId="04120C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909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C501F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8E0700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F347" w14:textId="77777777" w:rsidR="000B38CD" w:rsidRDefault="000B38CD">
      <w:r>
        <w:separator/>
      </w:r>
    </w:p>
  </w:footnote>
  <w:footnote w:type="continuationSeparator" w:id="0">
    <w:p w14:paraId="7A9D9B52" w14:textId="77777777" w:rsidR="000B38CD" w:rsidRDefault="000B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6B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75760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B0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1009000F"/>
    <w:lvl w:ilvl="0">
      <w:start w:val="1"/>
      <w:numFmt w:val="decimal"/>
      <w:lvlText w:val="%1."/>
      <w:lvlJc w:val="left"/>
      <w:pPr>
        <w:ind w:left="360" w:hanging="36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6218429">
    <w:abstractNumId w:val="16"/>
  </w:num>
  <w:num w:numId="2" w16cid:durableId="820777084">
    <w:abstractNumId w:val="20"/>
  </w:num>
  <w:num w:numId="3" w16cid:durableId="805200237">
    <w:abstractNumId w:val="15"/>
  </w:num>
  <w:num w:numId="4" w16cid:durableId="1127120076">
    <w:abstractNumId w:val="12"/>
  </w:num>
  <w:num w:numId="5" w16cid:durableId="1169759522">
    <w:abstractNumId w:val="3"/>
  </w:num>
  <w:num w:numId="6" w16cid:durableId="1640575648">
    <w:abstractNumId w:val="22"/>
  </w:num>
  <w:num w:numId="7" w16cid:durableId="415977661">
    <w:abstractNumId w:val="8"/>
  </w:num>
  <w:num w:numId="8" w16cid:durableId="501166732">
    <w:abstractNumId w:val="24"/>
  </w:num>
  <w:num w:numId="9" w16cid:durableId="890069748">
    <w:abstractNumId w:val="19"/>
  </w:num>
  <w:num w:numId="10" w16cid:durableId="1802720925">
    <w:abstractNumId w:val="10"/>
  </w:num>
  <w:num w:numId="11" w16cid:durableId="723065897">
    <w:abstractNumId w:val="13"/>
  </w:num>
  <w:num w:numId="12" w16cid:durableId="826633181">
    <w:abstractNumId w:val="14"/>
  </w:num>
  <w:num w:numId="13" w16cid:durableId="919291863">
    <w:abstractNumId w:val="26"/>
  </w:num>
  <w:num w:numId="14" w16cid:durableId="1283001640">
    <w:abstractNumId w:val="6"/>
  </w:num>
  <w:num w:numId="15" w16cid:durableId="920916520">
    <w:abstractNumId w:val="9"/>
  </w:num>
  <w:num w:numId="16" w16cid:durableId="616058952">
    <w:abstractNumId w:val="11"/>
  </w:num>
  <w:num w:numId="17" w16cid:durableId="161091622">
    <w:abstractNumId w:val="17"/>
  </w:num>
  <w:num w:numId="18" w16cid:durableId="196701090">
    <w:abstractNumId w:val="2"/>
  </w:num>
  <w:num w:numId="19" w16cid:durableId="951589723">
    <w:abstractNumId w:val="7"/>
  </w:num>
  <w:num w:numId="20" w16cid:durableId="1127234299">
    <w:abstractNumId w:val="23"/>
  </w:num>
  <w:num w:numId="21" w16cid:durableId="923730863">
    <w:abstractNumId w:val="1"/>
  </w:num>
  <w:num w:numId="22" w16cid:durableId="1253010918">
    <w:abstractNumId w:val="0"/>
  </w:num>
  <w:num w:numId="23" w16cid:durableId="2091926335">
    <w:abstractNumId w:val="21"/>
  </w:num>
  <w:num w:numId="24" w16cid:durableId="1874414738">
    <w:abstractNumId w:val="18"/>
  </w:num>
  <w:num w:numId="25" w16cid:durableId="767121809">
    <w:abstractNumId w:val="4"/>
  </w:num>
  <w:num w:numId="26" w16cid:durableId="1668093008">
    <w:abstractNumId w:val="25"/>
  </w:num>
  <w:num w:numId="27" w16cid:durableId="1271426574">
    <w:abstractNumId w:val="27"/>
  </w:num>
  <w:num w:numId="28" w16cid:durableId="746733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4A"/>
    <w:rsid w:val="00002DB2"/>
    <w:rsid w:val="00006422"/>
    <w:rsid w:val="000101F4"/>
    <w:rsid w:val="0001350B"/>
    <w:rsid w:val="000147E8"/>
    <w:rsid w:val="00022701"/>
    <w:rsid w:val="00025C21"/>
    <w:rsid w:val="00032773"/>
    <w:rsid w:val="00034BFE"/>
    <w:rsid w:val="00035E6B"/>
    <w:rsid w:val="00041A6E"/>
    <w:rsid w:val="00055345"/>
    <w:rsid w:val="000572EE"/>
    <w:rsid w:val="00060FA7"/>
    <w:rsid w:val="000616D5"/>
    <w:rsid w:val="0006340B"/>
    <w:rsid w:val="00063476"/>
    <w:rsid w:val="00070B5A"/>
    <w:rsid w:val="00075F6C"/>
    <w:rsid w:val="00080717"/>
    <w:rsid w:val="0008208C"/>
    <w:rsid w:val="00086AD0"/>
    <w:rsid w:val="0008702F"/>
    <w:rsid w:val="00093C1D"/>
    <w:rsid w:val="00094C89"/>
    <w:rsid w:val="0009731E"/>
    <w:rsid w:val="000A08EE"/>
    <w:rsid w:val="000A1AB1"/>
    <w:rsid w:val="000A38ED"/>
    <w:rsid w:val="000A4D51"/>
    <w:rsid w:val="000B213B"/>
    <w:rsid w:val="000B38CD"/>
    <w:rsid w:val="000B5BB3"/>
    <w:rsid w:val="000B7446"/>
    <w:rsid w:val="000E2D23"/>
    <w:rsid w:val="000F2C49"/>
    <w:rsid w:val="000F4E2C"/>
    <w:rsid w:val="001064D1"/>
    <w:rsid w:val="0011335F"/>
    <w:rsid w:val="00113973"/>
    <w:rsid w:val="00116017"/>
    <w:rsid w:val="001227B0"/>
    <w:rsid w:val="00125159"/>
    <w:rsid w:val="00134F7D"/>
    <w:rsid w:val="00141FB1"/>
    <w:rsid w:val="001534E0"/>
    <w:rsid w:val="00153813"/>
    <w:rsid w:val="001572BE"/>
    <w:rsid w:val="00163ED9"/>
    <w:rsid w:val="0016725A"/>
    <w:rsid w:val="00170889"/>
    <w:rsid w:val="001737FA"/>
    <w:rsid w:val="001809C7"/>
    <w:rsid w:val="00180E7A"/>
    <w:rsid w:val="00181682"/>
    <w:rsid w:val="00182E86"/>
    <w:rsid w:val="001902D5"/>
    <w:rsid w:val="00191FDC"/>
    <w:rsid w:val="001922C0"/>
    <w:rsid w:val="00196D76"/>
    <w:rsid w:val="001A7B06"/>
    <w:rsid w:val="001A7EC8"/>
    <w:rsid w:val="001B5507"/>
    <w:rsid w:val="001B6924"/>
    <w:rsid w:val="001C0625"/>
    <w:rsid w:val="001C4129"/>
    <w:rsid w:val="001C5CD6"/>
    <w:rsid w:val="001D099F"/>
    <w:rsid w:val="001D2A5F"/>
    <w:rsid w:val="001D31B4"/>
    <w:rsid w:val="001D59B4"/>
    <w:rsid w:val="001D6180"/>
    <w:rsid w:val="001E144D"/>
    <w:rsid w:val="001E493A"/>
    <w:rsid w:val="001E5ED0"/>
    <w:rsid w:val="001F0F2B"/>
    <w:rsid w:val="001F76B1"/>
    <w:rsid w:val="00205A53"/>
    <w:rsid w:val="002106FF"/>
    <w:rsid w:val="0021227D"/>
    <w:rsid w:val="0021534A"/>
    <w:rsid w:val="00221A89"/>
    <w:rsid w:val="00224991"/>
    <w:rsid w:val="00225700"/>
    <w:rsid w:val="00227149"/>
    <w:rsid w:val="00227220"/>
    <w:rsid w:val="00230ECD"/>
    <w:rsid w:val="00231C1A"/>
    <w:rsid w:val="0023521A"/>
    <w:rsid w:val="00236F85"/>
    <w:rsid w:val="00237B82"/>
    <w:rsid w:val="00261006"/>
    <w:rsid w:val="00262ED4"/>
    <w:rsid w:val="00265559"/>
    <w:rsid w:val="00267EBB"/>
    <w:rsid w:val="002749C1"/>
    <w:rsid w:val="002773EE"/>
    <w:rsid w:val="00277D00"/>
    <w:rsid w:val="002811A6"/>
    <w:rsid w:val="00281C8E"/>
    <w:rsid w:val="002822B5"/>
    <w:rsid w:val="00284AD8"/>
    <w:rsid w:val="002B00D2"/>
    <w:rsid w:val="002B20F4"/>
    <w:rsid w:val="002C06C7"/>
    <w:rsid w:val="002C281E"/>
    <w:rsid w:val="002C4F5B"/>
    <w:rsid w:val="002D479C"/>
    <w:rsid w:val="002D673D"/>
    <w:rsid w:val="002D7F04"/>
    <w:rsid w:val="002F00EB"/>
    <w:rsid w:val="002F2E27"/>
    <w:rsid w:val="00300954"/>
    <w:rsid w:val="00301CBF"/>
    <w:rsid w:val="003043E4"/>
    <w:rsid w:val="003069FF"/>
    <w:rsid w:val="00306FA5"/>
    <w:rsid w:val="003155C1"/>
    <w:rsid w:val="003169C7"/>
    <w:rsid w:val="00324FF7"/>
    <w:rsid w:val="0033388D"/>
    <w:rsid w:val="00345868"/>
    <w:rsid w:val="003468A6"/>
    <w:rsid w:val="00347DE8"/>
    <w:rsid w:val="00360CAF"/>
    <w:rsid w:val="00360DEF"/>
    <w:rsid w:val="0036131A"/>
    <w:rsid w:val="00362901"/>
    <w:rsid w:val="0036481F"/>
    <w:rsid w:val="00365F82"/>
    <w:rsid w:val="003669A9"/>
    <w:rsid w:val="00371A64"/>
    <w:rsid w:val="00372EAF"/>
    <w:rsid w:val="0038027C"/>
    <w:rsid w:val="00380C6B"/>
    <w:rsid w:val="00381CB4"/>
    <w:rsid w:val="00384AA9"/>
    <w:rsid w:val="00386CDB"/>
    <w:rsid w:val="00387768"/>
    <w:rsid w:val="00387FA8"/>
    <w:rsid w:val="00390D0E"/>
    <w:rsid w:val="00392013"/>
    <w:rsid w:val="00396145"/>
    <w:rsid w:val="00396C61"/>
    <w:rsid w:val="003A0C37"/>
    <w:rsid w:val="003A4006"/>
    <w:rsid w:val="003A5313"/>
    <w:rsid w:val="003A7FE6"/>
    <w:rsid w:val="003B5E98"/>
    <w:rsid w:val="003C0725"/>
    <w:rsid w:val="003C36AE"/>
    <w:rsid w:val="003C3E5C"/>
    <w:rsid w:val="003D0223"/>
    <w:rsid w:val="003D654D"/>
    <w:rsid w:val="003E348A"/>
    <w:rsid w:val="003E46DC"/>
    <w:rsid w:val="003F06D8"/>
    <w:rsid w:val="003F32F9"/>
    <w:rsid w:val="003F4EBE"/>
    <w:rsid w:val="003F59F6"/>
    <w:rsid w:val="00400BF4"/>
    <w:rsid w:val="00403527"/>
    <w:rsid w:val="00412C8E"/>
    <w:rsid w:val="00413934"/>
    <w:rsid w:val="004142D8"/>
    <w:rsid w:val="0041532F"/>
    <w:rsid w:val="00421C80"/>
    <w:rsid w:val="004275C9"/>
    <w:rsid w:val="004366F0"/>
    <w:rsid w:val="00460519"/>
    <w:rsid w:val="00467445"/>
    <w:rsid w:val="00480B98"/>
    <w:rsid w:val="004941DE"/>
    <w:rsid w:val="004A5788"/>
    <w:rsid w:val="004B0197"/>
    <w:rsid w:val="004B2207"/>
    <w:rsid w:val="004B4923"/>
    <w:rsid w:val="004B738B"/>
    <w:rsid w:val="004C7622"/>
    <w:rsid w:val="004D0BD4"/>
    <w:rsid w:val="004D1CDC"/>
    <w:rsid w:val="004D4293"/>
    <w:rsid w:val="004D4409"/>
    <w:rsid w:val="004E106C"/>
    <w:rsid w:val="004E129B"/>
    <w:rsid w:val="004F288E"/>
    <w:rsid w:val="004F35E9"/>
    <w:rsid w:val="00501596"/>
    <w:rsid w:val="005140E0"/>
    <w:rsid w:val="0051540D"/>
    <w:rsid w:val="00516E4E"/>
    <w:rsid w:val="00520910"/>
    <w:rsid w:val="0052145B"/>
    <w:rsid w:val="005224B0"/>
    <w:rsid w:val="00526462"/>
    <w:rsid w:val="0053788A"/>
    <w:rsid w:val="00540F12"/>
    <w:rsid w:val="005453C8"/>
    <w:rsid w:val="005465FE"/>
    <w:rsid w:val="00551EEF"/>
    <w:rsid w:val="00557062"/>
    <w:rsid w:val="00557E20"/>
    <w:rsid w:val="00561CB5"/>
    <w:rsid w:val="00562AFE"/>
    <w:rsid w:val="00565140"/>
    <w:rsid w:val="00566B30"/>
    <w:rsid w:val="00572C97"/>
    <w:rsid w:val="005753EE"/>
    <w:rsid w:val="00575AB7"/>
    <w:rsid w:val="00576FDD"/>
    <w:rsid w:val="00582CD5"/>
    <w:rsid w:val="005871AC"/>
    <w:rsid w:val="005A59FF"/>
    <w:rsid w:val="005B4C93"/>
    <w:rsid w:val="005B7FDC"/>
    <w:rsid w:val="005C0571"/>
    <w:rsid w:val="005C4F7D"/>
    <w:rsid w:val="005C70C5"/>
    <w:rsid w:val="005C798D"/>
    <w:rsid w:val="005D1F37"/>
    <w:rsid w:val="005D28D2"/>
    <w:rsid w:val="005D2C4E"/>
    <w:rsid w:val="005D342D"/>
    <w:rsid w:val="005D53B0"/>
    <w:rsid w:val="005E0014"/>
    <w:rsid w:val="005E2329"/>
    <w:rsid w:val="005E49B0"/>
    <w:rsid w:val="005E587E"/>
    <w:rsid w:val="005E694E"/>
    <w:rsid w:val="005F1ED0"/>
    <w:rsid w:val="005F3642"/>
    <w:rsid w:val="005F684B"/>
    <w:rsid w:val="005F6D8F"/>
    <w:rsid w:val="005F6FC4"/>
    <w:rsid w:val="0060505E"/>
    <w:rsid w:val="00605332"/>
    <w:rsid w:val="00610343"/>
    <w:rsid w:val="00610D4B"/>
    <w:rsid w:val="0061217A"/>
    <w:rsid w:val="00613B35"/>
    <w:rsid w:val="00620733"/>
    <w:rsid w:val="00620E7F"/>
    <w:rsid w:val="00625C04"/>
    <w:rsid w:val="00626430"/>
    <w:rsid w:val="0063106D"/>
    <w:rsid w:val="00633ED3"/>
    <w:rsid w:val="00635E9A"/>
    <w:rsid w:val="00640DE8"/>
    <w:rsid w:val="00640E94"/>
    <w:rsid w:val="00640FB5"/>
    <w:rsid w:val="0065126D"/>
    <w:rsid w:val="006536CE"/>
    <w:rsid w:val="00660593"/>
    <w:rsid w:val="00660B3E"/>
    <w:rsid w:val="006639F5"/>
    <w:rsid w:val="00664DA3"/>
    <w:rsid w:val="00671C0F"/>
    <w:rsid w:val="006756AA"/>
    <w:rsid w:val="0069012C"/>
    <w:rsid w:val="006953BD"/>
    <w:rsid w:val="006A4A3A"/>
    <w:rsid w:val="006A597B"/>
    <w:rsid w:val="006A7401"/>
    <w:rsid w:val="006B3A5B"/>
    <w:rsid w:val="006B4A8E"/>
    <w:rsid w:val="006D0148"/>
    <w:rsid w:val="006D1A06"/>
    <w:rsid w:val="006D791A"/>
    <w:rsid w:val="006E4D2E"/>
    <w:rsid w:val="006E69D2"/>
    <w:rsid w:val="006F79B0"/>
    <w:rsid w:val="00703744"/>
    <w:rsid w:val="0071260E"/>
    <w:rsid w:val="00712941"/>
    <w:rsid w:val="00716A38"/>
    <w:rsid w:val="007172C8"/>
    <w:rsid w:val="00724EB7"/>
    <w:rsid w:val="007372C3"/>
    <w:rsid w:val="00737E34"/>
    <w:rsid w:val="00740A20"/>
    <w:rsid w:val="00744BD7"/>
    <w:rsid w:val="00746EE0"/>
    <w:rsid w:val="00753BC3"/>
    <w:rsid w:val="00754A51"/>
    <w:rsid w:val="00756B7D"/>
    <w:rsid w:val="007652A1"/>
    <w:rsid w:val="0077790D"/>
    <w:rsid w:val="00780E0D"/>
    <w:rsid w:val="00791909"/>
    <w:rsid w:val="007925E2"/>
    <w:rsid w:val="007A1905"/>
    <w:rsid w:val="007A638F"/>
    <w:rsid w:val="007A785B"/>
    <w:rsid w:val="007C0952"/>
    <w:rsid w:val="007C67F4"/>
    <w:rsid w:val="007C68EB"/>
    <w:rsid w:val="007C6D13"/>
    <w:rsid w:val="007E324D"/>
    <w:rsid w:val="007E5D4E"/>
    <w:rsid w:val="007E6F70"/>
    <w:rsid w:val="007F713E"/>
    <w:rsid w:val="00807D53"/>
    <w:rsid w:val="008160EB"/>
    <w:rsid w:val="00816521"/>
    <w:rsid w:val="008212AF"/>
    <w:rsid w:val="00822B40"/>
    <w:rsid w:val="0082554D"/>
    <w:rsid w:val="00825A38"/>
    <w:rsid w:val="00826CC0"/>
    <w:rsid w:val="008352E5"/>
    <w:rsid w:val="00843896"/>
    <w:rsid w:val="00846354"/>
    <w:rsid w:val="00847425"/>
    <w:rsid w:val="008504E8"/>
    <w:rsid w:val="00853DA1"/>
    <w:rsid w:val="0086190F"/>
    <w:rsid w:val="008645F0"/>
    <w:rsid w:val="008647E2"/>
    <w:rsid w:val="00871C83"/>
    <w:rsid w:val="00885E43"/>
    <w:rsid w:val="00895209"/>
    <w:rsid w:val="008A57CA"/>
    <w:rsid w:val="008B79D1"/>
    <w:rsid w:val="008B7E92"/>
    <w:rsid w:val="008B7FF2"/>
    <w:rsid w:val="008C0CD4"/>
    <w:rsid w:val="008C3ADF"/>
    <w:rsid w:val="008C7A6C"/>
    <w:rsid w:val="008D0534"/>
    <w:rsid w:val="008E1351"/>
    <w:rsid w:val="008E4809"/>
    <w:rsid w:val="008E6A51"/>
    <w:rsid w:val="008E7886"/>
    <w:rsid w:val="008F76E5"/>
    <w:rsid w:val="00905EA5"/>
    <w:rsid w:val="009117AC"/>
    <w:rsid w:val="00914115"/>
    <w:rsid w:val="0091456D"/>
    <w:rsid w:val="00922A46"/>
    <w:rsid w:val="00923717"/>
    <w:rsid w:val="00933A55"/>
    <w:rsid w:val="009348FC"/>
    <w:rsid w:val="00950AC4"/>
    <w:rsid w:val="0095352C"/>
    <w:rsid w:val="009658D3"/>
    <w:rsid w:val="00966D95"/>
    <w:rsid w:val="0097169C"/>
    <w:rsid w:val="009734B3"/>
    <w:rsid w:val="00977462"/>
    <w:rsid w:val="00977E0D"/>
    <w:rsid w:val="00985219"/>
    <w:rsid w:val="00991590"/>
    <w:rsid w:val="00991E70"/>
    <w:rsid w:val="009926A2"/>
    <w:rsid w:val="009A6047"/>
    <w:rsid w:val="009A73FF"/>
    <w:rsid w:val="009B2270"/>
    <w:rsid w:val="009C00FC"/>
    <w:rsid w:val="009C230F"/>
    <w:rsid w:val="009C3E53"/>
    <w:rsid w:val="009C5AA3"/>
    <w:rsid w:val="009C6C69"/>
    <w:rsid w:val="009D01AE"/>
    <w:rsid w:val="009D06E1"/>
    <w:rsid w:val="009D69A8"/>
    <w:rsid w:val="009E1A70"/>
    <w:rsid w:val="009E701B"/>
    <w:rsid w:val="009E715F"/>
    <w:rsid w:val="009F260B"/>
    <w:rsid w:val="009F414B"/>
    <w:rsid w:val="009F4236"/>
    <w:rsid w:val="009F5074"/>
    <w:rsid w:val="00A016BE"/>
    <w:rsid w:val="00A01B1B"/>
    <w:rsid w:val="00A02F89"/>
    <w:rsid w:val="00A03791"/>
    <w:rsid w:val="00A124EF"/>
    <w:rsid w:val="00A165E9"/>
    <w:rsid w:val="00A24594"/>
    <w:rsid w:val="00A32F9C"/>
    <w:rsid w:val="00A350C5"/>
    <w:rsid w:val="00A4146E"/>
    <w:rsid w:val="00A4204B"/>
    <w:rsid w:val="00A459B7"/>
    <w:rsid w:val="00A45DAC"/>
    <w:rsid w:val="00A46593"/>
    <w:rsid w:val="00A46C93"/>
    <w:rsid w:val="00A46FE5"/>
    <w:rsid w:val="00A47914"/>
    <w:rsid w:val="00A51DC0"/>
    <w:rsid w:val="00A5557B"/>
    <w:rsid w:val="00A652B5"/>
    <w:rsid w:val="00A752A6"/>
    <w:rsid w:val="00A81DD0"/>
    <w:rsid w:val="00A86EFC"/>
    <w:rsid w:val="00A92F63"/>
    <w:rsid w:val="00A94839"/>
    <w:rsid w:val="00A95D6F"/>
    <w:rsid w:val="00A962D6"/>
    <w:rsid w:val="00AA5778"/>
    <w:rsid w:val="00AA5C97"/>
    <w:rsid w:val="00AA6039"/>
    <w:rsid w:val="00AB013B"/>
    <w:rsid w:val="00AB0378"/>
    <w:rsid w:val="00AB319E"/>
    <w:rsid w:val="00AB6AFC"/>
    <w:rsid w:val="00AB73C0"/>
    <w:rsid w:val="00AB77FC"/>
    <w:rsid w:val="00AC1AB9"/>
    <w:rsid w:val="00AC34EA"/>
    <w:rsid w:val="00AC3585"/>
    <w:rsid w:val="00AE0099"/>
    <w:rsid w:val="00AE207A"/>
    <w:rsid w:val="00AE3453"/>
    <w:rsid w:val="00AE77B3"/>
    <w:rsid w:val="00AF2B64"/>
    <w:rsid w:val="00AF59AE"/>
    <w:rsid w:val="00B01ACF"/>
    <w:rsid w:val="00B10CF3"/>
    <w:rsid w:val="00B118C8"/>
    <w:rsid w:val="00B202BB"/>
    <w:rsid w:val="00B22996"/>
    <w:rsid w:val="00B278F9"/>
    <w:rsid w:val="00B27A09"/>
    <w:rsid w:val="00B35D7A"/>
    <w:rsid w:val="00B46BB9"/>
    <w:rsid w:val="00B505FC"/>
    <w:rsid w:val="00B56863"/>
    <w:rsid w:val="00B65A01"/>
    <w:rsid w:val="00B7653C"/>
    <w:rsid w:val="00B83871"/>
    <w:rsid w:val="00B91126"/>
    <w:rsid w:val="00B94EDB"/>
    <w:rsid w:val="00B96AB7"/>
    <w:rsid w:val="00BA2213"/>
    <w:rsid w:val="00BA34DB"/>
    <w:rsid w:val="00BA3F70"/>
    <w:rsid w:val="00BA6524"/>
    <w:rsid w:val="00BB4C45"/>
    <w:rsid w:val="00BC0EA2"/>
    <w:rsid w:val="00BD1CE7"/>
    <w:rsid w:val="00BD2627"/>
    <w:rsid w:val="00BE00F1"/>
    <w:rsid w:val="00BE3A82"/>
    <w:rsid w:val="00C029AF"/>
    <w:rsid w:val="00C0319D"/>
    <w:rsid w:val="00C11CA1"/>
    <w:rsid w:val="00C27A18"/>
    <w:rsid w:val="00C30877"/>
    <w:rsid w:val="00C31015"/>
    <w:rsid w:val="00C31FC9"/>
    <w:rsid w:val="00C33081"/>
    <w:rsid w:val="00C36EDF"/>
    <w:rsid w:val="00C40A19"/>
    <w:rsid w:val="00C44417"/>
    <w:rsid w:val="00C47B78"/>
    <w:rsid w:val="00C55C95"/>
    <w:rsid w:val="00C57325"/>
    <w:rsid w:val="00C57B43"/>
    <w:rsid w:val="00C62644"/>
    <w:rsid w:val="00C62A22"/>
    <w:rsid w:val="00C6358E"/>
    <w:rsid w:val="00C6383E"/>
    <w:rsid w:val="00C665E4"/>
    <w:rsid w:val="00C71056"/>
    <w:rsid w:val="00C74C90"/>
    <w:rsid w:val="00C80890"/>
    <w:rsid w:val="00C8592C"/>
    <w:rsid w:val="00C86458"/>
    <w:rsid w:val="00C86FD5"/>
    <w:rsid w:val="00C90868"/>
    <w:rsid w:val="00CA16D3"/>
    <w:rsid w:val="00CA768D"/>
    <w:rsid w:val="00CA7DB8"/>
    <w:rsid w:val="00CB1D55"/>
    <w:rsid w:val="00CC16DB"/>
    <w:rsid w:val="00CC5477"/>
    <w:rsid w:val="00CD00E7"/>
    <w:rsid w:val="00CE05C2"/>
    <w:rsid w:val="00CE7A12"/>
    <w:rsid w:val="00D140F8"/>
    <w:rsid w:val="00D22258"/>
    <w:rsid w:val="00D302B9"/>
    <w:rsid w:val="00D3414B"/>
    <w:rsid w:val="00D35170"/>
    <w:rsid w:val="00D42A5F"/>
    <w:rsid w:val="00D51F57"/>
    <w:rsid w:val="00D6031C"/>
    <w:rsid w:val="00D62D68"/>
    <w:rsid w:val="00D7258F"/>
    <w:rsid w:val="00D75CC7"/>
    <w:rsid w:val="00D90BFF"/>
    <w:rsid w:val="00D93A0A"/>
    <w:rsid w:val="00D95E4F"/>
    <w:rsid w:val="00DA0604"/>
    <w:rsid w:val="00DA0AC2"/>
    <w:rsid w:val="00DA1AC5"/>
    <w:rsid w:val="00DA5F5A"/>
    <w:rsid w:val="00DB25E8"/>
    <w:rsid w:val="00DB72A7"/>
    <w:rsid w:val="00DC736E"/>
    <w:rsid w:val="00DC7B70"/>
    <w:rsid w:val="00DD02DA"/>
    <w:rsid w:val="00DD14E8"/>
    <w:rsid w:val="00DD701C"/>
    <w:rsid w:val="00DE5C86"/>
    <w:rsid w:val="00DF3CD7"/>
    <w:rsid w:val="00E010E7"/>
    <w:rsid w:val="00E021A2"/>
    <w:rsid w:val="00E046A8"/>
    <w:rsid w:val="00E12D9E"/>
    <w:rsid w:val="00E179D5"/>
    <w:rsid w:val="00E20D3D"/>
    <w:rsid w:val="00E21316"/>
    <w:rsid w:val="00E23B7D"/>
    <w:rsid w:val="00E303B9"/>
    <w:rsid w:val="00E31E09"/>
    <w:rsid w:val="00E34A47"/>
    <w:rsid w:val="00E35DB1"/>
    <w:rsid w:val="00E36141"/>
    <w:rsid w:val="00E41F28"/>
    <w:rsid w:val="00E4211C"/>
    <w:rsid w:val="00E46CE4"/>
    <w:rsid w:val="00E60B09"/>
    <w:rsid w:val="00E67DB3"/>
    <w:rsid w:val="00E73B9D"/>
    <w:rsid w:val="00E831E6"/>
    <w:rsid w:val="00E83B46"/>
    <w:rsid w:val="00E83E58"/>
    <w:rsid w:val="00E849C0"/>
    <w:rsid w:val="00E87B34"/>
    <w:rsid w:val="00E91501"/>
    <w:rsid w:val="00E94C70"/>
    <w:rsid w:val="00E97461"/>
    <w:rsid w:val="00EA0AC0"/>
    <w:rsid w:val="00EA2BC0"/>
    <w:rsid w:val="00EA5EF2"/>
    <w:rsid w:val="00ED4DC5"/>
    <w:rsid w:val="00ED63B6"/>
    <w:rsid w:val="00EE338F"/>
    <w:rsid w:val="00EF49BA"/>
    <w:rsid w:val="00EF5608"/>
    <w:rsid w:val="00F16141"/>
    <w:rsid w:val="00F24B44"/>
    <w:rsid w:val="00F33CAD"/>
    <w:rsid w:val="00F35002"/>
    <w:rsid w:val="00F35D1B"/>
    <w:rsid w:val="00F407C4"/>
    <w:rsid w:val="00F431E0"/>
    <w:rsid w:val="00F462BD"/>
    <w:rsid w:val="00F53113"/>
    <w:rsid w:val="00F5489E"/>
    <w:rsid w:val="00F55BEA"/>
    <w:rsid w:val="00F649CE"/>
    <w:rsid w:val="00F70628"/>
    <w:rsid w:val="00F7323E"/>
    <w:rsid w:val="00F85045"/>
    <w:rsid w:val="00F858EE"/>
    <w:rsid w:val="00F9660E"/>
    <w:rsid w:val="00F97F14"/>
    <w:rsid w:val="00FA3779"/>
    <w:rsid w:val="00FA3D1B"/>
    <w:rsid w:val="00FA3F5B"/>
    <w:rsid w:val="00FA7434"/>
    <w:rsid w:val="00FB2CA0"/>
    <w:rsid w:val="00FB6336"/>
    <w:rsid w:val="00FC4C05"/>
    <w:rsid w:val="00FD61C5"/>
    <w:rsid w:val="00FD7B91"/>
    <w:rsid w:val="00FE4031"/>
    <w:rsid w:val="00FE74D2"/>
    <w:rsid w:val="00FE7E1F"/>
    <w:rsid w:val="00FF4280"/>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59ECD13"/>
  <w15:docId w15:val="{EA3FF101-9F36-4BCE-8AF6-0126D3B9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5465FE"/>
    <w:rPr>
      <w:sz w:val="24"/>
      <w:lang w:val="en-GB"/>
    </w:rPr>
  </w:style>
  <w:style w:type="paragraph" w:styleId="ListParagraph">
    <w:name w:val="List Paragraph"/>
    <w:basedOn w:val="Normal"/>
    <w:uiPriority w:val="1"/>
    <w:qFormat/>
    <w:rsid w:val="005F3642"/>
    <w:pPr>
      <w:ind w:left="720"/>
      <w:contextualSpacing/>
    </w:pPr>
  </w:style>
  <w:style w:type="paragraph" w:styleId="NormalWeb">
    <w:name w:val="Normal (Web)"/>
    <w:basedOn w:val="Normal"/>
    <w:uiPriority w:val="99"/>
    <w:semiHidden/>
    <w:unhideWhenUsed/>
    <w:rsid w:val="00324FF7"/>
    <w:pPr>
      <w:spacing w:before="100" w:beforeAutospacing="1" w:after="100" w:afterAutospacing="1"/>
    </w:pPr>
    <w:rPr>
      <w:sz w:val="24"/>
      <w:szCs w:val="24"/>
      <w:lang w:val="en-CA" w:eastAsia="en-CA"/>
    </w:rPr>
  </w:style>
  <w:style w:type="character" w:styleId="Strong">
    <w:name w:val="Strong"/>
    <w:basedOn w:val="DefaultParagraphFont"/>
    <w:uiPriority w:val="22"/>
    <w:qFormat/>
    <w:rsid w:val="00324FF7"/>
    <w:rPr>
      <w:b/>
      <w:bCs/>
    </w:rPr>
  </w:style>
  <w:style w:type="character" w:styleId="Hyperlink">
    <w:name w:val="Hyperlink"/>
    <w:basedOn w:val="DefaultParagraphFont"/>
    <w:uiPriority w:val="99"/>
    <w:unhideWhenUsed/>
    <w:rsid w:val="00324FF7"/>
    <w:rPr>
      <w:color w:val="0000FF"/>
      <w:u w:val="single"/>
    </w:rPr>
  </w:style>
  <w:style w:type="character" w:styleId="UnresolvedMention">
    <w:name w:val="Unresolved Mention"/>
    <w:basedOn w:val="DefaultParagraphFont"/>
    <w:uiPriority w:val="99"/>
    <w:semiHidden/>
    <w:unhideWhenUsed/>
    <w:rsid w:val="0051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27</cp:revision>
  <cp:lastPrinted>2021-07-09T01:10:00Z</cp:lastPrinted>
  <dcterms:created xsi:type="dcterms:W3CDTF">2022-04-21T14:57:00Z</dcterms:created>
  <dcterms:modified xsi:type="dcterms:W3CDTF">2023-03-06T21:29:00Z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